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4B721">
      <w:pPr>
        <w:spacing w:line="600" w:lineRule="auto"/>
        <w:jc w:val="both"/>
        <w:rPr>
          <w:rFonts w:hint="eastAsia" w:ascii="方正小标宋_GBK" w:hAnsi="方正小标宋_GBK" w:eastAsia="方正小标宋_GBK" w:cs="方正小标宋_GBK"/>
          <w:color w:val="000000" w:themeColor="text1"/>
          <w:sz w:val="48"/>
          <w:szCs w:val="48"/>
          <w:lang w:eastAsia="zh-CN"/>
          <w14:textFill>
            <w14:solidFill>
              <w14:schemeClr w14:val="tx1"/>
            </w14:solidFill>
          </w14:textFill>
        </w:rPr>
      </w:pPr>
      <w:bookmarkStart w:id="490" w:name="_GoBack"/>
      <w:r>
        <w:rPr>
          <w:rFonts w:hint="eastAsia" w:ascii="方正小标宋_GBK" w:hAnsi="方正小标宋_GBK" w:eastAsia="方正小标宋_GBK" w:cs="方正小标宋_GBK"/>
          <w:color w:val="000000" w:themeColor="text1"/>
          <w:sz w:val="48"/>
          <w:szCs w:val="48"/>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-605155</wp:posOffset>
            </wp:positionH>
            <wp:positionV relativeFrom="paragraph">
              <wp:posOffset>-636905</wp:posOffset>
            </wp:positionV>
            <wp:extent cx="6461125" cy="8298180"/>
            <wp:effectExtent l="0" t="0" r="15875" b="7620"/>
            <wp:wrapNone/>
            <wp:docPr id="10" name="图片 10" descr="cd9188659d14b8df36e1e126ebaa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d9188659d14b8df36e1e126ebaa7595"/>
                    <pic:cNvPicPr>
                      <a:picLocks noChangeAspect="1"/>
                    </pic:cNvPicPr>
                  </pic:nvPicPr>
                  <pic:blipFill>
                    <a:blip r:embed="rId11"/>
                    <a:stretch>
                      <a:fillRect/>
                    </a:stretch>
                  </pic:blipFill>
                  <pic:spPr>
                    <a:xfrm>
                      <a:off x="0" y="0"/>
                      <a:ext cx="6461125" cy="8298180"/>
                    </a:xfrm>
                    <a:prstGeom prst="rect">
                      <a:avLst/>
                    </a:prstGeom>
                  </pic:spPr>
                </pic:pic>
              </a:graphicData>
            </a:graphic>
          </wp:anchor>
        </w:drawing>
      </w:r>
      <w:bookmarkEnd w:id="490"/>
    </w:p>
    <w:p w14:paraId="00EDB72C">
      <w:pPr>
        <w:pStyle w:val="2"/>
        <w:jc w:val="center"/>
        <w:rPr>
          <w:rFonts w:hint="eastAsia" w:ascii="宋体" w:hAnsi="宋体" w:eastAsia="宋体" w:cs="宋体"/>
          <w:b/>
          <w:bCs/>
          <w:color w:val="000000" w:themeColor="text1"/>
          <w:sz w:val="44"/>
          <w:szCs w:val="44"/>
          <w:lang w:eastAsia="zh-CN"/>
          <w14:textFill>
            <w14:solidFill>
              <w14:schemeClr w14:val="tx1"/>
            </w14:solidFill>
          </w14:textFill>
        </w:rPr>
      </w:pPr>
      <w:r>
        <w:rPr>
          <w:rFonts w:hint="eastAsia" w:ascii="宋体" w:hAnsi="宋体" w:eastAsia="宋体" w:cs="宋体"/>
          <w:b/>
          <w:bCs/>
          <w:color w:val="000000" w:themeColor="text1"/>
          <w:sz w:val="44"/>
          <w:szCs w:val="44"/>
          <w:lang w:eastAsia="zh-CN"/>
          <w14:textFill>
            <w14:solidFill>
              <w14:schemeClr w14:val="tx1"/>
            </w14:solidFill>
          </w14:textFill>
        </w:rPr>
        <w:t>晋宁区医疗卫生强基工程项目（资源共享中心：医共体中心药房系统、医共体审方中</w:t>
      </w:r>
    </w:p>
    <w:p w14:paraId="687E2989">
      <w:pPr>
        <w:ind w:left="3070" w:leftChars="175" w:hanging="2650" w:hangingChars="600"/>
        <w:rPr>
          <w:rFonts w:hint="default" w:ascii="宋体" w:hAnsi="宋体" w:eastAsia="宋体" w:cs="宋体"/>
          <w:b/>
          <w:bCs/>
          <w:color w:val="000000" w:themeColor="text1"/>
          <w:sz w:val="30"/>
          <w:szCs w:val="30"/>
          <w:u w:val="single"/>
          <w:lang w:val="en-US" w:eastAsia="zh-CN"/>
          <w14:textFill>
            <w14:solidFill>
              <w14:schemeClr w14:val="tx1"/>
            </w14:solidFill>
          </w14:textFill>
        </w:rPr>
      </w:pPr>
      <w:r>
        <w:rPr>
          <w:rFonts w:hint="eastAsia" w:ascii="宋体" w:hAnsi="宋体" w:eastAsia="宋体" w:cs="宋体"/>
          <w:b/>
          <w:bCs/>
          <w:color w:val="000000" w:themeColor="text1"/>
          <w:sz w:val="44"/>
          <w:szCs w:val="44"/>
          <w:lang w:eastAsia="zh-CN"/>
          <w14:textFill>
            <w14:solidFill>
              <w14:schemeClr w14:val="tx1"/>
            </w14:solidFill>
          </w14:textFill>
        </w:rPr>
        <w:t>心系统</w:t>
      </w:r>
      <w:r>
        <w:rPr>
          <w:rFonts w:hint="eastAsia" w:ascii="宋体" w:hAnsi="宋体" w:eastAsia="宋体" w:cs="宋体"/>
          <w:b/>
          <w:bCs/>
          <w:color w:val="000000" w:themeColor="text1"/>
          <w:kern w:val="2"/>
          <w:sz w:val="44"/>
          <w:szCs w:val="44"/>
          <w:lang w:val="en-US" w:eastAsia="zh-CN" w:bidi="ar-SA"/>
          <w14:textFill>
            <w14:solidFill>
              <w14:schemeClr w14:val="tx1"/>
            </w14:solidFill>
          </w14:textFill>
        </w:rPr>
        <w:t xml:space="preserve">）B包：医共体审方中心系统 </w:t>
      </w:r>
    </w:p>
    <w:p w14:paraId="4807DF82">
      <w:pPr>
        <w:pStyle w:val="2"/>
        <w:jc w:val="both"/>
        <w:rPr>
          <w:rFonts w:hint="eastAsia"/>
          <w:color w:val="000000" w:themeColor="text1"/>
          <w14:textFill>
            <w14:solidFill>
              <w14:schemeClr w14:val="tx1"/>
            </w14:solidFill>
          </w14:textFill>
        </w:rPr>
      </w:pPr>
    </w:p>
    <w:p w14:paraId="6E096C29">
      <w:pPr>
        <w:jc w:val="both"/>
        <w:rPr>
          <w:rFonts w:hint="eastAsia" w:ascii="宋体" w:hAnsi="宋体" w:eastAsia="宋体" w:cs="宋体"/>
          <w:b/>
          <w:bCs/>
          <w:color w:val="000000" w:themeColor="text1"/>
          <w:sz w:val="72"/>
          <w:szCs w:val="72"/>
          <w14:textFill>
            <w14:solidFill>
              <w14:schemeClr w14:val="tx1"/>
            </w14:solidFill>
          </w14:textFill>
        </w:rPr>
      </w:pPr>
    </w:p>
    <w:p w14:paraId="3D98BCB0">
      <w:pPr>
        <w:jc w:val="center"/>
        <w:rPr>
          <w:rFonts w:hint="eastAsia" w:ascii="宋体" w:hAnsi="宋体" w:eastAsia="宋体" w:cs="宋体"/>
          <w:b/>
          <w:bCs/>
          <w:color w:val="000000" w:themeColor="text1"/>
          <w:sz w:val="72"/>
          <w:szCs w:val="72"/>
          <w14:textFill>
            <w14:solidFill>
              <w14:schemeClr w14:val="tx1"/>
            </w14:solidFill>
          </w14:textFill>
        </w:rPr>
      </w:pPr>
      <w:r>
        <w:rPr>
          <w:rFonts w:hint="eastAsia" w:ascii="宋体" w:hAnsi="宋体" w:eastAsia="宋体" w:cs="宋体"/>
          <w:b/>
          <w:bCs/>
          <w:color w:val="000000" w:themeColor="text1"/>
          <w:sz w:val="72"/>
          <w:szCs w:val="72"/>
          <w14:textFill>
            <w14:solidFill>
              <w14:schemeClr w14:val="tx1"/>
            </w14:solidFill>
          </w14:textFill>
        </w:rPr>
        <w:t>公开招标文件</w:t>
      </w:r>
    </w:p>
    <w:p w14:paraId="3F041864">
      <w:pPr>
        <w:tabs>
          <w:tab w:val="left" w:pos="1123"/>
          <w:tab w:val="center" w:pos="4212"/>
        </w:tabs>
        <w:jc w:val="left"/>
        <w:rPr>
          <w:rFonts w:hint="default" w:ascii="宋体" w:hAnsi="宋体" w:eastAsia="宋体" w:cs="宋体"/>
          <w:b/>
          <w:bCs/>
          <w:color w:val="000000" w:themeColor="text1"/>
          <w:sz w:val="30"/>
          <w:szCs w:val="30"/>
          <w:lang w:val="en-US" w:eastAsia="zh-CN"/>
          <w14:textFill>
            <w14:solidFill>
              <w14:schemeClr w14:val="tx1"/>
            </w14:solidFill>
          </w14:textFill>
        </w:rPr>
      </w:pPr>
      <w:bookmarkStart w:id="0" w:name="_Hlk164181180"/>
      <w:r>
        <w:rPr>
          <w:rFonts w:hint="eastAsia" w:cs="宋体"/>
          <w:b/>
          <w:bCs/>
          <w:color w:val="000000" w:themeColor="text1"/>
          <w:sz w:val="44"/>
          <w:szCs w:val="44"/>
          <w:lang w:eastAsia="zh-CN"/>
          <w14:textFill>
            <w14:solidFill>
              <w14:schemeClr w14:val="tx1"/>
            </w14:solidFill>
          </w14:textFill>
        </w:rPr>
        <w:tab/>
      </w:r>
      <w:r>
        <w:rPr>
          <w:rFonts w:hint="eastAsia" w:cs="宋体"/>
          <w:b/>
          <w:bCs/>
          <w:color w:val="000000" w:themeColor="text1"/>
          <w:sz w:val="44"/>
          <w:szCs w:val="44"/>
          <w:lang w:eastAsia="zh-CN"/>
          <w14:textFill>
            <w14:solidFill>
              <w14:schemeClr w14:val="tx1"/>
            </w14:solidFill>
          </w14:textFill>
        </w:rPr>
        <w:tab/>
      </w:r>
      <w:r>
        <w:rPr>
          <w:rFonts w:hint="eastAsia" w:ascii="宋体" w:hAnsi="宋体" w:eastAsia="宋体" w:cs="宋体"/>
          <w:b/>
          <w:bCs/>
          <w:color w:val="000000" w:themeColor="text1"/>
          <w:sz w:val="30"/>
          <w:szCs w:val="30"/>
          <w14:textFill>
            <w14:solidFill>
              <w14:schemeClr w14:val="tx1"/>
            </w14:solidFill>
          </w14:textFill>
        </w:rPr>
        <w:t>项目编号：KMKHZB[2026]1-03</w:t>
      </w:r>
      <w:r>
        <w:rPr>
          <w:rFonts w:hint="eastAsia" w:cs="宋体"/>
          <w:b/>
          <w:bCs/>
          <w:color w:val="000000" w:themeColor="text1"/>
          <w:sz w:val="30"/>
          <w:szCs w:val="30"/>
          <w:lang w:val="en-US" w:eastAsia="zh-CN"/>
          <w14:textFill>
            <w14:solidFill>
              <w14:schemeClr w14:val="tx1"/>
            </w14:solidFill>
          </w14:textFill>
        </w:rPr>
        <w:t>9（B)</w:t>
      </w:r>
    </w:p>
    <w:p w14:paraId="2A705FDD">
      <w:pPr>
        <w:jc w:val="center"/>
        <w:rPr>
          <w:rFonts w:hint="eastAsia" w:ascii="宋体" w:hAnsi="宋体" w:eastAsia="宋体" w:cs="宋体"/>
          <w:b/>
          <w:bCs/>
          <w:color w:val="000000" w:themeColor="text1"/>
          <w:sz w:val="44"/>
          <w:szCs w:val="44"/>
          <w14:textFill>
            <w14:solidFill>
              <w14:schemeClr w14:val="tx1"/>
            </w14:solidFill>
          </w14:textFill>
        </w:rPr>
      </w:pPr>
    </w:p>
    <w:p w14:paraId="1BDE179C">
      <w:pPr>
        <w:pStyle w:val="2"/>
        <w:rPr>
          <w:rFonts w:hint="eastAsia"/>
          <w:color w:val="000000" w:themeColor="text1"/>
          <w14:textFill>
            <w14:solidFill>
              <w14:schemeClr w14:val="tx1"/>
            </w14:solidFill>
          </w14:textFill>
        </w:rPr>
      </w:pPr>
    </w:p>
    <w:p w14:paraId="2B73F89C">
      <w:pPr>
        <w:jc w:val="center"/>
        <w:rPr>
          <w:rFonts w:hint="eastAsia" w:ascii="宋体" w:hAnsi="宋体" w:eastAsia="宋体" w:cs="宋体"/>
          <w:b/>
          <w:bCs/>
          <w:color w:val="000000" w:themeColor="text1"/>
          <w:sz w:val="44"/>
          <w:szCs w:val="44"/>
          <w:lang w:eastAsia="zh-CN"/>
          <w14:textFill>
            <w14:solidFill>
              <w14:schemeClr w14:val="tx1"/>
            </w14:solidFill>
          </w14:textFill>
        </w:rPr>
      </w:pPr>
    </w:p>
    <w:bookmarkEnd w:id="0"/>
    <w:p w14:paraId="16F7BCA7">
      <w:pPr>
        <w:spacing w:line="600" w:lineRule="auto"/>
        <w:ind w:left="420" w:leftChars="175"/>
        <w:rPr>
          <w:rFonts w:hint="eastAsia" w:ascii="宋体" w:hAnsi="宋体" w:eastAsia="宋体" w:cs="宋体"/>
          <w:b/>
          <w:bCs/>
          <w:color w:val="000000" w:themeColor="text1"/>
          <w:sz w:val="30"/>
          <w:szCs w:val="30"/>
          <w:u w:val="single"/>
          <w:lang w:val="en-US" w:eastAsia="zh-CN"/>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采购计划备案号：</w:t>
      </w:r>
      <w:r>
        <w:rPr>
          <w:rFonts w:hint="eastAsia" w:ascii="宋体" w:hAnsi="宋体" w:eastAsia="宋体" w:cs="宋体"/>
          <w:b/>
          <w:bCs/>
          <w:color w:val="000000" w:themeColor="text1"/>
          <w:sz w:val="30"/>
          <w:szCs w:val="30"/>
          <w:u w:val="single"/>
          <w:lang w:val="en-US" w:eastAsia="zh-CN"/>
          <w14:textFill>
            <w14:solidFill>
              <w14:schemeClr w14:val="tx1"/>
            </w14:solidFill>
          </w14:textFill>
        </w:rPr>
        <w:t xml:space="preserve"> </w:t>
      </w:r>
      <w:r>
        <w:rPr>
          <w:rFonts w:hint="eastAsia" w:ascii="宋体" w:hAnsi="宋体" w:cs="宋体"/>
          <w:b/>
          <w:color w:val="000000"/>
          <w:sz w:val="32"/>
          <w:szCs w:val="32"/>
          <w:u w:val="single"/>
          <w:lang w:val="en-US" w:eastAsia="zh-CN"/>
        </w:rPr>
        <w:t xml:space="preserve"> 4530122JH202600541</w:t>
      </w:r>
      <w:r>
        <w:rPr>
          <w:rFonts w:hint="eastAsia" w:ascii="宋体" w:hAnsi="宋体" w:eastAsia="宋体" w:cs="宋体"/>
          <w:b/>
          <w:bCs/>
          <w:color w:val="000000" w:themeColor="text1"/>
          <w:sz w:val="30"/>
          <w:szCs w:val="30"/>
          <w:u w:val="single"/>
          <w:lang w:val="en-US" w:eastAsia="zh-CN"/>
          <w14:textFill>
            <w14:solidFill>
              <w14:schemeClr w14:val="tx1"/>
            </w14:solidFill>
          </w14:textFill>
        </w:rPr>
        <w:t xml:space="preserve">  </w:t>
      </w:r>
    </w:p>
    <w:p w14:paraId="5F0E794F">
      <w:pPr>
        <w:ind w:left="2227" w:leftChars="175" w:hanging="1807" w:hangingChars="600"/>
        <w:rPr>
          <w:rFonts w:hint="default" w:ascii="宋体" w:hAnsi="宋体" w:eastAsia="宋体" w:cs="宋体"/>
          <w:b/>
          <w:bCs/>
          <w:color w:val="000000" w:themeColor="text1"/>
          <w:sz w:val="30"/>
          <w:szCs w:val="30"/>
          <w:u w:val="single"/>
          <w:lang w:val="en-US" w:eastAsia="zh-CN"/>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采</w:t>
      </w:r>
      <w:r>
        <w:rPr>
          <w:rFonts w:hint="eastAsia" w:cs="宋体"/>
          <w:b/>
          <w:bCs/>
          <w:color w:val="000000" w:themeColor="text1"/>
          <w:sz w:val="30"/>
          <w:szCs w:val="30"/>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14:textFill>
            <w14:solidFill>
              <w14:schemeClr w14:val="tx1"/>
            </w14:solidFill>
          </w14:textFill>
        </w:rPr>
        <w:t>购</w:t>
      </w:r>
      <w:r>
        <w:rPr>
          <w:rFonts w:hint="eastAsia" w:cs="宋体"/>
          <w:b/>
          <w:bCs/>
          <w:color w:val="000000" w:themeColor="text1"/>
          <w:sz w:val="30"/>
          <w:szCs w:val="30"/>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lang w:val="en-US" w:eastAsia="zh-CN"/>
          <w14:textFill>
            <w14:solidFill>
              <w14:schemeClr w14:val="tx1"/>
            </w14:solidFill>
          </w14:textFill>
        </w:rPr>
        <w:t>包</w:t>
      </w:r>
      <w:r>
        <w:rPr>
          <w:rFonts w:hint="eastAsia" w:cs="宋体"/>
          <w:b/>
          <w:bCs/>
          <w:color w:val="000000" w:themeColor="text1"/>
          <w:sz w:val="30"/>
          <w:szCs w:val="30"/>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14:textFill>
            <w14:solidFill>
              <w14:schemeClr w14:val="tx1"/>
            </w14:solidFill>
          </w14:textFill>
        </w:rPr>
        <w:t>名</w:t>
      </w:r>
      <w:r>
        <w:rPr>
          <w:rFonts w:hint="eastAsia" w:cs="宋体"/>
          <w:b/>
          <w:bCs/>
          <w:color w:val="000000" w:themeColor="text1"/>
          <w:sz w:val="30"/>
          <w:szCs w:val="30"/>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14:textFill>
            <w14:solidFill>
              <w14:schemeClr w14:val="tx1"/>
            </w14:solidFill>
          </w14:textFill>
        </w:rPr>
        <w:t>称：</w:t>
      </w:r>
      <w:r>
        <w:rPr>
          <w:rFonts w:hint="eastAsia" w:ascii="宋体" w:hAnsi="宋体" w:cs="宋体"/>
          <w:b/>
          <w:color w:val="000000"/>
          <w:sz w:val="32"/>
          <w:szCs w:val="32"/>
          <w:u w:val="single"/>
          <w:lang w:val="en-US" w:eastAsia="zh-CN"/>
        </w:rPr>
        <w:t xml:space="preserve"> </w:t>
      </w:r>
      <w:r>
        <w:rPr>
          <w:rFonts w:hint="eastAsia" w:cs="宋体"/>
          <w:b/>
          <w:color w:val="000000"/>
          <w:sz w:val="32"/>
          <w:szCs w:val="32"/>
          <w:u w:val="single"/>
          <w:lang w:val="en-US" w:eastAsia="zh-CN"/>
        </w:rPr>
        <w:t>B</w:t>
      </w:r>
      <w:r>
        <w:rPr>
          <w:rFonts w:hint="eastAsia" w:ascii="宋体" w:hAnsi="宋体" w:cs="宋体"/>
          <w:b/>
          <w:color w:val="000000"/>
          <w:sz w:val="32"/>
          <w:szCs w:val="32"/>
          <w:u w:val="single"/>
          <w:lang w:val="en-US" w:eastAsia="zh-CN"/>
        </w:rPr>
        <w:t>包：医共体</w:t>
      </w:r>
      <w:r>
        <w:rPr>
          <w:rFonts w:hint="eastAsia" w:cs="宋体"/>
          <w:b/>
          <w:color w:val="000000"/>
          <w:sz w:val="32"/>
          <w:szCs w:val="32"/>
          <w:u w:val="single"/>
          <w:lang w:val="en-US" w:eastAsia="zh-CN"/>
        </w:rPr>
        <w:t>审方中心系统</w:t>
      </w:r>
      <w:r>
        <w:rPr>
          <w:rFonts w:hint="eastAsia" w:ascii="宋体" w:hAnsi="宋体" w:cs="宋体"/>
          <w:b/>
          <w:color w:val="000000"/>
          <w:sz w:val="32"/>
          <w:szCs w:val="32"/>
          <w:u w:val="single"/>
          <w:lang w:val="en-US" w:eastAsia="zh-CN"/>
        </w:rPr>
        <w:t xml:space="preserve"> </w:t>
      </w:r>
    </w:p>
    <w:p w14:paraId="43C2BBCC">
      <w:pPr>
        <w:spacing w:line="360" w:lineRule="auto"/>
        <w:ind w:firstLine="533" w:firstLineChars="177"/>
        <w:rPr>
          <w:rFonts w:hint="eastAsia" w:cs="宋体"/>
          <w:b/>
          <w:bCs/>
          <w:color w:val="000000" w:themeColor="text1"/>
          <w:sz w:val="30"/>
          <w:szCs w:val="30"/>
          <w:u w:val="single"/>
          <w:lang w:eastAsia="zh-CN"/>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 xml:space="preserve">采   购  </w:t>
      </w:r>
      <w:r>
        <w:rPr>
          <w:rFonts w:hint="eastAsia" w:cs="宋体"/>
          <w:b/>
          <w:bCs/>
          <w:color w:val="000000" w:themeColor="text1"/>
          <w:sz w:val="30"/>
          <w:szCs w:val="30"/>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14:textFill>
            <w14:solidFill>
              <w14:schemeClr w14:val="tx1"/>
            </w14:solidFill>
          </w14:textFill>
        </w:rPr>
        <w:t>人：</w:t>
      </w:r>
      <w:r>
        <w:rPr>
          <w:rFonts w:hint="eastAsia" w:cs="宋体"/>
          <w:b/>
          <w:bCs/>
          <w:color w:val="000000" w:themeColor="text1"/>
          <w:sz w:val="30"/>
          <w:szCs w:val="30"/>
          <w:u w:val="single"/>
          <w:lang w:eastAsia="zh-CN"/>
          <w14:textFill>
            <w14:solidFill>
              <w14:schemeClr w14:val="tx1"/>
            </w14:solidFill>
          </w14:textFill>
        </w:rPr>
        <w:t>昆明市晋宁区人民医院(昆明市晋宁区紧密</w:t>
      </w:r>
    </w:p>
    <w:p w14:paraId="15AB1D84">
      <w:pPr>
        <w:spacing w:line="360" w:lineRule="auto"/>
        <w:ind w:firstLine="2635" w:firstLineChars="875"/>
        <w:rPr>
          <w:rFonts w:hint="eastAsia" w:ascii="宋体" w:hAnsi="宋体" w:eastAsia="宋体" w:cs="宋体"/>
          <w:b/>
          <w:color w:val="000000"/>
          <w:sz w:val="32"/>
          <w:szCs w:val="32"/>
          <w:u w:val="single"/>
          <w:lang w:val="zh-CN" w:eastAsia="zh-CN"/>
        </w:rPr>
      </w:pPr>
      <w:r>
        <w:rPr>
          <w:rFonts w:hint="eastAsia" w:cs="宋体"/>
          <w:b/>
          <w:bCs/>
          <w:color w:val="000000" w:themeColor="text1"/>
          <w:sz w:val="30"/>
          <w:szCs w:val="30"/>
          <w:u w:val="single"/>
          <w:lang w:eastAsia="zh-CN"/>
          <w14:textFill>
            <w14:solidFill>
              <w14:schemeClr w14:val="tx1"/>
            </w14:solidFill>
          </w14:textFill>
        </w:rPr>
        <w:t>型医共体总医院)</w:t>
      </w:r>
    </w:p>
    <w:p w14:paraId="78D6062B">
      <w:pPr>
        <w:spacing w:line="600" w:lineRule="auto"/>
        <w:ind w:left="420" w:leftChars="175"/>
        <w:rPr>
          <w:rFonts w:hint="eastAsia" w:ascii="宋体" w:hAnsi="宋体" w:eastAsia="宋体" w:cs="宋体"/>
          <w:b/>
          <w:bCs/>
          <w:color w:val="000000" w:themeColor="text1"/>
          <w:sz w:val="30"/>
          <w:szCs w:val="30"/>
          <w:u w:val="single"/>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采购代理机构：</w:t>
      </w:r>
      <w:r>
        <w:rPr>
          <w:rFonts w:hint="eastAsia" w:ascii="宋体" w:hAnsi="宋体" w:eastAsia="宋体" w:cs="宋体"/>
          <w:b/>
          <w:bCs/>
          <w:color w:val="000000" w:themeColor="text1"/>
          <w:sz w:val="30"/>
          <w:szCs w:val="30"/>
          <w:u w:val="single"/>
          <w14:textFill>
            <w14:solidFill>
              <w14:schemeClr w14:val="tx1"/>
            </w14:solidFill>
          </w14:textFill>
        </w:rPr>
        <w:t xml:space="preserve"> 昆明阔海建设工程咨询有限公司  </w:t>
      </w:r>
    </w:p>
    <w:p w14:paraId="7B63A6D1">
      <w:pPr>
        <w:spacing w:line="600" w:lineRule="auto"/>
        <w:ind w:left="420" w:leftChars="175" w:firstLine="1807" w:firstLineChars="600"/>
        <w:jc w:val="both"/>
        <w:rPr>
          <w:rFonts w:hint="eastAsia" w:ascii="宋体" w:hAnsi="宋体" w:eastAsia="宋体" w:cs="宋体"/>
          <w:b/>
          <w:bCs/>
          <w:color w:val="000000" w:themeColor="text1"/>
          <w:sz w:val="30"/>
          <w:szCs w:val="30"/>
          <w14:textFill>
            <w14:solidFill>
              <w14:schemeClr w14:val="tx1"/>
            </w14:solidFill>
          </w14:textFill>
        </w:rPr>
        <w:sectPr>
          <w:footerReference r:id="rId5" w:type="default"/>
          <w:pgSz w:w="11906" w:h="16838"/>
          <w:pgMar w:top="1440" w:right="1800" w:bottom="1440" w:left="1800" w:header="851" w:footer="992" w:gutter="0"/>
          <w:pgNumType w:fmt="numberInDash" w:start="0"/>
          <w:cols w:space="425" w:num="1"/>
          <w:docGrid w:type="lines" w:linePitch="312" w:charSpace="0"/>
        </w:sectPr>
      </w:pPr>
      <w:r>
        <w:rPr>
          <w:rFonts w:hint="eastAsia" w:ascii="宋体" w:hAnsi="宋体" w:eastAsia="宋体" w:cs="宋体"/>
          <w:b/>
          <w:bCs/>
          <w:color w:val="000000" w:themeColor="text1"/>
          <w:sz w:val="30"/>
          <w:szCs w:val="30"/>
          <w14:textFill>
            <w14:solidFill>
              <w14:schemeClr w14:val="tx1"/>
            </w14:solidFill>
          </w14:textFill>
        </w:rPr>
        <w:t>二〇二</w:t>
      </w:r>
      <w:r>
        <w:rPr>
          <w:rFonts w:hint="eastAsia" w:cs="宋体"/>
          <w:b/>
          <w:bCs/>
          <w:color w:val="000000" w:themeColor="text1"/>
          <w:sz w:val="30"/>
          <w:szCs w:val="30"/>
          <w:lang w:val="en-US" w:eastAsia="zh-CN"/>
          <w14:textFill>
            <w14:solidFill>
              <w14:schemeClr w14:val="tx1"/>
            </w14:solidFill>
          </w14:textFill>
        </w:rPr>
        <w:t>六</w:t>
      </w:r>
      <w:r>
        <w:rPr>
          <w:rFonts w:hint="eastAsia" w:ascii="宋体" w:hAnsi="宋体" w:eastAsia="宋体" w:cs="宋体"/>
          <w:b/>
          <w:bCs/>
          <w:color w:val="000000" w:themeColor="text1"/>
          <w:sz w:val="30"/>
          <w:szCs w:val="30"/>
          <w14:textFill>
            <w14:solidFill>
              <w14:schemeClr w14:val="tx1"/>
            </w14:solidFill>
          </w14:textFill>
        </w:rPr>
        <w:t>年</w:t>
      </w:r>
      <w:r>
        <w:rPr>
          <w:rFonts w:hint="eastAsia" w:cs="宋体"/>
          <w:b/>
          <w:bCs/>
          <w:color w:val="000000" w:themeColor="text1"/>
          <w:sz w:val="30"/>
          <w:szCs w:val="30"/>
          <w:lang w:val="en-US" w:eastAsia="zh-CN"/>
          <w14:textFill>
            <w14:solidFill>
              <w14:schemeClr w14:val="tx1"/>
            </w14:solidFill>
          </w14:textFill>
        </w:rPr>
        <w:t>六</w:t>
      </w:r>
      <w:r>
        <w:rPr>
          <w:rFonts w:hint="eastAsia" w:ascii="宋体" w:hAnsi="宋体" w:eastAsia="宋体" w:cs="宋体"/>
          <w:b/>
          <w:bCs/>
          <w:color w:val="000000" w:themeColor="text1"/>
          <w:sz w:val="30"/>
          <w:szCs w:val="30"/>
          <w14:textFill>
            <w14:solidFill>
              <w14:schemeClr w14:val="tx1"/>
            </w14:solidFill>
          </w14:textFill>
        </w:rPr>
        <w:t>月</w:t>
      </w:r>
    </w:p>
    <w:p w14:paraId="669E59BE">
      <w:pPr>
        <w:jc w:val="center"/>
        <w:rPr>
          <w:rFonts w:hint="eastAsia" w:ascii="黑体" w:hAnsi="黑体" w:eastAsia="黑体"/>
          <w:b/>
          <w:bCs/>
          <w:color w:val="000000" w:themeColor="text1"/>
          <w:sz w:val="32"/>
          <w:szCs w:val="32"/>
          <w14:textFill>
            <w14:solidFill>
              <w14:schemeClr w14:val="tx1"/>
            </w14:solidFill>
          </w14:textFill>
        </w:rPr>
      </w:pPr>
      <w:r>
        <w:rPr>
          <w:rFonts w:hint="eastAsia" w:ascii="黑体" w:hAnsi="黑体" w:eastAsia="黑体"/>
          <w:b/>
          <w:bCs/>
          <w:color w:val="000000" w:themeColor="text1"/>
          <w:sz w:val="32"/>
          <w:szCs w:val="32"/>
          <w14:textFill>
            <w14:solidFill>
              <w14:schemeClr w14:val="tx1"/>
            </w14:solidFill>
          </w14:textFill>
        </w:rPr>
        <w:t>目 录</w:t>
      </w:r>
    </w:p>
    <w:p w14:paraId="3006219A">
      <w:pPr>
        <w:pStyle w:val="25"/>
        <w:tabs>
          <w:tab w:val="right" w:leader="dot" w:pos="8306"/>
        </w:tabs>
        <w:rPr>
          <w:i w:val="0"/>
          <w:iCs w:val="0"/>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TOC \o "1-4" \h \z \u</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separate"/>
      </w:r>
      <w:r>
        <w:rPr>
          <w:i w:val="0"/>
          <w:iCs w:val="0"/>
          <w:color w:val="000000" w:themeColor="text1"/>
          <w14:textFill>
            <w14:solidFill>
              <w14:schemeClr w14:val="tx1"/>
            </w14:solidFill>
          </w14:textFill>
        </w:rPr>
        <w:fldChar w:fldCharType="begin"/>
      </w:r>
      <w:r>
        <w:rPr>
          <w:i w:val="0"/>
          <w:iCs w:val="0"/>
        </w:rPr>
        <w:instrText xml:space="preserve"> HYPERLINK \l _Toc18493 </w:instrText>
      </w:r>
      <w:r>
        <w:rPr>
          <w:i w:val="0"/>
          <w:iCs w:val="0"/>
        </w:rPr>
        <w:fldChar w:fldCharType="separate"/>
      </w:r>
      <w:r>
        <w:rPr>
          <w:rFonts w:hint="eastAsia" w:cs="仿宋_GB2312"/>
          <w:i w:val="0"/>
          <w:iCs w:val="0"/>
          <w:szCs w:val="24"/>
        </w:rPr>
        <w:t xml:space="preserve">第一章 </w:t>
      </w:r>
      <w:r>
        <w:rPr>
          <w:rFonts w:hint="eastAsia"/>
          <w:i w:val="0"/>
          <w:iCs w:val="0"/>
        </w:rPr>
        <w:t>投标邀请</w:t>
      </w:r>
      <w:r>
        <w:rPr>
          <w:i w:val="0"/>
          <w:iCs w:val="0"/>
        </w:rPr>
        <w:tab/>
      </w:r>
      <w:r>
        <w:rPr>
          <w:i w:val="0"/>
          <w:iCs w:val="0"/>
        </w:rPr>
        <w:fldChar w:fldCharType="begin"/>
      </w:r>
      <w:r>
        <w:rPr>
          <w:i w:val="0"/>
          <w:iCs w:val="0"/>
        </w:rPr>
        <w:instrText xml:space="preserve"> PAGEREF _Toc18493 \h </w:instrText>
      </w:r>
      <w:r>
        <w:rPr>
          <w:i w:val="0"/>
          <w:iCs w:val="0"/>
        </w:rPr>
        <w:fldChar w:fldCharType="separate"/>
      </w:r>
      <w:r>
        <w:rPr>
          <w:i w:val="0"/>
          <w:iCs w:val="0"/>
        </w:rPr>
        <w:t>- 6 -</w:t>
      </w:r>
      <w:r>
        <w:rPr>
          <w:i w:val="0"/>
          <w:iCs w:val="0"/>
        </w:rPr>
        <w:fldChar w:fldCharType="end"/>
      </w:r>
      <w:r>
        <w:rPr>
          <w:i w:val="0"/>
          <w:iCs w:val="0"/>
          <w:color w:val="000000" w:themeColor="text1"/>
          <w14:textFill>
            <w14:solidFill>
              <w14:schemeClr w14:val="tx1"/>
            </w14:solidFill>
          </w14:textFill>
        </w:rPr>
        <w:fldChar w:fldCharType="end"/>
      </w:r>
    </w:p>
    <w:p w14:paraId="5670D272">
      <w:pPr>
        <w:pStyle w:val="25"/>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_Toc7767 </w:instrText>
      </w:r>
      <w:r>
        <w:rPr>
          <w:i w:val="0"/>
          <w:iCs w:val="0"/>
        </w:rPr>
        <w:fldChar w:fldCharType="separate"/>
      </w:r>
      <w:r>
        <w:rPr>
          <w:rFonts w:hint="eastAsia" w:cs="宋体"/>
          <w:i w:val="0"/>
          <w:iCs w:val="0"/>
          <w:szCs w:val="32"/>
        </w:rPr>
        <w:t>招标公告</w:t>
      </w:r>
      <w:r>
        <w:rPr>
          <w:i w:val="0"/>
          <w:iCs w:val="0"/>
        </w:rPr>
        <w:tab/>
      </w:r>
      <w:r>
        <w:rPr>
          <w:i w:val="0"/>
          <w:iCs w:val="0"/>
        </w:rPr>
        <w:fldChar w:fldCharType="begin"/>
      </w:r>
      <w:r>
        <w:rPr>
          <w:i w:val="0"/>
          <w:iCs w:val="0"/>
        </w:rPr>
        <w:instrText xml:space="preserve"> PAGEREF _Toc7767 \h </w:instrText>
      </w:r>
      <w:r>
        <w:rPr>
          <w:i w:val="0"/>
          <w:iCs w:val="0"/>
        </w:rPr>
        <w:fldChar w:fldCharType="separate"/>
      </w:r>
      <w:r>
        <w:rPr>
          <w:i w:val="0"/>
          <w:iCs w:val="0"/>
        </w:rPr>
        <w:t>- 7 -</w:t>
      </w:r>
      <w:r>
        <w:rPr>
          <w:i w:val="0"/>
          <w:iCs w:val="0"/>
        </w:rPr>
        <w:fldChar w:fldCharType="end"/>
      </w:r>
      <w:r>
        <w:rPr>
          <w:i w:val="0"/>
          <w:iCs w:val="0"/>
          <w:color w:val="000000" w:themeColor="text1"/>
          <w14:textFill>
            <w14:solidFill>
              <w14:schemeClr w14:val="tx1"/>
            </w14:solidFill>
          </w14:textFill>
        </w:rPr>
        <w:fldChar w:fldCharType="end"/>
      </w:r>
    </w:p>
    <w:p w14:paraId="31F4737C">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_Toc26503 </w:instrText>
      </w:r>
      <w:r>
        <w:rPr>
          <w:i w:val="0"/>
          <w:iCs w:val="0"/>
        </w:rPr>
        <w:fldChar w:fldCharType="separate"/>
      </w:r>
      <w:r>
        <w:rPr>
          <w:rFonts w:hint="eastAsia" w:ascii="宋体" w:hAnsi="宋体" w:cs="宋体"/>
          <w:bCs w:val="0"/>
          <w:i w:val="0"/>
          <w:iCs w:val="0"/>
          <w:szCs w:val="28"/>
        </w:rPr>
        <w:t>一</w:t>
      </w:r>
      <w:r>
        <w:rPr>
          <w:rFonts w:hint="eastAsia" w:ascii="宋体" w:hAnsi="宋体" w:cs="宋体"/>
          <w:bCs w:val="0"/>
          <w:i w:val="0"/>
          <w:iCs w:val="0"/>
          <w:szCs w:val="24"/>
        </w:rPr>
        <w:t>、项目基本情况</w:t>
      </w:r>
      <w:r>
        <w:rPr>
          <w:i w:val="0"/>
          <w:iCs w:val="0"/>
        </w:rPr>
        <w:tab/>
      </w:r>
      <w:r>
        <w:rPr>
          <w:i w:val="0"/>
          <w:iCs w:val="0"/>
        </w:rPr>
        <w:fldChar w:fldCharType="begin"/>
      </w:r>
      <w:r>
        <w:rPr>
          <w:i w:val="0"/>
          <w:iCs w:val="0"/>
        </w:rPr>
        <w:instrText xml:space="preserve"> PAGEREF _Toc26503 \h </w:instrText>
      </w:r>
      <w:r>
        <w:rPr>
          <w:i w:val="0"/>
          <w:iCs w:val="0"/>
        </w:rPr>
        <w:fldChar w:fldCharType="separate"/>
      </w:r>
      <w:r>
        <w:rPr>
          <w:i w:val="0"/>
          <w:iCs w:val="0"/>
        </w:rPr>
        <w:t>- 7 -</w:t>
      </w:r>
      <w:r>
        <w:rPr>
          <w:i w:val="0"/>
          <w:iCs w:val="0"/>
        </w:rPr>
        <w:fldChar w:fldCharType="end"/>
      </w:r>
      <w:r>
        <w:rPr>
          <w:i w:val="0"/>
          <w:iCs w:val="0"/>
          <w:color w:val="000000" w:themeColor="text1"/>
          <w14:textFill>
            <w14:solidFill>
              <w14:schemeClr w14:val="tx1"/>
            </w14:solidFill>
          </w14:textFill>
        </w:rPr>
        <w:fldChar w:fldCharType="end"/>
      </w:r>
    </w:p>
    <w:p w14:paraId="10F0F352">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_Toc12533 </w:instrText>
      </w:r>
      <w:r>
        <w:rPr>
          <w:i w:val="0"/>
          <w:iCs w:val="0"/>
        </w:rPr>
        <w:fldChar w:fldCharType="separate"/>
      </w:r>
      <w:r>
        <w:rPr>
          <w:rFonts w:hint="eastAsia" w:ascii="宋体" w:hAnsi="宋体" w:cs="宋体"/>
          <w:bCs w:val="0"/>
          <w:i w:val="0"/>
          <w:iCs w:val="0"/>
          <w:szCs w:val="24"/>
        </w:rPr>
        <w:t>二、投标供应商的资格要求：</w:t>
      </w:r>
      <w:r>
        <w:rPr>
          <w:i w:val="0"/>
          <w:iCs w:val="0"/>
        </w:rPr>
        <w:tab/>
      </w:r>
      <w:r>
        <w:rPr>
          <w:i w:val="0"/>
          <w:iCs w:val="0"/>
        </w:rPr>
        <w:fldChar w:fldCharType="begin"/>
      </w:r>
      <w:r>
        <w:rPr>
          <w:i w:val="0"/>
          <w:iCs w:val="0"/>
        </w:rPr>
        <w:instrText xml:space="preserve"> PAGEREF _Toc12533 \h </w:instrText>
      </w:r>
      <w:r>
        <w:rPr>
          <w:i w:val="0"/>
          <w:iCs w:val="0"/>
        </w:rPr>
        <w:fldChar w:fldCharType="separate"/>
      </w:r>
      <w:r>
        <w:rPr>
          <w:i w:val="0"/>
          <w:iCs w:val="0"/>
        </w:rPr>
        <w:t>- 8 -</w:t>
      </w:r>
      <w:r>
        <w:rPr>
          <w:i w:val="0"/>
          <w:iCs w:val="0"/>
        </w:rPr>
        <w:fldChar w:fldCharType="end"/>
      </w:r>
      <w:r>
        <w:rPr>
          <w:i w:val="0"/>
          <w:iCs w:val="0"/>
          <w:color w:val="000000" w:themeColor="text1"/>
          <w14:textFill>
            <w14:solidFill>
              <w14:schemeClr w14:val="tx1"/>
            </w14:solidFill>
          </w14:textFill>
        </w:rPr>
        <w:fldChar w:fldCharType="end"/>
      </w:r>
    </w:p>
    <w:p w14:paraId="0DDE4F48">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_Toc3933 </w:instrText>
      </w:r>
      <w:r>
        <w:rPr>
          <w:i w:val="0"/>
          <w:iCs w:val="0"/>
        </w:rPr>
        <w:fldChar w:fldCharType="separate"/>
      </w:r>
      <w:r>
        <w:rPr>
          <w:rFonts w:hint="eastAsia" w:ascii="宋体" w:hAnsi="宋体" w:cs="宋体"/>
          <w:bCs w:val="0"/>
          <w:i w:val="0"/>
          <w:iCs w:val="0"/>
          <w:szCs w:val="24"/>
        </w:rPr>
        <w:t>三、获取招标文件</w:t>
      </w:r>
      <w:r>
        <w:rPr>
          <w:i w:val="0"/>
          <w:iCs w:val="0"/>
        </w:rPr>
        <w:tab/>
      </w:r>
      <w:r>
        <w:rPr>
          <w:i w:val="0"/>
          <w:iCs w:val="0"/>
        </w:rPr>
        <w:fldChar w:fldCharType="begin"/>
      </w:r>
      <w:r>
        <w:rPr>
          <w:i w:val="0"/>
          <w:iCs w:val="0"/>
        </w:rPr>
        <w:instrText xml:space="preserve"> PAGEREF _Toc3933 \h </w:instrText>
      </w:r>
      <w:r>
        <w:rPr>
          <w:i w:val="0"/>
          <w:iCs w:val="0"/>
        </w:rPr>
        <w:fldChar w:fldCharType="separate"/>
      </w:r>
      <w:r>
        <w:rPr>
          <w:i w:val="0"/>
          <w:iCs w:val="0"/>
        </w:rPr>
        <w:t>- 8 -</w:t>
      </w:r>
      <w:r>
        <w:rPr>
          <w:i w:val="0"/>
          <w:iCs w:val="0"/>
        </w:rPr>
        <w:fldChar w:fldCharType="end"/>
      </w:r>
      <w:r>
        <w:rPr>
          <w:i w:val="0"/>
          <w:iCs w:val="0"/>
          <w:color w:val="000000" w:themeColor="text1"/>
          <w14:textFill>
            <w14:solidFill>
              <w14:schemeClr w14:val="tx1"/>
            </w14:solidFill>
          </w14:textFill>
        </w:rPr>
        <w:fldChar w:fldCharType="end"/>
      </w:r>
    </w:p>
    <w:p w14:paraId="0F0F01EA">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_Toc1786 </w:instrText>
      </w:r>
      <w:r>
        <w:rPr>
          <w:i w:val="0"/>
          <w:iCs w:val="0"/>
        </w:rPr>
        <w:fldChar w:fldCharType="separate"/>
      </w:r>
      <w:r>
        <w:rPr>
          <w:rFonts w:hint="eastAsia" w:ascii="宋体" w:hAnsi="宋体" w:cs="宋体"/>
          <w:bCs w:val="0"/>
          <w:i w:val="0"/>
          <w:iCs w:val="0"/>
          <w:szCs w:val="24"/>
        </w:rPr>
        <w:t>四、提交投标文件截止时间、时间和地点</w:t>
      </w:r>
      <w:r>
        <w:rPr>
          <w:i w:val="0"/>
          <w:iCs w:val="0"/>
        </w:rPr>
        <w:tab/>
      </w:r>
      <w:r>
        <w:rPr>
          <w:i w:val="0"/>
          <w:iCs w:val="0"/>
        </w:rPr>
        <w:fldChar w:fldCharType="begin"/>
      </w:r>
      <w:r>
        <w:rPr>
          <w:i w:val="0"/>
          <w:iCs w:val="0"/>
        </w:rPr>
        <w:instrText xml:space="preserve"> PAGEREF _Toc1786 \h </w:instrText>
      </w:r>
      <w:r>
        <w:rPr>
          <w:i w:val="0"/>
          <w:iCs w:val="0"/>
        </w:rPr>
        <w:fldChar w:fldCharType="separate"/>
      </w:r>
      <w:r>
        <w:rPr>
          <w:i w:val="0"/>
          <w:iCs w:val="0"/>
        </w:rPr>
        <w:t>- 9 -</w:t>
      </w:r>
      <w:r>
        <w:rPr>
          <w:i w:val="0"/>
          <w:iCs w:val="0"/>
        </w:rPr>
        <w:fldChar w:fldCharType="end"/>
      </w:r>
      <w:r>
        <w:rPr>
          <w:i w:val="0"/>
          <w:iCs w:val="0"/>
          <w:color w:val="000000" w:themeColor="text1"/>
          <w14:textFill>
            <w14:solidFill>
              <w14:schemeClr w14:val="tx1"/>
            </w14:solidFill>
          </w14:textFill>
        </w:rPr>
        <w:fldChar w:fldCharType="end"/>
      </w:r>
    </w:p>
    <w:p w14:paraId="4004F4B8">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_Toc24279 </w:instrText>
      </w:r>
      <w:r>
        <w:rPr>
          <w:i w:val="0"/>
          <w:iCs w:val="0"/>
        </w:rPr>
        <w:fldChar w:fldCharType="separate"/>
      </w:r>
      <w:r>
        <w:rPr>
          <w:rFonts w:hint="eastAsia" w:ascii="宋体" w:hAnsi="宋体" w:cs="宋体"/>
          <w:bCs w:val="0"/>
          <w:i w:val="0"/>
          <w:iCs w:val="0"/>
          <w:szCs w:val="24"/>
        </w:rPr>
        <w:t>五、公告期限</w:t>
      </w:r>
      <w:r>
        <w:rPr>
          <w:i w:val="0"/>
          <w:iCs w:val="0"/>
        </w:rPr>
        <w:tab/>
      </w:r>
      <w:r>
        <w:rPr>
          <w:i w:val="0"/>
          <w:iCs w:val="0"/>
        </w:rPr>
        <w:fldChar w:fldCharType="begin"/>
      </w:r>
      <w:r>
        <w:rPr>
          <w:i w:val="0"/>
          <w:iCs w:val="0"/>
        </w:rPr>
        <w:instrText xml:space="preserve"> PAGEREF _Toc24279 \h </w:instrText>
      </w:r>
      <w:r>
        <w:rPr>
          <w:i w:val="0"/>
          <w:iCs w:val="0"/>
        </w:rPr>
        <w:fldChar w:fldCharType="separate"/>
      </w:r>
      <w:r>
        <w:rPr>
          <w:i w:val="0"/>
          <w:iCs w:val="0"/>
        </w:rPr>
        <w:t>- 9 -</w:t>
      </w:r>
      <w:r>
        <w:rPr>
          <w:i w:val="0"/>
          <w:iCs w:val="0"/>
        </w:rPr>
        <w:fldChar w:fldCharType="end"/>
      </w:r>
      <w:r>
        <w:rPr>
          <w:i w:val="0"/>
          <w:iCs w:val="0"/>
          <w:color w:val="000000" w:themeColor="text1"/>
          <w14:textFill>
            <w14:solidFill>
              <w14:schemeClr w14:val="tx1"/>
            </w14:solidFill>
          </w14:textFill>
        </w:rPr>
        <w:fldChar w:fldCharType="end"/>
      </w:r>
    </w:p>
    <w:p w14:paraId="1ADE210D">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_Toc30101 </w:instrText>
      </w:r>
      <w:r>
        <w:rPr>
          <w:i w:val="0"/>
          <w:iCs w:val="0"/>
        </w:rPr>
        <w:fldChar w:fldCharType="separate"/>
      </w:r>
      <w:r>
        <w:rPr>
          <w:rFonts w:hint="eastAsia" w:ascii="宋体" w:hAnsi="宋体" w:cs="宋体"/>
          <w:bCs w:val="0"/>
          <w:i w:val="0"/>
          <w:iCs w:val="0"/>
          <w:szCs w:val="24"/>
        </w:rPr>
        <w:t>六、其他补充事宜</w:t>
      </w:r>
      <w:r>
        <w:rPr>
          <w:i w:val="0"/>
          <w:iCs w:val="0"/>
        </w:rPr>
        <w:tab/>
      </w:r>
      <w:r>
        <w:rPr>
          <w:i w:val="0"/>
          <w:iCs w:val="0"/>
        </w:rPr>
        <w:fldChar w:fldCharType="begin"/>
      </w:r>
      <w:r>
        <w:rPr>
          <w:i w:val="0"/>
          <w:iCs w:val="0"/>
        </w:rPr>
        <w:instrText xml:space="preserve"> PAGEREF _Toc30101 \h </w:instrText>
      </w:r>
      <w:r>
        <w:rPr>
          <w:i w:val="0"/>
          <w:iCs w:val="0"/>
        </w:rPr>
        <w:fldChar w:fldCharType="separate"/>
      </w:r>
      <w:r>
        <w:rPr>
          <w:i w:val="0"/>
          <w:iCs w:val="0"/>
        </w:rPr>
        <w:t>- 9 -</w:t>
      </w:r>
      <w:r>
        <w:rPr>
          <w:i w:val="0"/>
          <w:iCs w:val="0"/>
        </w:rPr>
        <w:fldChar w:fldCharType="end"/>
      </w:r>
      <w:r>
        <w:rPr>
          <w:i w:val="0"/>
          <w:iCs w:val="0"/>
          <w:color w:val="000000" w:themeColor="text1"/>
          <w14:textFill>
            <w14:solidFill>
              <w14:schemeClr w14:val="tx1"/>
            </w14:solidFill>
          </w14:textFill>
        </w:rPr>
        <w:fldChar w:fldCharType="end"/>
      </w:r>
    </w:p>
    <w:p w14:paraId="4391AB95">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_Toc1806 </w:instrText>
      </w:r>
      <w:r>
        <w:rPr>
          <w:i w:val="0"/>
          <w:iCs w:val="0"/>
        </w:rPr>
        <w:fldChar w:fldCharType="separate"/>
      </w:r>
      <w:r>
        <w:rPr>
          <w:rFonts w:hint="eastAsia" w:ascii="宋体" w:hAnsi="宋体" w:cs="宋体"/>
          <w:bCs w:val="0"/>
          <w:i w:val="0"/>
          <w:iCs w:val="0"/>
          <w:szCs w:val="24"/>
        </w:rPr>
        <w:t>七、对本次招标提出询问，请按以下方式联系</w:t>
      </w:r>
      <w:r>
        <w:rPr>
          <w:i w:val="0"/>
          <w:iCs w:val="0"/>
        </w:rPr>
        <w:tab/>
      </w:r>
      <w:r>
        <w:rPr>
          <w:i w:val="0"/>
          <w:iCs w:val="0"/>
        </w:rPr>
        <w:fldChar w:fldCharType="begin"/>
      </w:r>
      <w:r>
        <w:rPr>
          <w:i w:val="0"/>
          <w:iCs w:val="0"/>
        </w:rPr>
        <w:instrText xml:space="preserve"> PAGEREF _Toc1806 \h </w:instrText>
      </w:r>
      <w:r>
        <w:rPr>
          <w:i w:val="0"/>
          <w:iCs w:val="0"/>
        </w:rPr>
        <w:fldChar w:fldCharType="separate"/>
      </w:r>
      <w:r>
        <w:rPr>
          <w:i w:val="0"/>
          <w:iCs w:val="0"/>
        </w:rPr>
        <w:t>- 10 -</w:t>
      </w:r>
      <w:r>
        <w:rPr>
          <w:i w:val="0"/>
          <w:iCs w:val="0"/>
        </w:rPr>
        <w:fldChar w:fldCharType="end"/>
      </w:r>
      <w:r>
        <w:rPr>
          <w:i w:val="0"/>
          <w:iCs w:val="0"/>
          <w:color w:val="000000" w:themeColor="text1"/>
          <w14:textFill>
            <w14:solidFill>
              <w14:schemeClr w14:val="tx1"/>
            </w14:solidFill>
          </w14:textFill>
        </w:rPr>
        <w:fldChar w:fldCharType="end"/>
      </w:r>
    </w:p>
    <w:p w14:paraId="55324AC3">
      <w:pPr>
        <w:pStyle w:val="25"/>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_Toc32635 </w:instrText>
      </w:r>
      <w:r>
        <w:rPr>
          <w:i w:val="0"/>
          <w:iCs w:val="0"/>
        </w:rPr>
        <w:fldChar w:fldCharType="separate"/>
      </w:r>
      <w:r>
        <w:rPr>
          <w:rFonts w:hint="eastAsia"/>
          <w:i w:val="0"/>
          <w:iCs w:val="0"/>
        </w:rPr>
        <w:t>第二章 投标供应商须知</w:t>
      </w:r>
      <w:r>
        <w:rPr>
          <w:i w:val="0"/>
          <w:iCs w:val="0"/>
        </w:rPr>
        <w:tab/>
      </w:r>
      <w:r>
        <w:rPr>
          <w:i w:val="0"/>
          <w:iCs w:val="0"/>
        </w:rPr>
        <w:fldChar w:fldCharType="begin"/>
      </w:r>
      <w:r>
        <w:rPr>
          <w:i w:val="0"/>
          <w:iCs w:val="0"/>
        </w:rPr>
        <w:instrText xml:space="preserve"> PAGEREF _Toc32635 \h </w:instrText>
      </w:r>
      <w:r>
        <w:rPr>
          <w:i w:val="0"/>
          <w:iCs w:val="0"/>
        </w:rPr>
        <w:fldChar w:fldCharType="separate"/>
      </w:r>
      <w:r>
        <w:rPr>
          <w:i w:val="0"/>
          <w:iCs w:val="0"/>
        </w:rPr>
        <w:t>- 12 -</w:t>
      </w:r>
      <w:r>
        <w:rPr>
          <w:i w:val="0"/>
          <w:iCs w:val="0"/>
        </w:rPr>
        <w:fldChar w:fldCharType="end"/>
      </w:r>
      <w:r>
        <w:rPr>
          <w:i w:val="0"/>
          <w:iCs w:val="0"/>
          <w:color w:val="000000" w:themeColor="text1"/>
          <w14:textFill>
            <w14:solidFill>
              <w14:schemeClr w14:val="tx1"/>
            </w14:solidFill>
          </w14:textFill>
        </w:rPr>
        <w:fldChar w:fldCharType="end"/>
      </w:r>
    </w:p>
    <w:p w14:paraId="525C0760">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_Toc17884 </w:instrText>
      </w:r>
      <w:r>
        <w:rPr>
          <w:i w:val="0"/>
          <w:iCs w:val="0"/>
        </w:rPr>
        <w:fldChar w:fldCharType="separate"/>
      </w:r>
      <w:r>
        <w:rPr>
          <w:rFonts w:hint="eastAsia"/>
          <w:i w:val="0"/>
          <w:iCs w:val="0"/>
        </w:rPr>
        <w:t>一、 投标供应商须知前附表</w:t>
      </w:r>
      <w:r>
        <w:rPr>
          <w:i w:val="0"/>
          <w:iCs w:val="0"/>
        </w:rPr>
        <w:tab/>
      </w:r>
      <w:r>
        <w:rPr>
          <w:i w:val="0"/>
          <w:iCs w:val="0"/>
        </w:rPr>
        <w:fldChar w:fldCharType="begin"/>
      </w:r>
      <w:r>
        <w:rPr>
          <w:i w:val="0"/>
          <w:iCs w:val="0"/>
        </w:rPr>
        <w:instrText xml:space="preserve"> PAGEREF _Toc17884 \h </w:instrText>
      </w:r>
      <w:r>
        <w:rPr>
          <w:i w:val="0"/>
          <w:iCs w:val="0"/>
        </w:rPr>
        <w:fldChar w:fldCharType="separate"/>
      </w:r>
      <w:r>
        <w:rPr>
          <w:i w:val="0"/>
          <w:iCs w:val="0"/>
        </w:rPr>
        <w:t>- 12 -</w:t>
      </w:r>
      <w:r>
        <w:rPr>
          <w:i w:val="0"/>
          <w:iCs w:val="0"/>
        </w:rPr>
        <w:fldChar w:fldCharType="end"/>
      </w:r>
      <w:r>
        <w:rPr>
          <w:i w:val="0"/>
          <w:iCs w:val="0"/>
          <w:color w:val="000000" w:themeColor="text1"/>
          <w14:textFill>
            <w14:solidFill>
              <w14:schemeClr w14:val="tx1"/>
            </w14:solidFill>
          </w14:textFill>
        </w:rPr>
        <w:fldChar w:fldCharType="end"/>
      </w:r>
    </w:p>
    <w:p w14:paraId="4FDC48C4">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_Toc303 </w:instrText>
      </w:r>
      <w:r>
        <w:rPr>
          <w:i w:val="0"/>
          <w:iCs w:val="0"/>
        </w:rPr>
        <w:fldChar w:fldCharType="separate"/>
      </w:r>
      <w:r>
        <w:rPr>
          <w:rFonts w:hint="eastAsia"/>
          <w:i w:val="0"/>
          <w:iCs w:val="0"/>
        </w:rPr>
        <w:t>二、 投标供应商须知</w:t>
      </w:r>
      <w:r>
        <w:rPr>
          <w:i w:val="0"/>
          <w:iCs w:val="0"/>
        </w:rPr>
        <w:tab/>
      </w:r>
      <w:r>
        <w:rPr>
          <w:i w:val="0"/>
          <w:iCs w:val="0"/>
        </w:rPr>
        <w:fldChar w:fldCharType="begin"/>
      </w:r>
      <w:r>
        <w:rPr>
          <w:i w:val="0"/>
          <w:iCs w:val="0"/>
        </w:rPr>
        <w:instrText xml:space="preserve"> PAGEREF _Toc303 \h </w:instrText>
      </w:r>
      <w:r>
        <w:rPr>
          <w:i w:val="0"/>
          <w:iCs w:val="0"/>
        </w:rPr>
        <w:fldChar w:fldCharType="separate"/>
      </w:r>
      <w:r>
        <w:rPr>
          <w:i w:val="0"/>
          <w:iCs w:val="0"/>
        </w:rPr>
        <w:t>- 21 -</w:t>
      </w:r>
      <w:r>
        <w:rPr>
          <w:i w:val="0"/>
          <w:iCs w:val="0"/>
        </w:rPr>
        <w:fldChar w:fldCharType="end"/>
      </w:r>
      <w:r>
        <w:rPr>
          <w:i w:val="0"/>
          <w:iCs w:val="0"/>
          <w:color w:val="000000" w:themeColor="text1"/>
          <w14:textFill>
            <w14:solidFill>
              <w14:schemeClr w14:val="tx1"/>
            </w14:solidFill>
          </w14:textFill>
        </w:rPr>
        <w:fldChar w:fldCharType="end"/>
      </w:r>
    </w:p>
    <w:p w14:paraId="78B1C2A9">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_Toc2947 </w:instrText>
      </w:r>
      <w:r>
        <w:rPr>
          <w:i w:val="0"/>
          <w:iCs w:val="0"/>
        </w:rPr>
        <w:fldChar w:fldCharType="separate"/>
      </w:r>
      <w:r>
        <w:rPr>
          <w:rFonts w:hint="eastAsia"/>
          <w:i w:val="0"/>
          <w:iCs w:val="0"/>
        </w:rPr>
        <w:t>（一） 总则</w:t>
      </w:r>
      <w:r>
        <w:rPr>
          <w:i w:val="0"/>
          <w:iCs w:val="0"/>
        </w:rPr>
        <w:tab/>
      </w:r>
      <w:r>
        <w:rPr>
          <w:i w:val="0"/>
          <w:iCs w:val="0"/>
        </w:rPr>
        <w:fldChar w:fldCharType="begin"/>
      </w:r>
      <w:r>
        <w:rPr>
          <w:i w:val="0"/>
          <w:iCs w:val="0"/>
        </w:rPr>
        <w:instrText xml:space="preserve"> PAGEREF _Toc2947 \h </w:instrText>
      </w:r>
      <w:r>
        <w:rPr>
          <w:i w:val="0"/>
          <w:iCs w:val="0"/>
        </w:rPr>
        <w:fldChar w:fldCharType="separate"/>
      </w:r>
      <w:r>
        <w:rPr>
          <w:i w:val="0"/>
          <w:iCs w:val="0"/>
        </w:rPr>
        <w:t>- 21 -</w:t>
      </w:r>
      <w:r>
        <w:rPr>
          <w:i w:val="0"/>
          <w:iCs w:val="0"/>
        </w:rPr>
        <w:fldChar w:fldCharType="end"/>
      </w:r>
      <w:r>
        <w:rPr>
          <w:i w:val="0"/>
          <w:iCs w:val="0"/>
          <w:color w:val="000000" w:themeColor="text1"/>
          <w14:textFill>
            <w14:solidFill>
              <w14:schemeClr w14:val="tx1"/>
            </w14:solidFill>
          </w14:textFill>
        </w:rPr>
        <w:fldChar w:fldCharType="end"/>
      </w:r>
    </w:p>
    <w:p w14:paraId="2BA6947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_Toc16528 </w:instrText>
      </w:r>
      <w:r>
        <w:rPr>
          <w:i w:val="0"/>
          <w:iCs w:val="0"/>
        </w:rPr>
        <w:fldChar w:fldCharType="separate"/>
      </w:r>
      <w:r>
        <w:rPr>
          <w:rFonts w:hint="eastAsia"/>
          <w:i w:val="0"/>
          <w:iCs w:val="0"/>
        </w:rPr>
        <w:t>1. 适用范围</w:t>
      </w:r>
      <w:r>
        <w:rPr>
          <w:i w:val="0"/>
          <w:iCs w:val="0"/>
        </w:rPr>
        <w:tab/>
      </w:r>
      <w:r>
        <w:rPr>
          <w:i w:val="0"/>
          <w:iCs w:val="0"/>
        </w:rPr>
        <w:fldChar w:fldCharType="begin"/>
      </w:r>
      <w:r>
        <w:rPr>
          <w:i w:val="0"/>
          <w:iCs w:val="0"/>
        </w:rPr>
        <w:instrText xml:space="preserve"> PAGEREF _Toc16528 \h </w:instrText>
      </w:r>
      <w:r>
        <w:rPr>
          <w:i w:val="0"/>
          <w:iCs w:val="0"/>
        </w:rPr>
        <w:fldChar w:fldCharType="separate"/>
      </w:r>
      <w:r>
        <w:rPr>
          <w:i w:val="0"/>
          <w:iCs w:val="0"/>
        </w:rPr>
        <w:t>- 21 -</w:t>
      </w:r>
      <w:r>
        <w:rPr>
          <w:i w:val="0"/>
          <w:iCs w:val="0"/>
        </w:rPr>
        <w:fldChar w:fldCharType="end"/>
      </w:r>
      <w:r>
        <w:rPr>
          <w:i w:val="0"/>
          <w:iCs w:val="0"/>
          <w:color w:val="000000" w:themeColor="text1"/>
          <w14:textFill>
            <w14:solidFill>
              <w14:schemeClr w14:val="tx1"/>
            </w14:solidFill>
          </w14:textFill>
        </w:rPr>
        <w:fldChar w:fldCharType="end"/>
      </w:r>
    </w:p>
    <w:p w14:paraId="5EF9A67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_Toc19073 </w:instrText>
      </w:r>
      <w:r>
        <w:rPr>
          <w:i w:val="0"/>
          <w:iCs w:val="0"/>
        </w:rPr>
        <w:fldChar w:fldCharType="separate"/>
      </w:r>
      <w:r>
        <w:rPr>
          <w:rFonts w:hint="eastAsia"/>
          <w:i w:val="0"/>
          <w:iCs w:val="0"/>
        </w:rPr>
        <w:t>2. 基本定义</w:t>
      </w:r>
      <w:r>
        <w:rPr>
          <w:i w:val="0"/>
          <w:iCs w:val="0"/>
        </w:rPr>
        <w:tab/>
      </w:r>
      <w:r>
        <w:rPr>
          <w:i w:val="0"/>
          <w:iCs w:val="0"/>
        </w:rPr>
        <w:fldChar w:fldCharType="begin"/>
      </w:r>
      <w:r>
        <w:rPr>
          <w:i w:val="0"/>
          <w:iCs w:val="0"/>
        </w:rPr>
        <w:instrText xml:space="preserve"> PAGEREF _Toc19073 \h </w:instrText>
      </w:r>
      <w:r>
        <w:rPr>
          <w:i w:val="0"/>
          <w:iCs w:val="0"/>
        </w:rPr>
        <w:fldChar w:fldCharType="separate"/>
      </w:r>
      <w:r>
        <w:rPr>
          <w:i w:val="0"/>
          <w:iCs w:val="0"/>
        </w:rPr>
        <w:t>- 21 -</w:t>
      </w:r>
      <w:r>
        <w:rPr>
          <w:i w:val="0"/>
          <w:iCs w:val="0"/>
        </w:rPr>
        <w:fldChar w:fldCharType="end"/>
      </w:r>
      <w:r>
        <w:rPr>
          <w:i w:val="0"/>
          <w:iCs w:val="0"/>
          <w:color w:val="000000" w:themeColor="text1"/>
          <w14:textFill>
            <w14:solidFill>
              <w14:schemeClr w14:val="tx1"/>
            </w14:solidFill>
          </w14:textFill>
        </w:rPr>
        <w:fldChar w:fldCharType="end"/>
      </w:r>
    </w:p>
    <w:p w14:paraId="4C599DD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_Toc465 </w:instrText>
      </w:r>
      <w:r>
        <w:rPr>
          <w:i w:val="0"/>
          <w:iCs w:val="0"/>
        </w:rPr>
        <w:fldChar w:fldCharType="separate"/>
      </w:r>
      <w:r>
        <w:rPr>
          <w:rFonts w:hint="eastAsia"/>
          <w:i w:val="0"/>
          <w:iCs w:val="0"/>
        </w:rPr>
        <w:t>3. 资金来源</w:t>
      </w:r>
      <w:r>
        <w:rPr>
          <w:i w:val="0"/>
          <w:iCs w:val="0"/>
        </w:rPr>
        <w:tab/>
      </w:r>
      <w:r>
        <w:rPr>
          <w:i w:val="0"/>
          <w:iCs w:val="0"/>
        </w:rPr>
        <w:fldChar w:fldCharType="begin"/>
      </w:r>
      <w:r>
        <w:rPr>
          <w:i w:val="0"/>
          <w:iCs w:val="0"/>
        </w:rPr>
        <w:instrText xml:space="preserve"> PAGEREF _Toc465 \h </w:instrText>
      </w:r>
      <w:r>
        <w:rPr>
          <w:i w:val="0"/>
          <w:iCs w:val="0"/>
        </w:rPr>
        <w:fldChar w:fldCharType="separate"/>
      </w:r>
      <w:r>
        <w:rPr>
          <w:i w:val="0"/>
          <w:iCs w:val="0"/>
        </w:rPr>
        <w:t>- 21 -</w:t>
      </w:r>
      <w:r>
        <w:rPr>
          <w:i w:val="0"/>
          <w:iCs w:val="0"/>
        </w:rPr>
        <w:fldChar w:fldCharType="end"/>
      </w:r>
      <w:r>
        <w:rPr>
          <w:i w:val="0"/>
          <w:iCs w:val="0"/>
          <w:color w:val="000000" w:themeColor="text1"/>
          <w14:textFill>
            <w14:solidFill>
              <w14:schemeClr w14:val="tx1"/>
            </w14:solidFill>
          </w14:textFill>
        </w:rPr>
        <w:fldChar w:fldCharType="end"/>
      </w:r>
    </w:p>
    <w:p w14:paraId="79D41EE0">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_Toc11045 </w:instrText>
      </w:r>
      <w:r>
        <w:rPr>
          <w:i w:val="0"/>
          <w:iCs w:val="0"/>
        </w:rPr>
        <w:fldChar w:fldCharType="separate"/>
      </w:r>
      <w:r>
        <w:rPr>
          <w:rFonts w:hint="eastAsia"/>
          <w:i w:val="0"/>
          <w:iCs w:val="0"/>
        </w:rPr>
        <w:t>4. 投标供应商资格要求</w:t>
      </w:r>
      <w:r>
        <w:rPr>
          <w:i w:val="0"/>
          <w:iCs w:val="0"/>
        </w:rPr>
        <w:tab/>
      </w:r>
      <w:r>
        <w:rPr>
          <w:i w:val="0"/>
          <w:iCs w:val="0"/>
        </w:rPr>
        <w:fldChar w:fldCharType="begin"/>
      </w:r>
      <w:r>
        <w:rPr>
          <w:i w:val="0"/>
          <w:iCs w:val="0"/>
        </w:rPr>
        <w:instrText xml:space="preserve"> PAGEREF _Toc11045 \h </w:instrText>
      </w:r>
      <w:r>
        <w:rPr>
          <w:i w:val="0"/>
          <w:iCs w:val="0"/>
        </w:rPr>
        <w:fldChar w:fldCharType="separate"/>
      </w:r>
      <w:r>
        <w:rPr>
          <w:i w:val="0"/>
          <w:iCs w:val="0"/>
        </w:rPr>
        <w:t>- 21 -</w:t>
      </w:r>
      <w:r>
        <w:rPr>
          <w:i w:val="0"/>
          <w:iCs w:val="0"/>
        </w:rPr>
        <w:fldChar w:fldCharType="end"/>
      </w:r>
      <w:r>
        <w:rPr>
          <w:i w:val="0"/>
          <w:iCs w:val="0"/>
          <w:color w:val="000000" w:themeColor="text1"/>
          <w14:textFill>
            <w14:solidFill>
              <w14:schemeClr w14:val="tx1"/>
            </w14:solidFill>
          </w14:textFill>
        </w:rPr>
        <w:fldChar w:fldCharType="end"/>
      </w:r>
    </w:p>
    <w:p w14:paraId="1F89DE8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_Toc5453 </w:instrText>
      </w:r>
      <w:r>
        <w:rPr>
          <w:i w:val="0"/>
          <w:iCs w:val="0"/>
        </w:rPr>
        <w:fldChar w:fldCharType="separate"/>
      </w:r>
      <w:r>
        <w:rPr>
          <w:rFonts w:hint="eastAsia"/>
          <w:i w:val="0"/>
          <w:iCs w:val="0"/>
        </w:rPr>
        <w:t>5. 费用承担</w:t>
      </w:r>
      <w:r>
        <w:rPr>
          <w:i w:val="0"/>
          <w:iCs w:val="0"/>
        </w:rPr>
        <w:tab/>
      </w:r>
      <w:r>
        <w:rPr>
          <w:i w:val="0"/>
          <w:iCs w:val="0"/>
        </w:rPr>
        <w:fldChar w:fldCharType="begin"/>
      </w:r>
      <w:r>
        <w:rPr>
          <w:i w:val="0"/>
          <w:iCs w:val="0"/>
        </w:rPr>
        <w:instrText xml:space="preserve"> PAGEREF _Toc5453 \h </w:instrText>
      </w:r>
      <w:r>
        <w:rPr>
          <w:i w:val="0"/>
          <w:iCs w:val="0"/>
        </w:rPr>
        <w:fldChar w:fldCharType="separate"/>
      </w:r>
      <w:r>
        <w:rPr>
          <w:i w:val="0"/>
          <w:iCs w:val="0"/>
        </w:rPr>
        <w:t>- 22 -</w:t>
      </w:r>
      <w:r>
        <w:rPr>
          <w:i w:val="0"/>
          <w:iCs w:val="0"/>
        </w:rPr>
        <w:fldChar w:fldCharType="end"/>
      </w:r>
      <w:r>
        <w:rPr>
          <w:i w:val="0"/>
          <w:iCs w:val="0"/>
          <w:color w:val="000000" w:themeColor="text1"/>
          <w14:textFill>
            <w14:solidFill>
              <w14:schemeClr w14:val="tx1"/>
            </w14:solidFill>
          </w14:textFill>
        </w:rPr>
        <w:fldChar w:fldCharType="end"/>
      </w:r>
    </w:p>
    <w:p w14:paraId="6CA2F58E">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_Toc26779 </w:instrText>
      </w:r>
      <w:r>
        <w:rPr>
          <w:i w:val="0"/>
          <w:iCs w:val="0"/>
        </w:rPr>
        <w:fldChar w:fldCharType="separate"/>
      </w:r>
      <w:r>
        <w:rPr>
          <w:rFonts w:hint="eastAsia"/>
          <w:i w:val="0"/>
          <w:iCs w:val="0"/>
        </w:rPr>
        <w:t>6. 保密</w:t>
      </w:r>
      <w:r>
        <w:rPr>
          <w:i w:val="0"/>
          <w:iCs w:val="0"/>
        </w:rPr>
        <w:tab/>
      </w:r>
      <w:r>
        <w:rPr>
          <w:i w:val="0"/>
          <w:iCs w:val="0"/>
        </w:rPr>
        <w:fldChar w:fldCharType="begin"/>
      </w:r>
      <w:r>
        <w:rPr>
          <w:i w:val="0"/>
          <w:iCs w:val="0"/>
        </w:rPr>
        <w:instrText xml:space="preserve"> PAGEREF _Toc26779 \h </w:instrText>
      </w:r>
      <w:r>
        <w:rPr>
          <w:i w:val="0"/>
          <w:iCs w:val="0"/>
        </w:rPr>
        <w:fldChar w:fldCharType="separate"/>
      </w:r>
      <w:r>
        <w:rPr>
          <w:i w:val="0"/>
          <w:iCs w:val="0"/>
        </w:rPr>
        <w:t>- 22 -</w:t>
      </w:r>
      <w:r>
        <w:rPr>
          <w:i w:val="0"/>
          <w:iCs w:val="0"/>
        </w:rPr>
        <w:fldChar w:fldCharType="end"/>
      </w:r>
      <w:r>
        <w:rPr>
          <w:i w:val="0"/>
          <w:iCs w:val="0"/>
          <w:color w:val="000000" w:themeColor="text1"/>
          <w14:textFill>
            <w14:solidFill>
              <w14:schemeClr w14:val="tx1"/>
            </w14:solidFill>
          </w14:textFill>
        </w:rPr>
        <w:fldChar w:fldCharType="end"/>
      </w:r>
    </w:p>
    <w:p w14:paraId="2077B2EB">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_Toc11471 </w:instrText>
      </w:r>
      <w:r>
        <w:rPr>
          <w:i w:val="0"/>
          <w:iCs w:val="0"/>
        </w:rPr>
        <w:fldChar w:fldCharType="separate"/>
      </w:r>
      <w:r>
        <w:rPr>
          <w:rFonts w:hint="eastAsia"/>
          <w:i w:val="0"/>
          <w:iCs w:val="0"/>
        </w:rPr>
        <w:t>7. 语言文字</w:t>
      </w:r>
      <w:r>
        <w:rPr>
          <w:i w:val="0"/>
          <w:iCs w:val="0"/>
        </w:rPr>
        <w:tab/>
      </w:r>
      <w:r>
        <w:rPr>
          <w:i w:val="0"/>
          <w:iCs w:val="0"/>
        </w:rPr>
        <w:fldChar w:fldCharType="begin"/>
      </w:r>
      <w:r>
        <w:rPr>
          <w:i w:val="0"/>
          <w:iCs w:val="0"/>
        </w:rPr>
        <w:instrText xml:space="preserve"> PAGEREF _Toc11471 \h </w:instrText>
      </w:r>
      <w:r>
        <w:rPr>
          <w:i w:val="0"/>
          <w:iCs w:val="0"/>
        </w:rPr>
        <w:fldChar w:fldCharType="separate"/>
      </w:r>
      <w:r>
        <w:rPr>
          <w:i w:val="0"/>
          <w:iCs w:val="0"/>
        </w:rPr>
        <w:t>- 22 -</w:t>
      </w:r>
      <w:r>
        <w:rPr>
          <w:i w:val="0"/>
          <w:iCs w:val="0"/>
        </w:rPr>
        <w:fldChar w:fldCharType="end"/>
      </w:r>
      <w:r>
        <w:rPr>
          <w:i w:val="0"/>
          <w:iCs w:val="0"/>
          <w:color w:val="000000" w:themeColor="text1"/>
          <w14:textFill>
            <w14:solidFill>
              <w14:schemeClr w14:val="tx1"/>
            </w14:solidFill>
          </w14:textFill>
        </w:rPr>
        <w:fldChar w:fldCharType="end"/>
      </w:r>
    </w:p>
    <w:p w14:paraId="5EC1798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_Toc2953 </w:instrText>
      </w:r>
      <w:r>
        <w:rPr>
          <w:i w:val="0"/>
          <w:iCs w:val="0"/>
        </w:rPr>
        <w:fldChar w:fldCharType="separate"/>
      </w:r>
      <w:r>
        <w:rPr>
          <w:rFonts w:hint="eastAsia"/>
          <w:i w:val="0"/>
          <w:iCs w:val="0"/>
        </w:rPr>
        <w:t>8. 现场考察和答疑会</w:t>
      </w:r>
      <w:r>
        <w:rPr>
          <w:i w:val="0"/>
          <w:iCs w:val="0"/>
        </w:rPr>
        <w:tab/>
      </w:r>
      <w:r>
        <w:rPr>
          <w:i w:val="0"/>
          <w:iCs w:val="0"/>
        </w:rPr>
        <w:fldChar w:fldCharType="begin"/>
      </w:r>
      <w:r>
        <w:rPr>
          <w:i w:val="0"/>
          <w:iCs w:val="0"/>
        </w:rPr>
        <w:instrText xml:space="preserve"> PAGEREF _Toc2953 \h </w:instrText>
      </w:r>
      <w:r>
        <w:rPr>
          <w:i w:val="0"/>
          <w:iCs w:val="0"/>
        </w:rPr>
        <w:fldChar w:fldCharType="separate"/>
      </w:r>
      <w:r>
        <w:rPr>
          <w:i w:val="0"/>
          <w:iCs w:val="0"/>
        </w:rPr>
        <w:t>- 22 -</w:t>
      </w:r>
      <w:r>
        <w:rPr>
          <w:i w:val="0"/>
          <w:iCs w:val="0"/>
        </w:rPr>
        <w:fldChar w:fldCharType="end"/>
      </w:r>
      <w:r>
        <w:rPr>
          <w:i w:val="0"/>
          <w:iCs w:val="0"/>
          <w:color w:val="000000" w:themeColor="text1"/>
          <w14:textFill>
            <w14:solidFill>
              <w14:schemeClr w14:val="tx1"/>
            </w14:solidFill>
          </w14:textFill>
        </w:rPr>
        <w:fldChar w:fldCharType="end"/>
      </w:r>
    </w:p>
    <w:p w14:paraId="26E8801A">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_Toc31816 </w:instrText>
      </w:r>
      <w:r>
        <w:rPr>
          <w:i w:val="0"/>
          <w:iCs w:val="0"/>
        </w:rPr>
        <w:fldChar w:fldCharType="separate"/>
      </w:r>
      <w:r>
        <w:rPr>
          <w:rFonts w:hint="eastAsia"/>
          <w:i w:val="0"/>
          <w:iCs w:val="0"/>
        </w:rPr>
        <w:t>9. 中标后分包</w:t>
      </w:r>
      <w:r>
        <w:rPr>
          <w:i w:val="0"/>
          <w:iCs w:val="0"/>
        </w:rPr>
        <w:tab/>
      </w:r>
      <w:r>
        <w:rPr>
          <w:i w:val="0"/>
          <w:iCs w:val="0"/>
        </w:rPr>
        <w:fldChar w:fldCharType="begin"/>
      </w:r>
      <w:r>
        <w:rPr>
          <w:i w:val="0"/>
          <w:iCs w:val="0"/>
        </w:rPr>
        <w:instrText xml:space="preserve"> PAGEREF _Toc31816 \h </w:instrText>
      </w:r>
      <w:r>
        <w:rPr>
          <w:i w:val="0"/>
          <w:iCs w:val="0"/>
        </w:rPr>
        <w:fldChar w:fldCharType="separate"/>
      </w:r>
      <w:r>
        <w:rPr>
          <w:i w:val="0"/>
          <w:iCs w:val="0"/>
        </w:rPr>
        <w:t>- 23 -</w:t>
      </w:r>
      <w:r>
        <w:rPr>
          <w:i w:val="0"/>
          <w:iCs w:val="0"/>
        </w:rPr>
        <w:fldChar w:fldCharType="end"/>
      </w:r>
      <w:r>
        <w:rPr>
          <w:i w:val="0"/>
          <w:iCs w:val="0"/>
          <w:color w:val="000000" w:themeColor="text1"/>
          <w14:textFill>
            <w14:solidFill>
              <w14:schemeClr w14:val="tx1"/>
            </w14:solidFill>
          </w14:textFill>
        </w:rPr>
        <w:fldChar w:fldCharType="end"/>
      </w:r>
    </w:p>
    <w:p w14:paraId="40ACC41C">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_Toc5753 </w:instrText>
      </w:r>
      <w:r>
        <w:rPr>
          <w:i w:val="0"/>
          <w:iCs w:val="0"/>
        </w:rPr>
        <w:fldChar w:fldCharType="separate"/>
      </w:r>
      <w:r>
        <w:rPr>
          <w:rFonts w:hint="eastAsia"/>
          <w:i w:val="0"/>
          <w:iCs w:val="0"/>
        </w:rPr>
        <w:t>10. 电子投标说明</w:t>
      </w:r>
      <w:r>
        <w:rPr>
          <w:i w:val="0"/>
          <w:iCs w:val="0"/>
        </w:rPr>
        <w:tab/>
      </w:r>
      <w:r>
        <w:rPr>
          <w:i w:val="0"/>
          <w:iCs w:val="0"/>
        </w:rPr>
        <w:fldChar w:fldCharType="begin"/>
      </w:r>
      <w:r>
        <w:rPr>
          <w:i w:val="0"/>
          <w:iCs w:val="0"/>
        </w:rPr>
        <w:instrText xml:space="preserve"> PAGEREF _Toc5753 \h </w:instrText>
      </w:r>
      <w:r>
        <w:rPr>
          <w:i w:val="0"/>
          <w:iCs w:val="0"/>
        </w:rPr>
        <w:fldChar w:fldCharType="separate"/>
      </w:r>
      <w:r>
        <w:rPr>
          <w:i w:val="0"/>
          <w:iCs w:val="0"/>
        </w:rPr>
        <w:t>- 23 -</w:t>
      </w:r>
      <w:r>
        <w:rPr>
          <w:i w:val="0"/>
          <w:iCs w:val="0"/>
        </w:rPr>
        <w:fldChar w:fldCharType="end"/>
      </w:r>
      <w:r>
        <w:rPr>
          <w:i w:val="0"/>
          <w:iCs w:val="0"/>
          <w:color w:val="000000" w:themeColor="text1"/>
          <w14:textFill>
            <w14:solidFill>
              <w14:schemeClr w14:val="tx1"/>
            </w14:solidFill>
          </w14:textFill>
        </w:rPr>
        <w:fldChar w:fldCharType="end"/>
      </w:r>
    </w:p>
    <w:p w14:paraId="2AA0E859">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_Toc2313 </w:instrText>
      </w:r>
      <w:r>
        <w:rPr>
          <w:i w:val="0"/>
          <w:iCs w:val="0"/>
        </w:rPr>
        <w:fldChar w:fldCharType="separate"/>
      </w:r>
      <w:r>
        <w:rPr>
          <w:rFonts w:hint="eastAsia"/>
          <w:i w:val="0"/>
          <w:iCs w:val="0"/>
        </w:rPr>
        <w:t>（二） 招标文件</w:t>
      </w:r>
      <w:r>
        <w:rPr>
          <w:i w:val="0"/>
          <w:iCs w:val="0"/>
        </w:rPr>
        <w:tab/>
      </w:r>
      <w:r>
        <w:rPr>
          <w:i w:val="0"/>
          <w:iCs w:val="0"/>
        </w:rPr>
        <w:fldChar w:fldCharType="begin"/>
      </w:r>
      <w:r>
        <w:rPr>
          <w:i w:val="0"/>
          <w:iCs w:val="0"/>
        </w:rPr>
        <w:instrText xml:space="preserve"> PAGEREF _Toc2313 \h </w:instrText>
      </w:r>
      <w:r>
        <w:rPr>
          <w:i w:val="0"/>
          <w:iCs w:val="0"/>
        </w:rPr>
        <w:fldChar w:fldCharType="separate"/>
      </w:r>
      <w:r>
        <w:rPr>
          <w:i w:val="0"/>
          <w:iCs w:val="0"/>
        </w:rPr>
        <w:t>- 24 -</w:t>
      </w:r>
      <w:r>
        <w:rPr>
          <w:i w:val="0"/>
          <w:iCs w:val="0"/>
        </w:rPr>
        <w:fldChar w:fldCharType="end"/>
      </w:r>
      <w:r>
        <w:rPr>
          <w:i w:val="0"/>
          <w:iCs w:val="0"/>
          <w:color w:val="000000" w:themeColor="text1"/>
          <w14:textFill>
            <w14:solidFill>
              <w14:schemeClr w14:val="tx1"/>
            </w14:solidFill>
          </w14:textFill>
        </w:rPr>
        <w:fldChar w:fldCharType="end"/>
      </w:r>
    </w:p>
    <w:p w14:paraId="741D560B">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_Toc6815 </w:instrText>
      </w:r>
      <w:r>
        <w:rPr>
          <w:i w:val="0"/>
          <w:iCs w:val="0"/>
        </w:rPr>
        <w:fldChar w:fldCharType="separate"/>
      </w:r>
      <w:r>
        <w:rPr>
          <w:rFonts w:hint="eastAsia"/>
          <w:i w:val="0"/>
          <w:iCs w:val="0"/>
        </w:rPr>
        <w:t>11. 招标文件的组成</w:t>
      </w:r>
      <w:r>
        <w:rPr>
          <w:i w:val="0"/>
          <w:iCs w:val="0"/>
        </w:rPr>
        <w:tab/>
      </w:r>
      <w:r>
        <w:rPr>
          <w:i w:val="0"/>
          <w:iCs w:val="0"/>
        </w:rPr>
        <w:fldChar w:fldCharType="begin"/>
      </w:r>
      <w:r>
        <w:rPr>
          <w:i w:val="0"/>
          <w:iCs w:val="0"/>
        </w:rPr>
        <w:instrText xml:space="preserve"> PAGEREF _Toc6815 \h </w:instrText>
      </w:r>
      <w:r>
        <w:rPr>
          <w:i w:val="0"/>
          <w:iCs w:val="0"/>
        </w:rPr>
        <w:fldChar w:fldCharType="separate"/>
      </w:r>
      <w:r>
        <w:rPr>
          <w:i w:val="0"/>
          <w:iCs w:val="0"/>
        </w:rPr>
        <w:t>- 24 -</w:t>
      </w:r>
      <w:r>
        <w:rPr>
          <w:i w:val="0"/>
          <w:iCs w:val="0"/>
        </w:rPr>
        <w:fldChar w:fldCharType="end"/>
      </w:r>
      <w:r>
        <w:rPr>
          <w:i w:val="0"/>
          <w:iCs w:val="0"/>
          <w:color w:val="000000" w:themeColor="text1"/>
          <w14:textFill>
            <w14:solidFill>
              <w14:schemeClr w14:val="tx1"/>
            </w14:solidFill>
          </w14:textFill>
        </w:rPr>
        <w:fldChar w:fldCharType="end"/>
      </w:r>
    </w:p>
    <w:p w14:paraId="148195A0">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_Toc25595 </w:instrText>
      </w:r>
      <w:r>
        <w:rPr>
          <w:i w:val="0"/>
          <w:iCs w:val="0"/>
        </w:rPr>
        <w:fldChar w:fldCharType="separate"/>
      </w:r>
      <w:r>
        <w:rPr>
          <w:rFonts w:hint="eastAsia"/>
          <w:i w:val="0"/>
          <w:iCs w:val="0"/>
        </w:rPr>
        <w:t>12. 招标文件的询问、澄清或者修改</w:t>
      </w:r>
      <w:r>
        <w:rPr>
          <w:i w:val="0"/>
          <w:iCs w:val="0"/>
        </w:rPr>
        <w:tab/>
      </w:r>
      <w:r>
        <w:rPr>
          <w:i w:val="0"/>
          <w:iCs w:val="0"/>
        </w:rPr>
        <w:fldChar w:fldCharType="begin"/>
      </w:r>
      <w:r>
        <w:rPr>
          <w:i w:val="0"/>
          <w:iCs w:val="0"/>
        </w:rPr>
        <w:instrText xml:space="preserve"> PAGEREF _Toc25595 \h </w:instrText>
      </w:r>
      <w:r>
        <w:rPr>
          <w:i w:val="0"/>
          <w:iCs w:val="0"/>
        </w:rPr>
        <w:fldChar w:fldCharType="separate"/>
      </w:r>
      <w:r>
        <w:rPr>
          <w:i w:val="0"/>
          <w:iCs w:val="0"/>
        </w:rPr>
        <w:t>- 24 -</w:t>
      </w:r>
      <w:r>
        <w:rPr>
          <w:i w:val="0"/>
          <w:iCs w:val="0"/>
        </w:rPr>
        <w:fldChar w:fldCharType="end"/>
      </w:r>
      <w:r>
        <w:rPr>
          <w:i w:val="0"/>
          <w:iCs w:val="0"/>
          <w:color w:val="000000" w:themeColor="text1"/>
          <w14:textFill>
            <w14:solidFill>
              <w14:schemeClr w14:val="tx1"/>
            </w14:solidFill>
          </w14:textFill>
        </w:rPr>
        <w:fldChar w:fldCharType="end"/>
      </w:r>
    </w:p>
    <w:p w14:paraId="54890468">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_Toc8124 </w:instrText>
      </w:r>
      <w:r>
        <w:rPr>
          <w:i w:val="0"/>
          <w:iCs w:val="0"/>
        </w:rPr>
        <w:fldChar w:fldCharType="separate"/>
      </w:r>
      <w:r>
        <w:rPr>
          <w:rFonts w:hint="eastAsia"/>
          <w:i w:val="0"/>
          <w:iCs w:val="0"/>
        </w:rPr>
        <w:t>（三） 投标文件</w:t>
      </w:r>
      <w:r>
        <w:rPr>
          <w:i w:val="0"/>
          <w:iCs w:val="0"/>
        </w:rPr>
        <w:tab/>
      </w:r>
      <w:r>
        <w:rPr>
          <w:i w:val="0"/>
          <w:iCs w:val="0"/>
        </w:rPr>
        <w:fldChar w:fldCharType="begin"/>
      </w:r>
      <w:r>
        <w:rPr>
          <w:i w:val="0"/>
          <w:iCs w:val="0"/>
        </w:rPr>
        <w:instrText xml:space="preserve"> PAGEREF _Toc8124 \h </w:instrText>
      </w:r>
      <w:r>
        <w:rPr>
          <w:i w:val="0"/>
          <w:iCs w:val="0"/>
        </w:rPr>
        <w:fldChar w:fldCharType="separate"/>
      </w:r>
      <w:r>
        <w:rPr>
          <w:i w:val="0"/>
          <w:iCs w:val="0"/>
        </w:rPr>
        <w:t>- 25 -</w:t>
      </w:r>
      <w:r>
        <w:rPr>
          <w:i w:val="0"/>
          <w:iCs w:val="0"/>
        </w:rPr>
        <w:fldChar w:fldCharType="end"/>
      </w:r>
      <w:r>
        <w:rPr>
          <w:i w:val="0"/>
          <w:iCs w:val="0"/>
          <w:color w:val="000000" w:themeColor="text1"/>
          <w14:textFill>
            <w14:solidFill>
              <w14:schemeClr w14:val="tx1"/>
            </w14:solidFill>
          </w14:textFill>
        </w:rPr>
        <w:fldChar w:fldCharType="end"/>
      </w:r>
    </w:p>
    <w:p w14:paraId="6704402E">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_Toc11884 </w:instrText>
      </w:r>
      <w:r>
        <w:rPr>
          <w:i w:val="0"/>
          <w:iCs w:val="0"/>
        </w:rPr>
        <w:fldChar w:fldCharType="separate"/>
      </w:r>
      <w:r>
        <w:rPr>
          <w:rFonts w:hint="eastAsia"/>
          <w:i w:val="0"/>
          <w:iCs w:val="0"/>
        </w:rPr>
        <w:t>13. 投标文件的组成</w:t>
      </w:r>
      <w:r>
        <w:rPr>
          <w:i w:val="0"/>
          <w:iCs w:val="0"/>
        </w:rPr>
        <w:tab/>
      </w:r>
      <w:r>
        <w:rPr>
          <w:i w:val="0"/>
          <w:iCs w:val="0"/>
        </w:rPr>
        <w:fldChar w:fldCharType="begin"/>
      </w:r>
      <w:r>
        <w:rPr>
          <w:i w:val="0"/>
          <w:iCs w:val="0"/>
        </w:rPr>
        <w:instrText xml:space="preserve"> PAGEREF _Toc11884 \h </w:instrText>
      </w:r>
      <w:r>
        <w:rPr>
          <w:i w:val="0"/>
          <w:iCs w:val="0"/>
        </w:rPr>
        <w:fldChar w:fldCharType="separate"/>
      </w:r>
      <w:r>
        <w:rPr>
          <w:i w:val="0"/>
          <w:iCs w:val="0"/>
        </w:rPr>
        <w:t>- 25 -</w:t>
      </w:r>
      <w:r>
        <w:rPr>
          <w:i w:val="0"/>
          <w:iCs w:val="0"/>
        </w:rPr>
        <w:fldChar w:fldCharType="end"/>
      </w:r>
      <w:r>
        <w:rPr>
          <w:i w:val="0"/>
          <w:iCs w:val="0"/>
          <w:color w:val="000000" w:themeColor="text1"/>
          <w14:textFill>
            <w14:solidFill>
              <w14:schemeClr w14:val="tx1"/>
            </w14:solidFill>
          </w14:textFill>
        </w:rPr>
        <w:fldChar w:fldCharType="end"/>
      </w:r>
    </w:p>
    <w:p w14:paraId="57CB3608">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_Toc24621 </w:instrText>
      </w:r>
      <w:r>
        <w:rPr>
          <w:i w:val="0"/>
          <w:iCs w:val="0"/>
        </w:rPr>
        <w:fldChar w:fldCharType="separate"/>
      </w:r>
      <w:r>
        <w:rPr>
          <w:rFonts w:hint="eastAsia"/>
          <w:i w:val="0"/>
          <w:iCs w:val="0"/>
        </w:rPr>
        <w:t>14. 投标报价</w:t>
      </w:r>
      <w:r>
        <w:rPr>
          <w:i w:val="0"/>
          <w:iCs w:val="0"/>
        </w:rPr>
        <w:tab/>
      </w:r>
      <w:r>
        <w:rPr>
          <w:i w:val="0"/>
          <w:iCs w:val="0"/>
        </w:rPr>
        <w:fldChar w:fldCharType="begin"/>
      </w:r>
      <w:r>
        <w:rPr>
          <w:i w:val="0"/>
          <w:iCs w:val="0"/>
        </w:rPr>
        <w:instrText xml:space="preserve"> PAGEREF _Toc24621 \h </w:instrText>
      </w:r>
      <w:r>
        <w:rPr>
          <w:i w:val="0"/>
          <w:iCs w:val="0"/>
        </w:rPr>
        <w:fldChar w:fldCharType="separate"/>
      </w:r>
      <w:r>
        <w:rPr>
          <w:i w:val="0"/>
          <w:iCs w:val="0"/>
        </w:rPr>
        <w:t>- 26 -</w:t>
      </w:r>
      <w:r>
        <w:rPr>
          <w:i w:val="0"/>
          <w:iCs w:val="0"/>
        </w:rPr>
        <w:fldChar w:fldCharType="end"/>
      </w:r>
      <w:r>
        <w:rPr>
          <w:i w:val="0"/>
          <w:iCs w:val="0"/>
          <w:color w:val="000000" w:themeColor="text1"/>
          <w14:textFill>
            <w14:solidFill>
              <w14:schemeClr w14:val="tx1"/>
            </w14:solidFill>
          </w14:textFill>
        </w:rPr>
        <w:fldChar w:fldCharType="end"/>
      </w:r>
    </w:p>
    <w:p w14:paraId="15D85E6A">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_Toc1641 </w:instrText>
      </w:r>
      <w:r>
        <w:rPr>
          <w:i w:val="0"/>
          <w:iCs w:val="0"/>
        </w:rPr>
        <w:fldChar w:fldCharType="separate"/>
      </w:r>
      <w:r>
        <w:rPr>
          <w:rFonts w:hint="eastAsia"/>
          <w:i w:val="0"/>
          <w:iCs w:val="0"/>
        </w:rPr>
        <w:t>15. 投标有效期</w:t>
      </w:r>
      <w:r>
        <w:rPr>
          <w:i w:val="0"/>
          <w:iCs w:val="0"/>
        </w:rPr>
        <w:tab/>
      </w:r>
      <w:r>
        <w:rPr>
          <w:i w:val="0"/>
          <w:iCs w:val="0"/>
        </w:rPr>
        <w:fldChar w:fldCharType="begin"/>
      </w:r>
      <w:r>
        <w:rPr>
          <w:i w:val="0"/>
          <w:iCs w:val="0"/>
        </w:rPr>
        <w:instrText xml:space="preserve"> PAGEREF _Toc1641 \h </w:instrText>
      </w:r>
      <w:r>
        <w:rPr>
          <w:i w:val="0"/>
          <w:iCs w:val="0"/>
        </w:rPr>
        <w:fldChar w:fldCharType="separate"/>
      </w:r>
      <w:r>
        <w:rPr>
          <w:i w:val="0"/>
          <w:iCs w:val="0"/>
        </w:rPr>
        <w:t>- 28 -</w:t>
      </w:r>
      <w:r>
        <w:rPr>
          <w:i w:val="0"/>
          <w:iCs w:val="0"/>
        </w:rPr>
        <w:fldChar w:fldCharType="end"/>
      </w:r>
      <w:r>
        <w:rPr>
          <w:i w:val="0"/>
          <w:iCs w:val="0"/>
          <w:color w:val="000000" w:themeColor="text1"/>
          <w14:textFill>
            <w14:solidFill>
              <w14:schemeClr w14:val="tx1"/>
            </w14:solidFill>
          </w14:textFill>
        </w:rPr>
        <w:fldChar w:fldCharType="end"/>
      </w:r>
    </w:p>
    <w:p w14:paraId="46D5A34A">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_Toc8809 </w:instrText>
      </w:r>
      <w:r>
        <w:rPr>
          <w:i w:val="0"/>
          <w:iCs w:val="0"/>
        </w:rPr>
        <w:fldChar w:fldCharType="separate"/>
      </w:r>
      <w:r>
        <w:rPr>
          <w:rFonts w:hint="eastAsia"/>
          <w:i w:val="0"/>
          <w:iCs w:val="0"/>
        </w:rPr>
        <w:t>16. 投标文件的编制</w:t>
      </w:r>
      <w:r>
        <w:rPr>
          <w:i w:val="0"/>
          <w:iCs w:val="0"/>
        </w:rPr>
        <w:tab/>
      </w:r>
      <w:r>
        <w:rPr>
          <w:i w:val="0"/>
          <w:iCs w:val="0"/>
        </w:rPr>
        <w:fldChar w:fldCharType="begin"/>
      </w:r>
      <w:r>
        <w:rPr>
          <w:i w:val="0"/>
          <w:iCs w:val="0"/>
        </w:rPr>
        <w:instrText xml:space="preserve"> PAGEREF _Toc8809 \h </w:instrText>
      </w:r>
      <w:r>
        <w:rPr>
          <w:i w:val="0"/>
          <w:iCs w:val="0"/>
        </w:rPr>
        <w:fldChar w:fldCharType="separate"/>
      </w:r>
      <w:r>
        <w:rPr>
          <w:i w:val="0"/>
          <w:iCs w:val="0"/>
        </w:rPr>
        <w:t>- 28 -</w:t>
      </w:r>
      <w:r>
        <w:rPr>
          <w:i w:val="0"/>
          <w:iCs w:val="0"/>
        </w:rPr>
        <w:fldChar w:fldCharType="end"/>
      </w:r>
      <w:r>
        <w:rPr>
          <w:i w:val="0"/>
          <w:iCs w:val="0"/>
          <w:color w:val="000000" w:themeColor="text1"/>
          <w14:textFill>
            <w14:solidFill>
              <w14:schemeClr w14:val="tx1"/>
            </w14:solidFill>
          </w14:textFill>
        </w:rPr>
        <w:fldChar w:fldCharType="end"/>
      </w:r>
    </w:p>
    <w:p w14:paraId="641EBC1A">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_Toc7868 </w:instrText>
      </w:r>
      <w:r>
        <w:rPr>
          <w:i w:val="0"/>
          <w:iCs w:val="0"/>
        </w:rPr>
        <w:fldChar w:fldCharType="separate"/>
      </w:r>
      <w:r>
        <w:rPr>
          <w:rFonts w:hint="eastAsia"/>
          <w:i w:val="0"/>
          <w:iCs w:val="0"/>
        </w:rPr>
        <w:t xml:space="preserve">（四） </w:t>
      </w:r>
      <w:r>
        <w:rPr>
          <w:rFonts w:hint="eastAsia" w:asciiTheme="minorHAnsi" w:hAnsiTheme="minorHAnsi"/>
          <w:i w:val="0"/>
          <w:iCs w:val="0"/>
        </w:rPr>
        <w:t>投标</w:t>
      </w:r>
      <w:r>
        <w:rPr>
          <w:i w:val="0"/>
          <w:iCs w:val="0"/>
        </w:rPr>
        <w:tab/>
      </w:r>
      <w:r>
        <w:rPr>
          <w:i w:val="0"/>
          <w:iCs w:val="0"/>
        </w:rPr>
        <w:fldChar w:fldCharType="begin"/>
      </w:r>
      <w:r>
        <w:rPr>
          <w:i w:val="0"/>
          <w:iCs w:val="0"/>
        </w:rPr>
        <w:instrText xml:space="preserve"> PAGEREF _Toc7868 \h </w:instrText>
      </w:r>
      <w:r>
        <w:rPr>
          <w:i w:val="0"/>
          <w:iCs w:val="0"/>
        </w:rPr>
        <w:fldChar w:fldCharType="separate"/>
      </w:r>
      <w:r>
        <w:rPr>
          <w:i w:val="0"/>
          <w:iCs w:val="0"/>
        </w:rPr>
        <w:t>- 28 -</w:t>
      </w:r>
      <w:r>
        <w:rPr>
          <w:i w:val="0"/>
          <w:iCs w:val="0"/>
        </w:rPr>
        <w:fldChar w:fldCharType="end"/>
      </w:r>
      <w:r>
        <w:rPr>
          <w:i w:val="0"/>
          <w:iCs w:val="0"/>
          <w:color w:val="000000" w:themeColor="text1"/>
          <w14:textFill>
            <w14:solidFill>
              <w14:schemeClr w14:val="tx1"/>
            </w14:solidFill>
          </w14:textFill>
        </w:rPr>
        <w:fldChar w:fldCharType="end"/>
      </w:r>
    </w:p>
    <w:p w14:paraId="4F380223">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_Toc892 </w:instrText>
      </w:r>
      <w:r>
        <w:rPr>
          <w:i w:val="0"/>
          <w:iCs w:val="0"/>
        </w:rPr>
        <w:fldChar w:fldCharType="separate"/>
      </w:r>
      <w:r>
        <w:rPr>
          <w:rFonts w:hint="eastAsia"/>
          <w:i w:val="0"/>
          <w:iCs w:val="0"/>
        </w:rPr>
        <w:t>17. 投标文件的加密</w:t>
      </w:r>
      <w:r>
        <w:rPr>
          <w:i w:val="0"/>
          <w:iCs w:val="0"/>
        </w:rPr>
        <w:tab/>
      </w:r>
      <w:r>
        <w:rPr>
          <w:i w:val="0"/>
          <w:iCs w:val="0"/>
        </w:rPr>
        <w:fldChar w:fldCharType="begin"/>
      </w:r>
      <w:r>
        <w:rPr>
          <w:i w:val="0"/>
          <w:iCs w:val="0"/>
        </w:rPr>
        <w:instrText xml:space="preserve"> PAGEREF _Toc892 \h </w:instrText>
      </w:r>
      <w:r>
        <w:rPr>
          <w:i w:val="0"/>
          <w:iCs w:val="0"/>
        </w:rPr>
        <w:fldChar w:fldCharType="separate"/>
      </w:r>
      <w:r>
        <w:rPr>
          <w:i w:val="0"/>
          <w:iCs w:val="0"/>
        </w:rPr>
        <w:t>- 28 -</w:t>
      </w:r>
      <w:r>
        <w:rPr>
          <w:i w:val="0"/>
          <w:iCs w:val="0"/>
        </w:rPr>
        <w:fldChar w:fldCharType="end"/>
      </w:r>
      <w:r>
        <w:rPr>
          <w:i w:val="0"/>
          <w:iCs w:val="0"/>
          <w:color w:val="000000" w:themeColor="text1"/>
          <w14:textFill>
            <w14:solidFill>
              <w14:schemeClr w14:val="tx1"/>
            </w14:solidFill>
          </w14:textFill>
        </w:rPr>
        <w:fldChar w:fldCharType="end"/>
      </w:r>
    </w:p>
    <w:p w14:paraId="2F7AB985">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_Toc10245 </w:instrText>
      </w:r>
      <w:r>
        <w:rPr>
          <w:i w:val="0"/>
          <w:iCs w:val="0"/>
        </w:rPr>
        <w:fldChar w:fldCharType="separate"/>
      </w:r>
      <w:r>
        <w:rPr>
          <w:rFonts w:hint="eastAsia"/>
          <w:i w:val="0"/>
          <w:iCs w:val="0"/>
        </w:rPr>
        <w:t>18. 投标文件的递交（上传）</w:t>
      </w:r>
      <w:r>
        <w:rPr>
          <w:i w:val="0"/>
          <w:iCs w:val="0"/>
        </w:rPr>
        <w:tab/>
      </w:r>
      <w:r>
        <w:rPr>
          <w:i w:val="0"/>
          <w:iCs w:val="0"/>
        </w:rPr>
        <w:fldChar w:fldCharType="begin"/>
      </w:r>
      <w:r>
        <w:rPr>
          <w:i w:val="0"/>
          <w:iCs w:val="0"/>
        </w:rPr>
        <w:instrText xml:space="preserve"> PAGEREF _Toc10245 \h </w:instrText>
      </w:r>
      <w:r>
        <w:rPr>
          <w:i w:val="0"/>
          <w:iCs w:val="0"/>
        </w:rPr>
        <w:fldChar w:fldCharType="separate"/>
      </w:r>
      <w:r>
        <w:rPr>
          <w:i w:val="0"/>
          <w:iCs w:val="0"/>
        </w:rPr>
        <w:t>- 29 -</w:t>
      </w:r>
      <w:r>
        <w:rPr>
          <w:i w:val="0"/>
          <w:iCs w:val="0"/>
        </w:rPr>
        <w:fldChar w:fldCharType="end"/>
      </w:r>
      <w:r>
        <w:rPr>
          <w:i w:val="0"/>
          <w:iCs w:val="0"/>
          <w:color w:val="000000" w:themeColor="text1"/>
          <w14:textFill>
            <w14:solidFill>
              <w14:schemeClr w14:val="tx1"/>
            </w14:solidFill>
          </w14:textFill>
        </w:rPr>
        <w:fldChar w:fldCharType="end"/>
      </w:r>
    </w:p>
    <w:p w14:paraId="5CD7863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_Toc25149 </w:instrText>
      </w:r>
      <w:r>
        <w:rPr>
          <w:i w:val="0"/>
          <w:iCs w:val="0"/>
        </w:rPr>
        <w:fldChar w:fldCharType="separate"/>
      </w:r>
      <w:r>
        <w:rPr>
          <w:rFonts w:hint="eastAsia"/>
          <w:i w:val="0"/>
          <w:iCs w:val="0"/>
        </w:rPr>
        <w:t>19. 拒收</w:t>
      </w:r>
      <w:r>
        <w:rPr>
          <w:i w:val="0"/>
          <w:iCs w:val="0"/>
        </w:rPr>
        <w:tab/>
      </w:r>
      <w:r>
        <w:rPr>
          <w:i w:val="0"/>
          <w:iCs w:val="0"/>
        </w:rPr>
        <w:fldChar w:fldCharType="begin"/>
      </w:r>
      <w:r>
        <w:rPr>
          <w:i w:val="0"/>
          <w:iCs w:val="0"/>
        </w:rPr>
        <w:instrText xml:space="preserve"> PAGEREF _Toc25149 \h </w:instrText>
      </w:r>
      <w:r>
        <w:rPr>
          <w:i w:val="0"/>
          <w:iCs w:val="0"/>
        </w:rPr>
        <w:fldChar w:fldCharType="separate"/>
      </w:r>
      <w:r>
        <w:rPr>
          <w:i w:val="0"/>
          <w:iCs w:val="0"/>
        </w:rPr>
        <w:t>- 29 -</w:t>
      </w:r>
      <w:r>
        <w:rPr>
          <w:i w:val="0"/>
          <w:iCs w:val="0"/>
        </w:rPr>
        <w:fldChar w:fldCharType="end"/>
      </w:r>
      <w:r>
        <w:rPr>
          <w:i w:val="0"/>
          <w:iCs w:val="0"/>
          <w:color w:val="000000" w:themeColor="text1"/>
          <w14:textFill>
            <w14:solidFill>
              <w14:schemeClr w14:val="tx1"/>
            </w14:solidFill>
          </w14:textFill>
        </w:rPr>
        <w:fldChar w:fldCharType="end"/>
      </w:r>
    </w:p>
    <w:p w14:paraId="5F2FBA63">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_Toc7056 </w:instrText>
      </w:r>
      <w:r>
        <w:rPr>
          <w:i w:val="0"/>
          <w:iCs w:val="0"/>
        </w:rPr>
        <w:fldChar w:fldCharType="separate"/>
      </w:r>
      <w:r>
        <w:rPr>
          <w:rFonts w:hint="eastAsia"/>
          <w:i w:val="0"/>
          <w:iCs w:val="0"/>
        </w:rPr>
        <w:t>20. 投标文件的修改与撤回</w:t>
      </w:r>
      <w:r>
        <w:rPr>
          <w:i w:val="0"/>
          <w:iCs w:val="0"/>
        </w:rPr>
        <w:tab/>
      </w:r>
      <w:r>
        <w:rPr>
          <w:i w:val="0"/>
          <w:iCs w:val="0"/>
        </w:rPr>
        <w:fldChar w:fldCharType="begin"/>
      </w:r>
      <w:r>
        <w:rPr>
          <w:i w:val="0"/>
          <w:iCs w:val="0"/>
        </w:rPr>
        <w:instrText xml:space="preserve"> PAGEREF _Toc7056 \h </w:instrText>
      </w:r>
      <w:r>
        <w:rPr>
          <w:i w:val="0"/>
          <w:iCs w:val="0"/>
        </w:rPr>
        <w:fldChar w:fldCharType="separate"/>
      </w:r>
      <w:r>
        <w:rPr>
          <w:i w:val="0"/>
          <w:iCs w:val="0"/>
        </w:rPr>
        <w:t>- 29 -</w:t>
      </w:r>
      <w:r>
        <w:rPr>
          <w:i w:val="0"/>
          <w:iCs w:val="0"/>
        </w:rPr>
        <w:fldChar w:fldCharType="end"/>
      </w:r>
      <w:r>
        <w:rPr>
          <w:i w:val="0"/>
          <w:iCs w:val="0"/>
          <w:color w:val="000000" w:themeColor="text1"/>
          <w14:textFill>
            <w14:solidFill>
              <w14:schemeClr w14:val="tx1"/>
            </w14:solidFill>
          </w14:textFill>
        </w:rPr>
        <w:fldChar w:fldCharType="end"/>
      </w:r>
    </w:p>
    <w:p w14:paraId="46574B67">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_Toc22866 </w:instrText>
      </w:r>
      <w:r>
        <w:rPr>
          <w:i w:val="0"/>
          <w:iCs w:val="0"/>
        </w:rPr>
        <w:fldChar w:fldCharType="separate"/>
      </w:r>
      <w:r>
        <w:rPr>
          <w:rFonts w:hint="eastAsia"/>
          <w:i w:val="0"/>
          <w:iCs w:val="0"/>
        </w:rPr>
        <w:t>21. 实物样品</w:t>
      </w:r>
      <w:r>
        <w:rPr>
          <w:i w:val="0"/>
          <w:iCs w:val="0"/>
        </w:rPr>
        <w:tab/>
      </w:r>
      <w:r>
        <w:rPr>
          <w:i w:val="0"/>
          <w:iCs w:val="0"/>
        </w:rPr>
        <w:fldChar w:fldCharType="begin"/>
      </w:r>
      <w:r>
        <w:rPr>
          <w:i w:val="0"/>
          <w:iCs w:val="0"/>
        </w:rPr>
        <w:instrText xml:space="preserve"> PAGEREF _Toc22866 \h </w:instrText>
      </w:r>
      <w:r>
        <w:rPr>
          <w:i w:val="0"/>
          <w:iCs w:val="0"/>
        </w:rPr>
        <w:fldChar w:fldCharType="separate"/>
      </w:r>
      <w:r>
        <w:rPr>
          <w:i w:val="0"/>
          <w:iCs w:val="0"/>
        </w:rPr>
        <w:t>- 29 -</w:t>
      </w:r>
      <w:r>
        <w:rPr>
          <w:i w:val="0"/>
          <w:iCs w:val="0"/>
        </w:rPr>
        <w:fldChar w:fldCharType="end"/>
      </w:r>
      <w:r>
        <w:rPr>
          <w:i w:val="0"/>
          <w:iCs w:val="0"/>
          <w:color w:val="000000" w:themeColor="text1"/>
          <w14:textFill>
            <w14:solidFill>
              <w14:schemeClr w14:val="tx1"/>
            </w14:solidFill>
          </w14:textFill>
        </w:rPr>
        <w:fldChar w:fldCharType="end"/>
      </w:r>
    </w:p>
    <w:p w14:paraId="7CFF434D">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_Toc15823 </w:instrText>
      </w:r>
      <w:r>
        <w:rPr>
          <w:i w:val="0"/>
          <w:iCs w:val="0"/>
        </w:rPr>
        <w:fldChar w:fldCharType="separate"/>
      </w:r>
      <w:r>
        <w:rPr>
          <w:rFonts w:hint="eastAsia"/>
          <w:i w:val="0"/>
          <w:iCs w:val="0"/>
        </w:rPr>
        <w:t>22. 演示</w:t>
      </w:r>
      <w:r>
        <w:rPr>
          <w:i w:val="0"/>
          <w:iCs w:val="0"/>
        </w:rPr>
        <w:tab/>
      </w:r>
      <w:r>
        <w:rPr>
          <w:i w:val="0"/>
          <w:iCs w:val="0"/>
        </w:rPr>
        <w:fldChar w:fldCharType="begin"/>
      </w:r>
      <w:r>
        <w:rPr>
          <w:i w:val="0"/>
          <w:iCs w:val="0"/>
        </w:rPr>
        <w:instrText xml:space="preserve"> PAGEREF _Toc15823 \h </w:instrText>
      </w:r>
      <w:r>
        <w:rPr>
          <w:i w:val="0"/>
          <w:iCs w:val="0"/>
        </w:rPr>
        <w:fldChar w:fldCharType="separate"/>
      </w:r>
      <w:r>
        <w:rPr>
          <w:i w:val="0"/>
          <w:iCs w:val="0"/>
        </w:rPr>
        <w:t>- 30 -</w:t>
      </w:r>
      <w:r>
        <w:rPr>
          <w:i w:val="0"/>
          <w:iCs w:val="0"/>
        </w:rPr>
        <w:fldChar w:fldCharType="end"/>
      </w:r>
      <w:r>
        <w:rPr>
          <w:i w:val="0"/>
          <w:iCs w:val="0"/>
          <w:color w:val="000000" w:themeColor="text1"/>
          <w14:textFill>
            <w14:solidFill>
              <w14:schemeClr w14:val="tx1"/>
            </w14:solidFill>
          </w14:textFill>
        </w:rPr>
        <w:fldChar w:fldCharType="end"/>
      </w:r>
    </w:p>
    <w:p w14:paraId="04D1A6B3">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_Toc26177 </w:instrText>
      </w:r>
      <w:r>
        <w:rPr>
          <w:i w:val="0"/>
          <w:iCs w:val="0"/>
        </w:rPr>
        <w:fldChar w:fldCharType="separate"/>
      </w:r>
      <w:r>
        <w:rPr>
          <w:rFonts w:hint="eastAsia" w:asciiTheme="minorHAnsi" w:hAnsiTheme="minorHAnsi"/>
          <w:i w:val="0"/>
          <w:iCs w:val="0"/>
        </w:rPr>
        <w:t>（五） 开标</w:t>
      </w:r>
      <w:r>
        <w:rPr>
          <w:i w:val="0"/>
          <w:iCs w:val="0"/>
        </w:rPr>
        <w:tab/>
      </w:r>
      <w:r>
        <w:rPr>
          <w:i w:val="0"/>
          <w:iCs w:val="0"/>
        </w:rPr>
        <w:fldChar w:fldCharType="begin"/>
      </w:r>
      <w:r>
        <w:rPr>
          <w:i w:val="0"/>
          <w:iCs w:val="0"/>
        </w:rPr>
        <w:instrText xml:space="preserve"> PAGEREF _Toc26177 \h </w:instrText>
      </w:r>
      <w:r>
        <w:rPr>
          <w:i w:val="0"/>
          <w:iCs w:val="0"/>
        </w:rPr>
        <w:fldChar w:fldCharType="separate"/>
      </w:r>
      <w:r>
        <w:rPr>
          <w:i w:val="0"/>
          <w:iCs w:val="0"/>
        </w:rPr>
        <w:t>- 30 -</w:t>
      </w:r>
      <w:r>
        <w:rPr>
          <w:i w:val="0"/>
          <w:iCs w:val="0"/>
        </w:rPr>
        <w:fldChar w:fldCharType="end"/>
      </w:r>
      <w:r>
        <w:rPr>
          <w:i w:val="0"/>
          <w:iCs w:val="0"/>
          <w:color w:val="000000" w:themeColor="text1"/>
          <w14:textFill>
            <w14:solidFill>
              <w14:schemeClr w14:val="tx1"/>
            </w14:solidFill>
          </w14:textFill>
        </w:rPr>
        <w:fldChar w:fldCharType="end"/>
      </w:r>
    </w:p>
    <w:p w14:paraId="1E488DA4">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_Toc7582 </w:instrText>
      </w:r>
      <w:r>
        <w:rPr>
          <w:i w:val="0"/>
          <w:iCs w:val="0"/>
        </w:rPr>
        <w:fldChar w:fldCharType="separate"/>
      </w:r>
      <w:r>
        <w:rPr>
          <w:rFonts w:hint="eastAsia"/>
          <w:i w:val="0"/>
          <w:iCs w:val="0"/>
        </w:rPr>
        <w:t>23. 开标会议准备</w:t>
      </w:r>
      <w:r>
        <w:rPr>
          <w:i w:val="0"/>
          <w:iCs w:val="0"/>
        </w:rPr>
        <w:tab/>
      </w:r>
      <w:r>
        <w:rPr>
          <w:i w:val="0"/>
          <w:iCs w:val="0"/>
        </w:rPr>
        <w:fldChar w:fldCharType="begin"/>
      </w:r>
      <w:r>
        <w:rPr>
          <w:i w:val="0"/>
          <w:iCs w:val="0"/>
        </w:rPr>
        <w:instrText xml:space="preserve"> PAGEREF _Toc7582 \h </w:instrText>
      </w:r>
      <w:r>
        <w:rPr>
          <w:i w:val="0"/>
          <w:iCs w:val="0"/>
        </w:rPr>
        <w:fldChar w:fldCharType="separate"/>
      </w:r>
      <w:r>
        <w:rPr>
          <w:i w:val="0"/>
          <w:iCs w:val="0"/>
        </w:rPr>
        <w:t>- 30 -</w:t>
      </w:r>
      <w:r>
        <w:rPr>
          <w:i w:val="0"/>
          <w:iCs w:val="0"/>
        </w:rPr>
        <w:fldChar w:fldCharType="end"/>
      </w:r>
      <w:r>
        <w:rPr>
          <w:i w:val="0"/>
          <w:iCs w:val="0"/>
          <w:color w:val="000000" w:themeColor="text1"/>
          <w14:textFill>
            <w14:solidFill>
              <w14:schemeClr w14:val="tx1"/>
            </w14:solidFill>
          </w14:textFill>
        </w:rPr>
        <w:fldChar w:fldCharType="end"/>
      </w:r>
    </w:p>
    <w:p w14:paraId="239DFF27">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_Toc3615 </w:instrText>
      </w:r>
      <w:r>
        <w:rPr>
          <w:i w:val="0"/>
          <w:iCs w:val="0"/>
        </w:rPr>
        <w:fldChar w:fldCharType="separate"/>
      </w:r>
      <w:r>
        <w:rPr>
          <w:rFonts w:hint="eastAsia"/>
          <w:i w:val="0"/>
          <w:iCs w:val="0"/>
        </w:rPr>
        <w:t>24. 开标时间和地点</w:t>
      </w:r>
      <w:r>
        <w:rPr>
          <w:i w:val="0"/>
          <w:iCs w:val="0"/>
        </w:rPr>
        <w:tab/>
      </w:r>
      <w:r>
        <w:rPr>
          <w:i w:val="0"/>
          <w:iCs w:val="0"/>
        </w:rPr>
        <w:fldChar w:fldCharType="begin"/>
      </w:r>
      <w:r>
        <w:rPr>
          <w:i w:val="0"/>
          <w:iCs w:val="0"/>
        </w:rPr>
        <w:instrText xml:space="preserve"> PAGEREF _Toc3615 \h </w:instrText>
      </w:r>
      <w:r>
        <w:rPr>
          <w:i w:val="0"/>
          <w:iCs w:val="0"/>
        </w:rPr>
        <w:fldChar w:fldCharType="separate"/>
      </w:r>
      <w:r>
        <w:rPr>
          <w:i w:val="0"/>
          <w:iCs w:val="0"/>
        </w:rPr>
        <w:t>- 30 -</w:t>
      </w:r>
      <w:r>
        <w:rPr>
          <w:i w:val="0"/>
          <w:iCs w:val="0"/>
        </w:rPr>
        <w:fldChar w:fldCharType="end"/>
      </w:r>
      <w:r>
        <w:rPr>
          <w:i w:val="0"/>
          <w:iCs w:val="0"/>
          <w:color w:val="000000" w:themeColor="text1"/>
          <w14:textFill>
            <w14:solidFill>
              <w14:schemeClr w14:val="tx1"/>
            </w14:solidFill>
          </w14:textFill>
        </w:rPr>
        <w:fldChar w:fldCharType="end"/>
      </w:r>
    </w:p>
    <w:p w14:paraId="3447CCD7">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_Toc16064 </w:instrText>
      </w:r>
      <w:r>
        <w:rPr>
          <w:i w:val="0"/>
          <w:iCs w:val="0"/>
        </w:rPr>
        <w:fldChar w:fldCharType="separate"/>
      </w:r>
      <w:r>
        <w:rPr>
          <w:rFonts w:hint="eastAsia"/>
          <w:i w:val="0"/>
          <w:iCs w:val="0"/>
        </w:rPr>
        <w:t>25. 开标程序</w:t>
      </w:r>
      <w:r>
        <w:rPr>
          <w:i w:val="0"/>
          <w:iCs w:val="0"/>
        </w:rPr>
        <w:tab/>
      </w:r>
      <w:r>
        <w:rPr>
          <w:i w:val="0"/>
          <w:iCs w:val="0"/>
        </w:rPr>
        <w:fldChar w:fldCharType="begin"/>
      </w:r>
      <w:r>
        <w:rPr>
          <w:i w:val="0"/>
          <w:iCs w:val="0"/>
        </w:rPr>
        <w:instrText xml:space="preserve"> PAGEREF _Toc16064 \h </w:instrText>
      </w:r>
      <w:r>
        <w:rPr>
          <w:i w:val="0"/>
          <w:iCs w:val="0"/>
        </w:rPr>
        <w:fldChar w:fldCharType="separate"/>
      </w:r>
      <w:r>
        <w:rPr>
          <w:i w:val="0"/>
          <w:iCs w:val="0"/>
        </w:rPr>
        <w:t>- 30 -</w:t>
      </w:r>
      <w:r>
        <w:rPr>
          <w:i w:val="0"/>
          <w:iCs w:val="0"/>
        </w:rPr>
        <w:fldChar w:fldCharType="end"/>
      </w:r>
      <w:r>
        <w:rPr>
          <w:i w:val="0"/>
          <w:iCs w:val="0"/>
          <w:color w:val="000000" w:themeColor="text1"/>
          <w14:textFill>
            <w14:solidFill>
              <w14:schemeClr w14:val="tx1"/>
            </w14:solidFill>
          </w14:textFill>
        </w:rPr>
        <w:fldChar w:fldCharType="end"/>
      </w:r>
    </w:p>
    <w:p w14:paraId="70831C60">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_Toc5278 </w:instrText>
      </w:r>
      <w:r>
        <w:rPr>
          <w:i w:val="0"/>
          <w:iCs w:val="0"/>
        </w:rPr>
        <w:fldChar w:fldCharType="separate"/>
      </w:r>
      <w:r>
        <w:rPr>
          <w:rFonts w:hint="eastAsia"/>
          <w:i w:val="0"/>
          <w:iCs w:val="0"/>
        </w:rPr>
        <w:t>26. 开标疑义及回避情形</w:t>
      </w:r>
      <w:r>
        <w:rPr>
          <w:i w:val="0"/>
          <w:iCs w:val="0"/>
        </w:rPr>
        <w:tab/>
      </w:r>
      <w:r>
        <w:rPr>
          <w:i w:val="0"/>
          <w:iCs w:val="0"/>
        </w:rPr>
        <w:fldChar w:fldCharType="begin"/>
      </w:r>
      <w:r>
        <w:rPr>
          <w:i w:val="0"/>
          <w:iCs w:val="0"/>
        </w:rPr>
        <w:instrText xml:space="preserve"> PAGEREF _Toc5278 \h </w:instrText>
      </w:r>
      <w:r>
        <w:rPr>
          <w:i w:val="0"/>
          <w:iCs w:val="0"/>
        </w:rPr>
        <w:fldChar w:fldCharType="separate"/>
      </w:r>
      <w:r>
        <w:rPr>
          <w:i w:val="0"/>
          <w:iCs w:val="0"/>
        </w:rPr>
        <w:t>- 31 -</w:t>
      </w:r>
      <w:r>
        <w:rPr>
          <w:i w:val="0"/>
          <w:iCs w:val="0"/>
        </w:rPr>
        <w:fldChar w:fldCharType="end"/>
      </w:r>
      <w:r>
        <w:rPr>
          <w:i w:val="0"/>
          <w:iCs w:val="0"/>
          <w:color w:val="000000" w:themeColor="text1"/>
          <w14:textFill>
            <w14:solidFill>
              <w14:schemeClr w14:val="tx1"/>
            </w14:solidFill>
          </w14:textFill>
        </w:rPr>
        <w:fldChar w:fldCharType="end"/>
      </w:r>
    </w:p>
    <w:p w14:paraId="63403FD0">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_Toc20792 </w:instrText>
      </w:r>
      <w:r>
        <w:rPr>
          <w:i w:val="0"/>
          <w:iCs w:val="0"/>
        </w:rPr>
        <w:fldChar w:fldCharType="separate"/>
      </w:r>
      <w:r>
        <w:rPr>
          <w:rFonts w:hint="eastAsia" w:asciiTheme="minorHAnsi" w:hAnsiTheme="minorHAnsi"/>
          <w:i w:val="0"/>
          <w:iCs w:val="0"/>
        </w:rPr>
        <w:t>（六） 资格审查</w:t>
      </w:r>
      <w:r>
        <w:rPr>
          <w:i w:val="0"/>
          <w:iCs w:val="0"/>
        </w:rPr>
        <w:tab/>
      </w:r>
      <w:r>
        <w:rPr>
          <w:i w:val="0"/>
          <w:iCs w:val="0"/>
        </w:rPr>
        <w:fldChar w:fldCharType="begin"/>
      </w:r>
      <w:r>
        <w:rPr>
          <w:i w:val="0"/>
          <w:iCs w:val="0"/>
        </w:rPr>
        <w:instrText xml:space="preserve"> PAGEREF _Toc20792 \h </w:instrText>
      </w:r>
      <w:r>
        <w:rPr>
          <w:i w:val="0"/>
          <w:iCs w:val="0"/>
        </w:rPr>
        <w:fldChar w:fldCharType="separate"/>
      </w:r>
      <w:r>
        <w:rPr>
          <w:i w:val="0"/>
          <w:iCs w:val="0"/>
        </w:rPr>
        <w:t>- 31 -</w:t>
      </w:r>
      <w:r>
        <w:rPr>
          <w:i w:val="0"/>
          <w:iCs w:val="0"/>
        </w:rPr>
        <w:fldChar w:fldCharType="end"/>
      </w:r>
      <w:r>
        <w:rPr>
          <w:i w:val="0"/>
          <w:iCs w:val="0"/>
          <w:color w:val="000000" w:themeColor="text1"/>
          <w14:textFill>
            <w14:solidFill>
              <w14:schemeClr w14:val="tx1"/>
            </w14:solidFill>
          </w14:textFill>
        </w:rPr>
        <w:fldChar w:fldCharType="end"/>
      </w:r>
    </w:p>
    <w:p w14:paraId="5896ACB1">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_Toc16507 </w:instrText>
      </w:r>
      <w:r>
        <w:rPr>
          <w:i w:val="0"/>
          <w:iCs w:val="0"/>
        </w:rPr>
        <w:fldChar w:fldCharType="separate"/>
      </w:r>
      <w:r>
        <w:rPr>
          <w:rFonts w:hint="eastAsia"/>
          <w:i w:val="0"/>
          <w:iCs w:val="0"/>
        </w:rPr>
        <w:t>27. 资格审查及审查主体</w:t>
      </w:r>
      <w:r>
        <w:rPr>
          <w:i w:val="0"/>
          <w:iCs w:val="0"/>
        </w:rPr>
        <w:tab/>
      </w:r>
      <w:r>
        <w:rPr>
          <w:i w:val="0"/>
          <w:iCs w:val="0"/>
        </w:rPr>
        <w:fldChar w:fldCharType="begin"/>
      </w:r>
      <w:r>
        <w:rPr>
          <w:i w:val="0"/>
          <w:iCs w:val="0"/>
        </w:rPr>
        <w:instrText xml:space="preserve"> PAGEREF _Toc16507 \h </w:instrText>
      </w:r>
      <w:r>
        <w:rPr>
          <w:i w:val="0"/>
          <w:iCs w:val="0"/>
        </w:rPr>
        <w:fldChar w:fldCharType="separate"/>
      </w:r>
      <w:r>
        <w:rPr>
          <w:i w:val="0"/>
          <w:iCs w:val="0"/>
        </w:rPr>
        <w:t>- 31 -</w:t>
      </w:r>
      <w:r>
        <w:rPr>
          <w:i w:val="0"/>
          <w:iCs w:val="0"/>
        </w:rPr>
        <w:fldChar w:fldCharType="end"/>
      </w:r>
      <w:r>
        <w:rPr>
          <w:i w:val="0"/>
          <w:iCs w:val="0"/>
          <w:color w:val="000000" w:themeColor="text1"/>
          <w14:textFill>
            <w14:solidFill>
              <w14:schemeClr w14:val="tx1"/>
            </w14:solidFill>
          </w14:textFill>
        </w:rPr>
        <w:fldChar w:fldCharType="end"/>
      </w:r>
    </w:p>
    <w:p w14:paraId="2C42BA8D">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_Toc9320 </w:instrText>
      </w:r>
      <w:r>
        <w:rPr>
          <w:i w:val="0"/>
          <w:iCs w:val="0"/>
        </w:rPr>
        <w:fldChar w:fldCharType="separate"/>
      </w:r>
      <w:r>
        <w:rPr>
          <w:rFonts w:hint="eastAsia" w:asciiTheme="minorHAnsi" w:hAnsiTheme="minorHAnsi"/>
          <w:i w:val="0"/>
          <w:iCs w:val="0"/>
        </w:rPr>
        <w:t>（七） 评标</w:t>
      </w:r>
      <w:r>
        <w:rPr>
          <w:i w:val="0"/>
          <w:iCs w:val="0"/>
        </w:rPr>
        <w:tab/>
      </w:r>
      <w:r>
        <w:rPr>
          <w:i w:val="0"/>
          <w:iCs w:val="0"/>
        </w:rPr>
        <w:fldChar w:fldCharType="begin"/>
      </w:r>
      <w:r>
        <w:rPr>
          <w:i w:val="0"/>
          <w:iCs w:val="0"/>
        </w:rPr>
        <w:instrText xml:space="preserve"> PAGEREF _Toc9320 \h </w:instrText>
      </w:r>
      <w:r>
        <w:rPr>
          <w:i w:val="0"/>
          <w:iCs w:val="0"/>
        </w:rPr>
        <w:fldChar w:fldCharType="separate"/>
      </w:r>
      <w:r>
        <w:rPr>
          <w:i w:val="0"/>
          <w:iCs w:val="0"/>
        </w:rPr>
        <w:t>- 31 -</w:t>
      </w:r>
      <w:r>
        <w:rPr>
          <w:i w:val="0"/>
          <w:iCs w:val="0"/>
        </w:rPr>
        <w:fldChar w:fldCharType="end"/>
      </w:r>
      <w:r>
        <w:rPr>
          <w:i w:val="0"/>
          <w:iCs w:val="0"/>
          <w:color w:val="000000" w:themeColor="text1"/>
          <w14:textFill>
            <w14:solidFill>
              <w14:schemeClr w14:val="tx1"/>
            </w14:solidFill>
          </w14:textFill>
        </w:rPr>
        <w:fldChar w:fldCharType="end"/>
      </w:r>
    </w:p>
    <w:p w14:paraId="5898D8F1">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_Toc16561 </w:instrText>
      </w:r>
      <w:r>
        <w:rPr>
          <w:i w:val="0"/>
          <w:iCs w:val="0"/>
        </w:rPr>
        <w:fldChar w:fldCharType="separate"/>
      </w:r>
      <w:r>
        <w:rPr>
          <w:rFonts w:hint="eastAsia"/>
          <w:i w:val="0"/>
          <w:iCs w:val="0"/>
        </w:rPr>
        <w:t>28. 评标委员会</w:t>
      </w:r>
      <w:r>
        <w:rPr>
          <w:i w:val="0"/>
          <w:iCs w:val="0"/>
        </w:rPr>
        <w:tab/>
      </w:r>
      <w:r>
        <w:rPr>
          <w:i w:val="0"/>
          <w:iCs w:val="0"/>
        </w:rPr>
        <w:fldChar w:fldCharType="begin"/>
      </w:r>
      <w:r>
        <w:rPr>
          <w:i w:val="0"/>
          <w:iCs w:val="0"/>
        </w:rPr>
        <w:instrText xml:space="preserve"> PAGEREF _Toc16561 \h </w:instrText>
      </w:r>
      <w:r>
        <w:rPr>
          <w:i w:val="0"/>
          <w:iCs w:val="0"/>
        </w:rPr>
        <w:fldChar w:fldCharType="separate"/>
      </w:r>
      <w:r>
        <w:rPr>
          <w:i w:val="0"/>
          <w:iCs w:val="0"/>
        </w:rPr>
        <w:t>- 31 -</w:t>
      </w:r>
      <w:r>
        <w:rPr>
          <w:i w:val="0"/>
          <w:iCs w:val="0"/>
        </w:rPr>
        <w:fldChar w:fldCharType="end"/>
      </w:r>
      <w:r>
        <w:rPr>
          <w:i w:val="0"/>
          <w:iCs w:val="0"/>
          <w:color w:val="000000" w:themeColor="text1"/>
          <w14:textFill>
            <w14:solidFill>
              <w14:schemeClr w14:val="tx1"/>
            </w14:solidFill>
          </w14:textFill>
        </w:rPr>
        <w:fldChar w:fldCharType="end"/>
      </w:r>
    </w:p>
    <w:p w14:paraId="2C71C4A4">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_Toc15383 </w:instrText>
      </w:r>
      <w:r>
        <w:rPr>
          <w:i w:val="0"/>
          <w:iCs w:val="0"/>
        </w:rPr>
        <w:fldChar w:fldCharType="separate"/>
      </w:r>
      <w:r>
        <w:rPr>
          <w:rFonts w:hint="eastAsia"/>
          <w:i w:val="0"/>
          <w:iCs w:val="0"/>
        </w:rPr>
        <w:t>29. 评标</w:t>
      </w:r>
      <w:r>
        <w:rPr>
          <w:i w:val="0"/>
          <w:iCs w:val="0"/>
        </w:rPr>
        <w:tab/>
      </w:r>
      <w:r>
        <w:rPr>
          <w:i w:val="0"/>
          <w:iCs w:val="0"/>
        </w:rPr>
        <w:fldChar w:fldCharType="begin"/>
      </w:r>
      <w:r>
        <w:rPr>
          <w:i w:val="0"/>
          <w:iCs w:val="0"/>
        </w:rPr>
        <w:instrText xml:space="preserve"> PAGEREF _Toc15383 \h </w:instrText>
      </w:r>
      <w:r>
        <w:rPr>
          <w:i w:val="0"/>
          <w:iCs w:val="0"/>
        </w:rPr>
        <w:fldChar w:fldCharType="separate"/>
      </w:r>
      <w:r>
        <w:rPr>
          <w:i w:val="0"/>
          <w:iCs w:val="0"/>
        </w:rPr>
        <w:t>- 32 -</w:t>
      </w:r>
      <w:r>
        <w:rPr>
          <w:i w:val="0"/>
          <w:iCs w:val="0"/>
        </w:rPr>
        <w:fldChar w:fldCharType="end"/>
      </w:r>
      <w:r>
        <w:rPr>
          <w:i w:val="0"/>
          <w:iCs w:val="0"/>
          <w:color w:val="000000" w:themeColor="text1"/>
          <w14:textFill>
            <w14:solidFill>
              <w14:schemeClr w14:val="tx1"/>
            </w14:solidFill>
          </w14:textFill>
        </w:rPr>
        <w:fldChar w:fldCharType="end"/>
      </w:r>
    </w:p>
    <w:p w14:paraId="04C52276">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_Toc8144 </w:instrText>
      </w:r>
      <w:r>
        <w:rPr>
          <w:i w:val="0"/>
          <w:iCs w:val="0"/>
        </w:rPr>
        <w:fldChar w:fldCharType="separate"/>
      </w:r>
      <w:r>
        <w:rPr>
          <w:rFonts w:hint="eastAsia" w:asciiTheme="minorHAnsi" w:hAnsiTheme="minorHAnsi"/>
          <w:i w:val="0"/>
          <w:iCs w:val="0"/>
        </w:rPr>
        <w:t>（八） 中标</w:t>
      </w:r>
      <w:r>
        <w:rPr>
          <w:i w:val="0"/>
          <w:iCs w:val="0"/>
        </w:rPr>
        <w:tab/>
      </w:r>
      <w:r>
        <w:rPr>
          <w:i w:val="0"/>
          <w:iCs w:val="0"/>
        </w:rPr>
        <w:fldChar w:fldCharType="begin"/>
      </w:r>
      <w:r>
        <w:rPr>
          <w:i w:val="0"/>
          <w:iCs w:val="0"/>
        </w:rPr>
        <w:instrText xml:space="preserve"> PAGEREF _Toc8144 \h </w:instrText>
      </w:r>
      <w:r>
        <w:rPr>
          <w:i w:val="0"/>
          <w:iCs w:val="0"/>
        </w:rPr>
        <w:fldChar w:fldCharType="separate"/>
      </w:r>
      <w:r>
        <w:rPr>
          <w:i w:val="0"/>
          <w:iCs w:val="0"/>
        </w:rPr>
        <w:t>- 32 -</w:t>
      </w:r>
      <w:r>
        <w:rPr>
          <w:i w:val="0"/>
          <w:iCs w:val="0"/>
        </w:rPr>
        <w:fldChar w:fldCharType="end"/>
      </w:r>
      <w:r>
        <w:rPr>
          <w:i w:val="0"/>
          <w:iCs w:val="0"/>
          <w:color w:val="000000" w:themeColor="text1"/>
          <w14:textFill>
            <w14:solidFill>
              <w14:schemeClr w14:val="tx1"/>
            </w14:solidFill>
          </w14:textFill>
        </w:rPr>
        <w:fldChar w:fldCharType="end"/>
      </w:r>
    </w:p>
    <w:p w14:paraId="61099F23">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_Toc24278 </w:instrText>
      </w:r>
      <w:r>
        <w:rPr>
          <w:i w:val="0"/>
          <w:iCs w:val="0"/>
        </w:rPr>
        <w:fldChar w:fldCharType="separate"/>
      </w:r>
      <w:r>
        <w:rPr>
          <w:rFonts w:hint="eastAsia"/>
          <w:i w:val="0"/>
          <w:iCs w:val="0"/>
        </w:rPr>
        <w:t>30. 确定中标人</w:t>
      </w:r>
      <w:r>
        <w:rPr>
          <w:i w:val="0"/>
          <w:iCs w:val="0"/>
        </w:rPr>
        <w:tab/>
      </w:r>
      <w:r>
        <w:rPr>
          <w:i w:val="0"/>
          <w:iCs w:val="0"/>
        </w:rPr>
        <w:fldChar w:fldCharType="begin"/>
      </w:r>
      <w:r>
        <w:rPr>
          <w:i w:val="0"/>
          <w:iCs w:val="0"/>
        </w:rPr>
        <w:instrText xml:space="preserve"> PAGEREF _Toc24278 \h </w:instrText>
      </w:r>
      <w:r>
        <w:rPr>
          <w:i w:val="0"/>
          <w:iCs w:val="0"/>
        </w:rPr>
        <w:fldChar w:fldCharType="separate"/>
      </w:r>
      <w:r>
        <w:rPr>
          <w:i w:val="0"/>
          <w:iCs w:val="0"/>
        </w:rPr>
        <w:t>- 32 -</w:t>
      </w:r>
      <w:r>
        <w:rPr>
          <w:i w:val="0"/>
          <w:iCs w:val="0"/>
        </w:rPr>
        <w:fldChar w:fldCharType="end"/>
      </w:r>
      <w:r>
        <w:rPr>
          <w:i w:val="0"/>
          <w:iCs w:val="0"/>
          <w:color w:val="000000" w:themeColor="text1"/>
          <w14:textFill>
            <w14:solidFill>
              <w14:schemeClr w14:val="tx1"/>
            </w14:solidFill>
          </w14:textFill>
        </w:rPr>
        <w:fldChar w:fldCharType="end"/>
      </w:r>
    </w:p>
    <w:p w14:paraId="77825257">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_Toc24418 </w:instrText>
      </w:r>
      <w:r>
        <w:rPr>
          <w:i w:val="0"/>
          <w:iCs w:val="0"/>
        </w:rPr>
        <w:fldChar w:fldCharType="separate"/>
      </w:r>
      <w:r>
        <w:rPr>
          <w:rFonts w:hint="eastAsia"/>
          <w:i w:val="0"/>
          <w:iCs w:val="0"/>
        </w:rPr>
        <w:t>31. 中标结果公告</w:t>
      </w:r>
      <w:r>
        <w:rPr>
          <w:i w:val="0"/>
          <w:iCs w:val="0"/>
        </w:rPr>
        <w:tab/>
      </w:r>
      <w:r>
        <w:rPr>
          <w:i w:val="0"/>
          <w:iCs w:val="0"/>
        </w:rPr>
        <w:fldChar w:fldCharType="begin"/>
      </w:r>
      <w:r>
        <w:rPr>
          <w:i w:val="0"/>
          <w:iCs w:val="0"/>
        </w:rPr>
        <w:instrText xml:space="preserve"> PAGEREF _Toc24418 \h </w:instrText>
      </w:r>
      <w:r>
        <w:rPr>
          <w:i w:val="0"/>
          <w:iCs w:val="0"/>
        </w:rPr>
        <w:fldChar w:fldCharType="separate"/>
      </w:r>
      <w:r>
        <w:rPr>
          <w:i w:val="0"/>
          <w:iCs w:val="0"/>
        </w:rPr>
        <w:t>- 32 -</w:t>
      </w:r>
      <w:r>
        <w:rPr>
          <w:i w:val="0"/>
          <w:iCs w:val="0"/>
        </w:rPr>
        <w:fldChar w:fldCharType="end"/>
      </w:r>
      <w:r>
        <w:rPr>
          <w:i w:val="0"/>
          <w:iCs w:val="0"/>
          <w:color w:val="000000" w:themeColor="text1"/>
          <w14:textFill>
            <w14:solidFill>
              <w14:schemeClr w14:val="tx1"/>
            </w14:solidFill>
          </w14:textFill>
        </w:rPr>
        <w:fldChar w:fldCharType="end"/>
      </w:r>
    </w:p>
    <w:p w14:paraId="34A2577C">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_Toc28760 </w:instrText>
      </w:r>
      <w:r>
        <w:rPr>
          <w:i w:val="0"/>
          <w:iCs w:val="0"/>
        </w:rPr>
        <w:fldChar w:fldCharType="separate"/>
      </w:r>
      <w:r>
        <w:rPr>
          <w:rFonts w:hint="eastAsia"/>
          <w:i w:val="0"/>
          <w:iCs w:val="0"/>
        </w:rPr>
        <w:t>32. 中标通知</w:t>
      </w:r>
      <w:r>
        <w:rPr>
          <w:i w:val="0"/>
          <w:iCs w:val="0"/>
        </w:rPr>
        <w:tab/>
      </w:r>
      <w:r>
        <w:rPr>
          <w:i w:val="0"/>
          <w:iCs w:val="0"/>
        </w:rPr>
        <w:fldChar w:fldCharType="begin"/>
      </w:r>
      <w:r>
        <w:rPr>
          <w:i w:val="0"/>
          <w:iCs w:val="0"/>
        </w:rPr>
        <w:instrText xml:space="preserve"> PAGEREF _Toc28760 \h </w:instrText>
      </w:r>
      <w:r>
        <w:rPr>
          <w:i w:val="0"/>
          <w:iCs w:val="0"/>
        </w:rPr>
        <w:fldChar w:fldCharType="separate"/>
      </w:r>
      <w:r>
        <w:rPr>
          <w:i w:val="0"/>
          <w:iCs w:val="0"/>
        </w:rPr>
        <w:t>- 32 -</w:t>
      </w:r>
      <w:r>
        <w:rPr>
          <w:i w:val="0"/>
          <w:iCs w:val="0"/>
        </w:rPr>
        <w:fldChar w:fldCharType="end"/>
      </w:r>
      <w:r>
        <w:rPr>
          <w:i w:val="0"/>
          <w:iCs w:val="0"/>
          <w:color w:val="000000" w:themeColor="text1"/>
          <w14:textFill>
            <w14:solidFill>
              <w14:schemeClr w14:val="tx1"/>
            </w14:solidFill>
          </w14:textFill>
        </w:rPr>
        <w:fldChar w:fldCharType="end"/>
      </w:r>
    </w:p>
    <w:p w14:paraId="701BC931">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_Toc25428 </w:instrText>
      </w:r>
      <w:r>
        <w:rPr>
          <w:i w:val="0"/>
          <w:iCs w:val="0"/>
        </w:rPr>
        <w:fldChar w:fldCharType="separate"/>
      </w:r>
      <w:r>
        <w:rPr>
          <w:rFonts w:hint="eastAsia" w:asciiTheme="minorHAnsi" w:hAnsiTheme="minorHAnsi"/>
          <w:i w:val="0"/>
          <w:iCs w:val="0"/>
        </w:rPr>
        <w:t>（九） 签订合同</w:t>
      </w:r>
      <w:r>
        <w:rPr>
          <w:i w:val="0"/>
          <w:iCs w:val="0"/>
        </w:rPr>
        <w:tab/>
      </w:r>
      <w:r>
        <w:rPr>
          <w:i w:val="0"/>
          <w:iCs w:val="0"/>
        </w:rPr>
        <w:fldChar w:fldCharType="begin"/>
      </w:r>
      <w:r>
        <w:rPr>
          <w:i w:val="0"/>
          <w:iCs w:val="0"/>
        </w:rPr>
        <w:instrText xml:space="preserve"> PAGEREF _Toc25428 \h </w:instrText>
      </w:r>
      <w:r>
        <w:rPr>
          <w:i w:val="0"/>
          <w:iCs w:val="0"/>
        </w:rPr>
        <w:fldChar w:fldCharType="separate"/>
      </w:r>
      <w:r>
        <w:rPr>
          <w:i w:val="0"/>
          <w:iCs w:val="0"/>
        </w:rPr>
        <w:t>- 33 -</w:t>
      </w:r>
      <w:r>
        <w:rPr>
          <w:i w:val="0"/>
          <w:iCs w:val="0"/>
        </w:rPr>
        <w:fldChar w:fldCharType="end"/>
      </w:r>
      <w:r>
        <w:rPr>
          <w:i w:val="0"/>
          <w:iCs w:val="0"/>
          <w:color w:val="000000" w:themeColor="text1"/>
          <w14:textFill>
            <w14:solidFill>
              <w14:schemeClr w14:val="tx1"/>
            </w14:solidFill>
          </w14:textFill>
        </w:rPr>
        <w:fldChar w:fldCharType="end"/>
      </w:r>
    </w:p>
    <w:p w14:paraId="40B8CBB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_Toc16312 </w:instrText>
      </w:r>
      <w:r>
        <w:rPr>
          <w:i w:val="0"/>
          <w:iCs w:val="0"/>
        </w:rPr>
        <w:fldChar w:fldCharType="separate"/>
      </w:r>
      <w:r>
        <w:rPr>
          <w:rFonts w:hint="eastAsia"/>
          <w:i w:val="0"/>
          <w:iCs w:val="0"/>
        </w:rPr>
        <w:t>33. 履约保证金</w:t>
      </w:r>
      <w:r>
        <w:rPr>
          <w:i w:val="0"/>
          <w:iCs w:val="0"/>
        </w:rPr>
        <w:tab/>
      </w:r>
      <w:r>
        <w:rPr>
          <w:i w:val="0"/>
          <w:iCs w:val="0"/>
        </w:rPr>
        <w:fldChar w:fldCharType="begin"/>
      </w:r>
      <w:r>
        <w:rPr>
          <w:i w:val="0"/>
          <w:iCs w:val="0"/>
        </w:rPr>
        <w:instrText xml:space="preserve"> PAGEREF _Toc16312 \h </w:instrText>
      </w:r>
      <w:r>
        <w:rPr>
          <w:i w:val="0"/>
          <w:iCs w:val="0"/>
        </w:rPr>
        <w:fldChar w:fldCharType="separate"/>
      </w:r>
      <w:r>
        <w:rPr>
          <w:i w:val="0"/>
          <w:iCs w:val="0"/>
        </w:rPr>
        <w:t>- 33 -</w:t>
      </w:r>
      <w:r>
        <w:rPr>
          <w:i w:val="0"/>
          <w:iCs w:val="0"/>
        </w:rPr>
        <w:fldChar w:fldCharType="end"/>
      </w:r>
      <w:r>
        <w:rPr>
          <w:i w:val="0"/>
          <w:iCs w:val="0"/>
          <w:color w:val="000000" w:themeColor="text1"/>
          <w14:textFill>
            <w14:solidFill>
              <w14:schemeClr w14:val="tx1"/>
            </w14:solidFill>
          </w14:textFill>
        </w:rPr>
        <w:fldChar w:fldCharType="end"/>
      </w:r>
    </w:p>
    <w:p w14:paraId="779107D4">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_Toc21938 </w:instrText>
      </w:r>
      <w:r>
        <w:rPr>
          <w:i w:val="0"/>
          <w:iCs w:val="0"/>
        </w:rPr>
        <w:fldChar w:fldCharType="separate"/>
      </w:r>
      <w:r>
        <w:rPr>
          <w:rFonts w:hint="eastAsia"/>
          <w:i w:val="0"/>
          <w:iCs w:val="0"/>
        </w:rPr>
        <w:t>34. 签订合同</w:t>
      </w:r>
      <w:r>
        <w:rPr>
          <w:i w:val="0"/>
          <w:iCs w:val="0"/>
        </w:rPr>
        <w:tab/>
      </w:r>
      <w:r>
        <w:rPr>
          <w:i w:val="0"/>
          <w:iCs w:val="0"/>
        </w:rPr>
        <w:fldChar w:fldCharType="begin"/>
      </w:r>
      <w:r>
        <w:rPr>
          <w:i w:val="0"/>
          <w:iCs w:val="0"/>
        </w:rPr>
        <w:instrText xml:space="preserve"> PAGEREF _Toc21938 \h </w:instrText>
      </w:r>
      <w:r>
        <w:rPr>
          <w:i w:val="0"/>
          <w:iCs w:val="0"/>
        </w:rPr>
        <w:fldChar w:fldCharType="separate"/>
      </w:r>
      <w:r>
        <w:rPr>
          <w:i w:val="0"/>
          <w:iCs w:val="0"/>
        </w:rPr>
        <w:t>- 33 -</w:t>
      </w:r>
      <w:r>
        <w:rPr>
          <w:i w:val="0"/>
          <w:iCs w:val="0"/>
        </w:rPr>
        <w:fldChar w:fldCharType="end"/>
      </w:r>
      <w:r>
        <w:rPr>
          <w:i w:val="0"/>
          <w:iCs w:val="0"/>
          <w:color w:val="000000" w:themeColor="text1"/>
          <w14:textFill>
            <w14:solidFill>
              <w14:schemeClr w14:val="tx1"/>
            </w14:solidFill>
          </w14:textFill>
        </w:rPr>
        <w:fldChar w:fldCharType="end"/>
      </w:r>
    </w:p>
    <w:p w14:paraId="0D938BFE">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_Toc28868 </w:instrText>
      </w:r>
      <w:r>
        <w:rPr>
          <w:i w:val="0"/>
          <w:iCs w:val="0"/>
        </w:rPr>
        <w:fldChar w:fldCharType="separate"/>
      </w:r>
      <w:r>
        <w:rPr>
          <w:rFonts w:hint="eastAsia" w:asciiTheme="minorHAnsi" w:hAnsiTheme="minorHAnsi"/>
          <w:i w:val="0"/>
          <w:iCs w:val="0"/>
        </w:rPr>
        <w:t>（十） 质疑和投诉</w:t>
      </w:r>
      <w:r>
        <w:rPr>
          <w:i w:val="0"/>
          <w:iCs w:val="0"/>
        </w:rPr>
        <w:tab/>
      </w:r>
      <w:r>
        <w:rPr>
          <w:i w:val="0"/>
          <w:iCs w:val="0"/>
        </w:rPr>
        <w:fldChar w:fldCharType="begin"/>
      </w:r>
      <w:r>
        <w:rPr>
          <w:i w:val="0"/>
          <w:iCs w:val="0"/>
        </w:rPr>
        <w:instrText xml:space="preserve"> PAGEREF _Toc28868 \h </w:instrText>
      </w:r>
      <w:r>
        <w:rPr>
          <w:i w:val="0"/>
          <w:iCs w:val="0"/>
        </w:rPr>
        <w:fldChar w:fldCharType="separate"/>
      </w:r>
      <w:r>
        <w:rPr>
          <w:i w:val="0"/>
          <w:iCs w:val="0"/>
        </w:rPr>
        <w:t>- 33 -</w:t>
      </w:r>
      <w:r>
        <w:rPr>
          <w:i w:val="0"/>
          <w:iCs w:val="0"/>
        </w:rPr>
        <w:fldChar w:fldCharType="end"/>
      </w:r>
      <w:r>
        <w:rPr>
          <w:i w:val="0"/>
          <w:iCs w:val="0"/>
          <w:color w:val="000000" w:themeColor="text1"/>
          <w14:textFill>
            <w14:solidFill>
              <w14:schemeClr w14:val="tx1"/>
            </w14:solidFill>
          </w14:textFill>
        </w:rPr>
        <w:fldChar w:fldCharType="end"/>
      </w:r>
    </w:p>
    <w:p w14:paraId="06113DBF">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_Toc11579 </w:instrText>
      </w:r>
      <w:r>
        <w:rPr>
          <w:i w:val="0"/>
          <w:iCs w:val="0"/>
        </w:rPr>
        <w:fldChar w:fldCharType="separate"/>
      </w:r>
      <w:r>
        <w:rPr>
          <w:rFonts w:hint="eastAsia"/>
          <w:i w:val="0"/>
          <w:iCs w:val="0"/>
        </w:rPr>
        <w:t>35. 质疑</w:t>
      </w:r>
      <w:r>
        <w:rPr>
          <w:i w:val="0"/>
          <w:iCs w:val="0"/>
        </w:rPr>
        <w:tab/>
      </w:r>
      <w:r>
        <w:rPr>
          <w:i w:val="0"/>
          <w:iCs w:val="0"/>
        </w:rPr>
        <w:fldChar w:fldCharType="begin"/>
      </w:r>
      <w:r>
        <w:rPr>
          <w:i w:val="0"/>
          <w:iCs w:val="0"/>
        </w:rPr>
        <w:instrText xml:space="preserve"> PAGEREF _Toc11579 \h </w:instrText>
      </w:r>
      <w:r>
        <w:rPr>
          <w:i w:val="0"/>
          <w:iCs w:val="0"/>
        </w:rPr>
        <w:fldChar w:fldCharType="separate"/>
      </w:r>
      <w:r>
        <w:rPr>
          <w:i w:val="0"/>
          <w:iCs w:val="0"/>
        </w:rPr>
        <w:t>- 33 -</w:t>
      </w:r>
      <w:r>
        <w:rPr>
          <w:i w:val="0"/>
          <w:iCs w:val="0"/>
        </w:rPr>
        <w:fldChar w:fldCharType="end"/>
      </w:r>
      <w:r>
        <w:rPr>
          <w:i w:val="0"/>
          <w:iCs w:val="0"/>
          <w:color w:val="000000" w:themeColor="text1"/>
          <w14:textFill>
            <w14:solidFill>
              <w14:schemeClr w14:val="tx1"/>
            </w14:solidFill>
          </w14:textFill>
        </w:rPr>
        <w:fldChar w:fldCharType="end"/>
      </w:r>
    </w:p>
    <w:p w14:paraId="6574272A">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_Toc8387 </w:instrText>
      </w:r>
      <w:r>
        <w:rPr>
          <w:i w:val="0"/>
          <w:iCs w:val="0"/>
        </w:rPr>
        <w:fldChar w:fldCharType="separate"/>
      </w:r>
      <w:r>
        <w:rPr>
          <w:rFonts w:hint="eastAsia"/>
          <w:i w:val="0"/>
          <w:iCs w:val="0"/>
        </w:rPr>
        <w:t>36. 质疑答复</w:t>
      </w:r>
      <w:r>
        <w:rPr>
          <w:i w:val="0"/>
          <w:iCs w:val="0"/>
        </w:rPr>
        <w:tab/>
      </w:r>
      <w:r>
        <w:rPr>
          <w:i w:val="0"/>
          <w:iCs w:val="0"/>
        </w:rPr>
        <w:fldChar w:fldCharType="begin"/>
      </w:r>
      <w:r>
        <w:rPr>
          <w:i w:val="0"/>
          <w:iCs w:val="0"/>
        </w:rPr>
        <w:instrText xml:space="preserve"> PAGEREF _Toc8387 \h </w:instrText>
      </w:r>
      <w:r>
        <w:rPr>
          <w:i w:val="0"/>
          <w:iCs w:val="0"/>
        </w:rPr>
        <w:fldChar w:fldCharType="separate"/>
      </w:r>
      <w:r>
        <w:rPr>
          <w:i w:val="0"/>
          <w:iCs w:val="0"/>
        </w:rPr>
        <w:t>- 34 -</w:t>
      </w:r>
      <w:r>
        <w:rPr>
          <w:i w:val="0"/>
          <w:iCs w:val="0"/>
        </w:rPr>
        <w:fldChar w:fldCharType="end"/>
      </w:r>
      <w:r>
        <w:rPr>
          <w:i w:val="0"/>
          <w:iCs w:val="0"/>
          <w:color w:val="000000" w:themeColor="text1"/>
          <w14:textFill>
            <w14:solidFill>
              <w14:schemeClr w14:val="tx1"/>
            </w14:solidFill>
          </w14:textFill>
        </w:rPr>
        <w:fldChar w:fldCharType="end"/>
      </w:r>
    </w:p>
    <w:p w14:paraId="631C76D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_Toc5524 </w:instrText>
      </w:r>
      <w:r>
        <w:rPr>
          <w:i w:val="0"/>
          <w:iCs w:val="0"/>
        </w:rPr>
        <w:fldChar w:fldCharType="separate"/>
      </w:r>
      <w:r>
        <w:rPr>
          <w:rFonts w:hint="eastAsia"/>
          <w:i w:val="0"/>
          <w:iCs w:val="0"/>
        </w:rPr>
        <w:t>37. 投诉</w:t>
      </w:r>
      <w:r>
        <w:rPr>
          <w:i w:val="0"/>
          <w:iCs w:val="0"/>
        </w:rPr>
        <w:tab/>
      </w:r>
      <w:r>
        <w:rPr>
          <w:i w:val="0"/>
          <w:iCs w:val="0"/>
        </w:rPr>
        <w:fldChar w:fldCharType="begin"/>
      </w:r>
      <w:r>
        <w:rPr>
          <w:i w:val="0"/>
          <w:iCs w:val="0"/>
        </w:rPr>
        <w:instrText xml:space="preserve"> PAGEREF _Toc5524 \h </w:instrText>
      </w:r>
      <w:r>
        <w:rPr>
          <w:i w:val="0"/>
          <w:iCs w:val="0"/>
        </w:rPr>
        <w:fldChar w:fldCharType="separate"/>
      </w:r>
      <w:r>
        <w:rPr>
          <w:i w:val="0"/>
          <w:iCs w:val="0"/>
        </w:rPr>
        <w:t>- 34 -</w:t>
      </w:r>
      <w:r>
        <w:rPr>
          <w:i w:val="0"/>
          <w:iCs w:val="0"/>
        </w:rPr>
        <w:fldChar w:fldCharType="end"/>
      </w:r>
      <w:r>
        <w:rPr>
          <w:i w:val="0"/>
          <w:iCs w:val="0"/>
          <w:color w:val="000000" w:themeColor="text1"/>
          <w14:textFill>
            <w14:solidFill>
              <w14:schemeClr w14:val="tx1"/>
            </w14:solidFill>
          </w14:textFill>
        </w:rPr>
        <w:fldChar w:fldCharType="end"/>
      </w:r>
    </w:p>
    <w:p w14:paraId="0B8B27ED">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_Toc10836 </w:instrText>
      </w:r>
      <w:r>
        <w:rPr>
          <w:i w:val="0"/>
          <w:iCs w:val="0"/>
        </w:rPr>
        <w:fldChar w:fldCharType="separate"/>
      </w:r>
      <w:r>
        <w:rPr>
          <w:rFonts w:hint="eastAsia" w:asciiTheme="minorHAnsi" w:hAnsiTheme="minorHAnsi"/>
          <w:i w:val="0"/>
          <w:iCs w:val="0"/>
        </w:rPr>
        <w:t>（十一） 采购代理服务费</w:t>
      </w:r>
      <w:r>
        <w:rPr>
          <w:i w:val="0"/>
          <w:iCs w:val="0"/>
        </w:rPr>
        <w:tab/>
      </w:r>
      <w:r>
        <w:rPr>
          <w:i w:val="0"/>
          <w:iCs w:val="0"/>
        </w:rPr>
        <w:fldChar w:fldCharType="begin"/>
      </w:r>
      <w:r>
        <w:rPr>
          <w:i w:val="0"/>
          <w:iCs w:val="0"/>
        </w:rPr>
        <w:instrText xml:space="preserve"> PAGEREF _Toc10836 \h </w:instrText>
      </w:r>
      <w:r>
        <w:rPr>
          <w:i w:val="0"/>
          <w:iCs w:val="0"/>
        </w:rPr>
        <w:fldChar w:fldCharType="separate"/>
      </w:r>
      <w:r>
        <w:rPr>
          <w:i w:val="0"/>
          <w:iCs w:val="0"/>
        </w:rPr>
        <w:t>- 35 -</w:t>
      </w:r>
      <w:r>
        <w:rPr>
          <w:i w:val="0"/>
          <w:iCs w:val="0"/>
        </w:rPr>
        <w:fldChar w:fldCharType="end"/>
      </w:r>
      <w:r>
        <w:rPr>
          <w:i w:val="0"/>
          <w:iCs w:val="0"/>
          <w:color w:val="000000" w:themeColor="text1"/>
          <w14:textFill>
            <w14:solidFill>
              <w14:schemeClr w14:val="tx1"/>
            </w14:solidFill>
          </w14:textFill>
        </w:rPr>
        <w:fldChar w:fldCharType="end"/>
      </w:r>
    </w:p>
    <w:p w14:paraId="31C3F15B">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_Toc11818 </w:instrText>
      </w:r>
      <w:r>
        <w:rPr>
          <w:i w:val="0"/>
          <w:iCs w:val="0"/>
        </w:rPr>
        <w:fldChar w:fldCharType="separate"/>
      </w:r>
      <w:r>
        <w:rPr>
          <w:rFonts w:hint="eastAsia"/>
          <w:i w:val="0"/>
          <w:iCs w:val="0"/>
        </w:rPr>
        <w:t>38. 收取方式和标准</w:t>
      </w:r>
      <w:r>
        <w:rPr>
          <w:i w:val="0"/>
          <w:iCs w:val="0"/>
        </w:rPr>
        <w:tab/>
      </w:r>
      <w:r>
        <w:rPr>
          <w:i w:val="0"/>
          <w:iCs w:val="0"/>
        </w:rPr>
        <w:fldChar w:fldCharType="begin"/>
      </w:r>
      <w:r>
        <w:rPr>
          <w:i w:val="0"/>
          <w:iCs w:val="0"/>
        </w:rPr>
        <w:instrText xml:space="preserve"> PAGEREF _Toc11818 \h </w:instrText>
      </w:r>
      <w:r>
        <w:rPr>
          <w:i w:val="0"/>
          <w:iCs w:val="0"/>
        </w:rPr>
        <w:fldChar w:fldCharType="separate"/>
      </w:r>
      <w:r>
        <w:rPr>
          <w:i w:val="0"/>
          <w:iCs w:val="0"/>
        </w:rPr>
        <w:t>- 35 -</w:t>
      </w:r>
      <w:r>
        <w:rPr>
          <w:i w:val="0"/>
          <w:iCs w:val="0"/>
        </w:rPr>
        <w:fldChar w:fldCharType="end"/>
      </w:r>
      <w:r>
        <w:rPr>
          <w:i w:val="0"/>
          <w:iCs w:val="0"/>
          <w:color w:val="000000" w:themeColor="text1"/>
          <w14:textFill>
            <w14:solidFill>
              <w14:schemeClr w14:val="tx1"/>
            </w14:solidFill>
          </w14:textFill>
        </w:rPr>
        <w:fldChar w:fldCharType="end"/>
      </w:r>
    </w:p>
    <w:p w14:paraId="6A924E53">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_Toc18773 </w:instrText>
      </w:r>
      <w:r>
        <w:rPr>
          <w:i w:val="0"/>
          <w:iCs w:val="0"/>
        </w:rPr>
        <w:fldChar w:fldCharType="separate"/>
      </w:r>
      <w:r>
        <w:rPr>
          <w:rFonts w:hint="eastAsia" w:asciiTheme="minorHAnsi" w:hAnsiTheme="minorHAnsi"/>
          <w:i w:val="0"/>
          <w:iCs w:val="0"/>
        </w:rPr>
        <w:t>（十二） 无效投标和废标</w:t>
      </w:r>
      <w:r>
        <w:rPr>
          <w:i w:val="0"/>
          <w:iCs w:val="0"/>
        </w:rPr>
        <w:tab/>
      </w:r>
      <w:r>
        <w:rPr>
          <w:i w:val="0"/>
          <w:iCs w:val="0"/>
        </w:rPr>
        <w:fldChar w:fldCharType="begin"/>
      </w:r>
      <w:r>
        <w:rPr>
          <w:i w:val="0"/>
          <w:iCs w:val="0"/>
        </w:rPr>
        <w:instrText xml:space="preserve"> PAGEREF _Toc18773 \h </w:instrText>
      </w:r>
      <w:r>
        <w:rPr>
          <w:i w:val="0"/>
          <w:iCs w:val="0"/>
        </w:rPr>
        <w:fldChar w:fldCharType="separate"/>
      </w:r>
      <w:r>
        <w:rPr>
          <w:i w:val="0"/>
          <w:iCs w:val="0"/>
        </w:rPr>
        <w:t>- 35 -</w:t>
      </w:r>
      <w:r>
        <w:rPr>
          <w:i w:val="0"/>
          <w:iCs w:val="0"/>
        </w:rPr>
        <w:fldChar w:fldCharType="end"/>
      </w:r>
      <w:r>
        <w:rPr>
          <w:i w:val="0"/>
          <w:iCs w:val="0"/>
          <w:color w:val="000000" w:themeColor="text1"/>
          <w14:textFill>
            <w14:solidFill>
              <w14:schemeClr w14:val="tx1"/>
            </w14:solidFill>
          </w14:textFill>
        </w:rPr>
        <w:fldChar w:fldCharType="end"/>
      </w:r>
    </w:p>
    <w:p w14:paraId="69C9B810">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_Toc31998 </w:instrText>
      </w:r>
      <w:r>
        <w:rPr>
          <w:i w:val="0"/>
          <w:iCs w:val="0"/>
        </w:rPr>
        <w:fldChar w:fldCharType="separate"/>
      </w:r>
      <w:r>
        <w:rPr>
          <w:rFonts w:hint="eastAsia"/>
          <w:i w:val="0"/>
          <w:iCs w:val="0"/>
        </w:rPr>
        <w:t>39. 无效投标</w:t>
      </w:r>
      <w:r>
        <w:rPr>
          <w:i w:val="0"/>
          <w:iCs w:val="0"/>
        </w:rPr>
        <w:tab/>
      </w:r>
      <w:r>
        <w:rPr>
          <w:i w:val="0"/>
          <w:iCs w:val="0"/>
        </w:rPr>
        <w:fldChar w:fldCharType="begin"/>
      </w:r>
      <w:r>
        <w:rPr>
          <w:i w:val="0"/>
          <w:iCs w:val="0"/>
        </w:rPr>
        <w:instrText xml:space="preserve"> PAGEREF _Toc31998 \h </w:instrText>
      </w:r>
      <w:r>
        <w:rPr>
          <w:i w:val="0"/>
          <w:iCs w:val="0"/>
        </w:rPr>
        <w:fldChar w:fldCharType="separate"/>
      </w:r>
      <w:r>
        <w:rPr>
          <w:i w:val="0"/>
          <w:iCs w:val="0"/>
        </w:rPr>
        <w:t>- 35 -</w:t>
      </w:r>
      <w:r>
        <w:rPr>
          <w:i w:val="0"/>
          <w:iCs w:val="0"/>
        </w:rPr>
        <w:fldChar w:fldCharType="end"/>
      </w:r>
      <w:r>
        <w:rPr>
          <w:i w:val="0"/>
          <w:iCs w:val="0"/>
          <w:color w:val="000000" w:themeColor="text1"/>
          <w14:textFill>
            <w14:solidFill>
              <w14:schemeClr w14:val="tx1"/>
            </w14:solidFill>
          </w14:textFill>
        </w:rPr>
        <w:fldChar w:fldCharType="end"/>
      </w:r>
    </w:p>
    <w:p w14:paraId="0FDDD349">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_Toc9972 </w:instrText>
      </w:r>
      <w:r>
        <w:rPr>
          <w:i w:val="0"/>
          <w:iCs w:val="0"/>
        </w:rPr>
        <w:fldChar w:fldCharType="separate"/>
      </w:r>
      <w:r>
        <w:rPr>
          <w:rFonts w:hint="eastAsia"/>
          <w:i w:val="0"/>
          <w:iCs w:val="0"/>
        </w:rPr>
        <w:t>40. 废标</w:t>
      </w:r>
      <w:r>
        <w:rPr>
          <w:i w:val="0"/>
          <w:iCs w:val="0"/>
        </w:rPr>
        <w:tab/>
      </w:r>
      <w:r>
        <w:rPr>
          <w:i w:val="0"/>
          <w:iCs w:val="0"/>
        </w:rPr>
        <w:fldChar w:fldCharType="begin"/>
      </w:r>
      <w:r>
        <w:rPr>
          <w:i w:val="0"/>
          <w:iCs w:val="0"/>
        </w:rPr>
        <w:instrText xml:space="preserve"> PAGEREF _Toc9972 \h </w:instrText>
      </w:r>
      <w:r>
        <w:rPr>
          <w:i w:val="0"/>
          <w:iCs w:val="0"/>
        </w:rPr>
        <w:fldChar w:fldCharType="separate"/>
      </w:r>
      <w:r>
        <w:rPr>
          <w:i w:val="0"/>
          <w:iCs w:val="0"/>
        </w:rPr>
        <w:t>- 35 -</w:t>
      </w:r>
      <w:r>
        <w:rPr>
          <w:i w:val="0"/>
          <w:iCs w:val="0"/>
        </w:rPr>
        <w:fldChar w:fldCharType="end"/>
      </w:r>
      <w:r>
        <w:rPr>
          <w:i w:val="0"/>
          <w:iCs w:val="0"/>
          <w:color w:val="000000" w:themeColor="text1"/>
          <w14:textFill>
            <w14:solidFill>
              <w14:schemeClr w14:val="tx1"/>
            </w14:solidFill>
          </w14:textFill>
        </w:rPr>
        <w:fldChar w:fldCharType="end"/>
      </w:r>
    </w:p>
    <w:p w14:paraId="4BF3F99D">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_Toc7406 </w:instrText>
      </w:r>
      <w:r>
        <w:rPr>
          <w:i w:val="0"/>
          <w:iCs w:val="0"/>
        </w:rPr>
        <w:fldChar w:fldCharType="separate"/>
      </w:r>
      <w:r>
        <w:rPr>
          <w:rFonts w:hint="eastAsia" w:asciiTheme="minorHAnsi" w:hAnsiTheme="minorHAnsi"/>
          <w:i w:val="0"/>
          <w:iCs w:val="0"/>
        </w:rPr>
        <w:t>（十三） 落实政府采购政策</w:t>
      </w:r>
      <w:r>
        <w:rPr>
          <w:i w:val="0"/>
          <w:iCs w:val="0"/>
        </w:rPr>
        <w:tab/>
      </w:r>
      <w:r>
        <w:rPr>
          <w:i w:val="0"/>
          <w:iCs w:val="0"/>
        </w:rPr>
        <w:fldChar w:fldCharType="begin"/>
      </w:r>
      <w:r>
        <w:rPr>
          <w:i w:val="0"/>
          <w:iCs w:val="0"/>
        </w:rPr>
        <w:instrText xml:space="preserve"> PAGEREF _Toc7406 \h </w:instrText>
      </w:r>
      <w:r>
        <w:rPr>
          <w:i w:val="0"/>
          <w:iCs w:val="0"/>
        </w:rPr>
        <w:fldChar w:fldCharType="separate"/>
      </w:r>
      <w:r>
        <w:rPr>
          <w:i w:val="0"/>
          <w:iCs w:val="0"/>
        </w:rPr>
        <w:t>- 36 -</w:t>
      </w:r>
      <w:r>
        <w:rPr>
          <w:i w:val="0"/>
          <w:iCs w:val="0"/>
        </w:rPr>
        <w:fldChar w:fldCharType="end"/>
      </w:r>
      <w:r>
        <w:rPr>
          <w:i w:val="0"/>
          <w:iCs w:val="0"/>
          <w:color w:val="000000" w:themeColor="text1"/>
          <w14:textFill>
            <w14:solidFill>
              <w14:schemeClr w14:val="tx1"/>
            </w14:solidFill>
          </w14:textFill>
        </w:rPr>
        <w:fldChar w:fldCharType="end"/>
      </w:r>
    </w:p>
    <w:p w14:paraId="2F58FE52">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_Toc22361 </w:instrText>
      </w:r>
      <w:r>
        <w:rPr>
          <w:i w:val="0"/>
          <w:iCs w:val="0"/>
        </w:rPr>
        <w:fldChar w:fldCharType="separate"/>
      </w:r>
      <w:r>
        <w:rPr>
          <w:rFonts w:hint="eastAsia"/>
          <w:i w:val="0"/>
          <w:iCs w:val="0"/>
        </w:rPr>
        <w:t xml:space="preserve">41. </w:t>
      </w:r>
      <w:r>
        <w:rPr>
          <w:i w:val="0"/>
          <w:iCs w:val="0"/>
        </w:rPr>
        <w:t>支持国产和进口产品审批</w:t>
      </w:r>
      <w:r>
        <w:rPr>
          <w:i w:val="0"/>
          <w:iCs w:val="0"/>
        </w:rPr>
        <w:tab/>
      </w:r>
      <w:r>
        <w:rPr>
          <w:i w:val="0"/>
          <w:iCs w:val="0"/>
        </w:rPr>
        <w:fldChar w:fldCharType="begin"/>
      </w:r>
      <w:r>
        <w:rPr>
          <w:i w:val="0"/>
          <w:iCs w:val="0"/>
        </w:rPr>
        <w:instrText xml:space="preserve"> PAGEREF _Toc22361 \h </w:instrText>
      </w:r>
      <w:r>
        <w:rPr>
          <w:i w:val="0"/>
          <w:iCs w:val="0"/>
        </w:rPr>
        <w:fldChar w:fldCharType="separate"/>
      </w:r>
      <w:r>
        <w:rPr>
          <w:i w:val="0"/>
          <w:iCs w:val="0"/>
        </w:rPr>
        <w:t>- 36 -</w:t>
      </w:r>
      <w:r>
        <w:rPr>
          <w:i w:val="0"/>
          <w:iCs w:val="0"/>
        </w:rPr>
        <w:fldChar w:fldCharType="end"/>
      </w:r>
      <w:r>
        <w:rPr>
          <w:i w:val="0"/>
          <w:iCs w:val="0"/>
          <w:color w:val="000000" w:themeColor="text1"/>
          <w14:textFill>
            <w14:solidFill>
              <w14:schemeClr w14:val="tx1"/>
            </w14:solidFill>
          </w14:textFill>
        </w:rPr>
        <w:fldChar w:fldCharType="end"/>
      </w:r>
    </w:p>
    <w:p w14:paraId="3F6356EF">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_Toc11071 </w:instrText>
      </w:r>
      <w:r>
        <w:rPr>
          <w:i w:val="0"/>
          <w:iCs w:val="0"/>
        </w:rPr>
        <w:fldChar w:fldCharType="separate"/>
      </w:r>
      <w:r>
        <w:rPr>
          <w:rFonts w:hint="eastAsia"/>
          <w:i w:val="0"/>
          <w:iCs w:val="0"/>
        </w:rPr>
        <w:t>42. 中小企业、监狱企业及残疾人福利性单位</w:t>
      </w:r>
      <w:r>
        <w:rPr>
          <w:i w:val="0"/>
          <w:iCs w:val="0"/>
        </w:rPr>
        <w:tab/>
      </w:r>
      <w:r>
        <w:rPr>
          <w:i w:val="0"/>
          <w:iCs w:val="0"/>
        </w:rPr>
        <w:fldChar w:fldCharType="begin"/>
      </w:r>
      <w:r>
        <w:rPr>
          <w:i w:val="0"/>
          <w:iCs w:val="0"/>
        </w:rPr>
        <w:instrText xml:space="preserve"> PAGEREF _Toc11071 \h </w:instrText>
      </w:r>
      <w:r>
        <w:rPr>
          <w:i w:val="0"/>
          <w:iCs w:val="0"/>
        </w:rPr>
        <w:fldChar w:fldCharType="separate"/>
      </w:r>
      <w:r>
        <w:rPr>
          <w:i w:val="0"/>
          <w:iCs w:val="0"/>
        </w:rPr>
        <w:t>- 36 -</w:t>
      </w:r>
      <w:r>
        <w:rPr>
          <w:i w:val="0"/>
          <w:iCs w:val="0"/>
        </w:rPr>
        <w:fldChar w:fldCharType="end"/>
      </w:r>
      <w:r>
        <w:rPr>
          <w:i w:val="0"/>
          <w:iCs w:val="0"/>
          <w:color w:val="000000" w:themeColor="text1"/>
          <w14:textFill>
            <w14:solidFill>
              <w14:schemeClr w14:val="tx1"/>
            </w14:solidFill>
          </w14:textFill>
        </w:rPr>
        <w:fldChar w:fldCharType="end"/>
      </w:r>
    </w:p>
    <w:p w14:paraId="7EE2B78B">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_Toc23944 </w:instrText>
      </w:r>
      <w:r>
        <w:rPr>
          <w:i w:val="0"/>
          <w:iCs w:val="0"/>
        </w:rPr>
        <w:fldChar w:fldCharType="separate"/>
      </w:r>
      <w:r>
        <w:rPr>
          <w:rFonts w:hint="eastAsia"/>
          <w:i w:val="0"/>
          <w:iCs w:val="0"/>
        </w:rPr>
        <w:t>43. 政府采购节能产品、环境标志产品</w:t>
      </w:r>
      <w:r>
        <w:rPr>
          <w:i w:val="0"/>
          <w:iCs w:val="0"/>
        </w:rPr>
        <w:tab/>
      </w:r>
      <w:r>
        <w:rPr>
          <w:i w:val="0"/>
          <w:iCs w:val="0"/>
        </w:rPr>
        <w:fldChar w:fldCharType="begin"/>
      </w:r>
      <w:r>
        <w:rPr>
          <w:i w:val="0"/>
          <w:iCs w:val="0"/>
        </w:rPr>
        <w:instrText xml:space="preserve"> PAGEREF _Toc23944 \h </w:instrText>
      </w:r>
      <w:r>
        <w:rPr>
          <w:i w:val="0"/>
          <w:iCs w:val="0"/>
        </w:rPr>
        <w:fldChar w:fldCharType="separate"/>
      </w:r>
      <w:r>
        <w:rPr>
          <w:i w:val="0"/>
          <w:iCs w:val="0"/>
        </w:rPr>
        <w:t>- 36 -</w:t>
      </w:r>
      <w:r>
        <w:rPr>
          <w:i w:val="0"/>
          <w:iCs w:val="0"/>
        </w:rPr>
        <w:fldChar w:fldCharType="end"/>
      </w:r>
      <w:r>
        <w:rPr>
          <w:i w:val="0"/>
          <w:iCs w:val="0"/>
          <w:color w:val="000000" w:themeColor="text1"/>
          <w14:textFill>
            <w14:solidFill>
              <w14:schemeClr w14:val="tx1"/>
            </w14:solidFill>
          </w14:textFill>
        </w:rPr>
        <w:fldChar w:fldCharType="end"/>
      </w:r>
    </w:p>
    <w:p w14:paraId="01B2D7A4">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_Toc22126 </w:instrText>
      </w:r>
      <w:r>
        <w:rPr>
          <w:i w:val="0"/>
          <w:iCs w:val="0"/>
        </w:rPr>
        <w:fldChar w:fldCharType="separate"/>
      </w:r>
      <w:r>
        <w:rPr>
          <w:rFonts w:hint="eastAsia" w:asciiTheme="minorHAnsi" w:hAnsiTheme="minorHAnsi"/>
          <w:i w:val="0"/>
          <w:iCs w:val="0"/>
        </w:rPr>
        <w:t>（十四） 政府采购合同融资政策</w:t>
      </w:r>
      <w:r>
        <w:rPr>
          <w:i w:val="0"/>
          <w:iCs w:val="0"/>
        </w:rPr>
        <w:tab/>
      </w:r>
      <w:r>
        <w:rPr>
          <w:i w:val="0"/>
          <w:iCs w:val="0"/>
        </w:rPr>
        <w:fldChar w:fldCharType="begin"/>
      </w:r>
      <w:r>
        <w:rPr>
          <w:i w:val="0"/>
          <w:iCs w:val="0"/>
        </w:rPr>
        <w:instrText xml:space="preserve"> PAGEREF _Toc22126 \h </w:instrText>
      </w:r>
      <w:r>
        <w:rPr>
          <w:i w:val="0"/>
          <w:iCs w:val="0"/>
        </w:rPr>
        <w:fldChar w:fldCharType="separate"/>
      </w:r>
      <w:r>
        <w:rPr>
          <w:i w:val="0"/>
          <w:iCs w:val="0"/>
        </w:rPr>
        <w:t>- 37 -</w:t>
      </w:r>
      <w:r>
        <w:rPr>
          <w:i w:val="0"/>
          <w:iCs w:val="0"/>
        </w:rPr>
        <w:fldChar w:fldCharType="end"/>
      </w:r>
      <w:r>
        <w:rPr>
          <w:i w:val="0"/>
          <w:iCs w:val="0"/>
          <w:color w:val="000000" w:themeColor="text1"/>
          <w14:textFill>
            <w14:solidFill>
              <w14:schemeClr w14:val="tx1"/>
            </w14:solidFill>
          </w14:textFill>
        </w:rPr>
        <w:fldChar w:fldCharType="end"/>
      </w:r>
    </w:p>
    <w:p w14:paraId="4E8D5134">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_Toc12140 </w:instrText>
      </w:r>
      <w:r>
        <w:rPr>
          <w:i w:val="0"/>
          <w:iCs w:val="0"/>
        </w:rPr>
        <w:fldChar w:fldCharType="separate"/>
      </w:r>
      <w:r>
        <w:rPr>
          <w:rFonts w:hint="eastAsia"/>
          <w:i w:val="0"/>
          <w:iCs w:val="0"/>
        </w:rPr>
        <w:t>44. 政府采购合同融资政策</w:t>
      </w:r>
      <w:r>
        <w:rPr>
          <w:i w:val="0"/>
          <w:iCs w:val="0"/>
        </w:rPr>
        <w:tab/>
      </w:r>
      <w:r>
        <w:rPr>
          <w:i w:val="0"/>
          <w:iCs w:val="0"/>
        </w:rPr>
        <w:fldChar w:fldCharType="begin"/>
      </w:r>
      <w:r>
        <w:rPr>
          <w:i w:val="0"/>
          <w:iCs w:val="0"/>
        </w:rPr>
        <w:instrText xml:space="preserve"> PAGEREF _Toc12140 \h </w:instrText>
      </w:r>
      <w:r>
        <w:rPr>
          <w:i w:val="0"/>
          <w:iCs w:val="0"/>
        </w:rPr>
        <w:fldChar w:fldCharType="separate"/>
      </w:r>
      <w:r>
        <w:rPr>
          <w:i w:val="0"/>
          <w:iCs w:val="0"/>
        </w:rPr>
        <w:t>- 37 -</w:t>
      </w:r>
      <w:r>
        <w:rPr>
          <w:i w:val="0"/>
          <w:iCs w:val="0"/>
        </w:rPr>
        <w:fldChar w:fldCharType="end"/>
      </w:r>
      <w:r>
        <w:rPr>
          <w:i w:val="0"/>
          <w:iCs w:val="0"/>
          <w:color w:val="000000" w:themeColor="text1"/>
          <w14:textFill>
            <w14:solidFill>
              <w14:schemeClr w14:val="tx1"/>
            </w14:solidFill>
          </w14:textFill>
        </w:rPr>
        <w:fldChar w:fldCharType="end"/>
      </w:r>
    </w:p>
    <w:p w14:paraId="3ED49B9F">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_Toc16531 </w:instrText>
      </w:r>
      <w:r>
        <w:rPr>
          <w:i w:val="0"/>
          <w:iCs w:val="0"/>
        </w:rPr>
        <w:fldChar w:fldCharType="separate"/>
      </w:r>
      <w:r>
        <w:rPr>
          <w:rFonts w:hint="eastAsia" w:asciiTheme="minorHAnsi" w:hAnsiTheme="minorHAnsi"/>
          <w:i w:val="0"/>
          <w:iCs w:val="0"/>
        </w:rPr>
        <w:t>（十五） 其他</w:t>
      </w:r>
      <w:r>
        <w:rPr>
          <w:i w:val="0"/>
          <w:iCs w:val="0"/>
        </w:rPr>
        <w:tab/>
      </w:r>
      <w:r>
        <w:rPr>
          <w:i w:val="0"/>
          <w:iCs w:val="0"/>
        </w:rPr>
        <w:fldChar w:fldCharType="begin"/>
      </w:r>
      <w:r>
        <w:rPr>
          <w:i w:val="0"/>
          <w:iCs w:val="0"/>
        </w:rPr>
        <w:instrText xml:space="preserve"> PAGEREF _Toc16531 \h </w:instrText>
      </w:r>
      <w:r>
        <w:rPr>
          <w:i w:val="0"/>
          <w:iCs w:val="0"/>
        </w:rPr>
        <w:fldChar w:fldCharType="separate"/>
      </w:r>
      <w:r>
        <w:rPr>
          <w:i w:val="0"/>
          <w:iCs w:val="0"/>
        </w:rPr>
        <w:t>- 37 -</w:t>
      </w:r>
      <w:r>
        <w:rPr>
          <w:i w:val="0"/>
          <w:iCs w:val="0"/>
        </w:rPr>
        <w:fldChar w:fldCharType="end"/>
      </w:r>
      <w:r>
        <w:rPr>
          <w:i w:val="0"/>
          <w:iCs w:val="0"/>
          <w:color w:val="000000" w:themeColor="text1"/>
          <w14:textFill>
            <w14:solidFill>
              <w14:schemeClr w14:val="tx1"/>
            </w14:solidFill>
          </w14:textFill>
        </w:rPr>
        <w:fldChar w:fldCharType="end"/>
      </w:r>
    </w:p>
    <w:p w14:paraId="5E8E0900">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_Toc17197 </w:instrText>
      </w:r>
      <w:r>
        <w:rPr>
          <w:i w:val="0"/>
          <w:iCs w:val="0"/>
        </w:rPr>
        <w:fldChar w:fldCharType="separate"/>
      </w:r>
      <w:r>
        <w:rPr>
          <w:rFonts w:hint="eastAsia"/>
          <w:i w:val="0"/>
          <w:iCs w:val="0"/>
        </w:rPr>
        <w:t>45. 需要补充的其他内容</w:t>
      </w:r>
      <w:r>
        <w:rPr>
          <w:i w:val="0"/>
          <w:iCs w:val="0"/>
        </w:rPr>
        <w:tab/>
      </w:r>
      <w:r>
        <w:rPr>
          <w:i w:val="0"/>
          <w:iCs w:val="0"/>
        </w:rPr>
        <w:fldChar w:fldCharType="begin"/>
      </w:r>
      <w:r>
        <w:rPr>
          <w:i w:val="0"/>
          <w:iCs w:val="0"/>
        </w:rPr>
        <w:instrText xml:space="preserve"> PAGEREF _Toc17197 \h </w:instrText>
      </w:r>
      <w:r>
        <w:rPr>
          <w:i w:val="0"/>
          <w:iCs w:val="0"/>
        </w:rPr>
        <w:fldChar w:fldCharType="separate"/>
      </w:r>
      <w:r>
        <w:rPr>
          <w:i w:val="0"/>
          <w:iCs w:val="0"/>
        </w:rPr>
        <w:t>- 37 -</w:t>
      </w:r>
      <w:r>
        <w:rPr>
          <w:i w:val="0"/>
          <w:iCs w:val="0"/>
        </w:rPr>
        <w:fldChar w:fldCharType="end"/>
      </w:r>
      <w:r>
        <w:rPr>
          <w:i w:val="0"/>
          <w:iCs w:val="0"/>
          <w:color w:val="000000" w:themeColor="text1"/>
          <w14:textFill>
            <w14:solidFill>
              <w14:schemeClr w14:val="tx1"/>
            </w14:solidFill>
          </w14:textFill>
        </w:rPr>
        <w:fldChar w:fldCharType="end"/>
      </w:r>
    </w:p>
    <w:p w14:paraId="545423D7">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_Toc14814 </w:instrText>
      </w:r>
      <w:r>
        <w:rPr>
          <w:i w:val="0"/>
          <w:iCs w:val="0"/>
        </w:rPr>
        <w:fldChar w:fldCharType="separate"/>
      </w:r>
      <w:r>
        <w:rPr>
          <w:rFonts w:hint="eastAsia"/>
          <w:i w:val="0"/>
          <w:iCs w:val="0"/>
        </w:rPr>
        <w:t>46. 适用法律</w:t>
      </w:r>
      <w:r>
        <w:rPr>
          <w:i w:val="0"/>
          <w:iCs w:val="0"/>
        </w:rPr>
        <w:tab/>
      </w:r>
      <w:r>
        <w:rPr>
          <w:i w:val="0"/>
          <w:iCs w:val="0"/>
        </w:rPr>
        <w:fldChar w:fldCharType="begin"/>
      </w:r>
      <w:r>
        <w:rPr>
          <w:i w:val="0"/>
          <w:iCs w:val="0"/>
        </w:rPr>
        <w:instrText xml:space="preserve"> PAGEREF _Toc14814 \h </w:instrText>
      </w:r>
      <w:r>
        <w:rPr>
          <w:i w:val="0"/>
          <w:iCs w:val="0"/>
        </w:rPr>
        <w:fldChar w:fldCharType="separate"/>
      </w:r>
      <w:r>
        <w:rPr>
          <w:i w:val="0"/>
          <w:iCs w:val="0"/>
        </w:rPr>
        <w:t>- 37 -</w:t>
      </w:r>
      <w:r>
        <w:rPr>
          <w:i w:val="0"/>
          <w:iCs w:val="0"/>
        </w:rPr>
        <w:fldChar w:fldCharType="end"/>
      </w:r>
      <w:r>
        <w:rPr>
          <w:i w:val="0"/>
          <w:iCs w:val="0"/>
          <w:color w:val="000000" w:themeColor="text1"/>
          <w14:textFill>
            <w14:solidFill>
              <w14:schemeClr w14:val="tx1"/>
            </w14:solidFill>
          </w14:textFill>
        </w:rPr>
        <w:fldChar w:fldCharType="end"/>
      </w:r>
    </w:p>
    <w:p w14:paraId="4B1BE23E">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_Toc14397 </w:instrText>
      </w:r>
      <w:r>
        <w:rPr>
          <w:i w:val="0"/>
          <w:iCs w:val="0"/>
        </w:rPr>
        <w:fldChar w:fldCharType="separate"/>
      </w:r>
      <w:r>
        <w:rPr>
          <w:rFonts w:hint="eastAsia"/>
          <w:i w:val="0"/>
          <w:iCs w:val="0"/>
        </w:rPr>
        <w:t>47. 解释权</w:t>
      </w:r>
      <w:r>
        <w:rPr>
          <w:i w:val="0"/>
          <w:iCs w:val="0"/>
        </w:rPr>
        <w:tab/>
      </w:r>
      <w:r>
        <w:rPr>
          <w:i w:val="0"/>
          <w:iCs w:val="0"/>
        </w:rPr>
        <w:fldChar w:fldCharType="begin"/>
      </w:r>
      <w:r>
        <w:rPr>
          <w:i w:val="0"/>
          <w:iCs w:val="0"/>
        </w:rPr>
        <w:instrText xml:space="preserve"> PAGEREF _Toc14397 \h </w:instrText>
      </w:r>
      <w:r>
        <w:rPr>
          <w:i w:val="0"/>
          <w:iCs w:val="0"/>
        </w:rPr>
        <w:fldChar w:fldCharType="separate"/>
      </w:r>
      <w:r>
        <w:rPr>
          <w:i w:val="0"/>
          <w:iCs w:val="0"/>
        </w:rPr>
        <w:t>- 37 -</w:t>
      </w:r>
      <w:r>
        <w:rPr>
          <w:i w:val="0"/>
          <w:iCs w:val="0"/>
        </w:rPr>
        <w:fldChar w:fldCharType="end"/>
      </w:r>
      <w:r>
        <w:rPr>
          <w:i w:val="0"/>
          <w:iCs w:val="0"/>
          <w:color w:val="000000" w:themeColor="text1"/>
          <w14:textFill>
            <w14:solidFill>
              <w14:schemeClr w14:val="tx1"/>
            </w14:solidFill>
          </w14:textFill>
        </w:rPr>
        <w:fldChar w:fldCharType="end"/>
      </w:r>
    </w:p>
    <w:p w14:paraId="5A086CF8">
      <w:pPr>
        <w:pStyle w:val="25"/>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_Toc15349 </w:instrText>
      </w:r>
      <w:r>
        <w:rPr>
          <w:i w:val="0"/>
          <w:iCs w:val="0"/>
        </w:rPr>
        <w:fldChar w:fldCharType="separate"/>
      </w:r>
      <w:r>
        <w:rPr>
          <w:rFonts w:hint="eastAsia"/>
          <w:i w:val="0"/>
          <w:iCs w:val="0"/>
        </w:rPr>
        <w:t>第三章 采购需求</w:t>
      </w:r>
      <w:r>
        <w:rPr>
          <w:i w:val="0"/>
          <w:iCs w:val="0"/>
        </w:rPr>
        <w:tab/>
      </w:r>
      <w:r>
        <w:rPr>
          <w:i w:val="0"/>
          <w:iCs w:val="0"/>
        </w:rPr>
        <w:fldChar w:fldCharType="begin"/>
      </w:r>
      <w:r>
        <w:rPr>
          <w:i w:val="0"/>
          <w:iCs w:val="0"/>
        </w:rPr>
        <w:instrText xml:space="preserve"> PAGEREF _Toc15349 \h </w:instrText>
      </w:r>
      <w:r>
        <w:rPr>
          <w:i w:val="0"/>
          <w:iCs w:val="0"/>
        </w:rPr>
        <w:fldChar w:fldCharType="separate"/>
      </w:r>
      <w:r>
        <w:rPr>
          <w:i w:val="0"/>
          <w:iCs w:val="0"/>
        </w:rPr>
        <w:t>- 38 -</w:t>
      </w:r>
      <w:r>
        <w:rPr>
          <w:i w:val="0"/>
          <w:iCs w:val="0"/>
        </w:rPr>
        <w:fldChar w:fldCharType="end"/>
      </w:r>
      <w:r>
        <w:rPr>
          <w:i w:val="0"/>
          <w:iCs w:val="0"/>
          <w:color w:val="000000" w:themeColor="text1"/>
          <w14:textFill>
            <w14:solidFill>
              <w14:schemeClr w14:val="tx1"/>
            </w14:solidFill>
          </w14:textFill>
        </w:rPr>
        <w:fldChar w:fldCharType="end"/>
      </w:r>
    </w:p>
    <w:p w14:paraId="72BCD451">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_Toc449 </w:instrText>
      </w:r>
      <w:r>
        <w:rPr>
          <w:i w:val="0"/>
          <w:iCs w:val="0"/>
        </w:rPr>
        <w:fldChar w:fldCharType="separate"/>
      </w:r>
      <w:r>
        <w:rPr>
          <w:rFonts w:hint="eastAsia"/>
          <w:i w:val="0"/>
          <w:iCs w:val="0"/>
          <w:szCs w:val="28"/>
        </w:rPr>
        <w:t>（一）采购标的需实现的功能或者目标，以及为落实政府采购政策需满足的要求：</w:t>
      </w:r>
      <w:r>
        <w:rPr>
          <w:i w:val="0"/>
          <w:iCs w:val="0"/>
        </w:rPr>
        <w:tab/>
      </w:r>
      <w:r>
        <w:rPr>
          <w:i w:val="0"/>
          <w:iCs w:val="0"/>
        </w:rPr>
        <w:fldChar w:fldCharType="begin"/>
      </w:r>
      <w:r>
        <w:rPr>
          <w:i w:val="0"/>
          <w:iCs w:val="0"/>
        </w:rPr>
        <w:instrText xml:space="preserve"> PAGEREF _Toc449 \h </w:instrText>
      </w:r>
      <w:r>
        <w:rPr>
          <w:i w:val="0"/>
          <w:iCs w:val="0"/>
        </w:rPr>
        <w:fldChar w:fldCharType="separate"/>
      </w:r>
      <w:r>
        <w:rPr>
          <w:i w:val="0"/>
          <w:iCs w:val="0"/>
        </w:rPr>
        <w:t>- 38 -</w:t>
      </w:r>
      <w:r>
        <w:rPr>
          <w:i w:val="0"/>
          <w:iCs w:val="0"/>
        </w:rPr>
        <w:fldChar w:fldCharType="end"/>
      </w:r>
      <w:r>
        <w:rPr>
          <w:i w:val="0"/>
          <w:iCs w:val="0"/>
          <w:color w:val="000000" w:themeColor="text1"/>
          <w14:textFill>
            <w14:solidFill>
              <w14:schemeClr w14:val="tx1"/>
            </w14:solidFill>
          </w14:textFill>
        </w:rPr>
        <w:fldChar w:fldCharType="end"/>
      </w:r>
    </w:p>
    <w:p w14:paraId="14AD6F55">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_Toc5430 </w:instrText>
      </w:r>
      <w:r>
        <w:rPr>
          <w:i w:val="0"/>
          <w:iCs w:val="0"/>
        </w:rPr>
        <w:fldChar w:fldCharType="separate"/>
      </w:r>
      <w:r>
        <w:rPr>
          <w:rFonts w:hint="eastAsia"/>
          <w:i w:val="0"/>
          <w:iCs w:val="0"/>
          <w:szCs w:val="28"/>
        </w:rPr>
        <w:t>（二）采购标的需执行的国家相关标准、行业标准、地方标准或者其他标准、规范:</w:t>
      </w:r>
      <w:r>
        <w:rPr>
          <w:i w:val="0"/>
          <w:iCs w:val="0"/>
        </w:rPr>
        <w:tab/>
      </w:r>
      <w:r>
        <w:rPr>
          <w:i w:val="0"/>
          <w:iCs w:val="0"/>
        </w:rPr>
        <w:fldChar w:fldCharType="begin"/>
      </w:r>
      <w:r>
        <w:rPr>
          <w:i w:val="0"/>
          <w:iCs w:val="0"/>
        </w:rPr>
        <w:instrText xml:space="preserve"> PAGEREF _Toc5430 \h </w:instrText>
      </w:r>
      <w:r>
        <w:rPr>
          <w:i w:val="0"/>
          <w:iCs w:val="0"/>
        </w:rPr>
        <w:fldChar w:fldCharType="separate"/>
      </w:r>
      <w:r>
        <w:rPr>
          <w:i w:val="0"/>
          <w:iCs w:val="0"/>
        </w:rPr>
        <w:t>- 38 -</w:t>
      </w:r>
      <w:r>
        <w:rPr>
          <w:i w:val="0"/>
          <w:iCs w:val="0"/>
        </w:rPr>
        <w:fldChar w:fldCharType="end"/>
      </w:r>
      <w:r>
        <w:rPr>
          <w:i w:val="0"/>
          <w:iCs w:val="0"/>
          <w:color w:val="000000" w:themeColor="text1"/>
          <w14:textFill>
            <w14:solidFill>
              <w14:schemeClr w14:val="tx1"/>
            </w14:solidFill>
          </w14:textFill>
        </w:rPr>
        <w:fldChar w:fldCharType="end"/>
      </w:r>
    </w:p>
    <w:p w14:paraId="79EB396A">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_Toc25914 </w:instrText>
      </w:r>
      <w:r>
        <w:rPr>
          <w:i w:val="0"/>
          <w:iCs w:val="0"/>
        </w:rPr>
        <w:fldChar w:fldCharType="separate"/>
      </w:r>
      <w:r>
        <w:rPr>
          <w:rFonts w:hint="eastAsia" w:ascii="宋体" w:eastAsia="宋体" w:cs="宋体"/>
          <w:bCs/>
          <w:i w:val="0"/>
          <w:iCs w:val="0"/>
        </w:rPr>
        <w:t xml:space="preserve">（三） </w:t>
      </w:r>
      <w:r>
        <w:rPr>
          <w:rFonts w:hint="eastAsia" w:ascii="宋体" w:hAnsi="宋体" w:eastAsia="宋体"/>
          <w:i w:val="0"/>
          <w:iCs w:val="0"/>
          <w:szCs w:val="28"/>
        </w:rPr>
        <w:t>采购标的需满</w:t>
      </w:r>
      <w:r>
        <w:rPr>
          <w:rFonts w:hint="eastAsia"/>
          <w:i w:val="0"/>
          <w:iCs w:val="0"/>
          <w:szCs w:val="28"/>
        </w:rPr>
        <w:t>足的质量、安全、技术规格、物理特性等要求</w:t>
      </w:r>
      <w:r>
        <w:rPr>
          <w:rFonts w:hint="eastAsia"/>
          <w:i w:val="0"/>
          <w:iCs w:val="0"/>
          <w:szCs w:val="28"/>
          <w:lang w:eastAsia="zh-CN"/>
        </w:rPr>
        <w:t>：</w:t>
      </w:r>
      <w:r>
        <w:rPr>
          <w:i w:val="0"/>
          <w:iCs w:val="0"/>
        </w:rPr>
        <w:tab/>
      </w:r>
      <w:r>
        <w:rPr>
          <w:i w:val="0"/>
          <w:iCs w:val="0"/>
        </w:rPr>
        <w:fldChar w:fldCharType="begin"/>
      </w:r>
      <w:r>
        <w:rPr>
          <w:i w:val="0"/>
          <w:iCs w:val="0"/>
        </w:rPr>
        <w:instrText xml:space="preserve"> PAGEREF _Toc25914 \h </w:instrText>
      </w:r>
      <w:r>
        <w:rPr>
          <w:i w:val="0"/>
          <w:iCs w:val="0"/>
        </w:rPr>
        <w:fldChar w:fldCharType="separate"/>
      </w:r>
      <w:r>
        <w:rPr>
          <w:i w:val="0"/>
          <w:iCs w:val="0"/>
        </w:rPr>
        <w:t>- 38 -</w:t>
      </w:r>
      <w:r>
        <w:rPr>
          <w:i w:val="0"/>
          <w:iCs w:val="0"/>
        </w:rPr>
        <w:fldChar w:fldCharType="end"/>
      </w:r>
      <w:r>
        <w:rPr>
          <w:i w:val="0"/>
          <w:iCs w:val="0"/>
          <w:color w:val="000000" w:themeColor="text1"/>
          <w14:textFill>
            <w14:solidFill>
              <w14:schemeClr w14:val="tx1"/>
            </w14:solidFill>
          </w14:textFill>
        </w:rPr>
        <w:fldChar w:fldCharType="end"/>
      </w:r>
    </w:p>
    <w:p w14:paraId="108C94FD">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_Toc27444 </w:instrText>
      </w:r>
      <w:r>
        <w:rPr>
          <w:i w:val="0"/>
          <w:iCs w:val="0"/>
        </w:rPr>
        <w:fldChar w:fldCharType="separate"/>
      </w:r>
      <w:r>
        <w:rPr>
          <w:rFonts w:hint="eastAsia"/>
          <w:i w:val="0"/>
          <w:iCs w:val="0"/>
          <w:szCs w:val="28"/>
          <w:lang w:eastAsia="zh-CN"/>
        </w:rPr>
        <w:t>（</w:t>
      </w:r>
      <w:r>
        <w:rPr>
          <w:rFonts w:hint="eastAsia"/>
          <w:i w:val="0"/>
          <w:iCs w:val="0"/>
          <w:szCs w:val="28"/>
          <w:lang w:val="en-US" w:eastAsia="zh-CN"/>
        </w:rPr>
        <w:t>四）</w:t>
      </w:r>
      <w:r>
        <w:rPr>
          <w:rFonts w:hint="eastAsia"/>
          <w:i w:val="0"/>
          <w:iCs w:val="0"/>
          <w:szCs w:val="28"/>
        </w:rPr>
        <w:t>采购标的的数量、采购项目交付或者实施的时间和地点</w:t>
      </w:r>
      <w:r>
        <w:rPr>
          <w:rFonts w:hint="eastAsia"/>
          <w:i w:val="0"/>
          <w:iCs w:val="0"/>
          <w:szCs w:val="28"/>
          <w:lang w:eastAsia="zh-CN"/>
        </w:rPr>
        <w:t>：</w:t>
      </w:r>
      <w:r>
        <w:rPr>
          <w:i w:val="0"/>
          <w:iCs w:val="0"/>
        </w:rPr>
        <w:tab/>
      </w:r>
      <w:r>
        <w:rPr>
          <w:i w:val="0"/>
          <w:iCs w:val="0"/>
        </w:rPr>
        <w:fldChar w:fldCharType="begin"/>
      </w:r>
      <w:r>
        <w:rPr>
          <w:i w:val="0"/>
          <w:iCs w:val="0"/>
        </w:rPr>
        <w:instrText xml:space="preserve"> PAGEREF _Toc27444 \h </w:instrText>
      </w:r>
      <w:r>
        <w:rPr>
          <w:i w:val="0"/>
          <w:iCs w:val="0"/>
        </w:rPr>
        <w:fldChar w:fldCharType="separate"/>
      </w:r>
      <w:r>
        <w:rPr>
          <w:i w:val="0"/>
          <w:iCs w:val="0"/>
        </w:rPr>
        <w:t>- 53 -</w:t>
      </w:r>
      <w:r>
        <w:rPr>
          <w:i w:val="0"/>
          <w:iCs w:val="0"/>
        </w:rPr>
        <w:fldChar w:fldCharType="end"/>
      </w:r>
      <w:r>
        <w:rPr>
          <w:i w:val="0"/>
          <w:iCs w:val="0"/>
          <w:color w:val="000000" w:themeColor="text1"/>
          <w14:textFill>
            <w14:solidFill>
              <w14:schemeClr w14:val="tx1"/>
            </w14:solidFill>
          </w14:textFill>
        </w:rPr>
        <w:fldChar w:fldCharType="end"/>
      </w:r>
    </w:p>
    <w:p w14:paraId="2A032D0A">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_Toc30629 </w:instrText>
      </w:r>
      <w:r>
        <w:rPr>
          <w:i w:val="0"/>
          <w:iCs w:val="0"/>
        </w:rPr>
        <w:fldChar w:fldCharType="separate"/>
      </w:r>
      <w:r>
        <w:rPr>
          <w:rFonts w:hint="eastAsia"/>
          <w:i w:val="0"/>
          <w:iCs w:val="0"/>
          <w:szCs w:val="28"/>
          <w:lang w:eastAsia="zh-CN"/>
        </w:rPr>
        <w:t xml:space="preserve">（五） </w:t>
      </w:r>
      <w:r>
        <w:rPr>
          <w:rFonts w:hint="eastAsia"/>
          <w:i w:val="0"/>
          <w:iCs w:val="0"/>
          <w:szCs w:val="28"/>
        </w:rPr>
        <w:t>采购标的需满足的服务标准、期限、效率等要求</w:t>
      </w:r>
      <w:r>
        <w:rPr>
          <w:rFonts w:hint="eastAsia"/>
          <w:i w:val="0"/>
          <w:iCs w:val="0"/>
          <w:szCs w:val="28"/>
          <w:lang w:eastAsia="zh-CN"/>
        </w:rPr>
        <w:t>：</w:t>
      </w:r>
      <w:r>
        <w:rPr>
          <w:i w:val="0"/>
          <w:iCs w:val="0"/>
        </w:rPr>
        <w:tab/>
      </w:r>
      <w:r>
        <w:rPr>
          <w:i w:val="0"/>
          <w:iCs w:val="0"/>
        </w:rPr>
        <w:fldChar w:fldCharType="begin"/>
      </w:r>
      <w:r>
        <w:rPr>
          <w:i w:val="0"/>
          <w:iCs w:val="0"/>
        </w:rPr>
        <w:instrText xml:space="preserve"> PAGEREF _Toc30629 \h </w:instrText>
      </w:r>
      <w:r>
        <w:rPr>
          <w:i w:val="0"/>
          <w:iCs w:val="0"/>
        </w:rPr>
        <w:fldChar w:fldCharType="separate"/>
      </w:r>
      <w:r>
        <w:rPr>
          <w:i w:val="0"/>
          <w:iCs w:val="0"/>
        </w:rPr>
        <w:t>- 53 -</w:t>
      </w:r>
      <w:r>
        <w:rPr>
          <w:i w:val="0"/>
          <w:iCs w:val="0"/>
        </w:rPr>
        <w:fldChar w:fldCharType="end"/>
      </w:r>
      <w:r>
        <w:rPr>
          <w:i w:val="0"/>
          <w:iCs w:val="0"/>
          <w:color w:val="000000" w:themeColor="text1"/>
          <w14:textFill>
            <w14:solidFill>
              <w14:schemeClr w14:val="tx1"/>
            </w14:solidFill>
          </w14:textFill>
        </w:rPr>
        <w:fldChar w:fldCharType="end"/>
      </w:r>
    </w:p>
    <w:p w14:paraId="3F82978A">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_Toc13795 </w:instrText>
      </w:r>
      <w:r>
        <w:rPr>
          <w:i w:val="0"/>
          <w:iCs w:val="0"/>
        </w:rPr>
        <w:fldChar w:fldCharType="separate"/>
      </w:r>
      <w:r>
        <w:rPr>
          <w:rFonts w:hint="eastAsia"/>
          <w:i w:val="0"/>
          <w:iCs w:val="0"/>
          <w:szCs w:val="28"/>
          <w:lang w:eastAsia="zh-CN"/>
        </w:rPr>
        <w:t xml:space="preserve">（六） </w:t>
      </w:r>
      <w:r>
        <w:rPr>
          <w:rFonts w:hint="eastAsia"/>
          <w:i w:val="0"/>
          <w:iCs w:val="0"/>
          <w:szCs w:val="28"/>
        </w:rPr>
        <w:t>采购标的的验收标准</w:t>
      </w:r>
      <w:r>
        <w:rPr>
          <w:rFonts w:hint="eastAsia"/>
          <w:i w:val="0"/>
          <w:iCs w:val="0"/>
          <w:szCs w:val="28"/>
          <w:lang w:eastAsia="zh-CN"/>
        </w:rPr>
        <w:t>：</w:t>
      </w:r>
      <w:r>
        <w:rPr>
          <w:i w:val="0"/>
          <w:iCs w:val="0"/>
        </w:rPr>
        <w:tab/>
      </w:r>
      <w:r>
        <w:rPr>
          <w:i w:val="0"/>
          <w:iCs w:val="0"/>
        </w:rPr>
        <w:fldChar w:fldCharType="begin"/>
      </w:r>
      <w:r>
        <w:rPr>
          <w:i w:val="0"/>
          <w:iCs w:val="0"/>
        </w:rPr>
        <w:instrText xml:space="preserve"> PAGEREF _Toc13795 \h </w:instrText>
      </w:r>
      <w:r>
        <w:rPr>
          <w:i w:val="0"/>
          <w:iCs w:val="0"/>
        </w:rPr>
        <w:fldChar w:fldCharType="separate"/>
      </w:r>
      <w:r>
        <w:rPr>
          <w:i w:val="0"/>
          <w:iCs w:val="0"/>
        </w:rPr>
        <w:t>- 53 -</w:t>
      </w:r>
      <w:r>
        <w:rPr>
          <w:i w:val="0"/>
          <w:iCs w:val="0"/>
        </w:rPr>
        <w:fldChar w:fldCharType="end"/>
      </w:r>
      <w:r>
        <w:rPr>
          <w:i w:val="0"/>
          <w:iCs w:val="0"/>
          <w:color w:val="000000" w:themeColor="text1"/>
          <w14:textFill>
            <w14:solidFill>
              <w14:schemeClr w14:val="tx1"/>
            </w14:solidFill>
          </w14:textFill>
        </w:rPr>
        <w:fldChar w:fldCharType="end"/>
      </w:r>
    </w:p>
    <w:p w14:paraId="0076AEF1">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_Toc21609 </w:instrText>
      </w:r>
      <w:r>
        <w:rPr>
          <w:i w:val="0"/>
          <w:iCs w:val="0"/>
        </w:rPr>
        <w:fldChar w:fldCharType="separate"/>
      </w:r>
      <w:r>
        <w:rPr>
          <w:rFonts w:hint="eastAsia"/>
          <w:bCs/>
          <w:i w:val="0"/>
          <w:iCs w:val="0"/>
          <w:szCs w:val="28"/>
        </w:rPr>
        <w:t xml:space="preserve">（七） </w:t>
      </w:r>
      <w:r>
        <w:rPr>
          <w:rFonts w:hint="eastAsia"/>
          <w:i w:val="0"/>
          <w:iCs w:val="0"/>
          <w:szCs w:val="28"/>
        </w:rPr>
        <w:t>采购标的的其他技术、服务等要求。</w:t>
      </w:r>
      <w:r>
        <w:rPr>
          <w:i w:val="0"/>
          <w:iCs w:val="0"/>
        </w:rPr>
        <w:tab/>
      </w:r>
      <w:r>
        <w:rPr>
          <w:i w:val="0"/>
          <w:iCs w:val="0"/>
        </w:rPr>
        <w:fldChar w:fldCharType="begin"/>
      </w:r>
      <w:r>
        <w:rPr>
          <w:i w:val="0"/>
          <w:iCs w:val="0"/>
        </w:rPr>
        <w:instrText xml:space="preserve"> PAGEREF _Toc21609 \h </w:instrText>
      </w:r>
      <w:r>
        <w:rPr>
          <w:i w:val="0"/>
          <w:iCs w:val="0"/>
        </w:rPr>
        <w:fldChar w:fldCharType="separate"/>
      </w:r>
      <w:r>
        <w:rPr>
          <w:i w:val="0"/>
          <w:iCs w:val="0"/>
        </w:rPr>
        <w:t>- 53 -</w:t>
      </w:r>
      <w:r>
        <w:rPr>
          <w:i w:val="0"/>
          <w:iCs w:val="0"/>
        </w:rPr>
        <w:fldChar w:fldCharType="end"/>
      </w:r>
      <w:r>
        <w:rPr>
          <w:i w:val="0"/>
          <w:iCs w:val="0"/>
          <w:color w:val="000000" w:themeColor="text1"/>
          <w14:textFill>
            <w14:solidFill>
              <w14:schemeClr w14:val="tx1"/>
            </w14:solidFill>
          </w14:textFill>
        </w:rPr>
        <w:fldChar w:fldCharType="end"/>
      </w:r>
    </w:p>
    <w:p w14:paraId="05B72CF5">
      <w:pPr>
        <w:pStyle w:val="25"/>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_Toc8521 </w:instrText>
      </w:r>
      <w:r>
        <w:rPr>
          <w:i w:val="0"/>
          <w:iCs w:val="0"/>
        </w:rPr>
        <w:fldChar w:fldCharType="separate"/>
      </w:r>
      <w:r>
        <w:rPr>
          <w:rFonts w:hint="eastAsia"/>
          <w:i w:val="0"/>
          <w:iCs w:val="0"/>
        </w:rPr>
        <w:t>第四章 资格审查方法及标准</w:t>
      </w:r>
      <w:r>
        <w:rPr>
          <w:i w:val="0"/>
          <w:iCs w:val="0"/>
        </w:rPr>
        <w:tab/>
      </w:r>
      <w:r>
        <w:rPr>
          <w:i w:val="0"/>
          <w:iCs w:val="0"/>
        </w:rPr>
        <w:fldChar w:fldCharType="begin"/>
      </w:r>
      <w:r>
        <w:rPr>
          <w:i w:val="0"/>
          <w:iCs w:val="0"/>
        </w:rPr>
        <w:instrText xml:space="preserve"> PAGEREF _Toc8521 \h </w:instrText>
      </w:r>
      <w:r>
        <w:rPr>
          <w:i w:val="0"/>
          <w:iCs w:val="0"/>
        </w:rPr>
        <w:fldChar w:fldCharType="separate"/>
      </w:r>
      <w:r>
        <w:rPr>
          <w:i w:val="0"/>
          <w:iCs w:val="0"/>
        </w:rPr>
        <w:t>- 55 -</w:t>
      </w:r>
      <w:r>
        <w:rPr>
          <w:i w:val="0"/>
          <w:iCs w:val="0"/>
        </w:rPr>
        <w:fldChar w:fldCharType="end"/>
      </w:r>
      <w:r>
        <w:rPr>
          <w:i w:val="0"/>
          <w:iCs w:val="0"/>
          <w:color w:val="000000" w:themeColor="text1"/>
          <w14:textFill>
            <w14:solidFill>
              <w14:schemeClr w14:val="tx1"/>
            </w14:solidFill>
          </w14:textFill>
        </w:rPr>
        <w:fldChar w:fldCharType="end"/>
      </w:r>
    </w:p>
    <w:p w14:paraId="4EC35E25">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_Toc25793 </w:instrText>
      </w:r>
      <w:r>
        <w:rPr>
          <w:i w:val="0"/>
          <w:iCs w:val="0"/>
        </w:rPr>
        <w:fldChar w:fldCharType="separate"/>
      </w:r>
      <w:r>
        <w:rPr>
          <w:rFonts w:hint="eastAsia"/>
          <w:i w:val="0"/>
          <w:iCs w:val="0"/>
          <w:lang w:val="zh-CN"/>
        </w:rPr>
        <w:t>一、 资格审查</w:t>
      </w:r>
      <w:r>
        <w:rPr>
          <w:rFonts w:hint="eastAsia"/>
          <w:i w:val="0"/>
          <w:iCs w:val="0"/>
        </w:rPr>
        <w:t>方法</w:t>
      </w:r>
      <w:r>
        <w:rPr>
          <w:i w:val="0"/>
          <w:iCs w:val="0"/>
        </w:rPr>
        <w:tab/>
      </w:r>
      <w:r>
        <w:rPr>
          <w:i w:val="0"/>
          <w:iCs w:val="0"/>
        </w:rPr>
        <w:fldChar w:fldCharType="begin"/>
      </w:r>
      <w:r>
        <w:rPr>
          <w:i w:val="0"/>
          <w:iCs w:val="0"/>
        </w:rPr>
        <w:instrText xml:space="preserve"> PAGEREF _Toc25793 \h </w:instrText>
      </w:r>
      <w:r>
        <w:rPr>
          <w:i w:val="0"/>
          <w:iCs w:val="0"/>
        </w:rPr>
        <w:fldChar w:fldCharType="separate"/>
      </w:r>
      <w:r>
        <w:rPr>
          <w:i w:val="0"/>
          <w:iCs w:val="0"/>
        </w:rPr>
        <w:t>- 55 -</w:t>
      </w:r>
      <w:r>
        <w:rPr>
          <w:i w:val="0"/>
          <w:iCs w:val="0"/>
        </w:rPr>
        <w:fldChar w:fldCharType="end"/>
      </w:r>
      <w:r>
        <w:rPr>
          <w:i w:val="0"/>
          <w:iCs w:val="0"/>
          <w:color w:val="000000" w:themeColor="text1"/>
          <w14:textFill>
            <w14:solidFill>
              <w14:schemeClr w14:val="tx1"/>
            </w14:solidFill>
          </w14:textFill>
        </w:rPr>
        <w:fldChar w:fldCharType="end"/>
      </w:r>
    </w:p>
    <w:p w14:paraId="7582BB89">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_Toc29116 </w:instrText>
      </w:r>
      <w:r>
        <w:rPr>
          <w:i w:val="0"/>
          <w:iCs w:val="0"/>
        </w:rPr>
        <w:fldChar w:fldCharType="separate"/>
      </w:r>
      <w:r>
        <w:rPr>
          <w:rFonts w:hint="eastAsia"/>
          <w:i w:val="0"/>
          <w:iCs w:val="0"/>
          <w:lang w:val="zh-CN"/>
        </w:rPr>
        <w:t>二、 资格审查程序</w:t>
      </w:r>
      <w:r>
        <w:rPr>
          <w:i w:val="0"/>
          <w:iCs w:val="0"/>
        </w:rPr>
        <w:tab/>
      </w:r>
      <w:r>
        <w:rPr>
          <w:i w:val="0"/>
          <w:iCs w:val="0"/>
        </w:rPr>
        <w:fldChar w:fldCharType="begin"/>
      </w:r>
      <w:r>
        <w:rPr>
          <w:i w:val="0"/>
          <w:iCs w:val="0"/>
        </w:rPr>
        <w:instrText xml:space="preserve"> PAGEREF _Toc29116 \h </w:instrText>
      </w:r>
      <w:r>
        <w:rPr>
          <w:i w:val="0"/>
          <w:iCs w:val="0"/>
        </w:rPr>
        <w:fldChar w:fldCharType="separate"/>
      </w:r>
      <w:r>
        <w:rPr>
          <w:i w:val="0"/>
          <w:iCs w:val="0"/>
        </w:rPr>
        <w:t>- 55 -</w:t>
      </w:r>
      <w:r>
        <w:rPr>
          <w:i w:val="0"/>
          <w:iCs w:val="0"/>
        </w:rPr>
        <w:fldChar w:fldCharType="end"/>
      </w:r>
      <w:r>
        <w:rPr>
          <w:i w:val="0"/>
          <w:iCs w:val="0"/>
          <w:color w:val="000000" w:themeColor="text1"/>
          <w14:textFill>
            <w14:solidFill>
              <w14:schemeClr w14:val="tx1"/>
            </w14:solidFill>
          </w14:textFill>
        </w:rPr>
        <w:fldChar w:fldCharType="end"/>
      </w:r>
    </w:p>
    <w:p w14:paraId="2AE3A333">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_Toc915 </w:instrText>
      </w:r>
      <w:r>
        <w:rPr>
          <w:i w:val="0"/>
          <w:iCs w:val="0"/>
        </w:rPr>
        <w:fldChar w:fldCharType="separate"/>
      </w:r>
      <w:r>
        <w:rPr>
          <w:rFonts w:hint="eastAsia"/>
          <w:i w:val="0"/>
          <w:iCs w:val="0"/>
        </w:rPr>
        <w:t xml:space="preserve">（一） </w:t>
      </w:r>
      <w:r>
        <w:rPr>
          <w:rFonts w:hint="eastAsia"/>
          <w:i w:val="0"/>
          <w:iCs w:val="0"/>
          <w:lang w:val="zh-CN"/>
        </w:rPr>
        <w:t>资格审查</w:t>
      </w:r>
      <w:r>
        <w:rPr>
          <w:i w:val="0"/>
          <w:iCs w:val="0"/>
        </w:rPr>
        <w:tab/>
      </w:r>
      <w:r>
        <w:rPr>
          <w:i w:val="0"/>
          <w:iCs w:val="0"/>
        </w:rPr>
        <w:fldChar w:fldCharType="begin"/>
      </w:r>
      <w:r>
        <w:rPr>
          <w:i w:val="0"/>
          <w:iCs w:val="0"/>
        </w:rPr>
        <w:instrText xml:space="preserve"> PAGEREF _Toc915 \h </w:instrText>
      </w:r>
      <w:r>
        <w:rPr>
          <w:i w:val="0"/>
          <w:iCs w:val="0"/>
        </w:rPr>
        <w:fldChar w:fldCharType="separate"/>
      </w:r>
      <w:r>
        <w:rPr>
          <w:i w:val="0"/>
          <w:iCs w:val="0"/>
        </w:rPr>
        <w:t>- 55 -</w:t>
      </w:r>
      <w:r>
        <w:rPr>
          <w:i w:val="0"/>
          <w:iCs w:val="0"/>
        </w:rPr>
        <w:fldChar w:fldCharType="end"/>
      </w:r>
      <w:r>
        <w:rPr>
          <w:i w:val="0"/>
          <w:iCs w:val="0"/>
          <w:color w:val="000000" w:themeColor="text1"/>
          <w14:textFill>
            <w14:solidFill>
              <w14:schemeClr w14:val="tx1"/>
            </w14:solidFill>
          </w14:textFill>
        </w:rPr>
        <w:fldChar w:fldCharType="end"/>
      </w:r>
    </w:p>
    <w:p w14:paraId="3A676478">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_Toc9960 </w:instrText>
      </w:r>
      <w:r>
        <w:rPr>
          <w:i w:val="0"/>
          <w:iCs w:val="0"/>
        </w:rPr>
        <w:fldChar w:fldCharType="separate"/>
      </w:r>
      <w:r>
        <w:rPr>
          <w:rFonts w:hint="eastAsia"/>
          <w:i w:val="0"/>
          <w:iCs w:val="0"/>
          <w:lang w:val="zh-CN"/>
        </w:rPr>
        <w:t>（二） 信用信息核查</w:t>
      </w:r>
      <w:r>
        <w:rPr>
          <w:i w:val="0"/>
          <w:iCs w:val="0"/>
        </w:rPr>
        <w:tab/>
      </w:r>
      <w:r>
        <w:rPr>
          <w:i w:val="0"/>
          <w:iCs w:val="0"/>
        </w:rPr>
        <w:fldChar w:fldCharType="begin"/>
      </w:r>
      <w:r>
        <w:rPr>
          <w:i w:val="0"/>
          <w:iCs w:val="0"/>
        </w:rPr>
        <w:instrText xml:space="preserve"> PAGEREF _Toc9960 \h </w:instrText>
      </w:r>
      <w:r>
        <w:rPr>
          <w:i w:val="0"/>
          <w:iCs w:val="0"/>
        </w:rPr>
        <w:fldChar w:fldCharType="separate"/>
      </w:r>
      <w:r>
        <w:rPr>
          <w:i w:val="0"/>
          <w:iCs w:val="0"/>
        </w:rPr>
        <w:t>- 55 -</w:t>
      </w:r>
      <w:r>
        <w:rPr>
          <w:i w:val="0"/>
          <w:iCs w:val="0"/>
        </w:rPr>
        <w:fldChar w:fldCharType="end"/>
      </w:r>
      <w:r>
        <w:rPr>
          <w:i w:val="0"/>
          <w:iCs w:val="0"/>
          <w:color w:val="000000" w:themeColor="text1"/>
          <w14:textFill>
            <w14:solidFill>
              <w14:schemeClr w14:val="tx1"/>
            </w14:solidFill>
          </w14:textFill>
        </w:rPr>
        <w:fldChar w:fldCharType="end"/>
      </w:r>
    </w:p>
    <w:p w14:paraId="4E707C8E">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_Toc26825 </w:instrText>
      </w:r>
      <w:r>
        <w:rPr>
          <w:i w:val="0"/>
          <w:iCs w:val="0"/>
        </w:rPr>
        <w:fldChar w:fldCharType="separate"/>
      </w:r>
      <w:r>
        <w:rPr>
          <w:rFonts w:hint="eastAsia"/>
          <w:i w:val="0"/>
          <w:iCs w:val="0"/>
          <w:lang w:val="zh-CN"/>
        </w:rPr>
        <w:t>（三） 资格审查结果</w:t>
      </w:r>
      <w:r>
        <w:rPr>
          <w:i w:val="0"/>
          <w:iCs w:val="0"/>
        </w:rPr>
        <w:tab/>
      </w:r>
      <w:r>
        <w:rPr>
          <w:i w:val="0"/>
          <w:iCs w:val="0"/>
        </w:rPr>
        <w:fldChar w:fldCharType="begin"/>
      </w:r>
      <w:r>
        <w:rPr>
          <w:i w:val="0"/>
          <w:iCs w:val="0"/>
        </w:rPr>
        <w:instrText xml:space="preserve"> PAGEREF _Toc26825 \h </w:instrText>
      </w:r>
      <w:r>
        <w:rPr>
          <w:i w:val="0"/>
          <w:iCs w:val="0"/>
        </w:rPr>
        <w:fldChar w:fldCharType="separate"/>
      </w:r>
      <w:r>
        <w:rPr>
          <w:i w:val="0"/>
          <w:iCs w:val="0"/>
        </w:rPr>
        <w:t>- 56 -</w:t>
      </w:r>
      <w:r>
        <w:rPr>
          <w:i w:val="0"/>
          <w:iCs w:val="0"/>
        </w:rPr>
        <w:fldChar w:fldCharType="end"/>
      </w:r>
      <w:r>
        <w:rPr>
          <w:i w:val="0"/>
          <w:iCs w:val="0"/>
          <w:color w:val="000000" w:themeColor="text1"/>
          <w14:textFill>
            <w14:solidFill>
              <w14:schemeClr w14:val="tx1"/>
            </w14:solidFill>
          </w14:textFill>
        </w:rPr>
        <w:fldChar w:fldCharType="end"/>
      </w:r>
    </w:p>
    <w:p w14:paraId="256744F4">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_Toc15415 </w:instrText>
      </w:r>
      <w:r>
        <w:rPr>
          <w:i w:val="0"/>
          <w:iCs w:val="0"/>
        </w:rPr>
        <w:fldChar w:fldCharType="separate"/>
      </w:r>
      <w:r>
        <w:rPr>
          <w:rFonts w:hint="eastAsia"/>
          <w:i w:val="0"/>
          <w:iCs w:val="0"/>
        </w:rPr>
        <w:t xml:space="preserve">三、 </w:t>
      </w:r>
      <w:r>
        <w:rPr>
          <w:rFonts w:hint="eastAsia" w:cs="宋体" w:asciiTheme="majorEastAsia" w:hAnsiTheme="majorEastAsia" w:eastAsiaTheme="majorEastAsia"/>
          <w:i w:val="0"/>
          <w:iCs w:val="0"/>
          <w:kern w:val="0"/>
          <w:szCs w:val="21"/>
        </w:rPr>
        <w:t>资格审查标准</w:t>
      </w:r>
      <w:r>
        <w:rPr>
          <w:i w:val="0"/>
          <w:iCs w:val="0"/>
        </w:rPr>
        <w:tab/>
      </w:r>
      <w:r>
        <w:rPr>
          <w:i w:val="0"/>
          <w:iCs w:val="0"/>
        </w:rPr>
        <w:fldChar w:fldCharType="begin"/>
      </w:r>
      <w:r>
        <w:rPr>
          <w:i w:val="0"/>
          <w:iCs w:val="0"/>
        </w:rPr>
        <w:instrText xml:space="preserve"> PAGEREF _Toc15415 \h </w:instrText>
      </w:r>
      <w:r>
        <w:rPr>
          <w:i w:val="0"/>
          <w:iCs w:val="0"/>
        </w:rPr>
        <w:fldChar w:fldCharType="separate"/>
      </w:r>
      <w:r>
        <w:rPr>
          <w:i w:val="0"/>
          <w:iCs w:val="0"/>
        </w:rPr>
        <w:t>- 57 -</w:t>
      </w:r>
      <w:r>
        <w:rPr>
          <w:i w:val="0"/>
          <w:iCs w:val="0"/>
        </w:rPr>
        <w:fldChar w:fldCharType="end"/>
      </w:r>
      <w:r>
        <w:rPr>
          <w:i w:val="0"/>
          <w:iCs w:val="0"/>
          <w:color w:val="000000" w:themeColor="text1"/>
          <w14:textFill>
            <w14:solidFill>
              <w14:schemeClr w14:val="tx1"/>
            </w14:solidFill>
          </w14:textFill>
        </w:rPr>
        <w:fldChar w:fldCharType="end"/>
      </w:r>
    </w:p>
    <w:p w14:paraId="466F646A">
      <w:pPr>
        <w:pStyle w:val="25"/>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_Toc24744 </w:instrText>
      </w:r>
      <w:r>
        <w:rPr>
          <w:i w:val="0"/>
          <w:iCs w:val="0"/>
        </w:rPr>
        <w:fldChar w:fldCharType="separate"/>
      </w:r>
      <w:r>
        <w:rPr>
          <w:rFonts w:hint="eastAsia"/>
          <w:i w:val="0"/>
          <w:iCs w:val="0"/>
        </w:rPr>
        <w:t>第五章 评标办法及标准</w:t>
      </w:r>
      <w:r>
        <w:rPr>
          <w:i w:val="0"/>
          <w:iCs w:val="0"/>
        </w:rPr>
        <w:tab/>
      </w:r>
      <w:r>
        <w:rPr>
          <w:i w:val="0"/>
          <w:iCs w:val="0"/>
        </w:rPr>
        <w:fldChar w:fldCharType="begin"/>
      </w:r>
      <w:r>
        <w:rPr>
          <w:i w:val="0"/>
          <w:iCs w:val="0"/>
        </w:rPr>
        <w:instrText xml:space="preserve"> PAGEREF _Toc24744 \h </w:instrText>
      </w:r>
      <w:r>
        <w:rPr>
          <w:i w:val="0"/>
          <w:iCs w:val="0"/>
        </w:rPr>
        <w:fldChar w:fldCharType="separate"/>
      </w:r>
      <w:r>
        <w:rPr>
          <w:i w:val="0"/>
          <w:iCs w:val="0"/>
        </w:rPr>
        <w:t>- 60 -</w:t>
      </w:r>
      <w:r>
        <w:rPr>
          <w:i w:val="0"/>
          <w:iCs w:val="0"/>
        </w:rPr>
        <w:fldChar w:fldCharType="end"/>
      </w:r>
      <w:r>
        <w:rPr>
          <w:i w:val="0"/>
          <w:iCs w:val="0"/>
          <w:color w:val="000000" w:themeColor="text1"/>
          <w14:textFill>
            <w14:solidFill>
              <w14:schemeClr w14:val="tx1"/>
            </w14:solidFill>
          </w14:textFill>
        </w:rPr>
        <w:fldChar w:fldCharType="end"/>
      </w:r>
    </w:p>
    <w:p w14:paraId="7F30D215">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_Toc6485 </w:instrText>
      </w:r>
      <w:r>
        <w:rPr>
          <w:i w:val="0"/>
          <w:iCs w:val="0"/>
        </w:rPr>
        <w:fldChar w:fldCharType="separate"/>
      </w:r>
      <w:r>
        <w:rPr>
          <w:rFonts w:hint="eastAsia"/>
          <w:i w:val="0"/>
          <w:iCs w:val="0"/>
          <w:lang w:val="zh-CN"/>
        </w:rPr>
        <w:t>一、 评标办法前附表</w:t>
      </w:r>
      <w:r>
        <w:rPr>
          <w:i w:val="0"/>
          <w:iCs w:val="0"/>
        </w:rPr>
        <w:tab/>
      </w:r>
      <w:r>
        <w:rPr>
          <w:i w:val="0"/>
          <w:iCs w:val="0"/>
        </w:rPr>
        <w:fldChar w:fldCharType="begin"/>
      </w:r>
      <w:r>
        <w:rPr>
          <w:i w:val="0"/>
          <w:iCs w:val="0"/>
        </w:rPr>
        <w:instrText xml:space="preserve"> PAGEREF _Toc6485 \h </w:instrText>
      </w:r>
      <w:r>
        <w:rPr>
          <w:i w:val="0"/>
          <w:iCs w:val="0"/>
        </w:rPr>
        <w:fldChar w:fldCharType="separate"/>
      </w:r>
      <w:r>
        <w:rPr>
          <w:i w:val="0"/>
          <w:iCs w:val="0"/>
        </w:rPr>
        <w:t>- 60 -</w:t>
      </w:r>
      <w:r>
        <w:rPr>
          <w:i w:val="0"/>
          <w:iCs w:val="0"/>
        </w:rPr>
        <w:fldChar w:fldCharType="end"/>
      </w:r>
      <w:r>
        <w:rPr>
          <w:i w:val="0"/>
          <w:iCs w:val="0"/>
          <w:color w:val="000000" w:themeColor="text1"/>
          <w14:textFill>
            <w14:solidFill>
              <w14:schemeClr w14:val="tx1"/>
            </w14:solidFill>
          </w14:textFill>
        </w:rPr>
        <w:fldChar w:fldCharType="end"/>
      </w:r>
    </w:p>
    <w:p w14:paraId="2E682789">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_Toc14015 </w:instrText>
      </w:r>
      <w:r>
        <w:rPr>
          <w:i w:val="0"/>
          <w:iCs w:val="0"/>
        </w:rPr>
        <w:fldChar w:fldCharType="separate"/>
      </w:r>
      <w:r>
        <w:rPr>
          <w:rFonts w:hint="eastAsia"/>
          <w:i w:val="0"/>
          <w:iCs w:val="0"/>
          <w:lang w:val="zh-CN"/>
        </w:rPr>
        <w:t>二、 评标程序</w:t>
      </w:r>
      <w:r>
        <w:rPr>
          <w:i w:val="0"/>
          <w:iCs w:val="0"/>
        </w:rPr>
        <w:tab/>
      </w:r>
      <w:r>
        <w:rPr>
          <w:i w:val="0"/>
          <w:iCs w:val="0"/>
        </w:rPr>
        <w:fldChar w:fldCharType="begin"/>
      </w:r>
      <w:r>
        <w:rPr>
          <w:i w:val="0"/>
          <w:iCs w:val="0"/>
        </w:rPr>
        <w:instrText xml:space="preserve"> PAGEREF _Toc14015 \h </w:instrText>
      </w:r>
      <w:r>
        <w:rPr>
          <w:i w:val="0"/>
          <w:iCs w:val="0"/>
        </w:rPr>
        <w:fldChar w:fldCharType="separate"/>
      </w:r>
      <w:r>
        <w:rPr>
          <w:i w:val="0"/>
          <w:iCs w:val="0"/>
        </w:rPr>
        <w:t>- 61 -</w:t>
      </w:r>
      <w:r>
        <w:rPr>
          <w:i w:val="0"/>
          <w:iCs w:val="0"/>
        </w:rPr>
        <w:fldChar w:fldCharType="end"/>
      </w:r>
      <w:r>
        <w:rPr>
          <w:i w:val="0"/>
          <w:iCs w:val="0"/>
          <w:color w:val="000000" w:themeColor="text1"/>
          <w14:textFill>
            <w14:solidFill>
              <w14:schemeClr w14:val="tx1"/>
            </w14:solidFill>
          </w14:textFill>
        </w:rPr>
        <w:fldChar w:fldCharType="end"/>
      </w:r>
    </w:p>
    <w:p w14:paraId="096D8FE4">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_Toc7133 </w:instrText>
      </w:r>
      <w:r>
        <w:rPr>
          <w:i w:val="0"/>
          <w:iCs w:val="0"/>
        </w:rPr>
        <w:fldChar w:fldCharType="separate"/>
      </w:r>
      <w:r>
        <w:rPr>
          <w:rFonts w:hint="eastAsia"/>
          <w:i w:val="0"/>
          <w:iCs w:val="0"/>
          <w:lang w:val="zh-CN"/>
        </w:rPr>
        <w:t>（一） 符合性审查</w:t>
      </w:r>
      <w:r>
        <w:rPr>
          <w:i w:val="0"/>
          <w:iCs w:val="0"/>
        </w:rPr>
        <w:tab/>
      </w:r>
      <w:r>
        <w:rPr>
          <w:i w:val="0"/>
          <w:iCs w:val="0"/>
        </w:rPr>
        <w:fldChar w:fldCharType="begin"/>
      </w:r>
      <w:r>
        <w:rPr>
          <w:i w:val="0"/>
          <w:iCs w:val="0"/>
        </w:rPr>
        <w:instrText xml:space="preserve"> PAGEREF _Toc7133 \h </w:instrText>
      </w:r>
      <w:r>
        <w:rPr>
          <w:i w:val="0"/>
          <w:iCs w:val="0"/>
        </w:rPr>
        <w:fldChar w:fldCharType="separate"/>
      </w:r>
      <w:r>
        <w:rPr>
          <w:i w:val="0"/>
          <w:iCs w:val="0"/>
        </w:rPr>
        <w:t>- 61 -</w:t>
      </w:r>
      <w:r>
        <w:rPr>
          <w:i w:val="0"/>
          <w:iCs w:val="0"/>
        </w:rPr>
        <w:fldChar w:fldCharType="end"/>
      </w:r>
      <w:r>
        <w:rPr>
          <w:i w:val="0"/>
          <w:iCs w:val="0"/>
          <w:color w:val="000000" w:themeColor="text1"/>
          <w14:textFill>
            <w14:solidFill>
              <w14:schemeClr w14:val="tx1"/>
            </w14:solidFill>
          </w14:textFill>
        </w:rPr>
        <w:fldChar w:fldCharType="end"/>
      </w:r>
    </w:p>
    <w:p w14:paraId="75D83BF1">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_Toc14687 </w:instrText>
      </w:r>
      <w:r>
        <w:rPr>
          <w:i w:val="0"/>
          <w:iCs w:val="0"/>
        </w:rPr>
        <w:fldChar w:fldCharType="separate"/>
      </w:r>
      <w:r>
        <w:rPr>
          <w:rFonts w:hint="eastAsia"/>
          <w:i w:val="0"/>
          <w:iCs w:val="0"/>
          <w:lang w:val="zh-CN"/>
        </w:rPr>
        <w:t>（二） 投标文件澄清</w:t>
      </w:r>
      <w:r>
        <w:rPr>
          <w:rFonts w:hint="eastAsia"/>
          <w:i w:val="0"/>
          <w:iCs w:val="0"/>
        </w:rPr>
        <w:t>及修正</w:t>
      </w:r>
      <w:r>
        <w:rPr>
          <w:i w:val="0"/>
          <w:iCs w:val="0"/>
        </w:rPr>
        <w:tab/>
      </w:r>
      <w:r>
        <w:rPr>
          <w:i w:val="0"/>
          <w:iCs w:val="0"/>
        </w:rPr>
        <w:fldChar w:fldCharType="begin"/>
      </w:r>
      <w:r>
        <w:rPr>
          <w:i w:val="0"/>
          <w:iCs w:val="0"/>
        </w:rPr>
        <w:instrText xml:space="preserve"> PAGEREF _Toc14687 \h </w:instrText>
      </w:r>
      <w:r>
        <w:rPr>
          <w:i w:val="0"/>
          <w:iCs w:val="0"/>
        </w:rPr>
        <w:fldChar w:fldCharType="separate"/>
      </w:r>
      <w:r>
        <w:rPr>
          <w:i w:val="0"/>
          <w:iCs w:val="0"/>
        </w:rPr>
        <w:t>- 61 -</w:t>
      </w:r>
      <w:r>
        <w:rPr>
          <w:i w:val="0"/>
          <w:iCs w:val="0"/>
        </w:rPr>
        <w:fldChar w:fldCharType="end"/>
      </w:r>
      <w:r>
        <w:rPr>
          <w:i w:val="0"/>
          <w:iCs w:val="0"/>
          <w:color w:val="000000" w:themeColor="text1"/>
          <w14:textFill>
            <w14:solidFill>
              <w14:schemeClr w14:val="tx1"/>
            </w14:solidFill>
          </w14:textFill>
        </w:rPr>
        <w:fldChar w:fldCharType="end"/>
      </w:r>
    </w:p>
    <w:p w14:paraId="0B86DC3E">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_Toc11129 </w:instrText>
      </w:r>
      <w:r>
        <w:rPr>
          <w:i w:val="0"/>
          <w:iCs w:val="0"/>
        </w:rPr>
        <w:fldChar w:fldCharType="separate"/>
      </w:r>
      <w:r>
        <w:rPr>
          <w:rFonts w:hint="eastAsia"/>
          <w:i w:val="0"/>
          <w:iCs w:val="0"/>
        </w:rPr>
        <w:t>（三） 比较和评价</w:t>
      </w:r>
      <w:r>
        <w:rPr>
          <w:i w:val="0"/>
          <w:iCs w:val="0"/>
        </w:rPr>
        <w:tab/>
      </w:r>
      <w:r>
        <w:rPr>
          <w:i w:val="0"/>
          <w:iCs w:val="0"/>
        </w:rPr>
        <w:fldChar w:fldCharType="begin"/>
      </w:r>
      <w:r>
        <w:rPr>
          <w:i w:val="0"/>
          <w:iCs w:val="0"/>
        </w:rPr>
        <w:instrText xml:space="preserve"> PAGEREF _Toc11129 \h </w:instrText>
      </w:r>
      <w:r>
        <w:rPr>
          <w:i w:val="0"/>
          <w:iCs w:val="0"/>
        </w:rPr>
        <w:fldChar w:fldCharType="separate"/>
      </w:r>
      <w:r>
        <w:rPr>
          <w:i w:val="0"/>
          <w:iCs w:val="0"/>
        </w:rPr>
        <w:t>- 61 -</w:t>
      </w:r>
      <w:r>
        <w:rPr>
          <w:i w:val="0"/>
          <w:iCs w:val="0"/>
        </w:rPr>
        <w:fldChar w:fldCharType="end"/>
      </w:r>
      <w:r>
        <w:rPr>
          <w:i w:val="0"/>
          <w:iCs w:val="0"/>
          <w:color w:val="000000" w:themeColor="text1"/>
          <w14:textFill>
            <w14:solidFill>
              <w14:schemeClr w14:val="tx1"/>
            </w14:solidFill>
          </w14:textFill>
        </w:rPr>
        <w:fldChar w:fldCharType="end"/>
      </w:r>
    </w:p>
    <w:p w14:paraId="0E94D8D5">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_Toc8634 </w:instrText>
      </w:r>
      <w:r>
        <w:rPr>
          <w:i w:val="0"/>
          <w:iCs w:val="0"/>
        </w:rPr>
        <w:fldChar w:fldCharType="separate"/>
      </w:r>
      <w:r>
        <w:rPr>
          <w:rFonts w:hint="eastAsia"/>
          <w:i w:val="0"/>
          <w:iCs w:val="0"/>
          <w:lang w:val="zh-CN"/>
        </w:rPr>
        <w:t>（四） 评标报告</w:t>
      </w:r>
      <w:r>
        <w:rPr>
          <w:i w:val="0"/>
          <w:iCs w:val="0"/>
        </w:rPr>
        <w:tab/>
      </w:r>
      <w:r>
        <w:rPr>
          <w:i w:val="0"/>
          <w:iCs w:val="0"/>
        </w:rPr>
        <w:fldChar w:fldCharType="begin"/>
      </w:r>
      <w:r>
        <w:rPr>
          <w:i w:val="0"/>
          <w:iCs w:val="0"/>
        </w:rPr>
        <w:instrText xml:space="preserve"> PAGEREF _Toc8634 \h </w:instrText>
      </w:r>
      <w:r>
        <w:rPr>
          <w:i w:val="0"/>
          <w:iCs w:val="0"/>
        </w:rPr>
        <w:fldChar w:fldCharType="separate"/>
      </w:r>
      <w:r>
        <w:rPr>
          <w:i w:val="0"/>
          <w:iCs w:val="0"/>
        </w:rPr>
        <w:t>- 63 -</w:t>
      </w:r>
      <w:r>
        <w:rPr>
          <w:i w:val="0"/>
          <w:iCs w:val="0"/>
        </w:rPr>
        <w:fldChar w:fldCharType="end"/>
      </w:r>
      <w:r>
        <w:rPr>
          <w:i w:val="0"/>
          <w:iCs w:val="0"/>
          <w:color w:val="000000" w:themeColor="text1"/>
          <w14:textFill>
            <w14:solidFill>
              <w14:schemeClr w14:val="tx1"/>
            </w14:solidFill>
          </w14:textFill>
        </w:rPr>
        <w:fldChar w:fldCharType="end"/>
      </w:r>
    </w:p>
    <w:p w14:paraId="6EE6D71B">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_Toc5115 </w:instrText>
      </w:r>
      <w:r>
        <w:rPr>
          <w:i w:val="0"/>
          <w:iCs w:val="0"/>
        </w:rPr>
        <w:fldChar w:fldCharType="separate"/>
      </w:r>
      <w:r>
        <w:rPr>
          <w:rFonts w:hint="eastAsia"/>
          <w:i w:val="0"/>
          <w:iCs w:val="0"/>
          <w:lang w:val="zh-CN"/>
        </w:rPr>
        <w:t>（五） 应予废标的情形</w:t>
      </w:r>
      <w:r>
        <w:rPr>
          <w:i w:val="0"/>
          <w:iCs w:val="0"/>
        </w:rPr>
        <w:tab/>
      </w:r>
      <w:r>
        <w:rPr>
          <w:i w:val="0"/>
          <w:iCs w:val="0"/>
        </w:rPr>
        <w:fldChar w:fldCharType="begin"/>
      </w:r>
      <w:r>
        <w:rPr>
          <w:i w:val="0"/>
          <w:iCs w:val="0"/>
        </w:rPr>
        <w:instrText xml:space="preserve"> PAGEREF _Toc5115 \h </w:instrText>
      </w:r>
      <w:r>
        <w:rPr>
          <w:i w:val="0"/>
          <w:iCs w:val="0"/>
        </w:rPr>
        <w:fldChar w:fldCharType="separate"/>
      </w:r>
      <w:r>
        <w:rPr>
          <w:i w:val="0"/>
          <w:iCs w:val="0"/>
        </w:rPr>
        <w:t>- 64 -</w:t>
      </w:r>
      <w:r>
        <w:rPr>
          <w:i w:val="0"/>
          <w:iCs w:val="0"/>
        </w:rPr>
        <w:fldChar w:fldCharType="end"/>
      </w:r>
      <w:r>
        <w:rPr>
          <w:i w:val="0"/>
          <w:iCs w:val="0"/>
          <w:color w:val="000000" w:themeColor="text1"/>
          <w14:textFill>
            <w14:solidFill>
              <w14:schemeClr w14:val="tx1"/>
            </w14:solidFill>
          </w14:textFill>
        </w:rPr>
        <w:fldChar w:fldCharType="end"/>
      </w:r>
    </w:p>
    <w:p w14:paraId="11D7B0D7">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_Toc19997 </w:instrText>
      </w:r>
      <w:r>
        <w:rPr>
          <w:i w:val="0"/>
          <w:iCs w:val="0"/>
        </w:rPr>
        <w:fldChar w:fldCharType="separate"/>
      </w:r>
      <w:r>
        <w:rPr>
          <w:rFonts w:hint="eastAsia"/>
          <w:i w:val="0"/>
          <w:iCs w:val="0"/>
          <w:lang w:val="zh-CN"/>
        </w:rPr>
        <w:t>（六） 停止评标的情形</w:t>
      </w:r>
      <w:r>
        <w:rPr>
          <w:i w:val="0"/>
          <w:iCs w:val="0"/>
        </w:rPr>
        <w:tab/>
      </w:r>
      <w:r>
        <w:rPr>
          <w:i w:val="0"/>
          <w:iCs w:val="0"/>
        </w:rPr>
        <w:fldChar w:fldCharType="begin"/>
      </w:r>
      <w:r>
        <w:rPr>
          <w:i w:val="0"/>
          <w:iCs w:val="0"/>
        </w:rPr>
        <w:instrText xml:space="preserve"> PAGEREF _Toc19997 \h </w:instrText>
      </w:r>
      <w:r>
        <w:rPr>
          <w:i w:val="0"/>
          <w:iCs w:val="0"/>
        </w:rPr>
        <w:fldChar w:fldCharType="separate"/>
      </w:r>
      <w:r>
        <w:rPr>
          <w:i w:val="0"/>
          <w:iCs w:val="0"/>
        </w:rPr>
        <w:t>- 64 -</w:t>
      </w:r>
      <w:r>
        <w:rPr>
          <w:i w:val="0"/>
          <w:iCs w:val="0"/>
        </w:rPr>
        <w:fldChar w:fldCharType="end"/>
      </w:r>
      <w:r>
        <w:rPr>
          <w:i w:val="0"/>
          <w:iCs w:val="0"/>
          <w:color w:val="000000" w:themeColor="text1"/>
          <w14:textFill>
            <w14:solidFill>
              <w14:schemeClr w14:val="tx1"/>
            </w14:solidFill>
          </w14:textFill>
        </w:rPr>
        <w:fldChar w:fldCharType="end"/>
      </w:r>
    </w:p>
    <w:p w14:paraId="20716A1D">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_Toc32053 </w:instrText>
      </w:r>
      <w:r>
        <w:rPr>
          <w:i w:val="0"/>
          <w:iCs w:val="0"/>
        </w:rPr>
        <w:fldChar w:fldCharType="separate"/>
      </w:r>
      <w:r>
        <w:rPr>
          <w:rFonts w:hint="eastAsia"/>
          <w:i w:val="0"/>
          <w:iCs w:val="0"/>
          <w:lang w:val="zh-CN"/>
        </w:rPr>
        <w:t>三、 评标标准</w:t>
      </w:r>
      <w:r>
        <w:rPr>
          <w:i w:val="0"/>
          <w:iCs w:val="0"/>
        </w:rPr>
        <w:tab/>
      </w:r>
      <w:r>
        <w:rPr>
          <w:i w:val="0"/>
          <w:iCs w:val="0"/>
        </w:rPr>
        <w:fldChar w:fldCharType="begin"/>
      </w:r>
      <w:r>
        <w:rPr>
          <w:i w:val="0"/>
          <w:iCs w:val="0"/>
        </w:rPr>
        <w:instrText xml:space="preserve"> PAGEREF _Toc32053 \h </w:instrText>
      </w:r>
      <w:r>
        <w:rPr>
          <w:i w:val="0"/>
          <w:iCs w:val="0"/>
        </w:rPr>
        <w:fldChar w:fldCharType="separate"/>
      </w:r>
      <w:r>
        <w:rPr>
          <w:i w:val="0"/>
          <w:iCs w:val="0"/>
        </w:rPr>
        <w:t>- 65 -</w:t>
      </w:r>
      <w:r>
        <w:rPr>
          <w:i w:val="0"/>
          <w:iCs w:val="0"/>
        </w:rPr>
        <w:fldChar w:fldCharType="end"/>
      </w:r>
      <w:r>
        <w:rPr>
          <w:i w:val="0"/>
          <w:iCs w:val="0"/>
          <w:color w:val="000000" w:themeColor="text1"/>
          <w14:textFill>
            <w14:solidFill>
              <w14:schemeClr w14:val="tx1"/>
            </w14:solidFill>
          </w14:textFill>
        </w:rPr>
        <w:fldChar w:fldCharType="end"/>
      </w:r>
    </w:p>
    <w:p w14:paraId="5260DF2F">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_Toc26341 </w:instrText>
      </w:r>
      <w:r>
        <w:rPr>
          <w:i w:val="0"/>
          <w:iCs w:val="0"/>
        </w:rPr>
        <w:fldChar w:fldCharType="separate"/>
      </w:r>
      <w:r>
        <w:rPr>
          <w:rFonts w:hint="eastAsia"/>
          <w:i w:val="0"/>
          <w:iCs w:val="0"/>
          <w:lang w:val="zh-CN"/>
        </w:rPr>
        <w:t>（一） 符合性审查表</w:t>
      </w:r>
      <w:r>
        <w:rPr>
          <w:i w:val="0"/>
          <w:iCs w:val="0"/>
        </w:rPr>
        <w:tab/>
      </w:r>
      <w:r>
        <w:rPr>
          <w:i w:val="0"/>
          <w:iCs w:val="0"/>
        </w:rPr>
        <w:fldChar w:fldCharType="begin"/>
      </w:r>
      <w:r>
        <w:rPr>
          <w:i w:val="0"/>
          <w:iCs w:val="0"/>
        </w:rPr>
        <w:instrText xml:space="preserve"> PAGEREF _Toc26341 \h </w:instrText>
      </w:r>
      <w:r>
        <w:rPr>
          <w:i w:val="0"/>
          <w:iCs w:val="0"/>
        </w:rPr>
        <w:fldChar w:fldCharType="separate"/>
      </w:r>
      <w:r>
        <w:rPr>
          <w:i w:val="0"/>
          <w:iCs w:val="0"/>
        </w:rPr>
        <w:t>- 65 -</w:t>
      </w:r>
      <w:r>
        <w:rPr>
          <w:i w:val="0"/>
          <w:iCs w:val="0"/>
        </w:rPr>
        <w:fldChar w:fldCharType="end"/>
      </w:r>
      <w:r>
        <w:rPr>
          <w:i w:val="0"/>
          <w:iCs w:val="0"/>
          <w:color w:val="000000" w:themeColor="text1"/>
          <w14:textFill>
            <w14:solidFill>
              <w14:schemeClr w14:val="tx1"/>
            </w14:solidFill>
          </w14:textFill>
        </w:rPr>
        <w:fldChar w:fldCharType="end"/>
      </w:r>
    </w:p>
    <w:p w14:paraId="442DC3A4">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_Toc22171 </w:instrText>
      </w:r>
      <w:r>
        <w:rPr>
          <w:i w:val="0"/>
          <w:iCs w:val="0"/>
        </w:rPr>
        <w:fldChar w:fldCharType="separate"/>
      </w:r>
      <w:r>
        <w:rPr>
          <w:rFonts w:hint="eastAsia"/>
          <w:i w:val="0"/>
          <w:iCs w:val="0"/>
          <w:lang w:val="zh-CN"/>
        </w:rPr>
        <w:t>（二） 评分标准【综合评标法适用】</w:t>
      </w:r>
      <w:r>
        <w:rPr>
          <w:i w:val="0"/>
          <w:iCs w:val="0"/>
        </w:rPr>
        <w:tab/>
      </w:r>
      <w:r>
        <w:rPr>
          <w:i w:val="0"/>
          <w:iCs w:val="0"/>
        </w:rPr>
        <w:fldChar w:fldCharType="begin"/>
      </w:r>
      <w:r>
        <w:rPr>
          <w:i w:val="0"/>
          <w:iCs w:val="0"/>
        </w:rPr>
        <w:instrText xml:space="preserve"> PAGEREF _Toc22171 \h </w:instrText>
      </w:r>
      <w:r>
        <w:rPr>
          <w:i w:val="0"/>
          <w:iCs w:val="0"/>
        </w:rPr>
        <w:fldChar w:fldCharType="separate"/>
      </w:r>
      <w:r>
        <w:rPr>
          <w:i w:val="0"/>
          <w:iCs w:val="0"/>
        </w:rPr>
        <w:t>- 66 -</w:t>
      </w:r>
      <w:r>
        <w:rPr>
          <w:i w:val="0"/>
          <w:iCs w:val="0"/>
        </w:rPr>
        <w:fldChar w:fldCharType="end"/>
      </w:r>
      <w:r>
        <w:rPr>
          <w:i w:val="0"/>
          <w:iCs w:val="0"/>
          <w:color w:val="000000" w:themeColor="text1"/>
          <w14:textFill>
            <w14:solidFill>
              <w14:schemeClr w14:val="tx1"/>
            </w14:solidFill>
          </w14:textFill>
        </w:rPr>
        <w:fldChar w:fldCharType="end"/>
      </w:r>
    </w:p>
    <w:p w14:paraId="05793B6C">
      <w:pPr>
        <w:pStyle w:val="25"/>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_Toc3096 </w:instrText>
      </w:r>
      <w:r>
        <w:rPr>
          <w:i w:val="0"/>
          <w:iCs w:val="0"/>
        </w:rPr>
        <w:fldChar w:fldCharType="separate"/>
      </w:r>
      <w:r>
        <w:rPr>
          <w:rFonts w:hint="eastAsia"/>
          <w:i w:val="0"/>
          <w:iCs w:val="0"/>
          <w:lang w:val="en-US" w:eastAsia="zh-CN"/>
        </w:rPr>
        <w:t xml:space="preserve">第六章   </w:t>
      </w:r>
      <w:r>
        <w:rPr>
          <w:rFonts w:hint="eastAsia" w:cs="宋体"/>
          <w:i w:val="0"/>
          <w:iCs w:val="0"/>
        </w:rPr>
        <w:t>合同主要条款及合同格式</w:t>
      </w:r>
      <w:r>
        <w:rPr>
          <w:i w:val="0"/>
          <w:iCs w:val="0"/>
        </w:rPr>
        <w:tab/>
      </w:r>
      <w:r>
        <w:rPr>
          <w:i w:val="0"/>
          <w:iCs w:val="0"/>
        </w:rPr>
        <w:fldChar w:fldCharType="begin"/>
      </w:r>
      <w:r>
        <w:rPr>
          <w:i w:val="0"/>
          <w:iCs w:val="0"/>
        </w:rPr>
        <w:instrText xml:space="preserve"> PAGEREF _Toc3096 \h </w:instrText>
      </w:r>
      <w:r>
        <w:rPr>
          <w:i w:val="0"/>
          <w:iCs w:val="0"/>
        </w:rPr>
        <w:fldChar w:fldCharType="separate"/>
      </w:r>
      <w:r>
        <w:rPr>
          <w:i w:val="0"/>
          <w:iCs w:val="0"/>
        </w:rPr>
        <w:t>- 70 -</w:t>
      </w:r>
      <w:r>
        <w:rPr>
          <w:i w:val="0"/>
          <w:iCs w:val="0"/>
        </w:rPr>
        <w:fldChar w:fldCharType="end"/>
      </w:r>
      <w:r>
        <w:rPr>
          <w:i w:val="0"/>
          <w:iCs w:val="0"/>
          <w:color w:val="000000" w:themeColor="text1"/>
          <w14:textFill>
            <w14:solidFill>
              <w14:schemeClr w14:val="tx1"/>
            </w14:solidFill>
          </w14:textFill>
        </w:rPr>
        <w:fldChar w:fldCharType="end"/>
      </w:r>
    </w:p>
    <w:p w14:paraId="76074FCC">
      <w:pPr>
        <w:pStyle w:val="25"/>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_Toc31990 </w:instrText>
      </w:r>
      <w:r>
        <w:rPr>
          <w:i w:val="0"/>
          <w:iCs w:val="0"/>
        </w:rPr>
        <w:fldChar w:fldCharType="separate"/>
      </w:r>
      <w:r>
        <w:rPr>
          <w:rFonts w:hint="eastAsia"/>
          <w:i w:val="0"/>
          <w:iCs w:val="0"/>
          <w:lang w:val="en-US" w:eastAsia="zh-CN"/>
        </w:rPr>
        <w:t xml:space="preserve">第七章  </w:t>
      </w:r>
      <w:r>
        <w:rPr>
          <w:i w:val="0"/>
          <w:iCs w:val="0"/>
        </w:rPr>
        <w:t>投标文件的格式</w:t>
      </w:r>
      <w:r>
        <w:rPr>
          <w:i w:val="0"/>
          <w:iCs w:val="0"/>
        </w:rPr>
        <w:tab/>
      </w:r>
      <w:r>
        <w:rPr>
          <w:i w:val="0"/>
          <w:iCs w:val="0"/>
        </w:rPr>
        <w:fldChar w:fldCharType="begin"/>
      </w:r>
      <w:r>
        <w:rPr>
          <w:i w:val="0"/>
          <w:iCs w:val="0"/>
        </w:rPr>
        <w:instrText xml:space="preserve"> PAGEREF _Toc31990 \h </w:instrText>
      </w:r>
      <w:r>
        <w:rPr>
          <w:i w:val="0"/>
          <w:iCs w:val="0"/>
        </w:rPr>
        <w:fldChar w:fldCharType="separate"/>
      </w:r>
      <w:r>
        <w:rPr>
          <w:i w:val="0"/>
          <w:iCs w:val="0"/>
        </w:rPr>
        <w:t>- 79 -</w:t>
      </w:r>
      <w:r>
        <w:rPr>
          <w:i w:val="0"/>
          <w:iCs w:val="0"/>
        </w:rPr>
        <w:fldChar w:fldCharType="end"/>
      </w:r>
      <w:r>
        <w:rPr>
          <w:i w:val="0"/>
          <w:iCs w:val="0"/>
          <w:color w:val="000000" w:themeColor="text1"/>
          <w14:textFill>
            <w14:solidFill>
              <w14:schemeClr w14:val="tx1"/>
            </w14:solidFill>
          </w14:textFill>
        </w:rPr>
        <w:fldChar w:fldCharType="end"/>
      </w:r>
    </w:p>
    <w:p w14:paraId="52608A74">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_Toc22730 </w:instrText>
      </w:r>
      <w:r>
        <w:rPr>
          <w:i w:val="0"/>
          <w:iCs w:val="0"/>
        </w:rPr>
        <w:fldChar w:fldCharType="separate"/>
      </w:r>
      <w:r>
        <w:rPr>
          <w:rFonts w:hint="eastAsia"/>
          <w:i w:val="0"/>
          <w:iCs w:val="0"/>
          <w:lang w:val="zh-CN"/>
        </w:rPr>
        <w:t>一、 投标函及报价文件</w:t>
      </w:r>
      <w:r>
        <w:rPr>
          <w:i w:val="0"/>
          <w:iCs w:val="0"/>
        </w:rPr>
        <w:tab/>
      </w:r>
      <w:r>
        <w:rPr>
          <w:i w:val="0"/>
          <w:iCs w:val="0"/>
        </w:rPr>
        <w:fldChar w:fldCharType="begin"/>
      </w:r>
      <w:r>
        <w:rPr>
          <w:i w:val="0"/>
          <w:iCs w:val="0"/>
        </w:rPr>
        <w:instrText xml:space="preserve"> PAGEREF _Toc22730 \h </w:instrText>
      </w:r>
      <w:r>
        <w:rPr>
          <w:i w:val="0"/>
          <w:iCs w:val="0"/>
        </w:rPr>
        <w:fldChar w:fldCharType="separate"/>
      </w:r>
      <w:r>
        <w:rPr>
          <w:i w:val="0"/>
          <w:iCs w:val="0"/>
        </w:rPr>
        <w:t>- 80 -</w:t>
      </w:r>
      <w:r>
        <w:rPr>
          <w:i w:val="0"/>
          <w:iCs w:val="0"/>
        </w:rPr>
        <w:fldChar w:fldCharType="end"/>
      </w:r>
      <w:r>
        <w:rPr>
          <w:i w:val="0"/>
          <w:iCs w:val="0"/>
          <w:color w:val="000000" w:themeColor="text1"/>
          <w14:textFill>
            <w14:solidFill>
              <w14:schemeClr w14:val="tx1"/>
            </w14:solidFill>
          </w14:textFill>
        </w:rPr>
        <w:fldChar w:fldCharType="end"/>
      </w:r>
    </w:p>
    <w:p w14:paraId="1011DEF2">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_Toc21170 </w:instrText>
      </w:r>
      <w:r>
        <w:rPr>
          <w:i w:val="0"/>
          <w:iCs w:val="0"/>
        </w:rPr>
        <w:fldChar w:fldCharType="separate"/>
      </w:r>
      <w:r>
        <w:rPr>
          <w:rFonts w:hint="eastAsia"/>
          <w:i w:val="0"/>
          <w:iCs w:val="0"/>
        </w:rPr>
        <w:t>（一） 投标函</w:t>
      </w:r>
      <w:r>
        <w:rPr>
          <w:i w:val="0"/>
          <w:iCs w:val="0"/>
        </w:rPr>
        <w:tab/>
      </w:r>
      <w:r>
        <w:rPr>
          <w:i w:val="0"/>
          <w:iCs w:val="0"/>
        </w:rPr>
        <w:fldChar w:fldCharType="begin"/>
      </w:r>
      <w:r>
        <w:rPr>
          <w:i w:val="0"/>
          <w:iCs w:val="0"/>
        </w:rPr>
        <w:instrText xml:space="preserve"> PAGEREF _Toc21170 \h </w:instrText>
      </w:r>
      <w:r>
        <w:rPr>
          <w:i w:val="0"/>
          <w:iCs w:val="0"/>
        </w:rPr>
        <w:fldChar w:fldCharType="separate"/>
      </w:r>
      <w:r>
        <w:rPr>
          <w:i w:val="0"/>
          <w:iCs w:val="0"/>
        </w:rPr>
        <w:t>- 81 -</w:t>
      </w:r>
      <w:r>
        <w:rPr>
          <w:i w:val="0"/>
          <w:iCs w:val="0"/>
        </w:rPr>
        <w:fldChar w:fldCharType="end"/>
      </w:r>
      <w:r>
        <w:rPr>
          <w:i w:val="0"/>
          <w:iCs w:val="0"/>
          <w:color w:val="000000" w:themeColor="text1"/>
          <w14:textFill>
            <w14:solidFill>
              <w14:schemeClr w14:val="tx1"/>
            </w14:solidFill>
          </w14:textFill>
        </w:rPr>
        <w:fldChar w:fldCharType="end"/>
      </w:r>
    </w:p>
    <w:p w14:paraId="3EB815EF">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_Toc12988 </w:instrText>
      </w:r>
      <w:r>
        <w:rPr>
          <w:i w:val="0"/>
          <w:iCs w:val="0"/>
        </w:rPr>
        <w:fldChar w:fldCharType="separate"/>
      </w:r>
      <w:r>
        <w:rPr>
          <w:rFonts w:hint="eastAsia"/>
          <w:i w:val="0"/>
          <w:iCs w:val="0"/>
        </w:rPr>
        <w:t>（二） 开标一览表</w:t>
      </w:r>
      <w:r>
        <w:rPr>
          <w:i w:val="0"/>
          <w:iCs w:val="0"/>
        </w:rPr>
        <w:tab/>
      </w:r>
      <w:r>
        <w:rPr>
          <w:i w:val="0"/>
          <w:iCs w:val="0"/>
        </w:rPr>
        <w:fldChar w:fldCharType="begin"/>
      </w:r>
      <w:r>
        <w:rPr>
          <w:i w:val="0"/>
          <w:iCs w:val="0"/>
        </w:rPr>
        <w:instrText xml:space="preserve"> PAGEREF _Toc12988 \h </w:instrText>
      </w:r>
      <w:r>
        <w:rPr>
          <w:i w:val="0"/>
          <w:iCs w:val="0"/>
        </w:rPr>
        <w:fldChar w:fldCharType="separate"/>
      </w:r>
      <w:r>
        <w:rPr>
          <w:i w:val="0"/>
          <w:iCs w:val="0"/>
        </w:rPr>
        <w:t>- 83 -</w:t>
      </w:r>
      <w:r>
        <w:rPr>
          <w:i w:val="0"/>
          <w:iCs w:val="0"/>
        </w:rPr>
        <w:fldChar w:fldCharType="end"/>
      </w:r>
      <w:r>
        <w:rPr>
          <w:i w:val="0"/>
          <w:iCs w:val="0"/>
          <w:color w:val="000000" w:themeColor="text1"/>
          <w14:textFill>
            <w14:solidFill>
              <w14:schemeClr w14:val="tx1"/>
            </w14:solidFill>
          </w14:textFill>
        </w:rPr>
        <w:fldChar w:fldCharType="end"/>
      </w:r>
    </w:p>
    <w:p w14:paraId="5B6887E9">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_Toc1930 </w:instrText>
      </w:r>
      <w:r>
        <w:rPr>
          <w:i w:val="0"/>
          <w:iCs w:val="0"/>
        </w:rPr>
        <w:fldChar w:fldCharType="separate"/>
      </w:r>
      <w:r>
        <w:rPr>
          <w:rFonts w:hint="eastAsia"/>
          <w:i w:val="0"/>
          <w:iCs w:val="0"/>
        </w:rPr>
        <w:t>（三） 法定代表人（负责人）身份证明</w:t>
      </w:r>
      <w:r>
        <w:rPr>
          <w:i w:val="0"/>
          <w:iCs w:val="0"/>
        </w:rPr>
        <w:tab/>
      </w:r>
      <w:r>
        <w:rPr>
          <w:i w:val="0"/>
          <w:iCs w:val="0"/>
        </w:rPr>
        <w:fldChar w:fldCharType="begin"/>
      </w:r>
      <w:r>
        <w:rPr>
          <w:i w:val="0"/>
          <w:iCs w:val="0"/>
        </w:rPr>
        <w:instrText xml:space="preserve"> PAGEREF _Toc1930 \h </w:instrText>
      </w:r>
      <w:r>
        <w:rPr>
          <w:i w:val="0"/>
          <w:iCs w:val="0"/>
        </w:rPr>
        <w:fldChar w:fldCharType="separate"/>
      </w:r>
      <w:r>
        <w:rPr>
          <w:i w:val="0"/>
          <w:iCs w:val="0"/>
        </w:rPr>
        <w:t>- 84 -</w:t>
      </w:r>
      <w:r>
        <w:rPr>
          <w:i w:val="0"/>
          <w:iCs w:val="0"/>
        </w:rPr>
        <w:fldChar w:fldCharType="end"/>
      </w:r>
      <w:r>
        <w:rPr>
          <w:i w:val="0"/>
          <w:iCs w:val="0"/>
          <w:color w:val="000000" w:themeColor="text1"/>
          <w14:textFill>
            <w14:solidFill>
              <w14:schemeClr w14:val="tx1"/>
            </w14:solidFill>
          </w14:textFill>
        </w:rPr>
        <w:fldChar w:fldCharType="end"/>
      </w:r>
    </w:p>
    <w:p w14:paraId="1526C974">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_Toc20433 </w:instrText>
      </w:r>
      <w:r>
        <w:rPr>
          <w:i w:val="0"/>
          <w:iCs w:val="0"/>
        </w:rPr>
        <w:fldChar w:fldCharType="separate"/>
      </w:r>
      <w:r>
        <w:rPr>
          <w:rFonts w:hint="eastAsia"/>
          <w:i w:val="0"/>
          <w:iCs w:val="0"/>
        </w:rPr>
        <w:t>（四） 法定代表人（负责人）授权书</w:t>
      </w:r>
      <w:r>
        <w:rPr>
          <w:i w:val="0"/>
          <w:iCs w:val="0"/>
        </w:rPr>
        <w:tab/>
      </w:r>
      <w:r>
        <w:rPr>
          <w:i w:val="0"/>
          <w:iCs w:val="0"/>
        </w:rPr>
        <w:fldChar w:fldCharType="begin"/>
      </w:r>
      <w:r>
        <w:rPr>
          <w:i w:val="0"/>
          <w:iCs w:val="0"/>
        </w:rPr>
        <w:instrText xml:space="preserve"> PAGEREF _Toc20433 \h </w:instrText>
      </w:r>
      <w:r>
        <w:rPr>
          <w:i w:val="0"/>
          <w:iCs w:val="0"/>
        </w:rPr>
        <w:fldChar w:fldCharType="separate"/>
      </w:r>
      <w:r>
        <w:rPr>
          <w:i w:val="0"/>
          <w:iCs w:val="0"/>
        </w:rPr>
        <w:t>- 85 -</w:t>
      </w:r>
      <w:r>
        <w:rPr>
          <w:i w:val="0"/>
          <w:iCs w:val="0"/>
        </w:rPr>
        <w:fldChar w:fldCharType="end"/>
      </w:r>
      <w:r>
        <w:rPr>
          <w:i w:val="0"/>
          <w:iCs w:val="0"/>
          <w:color w:val="000000" w:themeColor="text1"/>
          <w14:textFill>
            <w14:solidFill>
              <w14:schemeClr w14:val="tx1"/>
            </w14:solidFill>
          </w14:textFill>
        </w:rPr>
        <w:fldChar w:fldCharType="end"/>
      </w:r>
    </w:p>
    <w:p w14:paraId="5C9334AE">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_Toc29339 </w:instrText>
      </w:r>
      <w:r>
        <w:rPr>
          <w:i w:val="0"/>
          <w:iCs w:val="0"/>
        </w:rPr>
        <w:fldChar w:fldCharType="separate"/>
      </w:r>
      <w:r>
        <w:rPr>
          <w:rFonts w:hint="eastAsia"/>
          <w:i w:val="0"/>
          <w:iCs w:val="0"/>
          <w:lang w:val="zh-CN"/>
        </w:rPr>
        <w:t>二、 资格证明文件</w:t>
      </w:r>
      <w:r>
        <w:rPr>
          <w:i w:val="0"/>
          <w:iCs w:val="0"/>
        </w:rPr>
        <w:tab/>
      </w:r>
      <w:r>
        <w:rPr>
          <w:i w:val="0"/>
          <w:iCs w:val="0"/>
        </w:rPr>
        <w:fldChar w:fldCharType="begin"/>
      </w:r>
      <w:r>
        <w:rPr>
          <w:i w:val="0"/>
          <w:iCs w:val="0"/>
        </w:rPr>
        <w:instrText xml:space="preserve"> PAGEREF _Toc29339 \h </w:instrText>
      </w:r>
      <w:r>
        <w:rPr>
          <w:i w:val="0"/>
          <w:iCs w:val="0"/>
        </w:rPr>
        <w:fldChar w:fldCharType="separate"/>
      </w:r>
      <w:r>
        <w:rPr>
          <w:i w:val="0"/>
          <w:iCs w:val="0"/>
        </w:rPr>
        <w:t>- 86 -</w:t>
      </w:r>
      <w:r>
        <w:rPr>
          <w:i w:val="0"/>
          <w:iCs w:val="0"/>
        </w:rPr>
        <w:fldChar w:fldCharType="end"/>
      </w:r>
      <w:r>
        <w:rPr>
          <w:i w:val="0"/>
          <w:iCs w:val="0"/>
          <w:color w:val="000000" w:themeColor="text1"/>
          <w14:textFill>
            <w14:solidFill>
              <w14:schemeClr w14:val="tx1"/>
            </w14:solidFill>
          </w14:textFill>
        </w:rPr>
        <w:fldChar w:fldCharType="end"/>
      </w:r>
    </w:p>
    <w:p w14:paraId="06035360">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_Toc26702 </w:instrText>
      </w:r>
      <w:r>
        <w:rPr>
          <w:i w:val="0"/>
          <w:iCs w:val="0"/>
        </w:rPr>
        <w:fldChar w:fldCharType="separate"/>
      </w:r>
      <w:r>
        <w:rPr>
          <w:rFonts w:hint="eastAsia"/>
          <w:i w:val="0"/>
          <w:iCs w:val="0"/>
        </w:rPr>
        <w:t>（一） 企业法人营业执照、事业单位法人证书或团体组织法人证书</w:t>
      </w:r>
      <w:r>
        <w:rPr>
          <w:i w:val="0"/>
          <w:iCs w:val="0"/>
        </w:rPr>
        <w:tab/>
      </w:r>
      <w:r>
        <w:rPr>
          <w:i w:val="0"/>
          <w:iCs w:val="0"/>
        </w:rPr>
        <w:fldChar w:fldCharType="begin"/>
      </w:r>
      <w:r>
        <w:rPr>
          <w:i w:val="0"/>
          <w:iCs w:val="0"/>
        </w:rPr>
        <w:instrText xml:space="preserve"> PAGEREF _Toc26702 \h </w:instrText>
      </w:r>
      <w:r>
        <w:rPr>
          <w:i w:val="0"/>
          <w:iCs w:val="0"/>
        </w:rPr>
        <w:fldChar w:fldCharType="separate"/>
      </w:r>
      <w:r>
        <w:rPr>
          <w:i w:val="0"/>
          <w:iCs w:val="0"/>
        </w:rPr>
        <w:t>- 87 -</w:t>
      </w:r>
      <w:r>
        <w:rPr>
          <w:i w:val="0"/>
          <w:iCs w:val="0"/>
        </w:rPr>
        <w:fldChar w:fldCharType="end"/>
      </w:r>
      <w:r>
        <w:rPr>
          <w:i w:val="0"/>
          <w:iCs w:val="0"/>
          <w:color w:val="000000" w:themeColor="text1"/>
          <w14:textFill>
            <w14:solidFill>
              <w14:schemeClr w14:val="tx1"/>
            </w14:solidFill>
          </w14:textFill>
        </w:rPr>
        <w:fldChar w:fldCharType="end"/>
      </w:r>
    </w:p>
    <w:p w14:paraId="60B28432">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_Toc14898 </w:instrText>
      </w:r>
      <w:r>
        <w:rPr>
          <w:i w:val="0"/>
          <w:iCs w:val="0"/>
        </w:rPr>
        <w:fldChar w:fldCharType="separate"/>
      </w:r>
      <w:r>
        <w:rPr>
          <w:rFonts w:hint="eastAsia"/>
          <w:i w:val="0"/>
          <w:iCs w:val="0"/>
        </w:rPr>
        <w:t>（二） 资格条件承诺书</w:t>
      </w:r>
      <w:r>
        <w:rPr>
          <w:i w:val="0"/>
          <w:iCs w:val="0"/>
        </w:rPr>
        <w:tab/>
      </w:r>
      <w:r>
        <w:rPr>
          <w:i w:val="0"/>
          <w:iCs w:val="0"/>
        </w:rPr>
        <w:fldChar w:fldCharType="begin"/>
      </w:r>
      <w:r>
        <w:rPr>
          <w:i w:val="0"/>
          <w:iCs w:val="0"/>
        </w:rPr>
        <w:instrText xml:space="preserve"> PAGEREF _Toc14898 \h </w:instrText>
      </w:r>
      <w:r>
        <w:rPr>
          <w:i w:val="0"/>
          <w:iCs w:val="0"/>
        </w:rPr>
        <w:fldChar w:fldCharType="separate"/>
      </w:r>
      <w:r>
        <w:rPr>
          <w:i w:val="0"/>
          <w:iCs w:val="0"/>
        </w:rPr>
        <w:t>- 88 -</w:t>
      </w:r>
      <w:r>
        <w:rPr>
          <w:i w:val="0"/>
          <w:iCs w:val="0"/>
        </w:rPr>
        <w:fldChar w:fldCharType="end"/>
      </w:r>
      <w:r>
        <w:rPr>
          <w:i w:val="0"/>
          <w:iCs w:val="0"/>
          <w:color w:val="000000" w:themeColor="text1"/>
          <w14:textFill>
            <w14:solidFill>
              <w14:schemeClr w14:val="tx1"/>
            </w14:solidFill>
          </w14:textFill>
        </w:rPr>
        <w:fldChar w:fldCharType="end"/>
      </w:r>
    </w:p>
    <w:p w14:paraId="62993420">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_Toc1027 </w:instrText>
      </w:r>
      <w:r>
        <w:rPr>
          <w:i w:val="0"/>
          <w:iCs w:val="0"/>
        </w:rPr>
        <w:fldChar w:fldCharType="separate"/>
      </w:r>
      <w:r>
        <w:rPr>
          <w:rFonts w:hint="eastAsia"/>
          <w:i w:val="0"/>
          <w:iCs w:val="0"/>
        </w:rPr>
        <w:t>（三） 资格证明文件</w:t>
      </w:r>
      <w:r>
        <w:rPr>
          <w:i w:val="0"/>
          <w:iCs w:val="0"/>
        </w:rPr>
        <w:tab/>
      </w:r>
      <w:r>
        <w:rPr>
          <w:i w:val="0"/>
          <w:iCs w:val="0"/>
        </w:rPr>
        <w:fldChar w:fldCharType="begin"/>
      </w:r>
      <w:r>
        <w:rPr>
          <w:i w:val="0"/>
          <w:iCs w:val="0"/>
        </w:rPr>
        <w:instrText xml:space="preserve"> PAGEREF _Toc1027 \h </w:instrText>
      </w:r>
      <w:r>
        <w:rPr>
          <w:i w:val="0"/>
          <w:iCs w:val="0"/>
        </w:rPr>
        <w:fldChar w:fldCharType="separate"/>
      </w:r>
      <w:r>
        <w:rPr>
          <w:i w:val="0"/>
          <w:iCs w:val="0"/>
        </w:rPr>
        <w:t>- 89 -</w:t>
      </w:r>
      <w:r>
        <w:rPr>
          <w:i w:val="0"/>
          <w:iCs w:val="0"/>
        </w:rPr>
        <w:fldChar w:fldCharType="end"/>
      </w:r>
      <w:r>
        <w:rPr>
          <w:i w:val="0"/>
          <w:iCs w:val="0"/>
          <w:color w:val="000000" w:themeColor="text1"/>
          <w14:textFill>
            <w14:solidFill>
              <w14:schemeClr w14:val="tx1"/>
            </w14:solidFill>
          </w14:textFill>
        </w:rPr>
        <w:fldChar w:fldCharType="end"/>
      </w:r>
    </w:p>
    <w:p w14:paraId="76AE5F56">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_Toc7876 </w:instrText>
      </w:r>
      <w:r>
        <w:rPr>
          <w:i w:val="0"/>
          <w:iCs w:val="0"/>
        </w:rPr>
        <w:fldChar w:fldCharType="separate"/>
      </w:r>
      <w:r>
        <w:rPr>
          <w:rFonts w:hint="eastAsia"/>
          <w:i w:val="0"/>
          <w:iCs w:val="0"/>
        </w:rPr>
        <w:t>（四） 其他资格证明文件</w:t>
      </w:r>
      <w:r>
        <w:rPr>
          <w:i w:val="0"/>
          <w:iCs w:val="0"/>
        </w:rPr>
        <w:tab/>
      </w:r>
      <w:r>
        <w:rPr>
          <w:i w:val="0"/>
          <w:iCs w:val="0"/>
        </w:rPr>
        <w:fldChar w:fldCharType="begin"/>
      </w:r>
      <w:r>
        <w:rPr>
          <w:i w:val="0"/>
          <w:iCs w:val="0"/>
        </w:rPr>
        <w:instrText xml:space="preserve"> PAGEREF _Toc7876 \h </w:instrText>
      </w:r>
      <w:r>
        <w:rPr>
          <w:i w:val="0"/>
          <w:iCs w:val="0"/>
        </w:rPr>
        <w:fldChar w:fldCharType="separate"/>
      </w:r>
      <w:r>
        <w:rPr>
          <w:i w:val="0"/>
          <w:iCs w:val="0"/>
        </w:rPr>
        <w:t>- 90 -</w:t>
      </w:r>
      <w:r>
        <w:rPr>
          <w:i w:val="0"/>
          <w:iCs w:val="0"/>
        </w:rPr>
        <w:fldChar w:fldCharType="end"/>
      </w:r>
      <w:r>
        <w:rPr>
          <w:i w:val="0"/>
          <w:iCs w:val="0"/>
          <w:color w:val="000000" w:themeColor="text1"/>
          <w14:textFill>
            <w14:solidFill>
              <w14:schemeClr w14:val="tx1"/>
            </w14:solidFill>
          </w14:textFill>
        </w:rPr>
        <w:fldChar w:fldCharType="end"/>
      </w:r>
    </w:p>
    <w:p w14:paraId="48065CE9">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_Toc463 </w:instrText>
      </w:r>
      <w:r>
        <w:rPr>
          <w:i w:val="0"/>
          <w:iCs w:val="0"/>
        </w:rPr>
        <w:fldChar w:fldCharType="separate"/>
      </w:r>
      <w:r>
        <w:rPr>
          <w:rFonts w:hint="eastAsia"/>
          <w:i w:val="0"/>
          <w:iCs w:val="0"/>
          <w:lang w:val="zh-CN"/>
        </w:rPr>
        <w:t>三、 其他响应文件</w:t>
      </w:r>
      <w:r>
        <w:rPr>
          <w:i w:val="0"/>
          <w:iCs w:val="0"/>
        </w:rPr>
        <w:tab/>
      </w:r>
      <w:r>
        <w:rPr>
          <w:i w:val="0"/>
          <w:iCs w:val="0"/>
        </w:rPr>
        <w:fldChar w:fldCharType="begin"/>
      </w:r>
      <w:r>
        <w:rPr>
          <w:i w:val="0"/>
          <w:iCs w:val="0"/>
        </w:rPr>
        <w:instrText xml:space="preserve"> PAGEREF _Toc463 \h </w:instrText>
      </w:r>
      <w:r>
        <w:rPr>
          <w:i w:val="0"/>
          <w:iCs w:val="0"/>
        </w:rPr>
        <w:fldChar w:fldCharType="separate"/>
      </w:r>
      <w:r>
        <w:rPr>
          <w:i w:val="0"/>
          <w:iCs w:val="0"/>
        </w:rPr>
        <w:t>- 91 -</w:t>
      </w:r>
      <w:r>
        <w:rPr>
          <w:i w:val="0"/>
          <w:iCs w:val="0"/>
        </w:rPr>
        <w:fldChar w:fldCharType="end"/>
      </w:r>
      <w:r>
        <w:rPr>
          <w:i w:val="0"/>
          <w:iCs w:val="0"/>
          <w:color w:val="000000" w:themeColor="text1"/>
          <w14:textFill>
            <w14:solidFill>
              <w14:schemeClr w14:val="tx1"/>
            </w14:solidFill>
          </w14:textFill>
        </w:rPr>
        <w:fldChar w:fldCharType="end"/>
      </w:r>
    </w:p>
    <w:p w14:paraId="7978E4F0">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_Toc11000 </w:instrText>
      </w:r>
      <w:r>
        <w:rPr>
          <w:i w:val="0"/>
          <w:iCs w:val="0"/>
        </w:rPr>
        <w:fldChar w:fldCharType="separate"/>
      </w:r>
      <w:r>
        <w:rPr>
          <w:rFonts w:hint="eastAsia"/>
          <w:i w:val="0"/>
          <w:iCs w:val="0"/>
        </w:rPr>
        <w:t>（一） 商务部分</w:t>
      </w:r>
      <w:r>
        <w:rPr>
          <w:i w:val="0"/>
          <w:iCs w:val="0"/>
        </w:rPr>
        <w:tab/>
      </w:r>
      <w:r>
        <w:rPr>
          <w:i w:val="0"/>
          <w:iCs w:val="0"/>
        </w:rPr>
        <w:fldChar w:fldCharType="begin"/>
      </w:r>
      <w:r>
        <w:rPr>
          <w:i w:val="0"/>
          <w:iCs w:val="0"/>
        </w:rPr>
        <w:instrText xml:space="preserve"> PAGEREF _Toc11000 \h </w:instrText>
      </w:r>
      <w:r>
        <w:rPr>
          <w:i w:val="0"/>
          <w:iCs w:val="0"/>
        </w:rPr>
        <w:fldChar w:fldCharType="separate"/>
      </w:r>
      <w:r>
        <w:rPr>
          <w:i w:val="0"/>
          <w:iCs w:val="0"/>
        </w:rPr>
        <w:t>- 92 -</w:t>
      </w:r>
      <w:r>
        <w:rPr>
          <w:i w:val="0"/>
          <w:iCs w:val="0"/>
        </w:rPr>
        <w:fldChar w:fldCharType="end"/>
      </w:r>
      <w:r>
        <w:rPr>
          <w:i w:val="0"/>
          <w:iCs w:val="0"/>
          <w:color w:val="000000" w:themeColor="text1"/>
          <w14:textFill>
            <w14:solidFill>
              <w14:schemeClr w14:val="tx1"/>
            </w14:solidFill>
          </w14:textFill>
        </w:rPr>
        <w:fldChar w:fldCharType="end"/>
      </w:r>
    </w:p>
    <w:p w14:paraId="4AE973FF">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_Toc13332 </w:instrText>
      </w:r>
      <w:r>
        <w:rPr>
          <w:i w:val="0"/>
          <w:iCs w:val="0"/>
        </w:rPr>
        <w:fldChar w:fldCharType="separate"/>
      </w:r>
      <w:r>
        <w:rPr>
          <w:rFonts w:hint="eastAsia"/>
          <w:i w:val="0"/>
          <w:iCs w:val="0"/>
        </w:rPr>
        <w:t>1. 商务响应偏离表</w:t>
      </w:r>
      <w:r>
        <w:rPr>
          <w:i w:val="0"/>
          <w:iCs w:val="0"/>
        </w:rPr>
        <w:tab/>
      </w:r>
      <w:r>
        <w:rPr>
          <w:i w:val="0"/>
          <w:iCs w:val="0"/>
        </w:rPr>
        <w:fldChar w:fldCharType="begin"/>
      </w:r>
      <w:r>
        <w:rPr>
          <w:i w:val="0"/>
          <w:iCs w:val="0"/>
        </w:rPr>
        <w:instrText xml:space="preserve"> PAGEREF _Toc13332 \h </w:instrText>
      </w:r>
      <w:r>
        <w:rPr>
          <w:i w:val="0"/>
          <w:iCs w:val="0"/>
        </w:rPr>
        <w:fldChar w:fldCharType="separate"/>
      </w:r>
      <w:r>
        <w:rPr>
          <w:i w:val="0"/>
          <w:iCs w:val="0"/>
        </w:rPr>
        <w:t>- 92 -</w:t>
      </w:r>
      <w:r>
        <w:rPr>
          <w:i w:val="0"/>
          <w:iCs w:val="0"/>
        </w:rPr>
        <w:fldChar w:fldCharType="end"/>
      </w:r>
      <w:r>
        <w:rPr>
          <w:i w:val="0"/>
          <w:iCs w:val="0"/>
          <w:color w:val="000000" w:themeColor="text1"/>
          <w14:textFill>
            <w14:solidFill>
              <w14:schemeClr w14:val="tx1"/>
            </w14:solidFill>
          </w14:textFill>
        </w:rPr>
        <w:fldChar w:fldCharType="end"/>
      </w:r>
    </w:p>
    <w:p w14:paraId="5428FE93">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_Toc22696 </w:instrText>
      </w:r>
      <w:r>
        <w:rPr>
          <w:i w:val="0"/>
          <w:iCs w:val="0"/>
        </w:rPr>
        <w:fldChar w:fldCharType="separate"/>
      </w:r>
      <w:r>
        <w:rPr>
          <w:rFonts w:hint="eastAsia"/>
          <w:i w:val="0"/>
          <w:iCs w:val="0"/>
        </w:rPr>
        <w:t>2. 其他商务文件</w:t>
      </w:r>
      <w:r>
        <w:rPr>
          <w:i w:val="0"/>
          <w:iCs w:val="0"/>
        </w:rPr>
        <w:tab/>
      </w:r>
      <w:r>
        <w:rPr>
          <w:i w:val="0"/>
          <w:iCs w:val="0"/>
        </w:rPr>
        <w:fldChar w:fldCharType="begin"/>
      </w:r>
      <w:r>
        <w:rPr>
          <w:i w:val="0"/>
          <w:iCs w:val="0"/>
        </w:rPr>
        <w:instrText xml:space="preserve"> PAGEREF _Toc22696 \h </w:instrText>
      </w:r>
      <w:r>
        <w:rPr>
          <w:i w:val="0"/>
          <w:iCs w:val="0"/>
        </w:rPr>
        <w:fldChar w:fldCharType="separate"/>
      </w:r>
      <w:r>
        <w:rPr>
          <w:i w:val="0"/>
          <w:iCs w:val="0"/>
        </w:rPr>
        <w:t>- 93 -</w:t>
      </w:r>
      <w:r>
        <w:rPr>
          <w:i w:val="0"/>
          <w:iCs w:val="0"/>
        </w:rPr>
        <w:fldChar w:fldCharType="end"/>
      </w:r>
      <w:r>
        <w:rPr>
          <w:i w:val="0"/>
          <w:iCs w:val="0"/>
          <w:color w:val="000000" w:themeColor="text1"/>
          <w14:textFill>
            <w14:solidFill>
              <w14:schemeClr w14:val="tx1"/>
            </w14:solidFill>
          </w14:textFill>
        </w:rPr>
        <w:fldChar w:fldCharType="end"/>
      </w:r>
    </w:p>
    <w:p w14:paraId="78CA191A">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_Toc547 </w:instrText>
      </w:r>
      <w:r>
        <w:rPr>
          <w:i w:val="0"/>
          <w:iCs w:val="0"/>
        </w:rPr>
        <w:fldChar w:fldCharType="separate"/>
      </w:r>
      <w:r>
        <w:rPr>
          <w:rFonts w:hint="eastAsia"/>
          <w:i w:val="0"/>
          <w:iCs w:val="0"/>
        </w:rPr>
        <w:t>（二） 技术部分</w:t>
      </w:r>
      <w:r>
        <w:rPr>
          <w:i w:val="0"/>
          <w:iCs w:val="0"/>
        </w:rPr>
        <w:tab/>
      </w:r>
      <w:r>
        <w:rPr>
          <w:i w:val="0"/>
          <w:iCs w:val="0"/>
        </w:rPr>
        <w:fldChar w:fldCharType="begin"/>
      </w:r>
      <w:r>
        <w:rPr>
          <w:i w:val="0"/>
          <w:iCs w:val="0"/>
        </w:rPr>
        <w:instrText xml:space="preserve"> PAGEREF _Toc547 \h </w:instrText>
      </w:r>
      <w:r>
        <w:rPr>
          <w:i w:val="0"/>
          <w:iCs w:val="0"/>
        </w:rPr>
        <w:fldChar w:fldCharType="separate"/>
      </w:r>
      <w:r>
        <w:rPr>
          <w:i w:val="0"/>
          <w:iCs w:val="0"/>
        </w:rPr>
        <w:t>- 94 -</w:t>
      </w:r>
      <w:r>
        <w:rPr>
          <w:i w:val="0"/>
          <w:iCs w:val="0"/>
        </w:rPr>
        <w:fldChar w:fldCharType="end"/>
      </w:r>
      <w:r>
        <w:rPr>
          <w:i w:val="0"/>
          <w:iCs w:val="0"/>
          <w:color w:val="000000" w:themeColor="text1"/>
          <w14:textFill>
            <w14:solidFill>
              <w14:schemeClr w14:val="tx1"/>
            </w14:solidFill>
          </w14:textFill>
        </w:rPr>
        <w:fldChar w:fldCharType="end"/>
      </w:r>
    </w:p>
    <w:p w14:paraId="24617F3E">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_Toc31554 </w:instrText>
      </w:r>
      <w:r>
        <w:rPr>
          <w:i w:val="0"/>
          <w:iCs w:val="0"/>
        </w:rPr>
        <w:fldChar w:fldCharType="separate"/>
      </w:r>
      <w:r>
        <w:rPr>
          <w:rFonts w:hint="eastAsia"/>
          <w:i w:val="0"/>
          <w:iCs w:val="0"/>
        </w:rPr>
        <w:t>1. 技术响应偏离表</w:t>
      </w:r>
      <w:r>
        <w:rPr>
          <w:i w:val="0"/>
          <w:iCs w:val="0"/>
        </w:rPr>
        <w:tab/>
      </w:r>
      <w:r>
        <w:rPr>
          <w:i w:val="0"/>
          <w:iCs w:val="0"/>
        </w:rPr>
        <w:fldChar w:fldCharType="begin"/>
      </w:r>
      <w:r>
        <w:rPr>
          <w:i w:val="0"/>
          <w:iCs w:val="0"/>
        </w:rPr>
        <w:instrText xml:space="preserve"> PAGEREF _Toc31554 \h </w:instrText>
      </w:r>
      <w:r>
        <w:rPr>
          <w:i w:val="0"/>
          <w:iCs w:val="0"/>
        </w:rPr>
        <w:fldChar w:fldCharType="separate"/>
      </w:r>
      <w:r>
        <w:rPr>
          <w:i w:val="0"/>
          <w:iCs w:val="0"/>
        </w:rPr>
        <w:t>- 94 -</w:t>
      </w:r>
      <w:r>
        <w:rPr>
          <w:i w:val="0"/>
          <w:iCs w:val="0"/>
        </w:rPr>
        <w:fldChar w:fldCharType="end"/>
      </w:r>
      <w:r>
        <w:rPr>
          <w:i w:val="0"/>
          <w:iCs w:val="0"/>
          <w:color w:val="000000" w:themeColor="text1"/>
          <w14:textFill>
            <w14:solidFill>
              <w14:schemeClr w14:val="tx1"/>
            </w14:solidFill>
          </w14:textFill>
        </w:rPr>
        <w:fldChar w:fldCharType="end"/>
      </w:r>
    </w:p>
    <w:p w14:paraId="03130F2D">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_Toc15777 </w:instrText>
      </w:r>
      <w:r>
        <w:rPr>
          <w:i w:val="0"/>
          <w:iCs w:val="0"/>
        </w:rPr>
        <w:fldChar w:fldCharType="separate"/>
      </w:r>
      <w:r>
        <w:rPr>
          <w:rFonts w:hint="eastAsia"/>
          <w:i w:val="0"/>
          <w:iCs w:val="0"/>
          <w:lang w:val="en-US"/>
        </w:rPr>
        <w:t xml:space="preserve">2. </w:t>
      </w:r>
      <w:r>
        <w:rPr>
          <w:rFonts w:hint="eastAsia" w:eastAsia="宋体"/>
          <w:i w:val="0"/>
          <w:iCs w:val="0"/>
          <w:lang w:val="en-US" w:eastAsia="zh-CN"/>
        </w:rPr>
        <w:t>技术、商务服务方案</w:t>
      </w:r>
      <w:r>
        <w:rPr>
          <w:i w:val="0"/>
          <w:iCs w:val="0"/>
        </w:rPr>
        <w:tab/>
      </w:r>
      <w:r>
        <w:rPr>
          <w:i w:val="0"/>
          <w:iCs w:val="0"/>
        </w:rPr>
        <w:fldChar w:fldCharType="begin"/>
      </w:r>
      <w:r>
        <w:rPr>
          <w:i w:val="0"/>
          <w:iCs w:val="0"/>
        </w:rPr>
        <w:instrText xml:space="preserve"> PAGEREF _Toc15777 \h </w:instrText>
      </w:r>
      <w:r>
        <w:rPr>
          <w:i w:val="0"/>
          <w:iCs w:val="0"/>
        </w:rPr>
        <w:fldChar w:fldCharType="separate"/>
      </w:r>
      <w:r>
        <w:rPr>
          <w:i w:val="0"/>
          <w:iCs w:val="0"/>
        </w:rPr>
        <w:t>- 95 -</w:t>
      </w:r>
      <w:r>
        <w:rPr>
          <w:i w:val="0"/>
          <w:iCs w:val="0"/>
        </w:rPr>
        <w:fldChar w:fldCharType="end"/>
      </w:r>
      <w:r>
        <w:rPr>
          <w:i w:val="0"/>
          <w:iCs w:val="0"/>
          <w:color w:val="000000" w:themeColor="text1"/>
          <w14:textFill>
            <w14:solidFill>
              <w14:schemeClr w14:val="tx1"/>
            </w14:solidFill>
          </w14:textFill>
        </w:rPr>
        <w:fldChar w:fldCharType="end"/>
      </w:r>
    </w:p>
    <w:p w14:paraId="085914B9">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_Toc509 </w:instrText>
      </w:r>
      <w:r>
        <w:rPr>
          <w:i w:val="0"/>
          <w:iCs w:val="0"/>
        </w:rPr>
        <w:fldChar w:fldCharType="separate"/>
      </w:r>
      <w:r>
        <w:rPr>
          <w:rFonts w:hint="eastAsia" w:ascii="宋体" w:hAnsi="宋体" w:eastAsia="宋体" w:cs="宋体"/>
          <w:bCs w:val="0"/>
          <w:i w:val="0"/>
          <w:iCs w:val="0"/>
        </w:rPr>
        <w:t>（一）</w:t>
      </w:r>
      <w:r>
        <w:rPr>
          <w:rFonts w:hint="default"/>
          <w:bCs w:val="0"/>
          <w:i w:val="0"/>
          <w:iCs w:val="0"/>
          <w:lang w:val="en-US" w:eastAsia="zh-CN"/>
        </w:rPr>
        <w:t>技术参数响应</w:t>
      </w:r>
      <w:r>
        <w:rPr>
          <w:i w:val="0"/>
          <w:iCs w:val="0"/>
        </w:rPr>
        <w:tab/>
      </w:r>
      <w:r>
        <w:rPr>
          <w:i w:val="0"/>
          <w:iCs w:val="0"/>
        </w:rPr>
        <w:fldChar w:fldCharType="begin"/>
      </w:r>
      <w:r>
        <w:rPr>
          <w:i w:val="0"/>
          <w:iCs w:val="0"/>
        </w:rPr>
        <w:instrText xml:space="preserve"> PAGEREF _Toc509 \h </w:instrText>
      </w:r>
      <w:r>
        <w:rPr>
          <w:i w:val="0"/>
          <w:iCs w:val="0"/>
        </w:rPr>
        <w:fldChar w:fldCharType="separate"/>
      </w:r>
      <w:r>
        <w:rPr>
          <w:i w:val="0"/>
          <w:iCs w:val="0"/>
        </w:rPr>
        <w:t>- 95 -</w:t>
      </w:r>
      <w:r>
        <w:rPr>
          <w:i w:val="0"/>
          <w:iCs w:val="0"/>
        </w:rPr>
        <w:fldChar w:fldCharType="end"/>
      </w:r>
      <w:r>
        <w:rPr>
          <w:i w:val="0"/>
          <w:iCs w:val="0"/>
          <w:color w:val="000000" w:themeColor="text1"/>
          <w14:textFill>
            <w14:solidFill>
              <w14:schemeClr w14:val="tx1"/>
            </w14:solidFill>
          </w14:textFill>
        </w:rPr>
        <w:fldChar w:fldCharType="end"/>
      </w:r>
    </w:p>
    <w:p w14:paraId="5FD48B13">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_Toc5234 </w:instrText>
      </w:r>
      <w:r>
        <w:rPr>
          <w:i w:val="0"/>
          <w:iCs w:val="0"/>
        </w:rPr>
        <w:fldChar w:fldCharType="separate"/>
      </w:r>
      <w:r>
        <w:rPr>
          <w:rFonts w:hint="eastAsia" w:ascii="宋体" w:hAnsi="宋体" w:eastAsia="宋体" w:cs="宋体"/>
          <w:bCs w:val="0"/>
          <w:i w:val="0"/>
          <w:iCs w:val="0"/>
        </w:rPr>
        <w:t>（二）</w:t>
      </w:r>
      <w:r>
        <w:rPr>
          <w:rFonts w:hint="default"/>
          <w:bCs w:val="0"/>
          <w:i w:val="0"/>
          <w:iCs w:val="0"/>
          <w:lang w:val="en-US" w:eastAsia="zh-CN"/>
        </w:rPr>
        <w:t>项目实施方案</w:t>
      </w:r>
      <w:r>
        <w:rPr>
          <w:i w:val="0"/>
          <w:iCs w:val="0"/>
        </w:rPr>
        <w:tab/>
      </w:r>
      <w:r>
        <w:rPr>
          <w:i w:val="0"/>
          <w:iCs w:val="0"/>
        </w:rPr>
        <w:fldChar w:fldCharType="begin"/>
      </w:r>
      <w:r>
        <w:rPr>
          <w:i w:val="0"/>
          <w:iCs w:val="0"/>
        </w:rPr>
        <w:instrText xml:space="preserve"> PAGEREF _Toc5234 \h </w:instrText>
      </w:r>
      <w:r>
        <w:rPr>
          <w:i w:val="0"/>
          <w:iCs w:val="0"/>
        </w:rPr>
        <w:fldChar w:fldCharType="separate"/>
      </w:r>
      <w:r>
        <w:rPr>
          <w:i w:val="0"/>
          <w:iCs w:val="0"/>
        </w:rPr>
        <w:t>- 95 -</w:t>
      </w:r>
      <w:r>
        <w:rPr>
          <w:i w:val="0"/>
          <w:iCs w:val="0"/>
        </w:rPr>
        <w:fldChar w:fldCharType="end"/>
      </w:r>
      <w:r>
        <w:rPr>
          <w:i w:val="0"/>
          <w:iCs w:val="0"/>
          <w:color w:val="000000" w:themeColor="text1"/>
          <w14:textFill>
            <w14:solidFill>
              <w14:schemeClr w14:val="tx1"/>
            </w14:solidFill>
          </w14:textFill>
        </w:rPr>
        <w:fldChar w:fldCharType="end"/>
      </w:r>
    </w:p>
    <w:p w14:paraId="49B9C9BF">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_Toc30888 </w:instrText>
      </w:r>
      <w:r>
        <w:rPr>
          <w:i w:val="0"/>
          <w:iCs w:val="0"/>
        </w:rPr>
        <w:fldChar w:fldCharType="separate"/>
      </w:r>
      <w:r>
        <w:rPr>
          <w:rFonts w:hint="eastAsia" w:ascii="宋体" w:hAnsi="宋体" w:eastAsia="宋体" w:cs="宋体"/>
          <w:bCs w:val="0"/>
          <w:i w:val="0"/>
          <w:iCs w:val="0"/>
        </w:rPr>
        <w:t>（三）</w:t>
      </w:r>
      <w:r>
        <w:rPr>
          <w:rFonts w:hint="default"/>
          <w:bCs w:val="0"/>
          <w:i w:val="0"/>
          <w:iCs w:val="0"/>
          <w:lang w:val="en-US" w:eastAsia="zh-CN"/>
        </w:rPr>
        <w:t>运维服务方案</w:t>
      </w:r>
      <w:r>
        <w:rPr>
          <w:i w:val="0"/>
          <w:iCs w:val="0"/>
        </w:rPr>
        <w:tab/>
      </w:r>
      <w:r>
        <w:rPr>
          <w:i w:val="0"/>
          <w:iCs w:val="0"/>
        </w:rPr>
        <w:fldChar w:fldCharType="begin"/>
      </w:r>
      <w:r>
        <w:rPr>
          <w:i w:val="0"/>
          <w:iCs w:val="0"/>
        </w:rPr>
        <w:instrText xml:space="preserve"> PAGEREF _Toc30888 \h </w:instrText>
      </w:r>
      <w:r>
        <w:rPr>
          <w:i w:val="0"/>
          <w:iCs w:val="0"/>
        </w:rPr>
        <w:fldChar w:fldCharType="separate"/>
      </w:r>
      <w:r>
        <w:rPr>
          <w:i w:val="0"/>
          <w:iCs w:val="0"/>
        </w:rPr>
        <w:t>- 95 -</w:t>
      </w:r>
      <w:r>
        <w:rPr>
          <w:i w:val="0"/>
          <w:iCs w:val="0"/>
        </w:rPr>
        <w:fldChar w:fldCharType="end"/>
      </w:r>
      <w:r>
        <w:rPr>
          <w:i w:val="0"/>
          <w:iCs w:val="0"/>
          <w:color w:val="000000" w:themeColor="text1"/>
          <w14:textFill>
            <w14:solidFill>
              <w14:schemeClr w14:val="tx1"/>
            </w14:solidFill>
          </w14:textFill>
        </w:rPr>
        <w:fldChar w:fldCharType="end"/>
      </w:r>
    </w:p>
    <w:p w14:paraId="7B0B0F5E">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_Toc2742 </w:instrText>
      </w:r>
      <w:r>
        <w:rPr>
          <w:i w:val="0"/>
          <w:iCs w:val="0"/>
        </w:rPr>
        <w:fldChar w:fldCharType="separate"/>
      </w:r>
      <w:r>
        <w:rPr>
          <w:rFonts w:hint="eastAsia" w:ascii="宋体" w:hAnsi="宋体" w:eastAsia="宋体" w:cs="宋体"/>
          <w:bCs w:val="0"/>
          <w:i w:val="0"/>
          <w:iCs w:val="0"/>
        </w:rPr>
        <w:t>（四）</w:t>
      </w:r>
      <w:r>
        <w:rPr>
          <w:rFonts w:hint="default"/>
          <w:bCs w:val="0"/>
          <w:i w:val="0"/>
          <w:iCs w:val="0"/>
          <w:lang w:val="en-US" w:eastAsia="zh-CN"/>
        </w:rPr>
        <w:t>培训方案</w:t>
      </w:r>
      <w:r>
        <w:rPr>
          <w:i w:val="0"/>
          <w:iCs w:val="0"/>
        </w:rPr>
        <w:tab/>
      </w:r>
      <w:r>
        <w:rPr>
          <w:i w:val="0"/>
          <w:iCs w:val="0"/>
        </w:rPr>
        <w:fldChar w:fldCharType="begin"/>
      </w:r>
      <w:r>
        <w:rPr>
          <w:i w:val="0"/>
          <w:iCs w:val="0"/>
        </w:rPr>
        <w:instrText xml:space="preserve"> PAGEREF _Toc2742 \h </w:instrText>
      </w:r>
      <w:r>
        <w:rPr>
          <w:i w:val="0"/>
          <w:iCs w:val="0"/>
        </w:rPr>
        <w:fldChar w:fldCharType="separate"/>
      </w:r>
      <w:r>
        <w:rPr>
          <w:i w:val="0"/>
          <w:iCs w:val="0"/>
        </w:rPr>
        <w:t>- 95 -</w:t>
      </w:r>
      <w:r>
        <w:rPr>
          <w:i w:val="0"/>
          <w:iCs w:val="0"/>
        </w:rPr>
        <w:fldChar w:fldCharType="end"/>
      </w:r>
      <w:r>
        <w:rPr>
          <w:i w:val="0"/>
          <w:iCs w:val="0"/>
          <w:color w:val="000000" w:themeColor="text1"/>
          <w14:textFill>
            <w14:solidFill>
              <w14:schemeClr w14:val="tx1"/>
            </w14:solidFill>
          </w14:textFill>
        </w:rPr>
        <w:fldChar w:fldCharType="end"/>
      </w:r>
    </w:p>
    <w:p w14:paraId="191B705E">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_Toc9262 </w:instrText>
      </w:r>
      <w:r>
        <w:rPr>
          <w:i w:val="0"/>
          <w:iCs w:val="0"/>
        </w:rPr>
        <w:fldChar w:fldCharType="separate"/>
      </w:r>
      <w:r>
        <w:rPr>
          <w:rFonts w:hint="eastAsia" w:ascii="宋体" w:hAnsi="宋体" w:eastAsia="宋体" w:cs="宋体"/>
          <w:bCs w:val="0"/>
          <w:i w:val="0"/>
          <w:iCs w:val="0"/>
          <w:lang w:val="en-US" w:eastAsia="zh-CN"/>
        </w:rPr>
        <w:t>（</w:t>
      </w:r>
      <w:r>
        <w:rPr>
          <w:rFonts w:hint="eastAsia" w:cs="宋体"/>
          <w:bCs w:val="0"/>
          <w:i w:val="0"/>
          <w:iCs w:val="0"/>
          <w:lang w:val="en-US" w:eastAsia="zh-CN"/>
        </w:rPr>
        <w:t>五</w:t>
      </w:r>
      <w:r>
        <w:rPr>
          <w:rFonts w:hint="eastAsia" w:ascii="宋体" w:hAnsi="宋体" w:eastAsia="宋体" w:cs="宋体"/>
          <w:bCs w:val="0"/>
          <w:i w:val="0"/>
          <w:iCs w:val="0"/>
          <w:lang w:val="en-US" w:eastAsia="zh-CN"/>
        </w:rPr>
        <w:t>）售后服务方案</w:t>
      </w:r>
      <w:r>
        <w:rPr>
          <w:i w:val="0"/>
          <w:iCs w:val="0"/>
        </w:rPr>
        <w:tab/>
      </w:r>
      <w:r>
        <w:rPr>
          <w:i w:val="0"/>
          <w:iCs w:val="0"/>
        </w:rPr>
        <w:fldChar w:fldCharType="begin"/>
      </w:r>
      <w:r>
        <w:rPr>
          <w:i w:val="0"/>
          <w:iCs w:val="0"/>
        </w:rPr>
        <w:instrText xml:space="preserve"> PAGEREF _Toc9262 \h </w:instrText>
      </w:r>
      <w:r>
        <w:rPr>
          <w:i w:val="0"/>
          <w:iCs w:val="0"/>
        </w:rPr>
        <w:fldChar w:fldCharType="separate"/>
      </w:r>
      <w:r>
        <w:rPr>
          <w:i w:val="0"/>
          <w:iCs w:val="0"/>
        </w:rPr>
        <w:t>- 95 -</w:t>
      </w:r>
      <w:r>
        <w:rPr>
          <w:i w:val="0"/>
          <w:iCs w:val="0"/>
        </w:rPr>
        <w:fldChar w:fldCharType="end"/>
      </w:r>
      <w:r>
        <w:rPr>
          <w:i w:val="0"/>
          <w:iCs w:val="0"/>
          <w:color w:val="000000" w:themeColor="text1"/>
          <w14:textFill>
            <w14:solidFill>
              <w14:schemeClr w14:val="tx1"/>
            </w14:solidFill>
          </w14:textFill>
        </w:rPr>
        <w:fldChar w:fldCharType="end"/>
      </w:r>
    </w:p>
    <w:p w14:paraId="5D4C7306">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_Toc1487 </w:instrText>
      </w:r>
      <w:r>
        <w:rPr>
          <w:i w:val="0"/>
          <w:iCs w:val="0"/>
        </w:rPr>
        <w:fldChar w:fldCharType="separate"/>
      </w:r>
      <w:r>
        <w:rPr>
          <w:rFonts w:hint="eastAsia" w:ascii="宋体" w:hAnsi="宋体" w:eastAsia="宋体" w:cs="宋体"/>
          <w:bCs w:val="0"/>
          <w:i w:val="0"/>
          <w:iCs w:val="0"/>
          <w:lang w:val="en-US" w:eastAsia="zh-CN"/>
        </w:rPr>
        <w:t>（</w:t>
      </w:r>
      <w:r>
        <w:rPr>
          <w:rFonts w:hint="eastAsia" w:cs="宋体"/>
          <w:bCs w:val="0"/>
          <w:i w:val="0"/>
          <w:iCs w:val="0"/>
          <w:lang w:val="en-US" w:eastAsia="zh-CN"/>
        </w:rPr>
        <w:t>六</w:t>
      </w:r>
      <w:r>
        <w:rPr>
          <w:rFonts w:hint="eastAsia" w:ascii="宋体" w:hAnsi="宋体" w:eastAsia="宋体" w:cs="宋体"/>
          <w:bCs w:val="0"/>
          <w:i w:val="0"/>
          <w:iCs w:val="0"/>
          <w:lang w:val="en-US" w:eastAsia="zh-CN"/>
        </w:rPr>
        <w:t>）</w:t>
      </w:r>
      <w:r>
        <w:rPr>
          <w:rFonts w:hint="default"/>
          <w:bCs w:val="0"/>
          <w:i w:val="0"/>
          <w:iCs w:val="0"/>
          <w:lang w:val="en-US" w:eastAsia="zh-CN"/>
        </w:rPr>
        <w:t>拟派服务团队</w:t>
      </w:r>
      <w:r>
        <w:rPr>
          <w:i w:val="0"/>
          <w:iCs w:val="0"/>
        </w:rPr>
        <w:tab/>
      </w:r>
      <w:r>
        <w:rPr>
          <w:i w:val="0"/>
          <w:iCs w:val="0"/>
        </w:rPr>
        <w:fldChar w:fldCharType="begin"/>
      </w:r>
      <w:r>
        <w:rPr>
          <w:i w:val="0"/>
          <w:iCs w:val="0"/>
        </w:rPr>
        <w:instrText xml:space="preserve"> PAGEREF _Toc1487 \h </w:instrText>
      </w:r>
      <w:r>
        <w:rPr>
          <w:i w:val="0"/>
          <w:iCs w:val="0"/>
        </w:rPr>
        <w:fldChar w:fldCharType="separate"/>
      </w:r>
      <w:r>
        <w:rPr>
          <w:i w:val="0"/>
          <w:iCs w:val="0"/>
        </w:rPr>
        <w:t>- 95 -</w:t>
      </w:r>
      <w:r>
        <w:rPr>
          <w:i w:val="0"/>
          <w:iCs w:val="0"/>
        </w:rPr>
        <w:fldChar w:fldCharType="end"/>
      </w:r>
      <w:r>
        <w:rPr>
          <w:i w:val="0"/>
          <w:iCs w:val="0"/>
          <w:color w:val="000000" w:themeColor="text1"/>
          <w14:textFill>
            <w14:solidFill>
              <w14:schemeClr w14:val="tx1"/>
            </w14:solidFill>
          </w14:textFill>
        </w:rPr>
        <w:fldChar w:fldCharType="end"/>
      </w:r>
    </w:p>
    <w:p w14:paraId="225E5D62">
      <w:pPr>
        <w:pStyle w:val="28"/>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_Toc16387 </w:instrText>
      </w:r>
      <w:r>
        <w:rPr>
          <w:i w:val="0"/>
          <w:iCs w:val="0"/>
        </w:rPr>
        <w:fldChar w:fldCharType="separate"/>
      </w:r>
      <w:r>
        <w:rPr>
          <w:rFonts w:hint="eastAsia" w:ascii="宋体" w:hAnsi="宋体" w:eastAsia="宋体" w:cs="宋体"/>
          <w:bCs w:val="0"/>
          <w:i w:val="0"/>
          <w:iCs w:val="0"/>
          <w:lang w:val="en-US" w:eastAsia="zh-CN"/>
        </w:rPr>
        <w:t>（</w:t>
      </w:r>
      <w:r>
        <w:rPr>
          <w:rFonts w:hint="eastAsia" w:cs="宋体"/>
          <w:bCs w:val="0"/>
          <w:i w:val="0"/>
          <w:iCs w:val="0"/>
          <w:lang w:val="en-US" w:eastAsia="zh-CN"/>
        </w:rPr>
        <w:t>七</w:t>
      </w:r>
      <w:r>
        <w:rPr>
          <w:rFonts w:hint="eastAsia" w:ascii="宋体" w:hAnsi="宋体" w:eastAsia="宋体" w:cs="宋体"/>
          <w:bCs w:val="0"/>
          <w:i w:val="0"/>
          <w:iCs w:val="0"/>
          <w:lang w:val="en-US" w:eastAsia="zh-CN"/>
        </w:rPr>
        <w:t>）类似业绩</w:t>
      </w:r>
      <w:r>
        <w:rPr>
          <w:i w:val="0"/>
          <w:iCs w:val="0"/>
        </w:rPr>
        <w:tab/>
      </w:r>
      <w:r>
        <w:rPr>
          <w:i w:val="0"/>
          <w:iCs w:val="0"/>
        </w:rPr>
        <w:fldChar w:fldCharType="begin"/>
      </w:r>
      <w:r>
        <w:rPr>
          <w:i w:val="0"/>
          <w:iCs w:val="0"/>
        </w:rPr>
        <w:instrText xml:space="preserve"> PAGEREF _Toc16387 \h </w:instrText>
      </w:r>
      <w:r>
        <w:rPr>
          <w:i w:val="0"/>
          <w:iCs w:val="0"/>
        </w:rPr>
        <w:fldChar w:fldCharType="separate"/>
      </w:r>
      <w:r>
        <w:rPr>
          <w:i w:val="0"/>
          <w:iCs w:val="0"/>
        </w:rPr>
        <w:t>- 95 -</w:t>
      </w:r>
      <w:r>
        <w:rPr>
          <w:i w:val="0"/>
          <w:iCs w:val="0"/>
        </w:rPr>
        <w:fldChar w:fldCharType="end"/>
      </w:r>
      <w:r>
        <w:rPr>
          <w:i w:val="0"/>
          <w:iCs w:val="0"/>
          <w:color w:val="000000" w:themeColor="text1"/>
          <w14:textFill>
            <w14:solidFill>
              <w14:schemeClr w14:val="tx1"/>
            </w14:solidFill>
          </w14:textFill>
        </w:rPr>
        <w:fldChar w:fldCharType="end"/>
      </w:r>
    </w:p>
    <w:p w14:paraId="072032F0">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_Toc30867 </w:instrText>
      </w:r>
      <w:r>
        <w:rPr>
          <w:i w:val="0"/>
          <w:iCs w:val="0"/>
        </w:rPr>
        <w:fldChar w:fldCharType="separate"/>
      </w:r>
      <w:r>
        <w:rPr>
          <w:rFonts w:hint="eastAsia"/>
          <w:i w:val="0"/>
          <w:iCs w:val="0"/>
        </w:rPr>
        <w:t>3. 其他技术文件</w:t>
      </w:r>
      <w:r>
        <w:rPr>
          <w:i w:val="0"/>
          <w:iCs w:val="0"/>
        </w:rPr>
        <w:tab/>
      </w:r>
      <w:r>
        <w:rPr>
          <w:i w:val="0"/>
          <w:iCs w:val="0"/>
        </w:rPr>
        <w:fldChar w:fldCharType="begin"/>
      </w:r>
      <w:r>
        <w:rPr>
          <w:i w:val="0"/>
          <w:iCs w:val="0"/>
        </w:rPr>
        <w:instrText xml:space="preserve"> PAGEREF _Toc30867 \h </w:instrText>
      </w:r>
      <w:r>
        <w:rPr>
          <w:i w:val="0"/>
          <w:iCs w:val="0"/>
        </w:rPr>
        <w:fldChar w:fldCharType="separate"/>
      </w:r>
      <w:r>
        <w:rPr>
          <w:i w:val="0"/>
          <w:iCs w:val="0"/>
        </w:rPr>
        <w:t>- 96 -</w:t>
      </w:r>
      <w:r>
        <w:rPr>
          <w:i w:val="0"/>
          <w:iCs w:val="0"/>
        </w:rPr>
        <w:fldChar w:fldCharType="end"/>
      </w:r>
      <w:r>
        <w:rPr>
          <w:i w:val="0"/>
          <w:iCs w:val="0"/>
          <w:color w:val="000000" w:themeColor="text1"/>
          <w14:textFill>
            <w14:solidFill>
              <w14:schemeClr w14:val="tx1"/>
            </w14:solidFill>
          </w14:textFill>
        </w:rPr>
        <w:fldChar w:fldCharType="end"/>
      </w:r>
    </w:p>
    <w:p w14:paraId="49554DB8">
      <w:pPr>
        <w:pStyle w:val="17"/>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_Toc19467 </w:instrText>
      </w:r>
      <w:r>
        <w:rPr>
          <w:i w:val="0"/>
          <w:iCs w:val="0"/>
        </w:rPr>
        <w:fldChar w:fldCharType="separate"/>
      </w:r>
      <w:r>
        <w:rPr>
          <w:rFonts w:hint="eastAsia" w:ascii="Arial" w:hAnsi="Arial" w:cs="Arial"/>
          <w:i w:val="0"/>
          <w:iCs w:val="0"/>
          <w:szCs w:val="21"/>
        </w:rPr>
        <w:t xml:space="preserve">（三） </w:t>
      </w:r>
      <w:r>
        <w:rPr>
          <w:rFonts w:hint="eastAsia"/>
          <w:i w:val="0"/>
          <w:iCs w:val="0"/>
        </w:rPr>
        <w:t>落实政府采购政策相关证明文件</w:t>
      </w:r>
      <w:r>
        <w:rPr>
          <w:i w:val="0"/>
          <w:iCs w:val="0"/>
        </w:rPr>
        <w:tab/>
      </w:r>
      <w:r>
        <w:rPr>
          <w:i w:val="0"/>
          <w:iCs w:val="0"/>
        </w:rPr>
        <w:fldChar w:fldCharType="begin"/>
      </w:r>
      <w:r>
        <w:rPr>
          <w:i w:val="0"/>
          <w:iCs w:val="0"/>
        </w:rPr>
        <w:instrText xml:space="preserve"> PAGEREF _Toc19467 \h </w:instrText>
      </w:r>
      <w:r>
        <w:rPr>
          <w:i w:val="0"/>
          <w:iCs w:val="0"/>
        </w:rPr>
        <w:fldChar w:fldCharType="separate"/>
      </w:r>
      <w:r>
        <w:rPr>
          <w:i w:val="0"/>
          <w:iCs w:val="0"/>
        </w:rPr>
        <w:t>- 97 -</w:t>
      </w:r>
      <w:r>
        <w:rPr>
          <w:i w:val="0"/>
          <w:iCs w:val="0"/>
        </w:rPr>
        <w:fldChar w:fldCharType="end"/>
      </w:r>
      <w:r>
        <w:rPr>
          <w:i w:val="0"/>
          <w:iCs w:val="0"/>
          <w:color w:val="000000" w:themeColor="text1"/>
          <w14:textFill>
            <w14:solidFill>
              <w14:schemeClr w14:val="tx1"/>
            </w14:solidFill>
          </w14:textFill>
        </w:rPr>
        <w:fldChar w:fldCharType="end"/>
      </w:r>
    </w:p>
    <w:p w14:paraId="1F399FF6">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_Toc535 </w:instrText>
      </w:r>
      <w:r>
        <w:rPr>
          <w:i w:val="0"/>
          <w:iCs w:val="0"/>
        </w:rPr>
        <w:fldChar w:fldCharType="separate"/>
      </w:r>
      <w:r>
        <w:rPr>
          <w:rFonts w:hint="eastAsia"/>
          <w:i w:val="0"/>
          <w:iCs w:val="0"/>
        </w:rPr>
        <w:t>1. 中小企业声明函【如适用】</w:t>
      </w:r>
      <w:r>
        <w:rPr>
          <w:i w:val="0"/>
          <w:iCs w:val="0"/>
        </w:rPr>
        <w:tab/>
      </w:r>
      <w:r>
        <w:rPr>
          <w:i w:val="0"/>
          <w:iCs w:val="0"/>
        </w:rPr>
        <w:fldChar w:fldCharType="begin"/>
      </w:r>
      <w:r>
        <w:rPr>
          <w:i w:val="0"/>
          <w:iCs w:val="0"/>
        </w:rPr>
        <w:instrText xml:space="preserve"> PAGEREF _Toc535 \h </w:instrText>
      </w:r>
      <w:r>
        <w:rPr>
          <w:i w:val="0"/>
          <w:iCs w:val="0"/>
        </w:rPr>
        <w:fldChar w:fldCharType="separate"/>
      </w:r>
      <w:r>
        <w:rPr>
          <w:i w:val="0"/>
          <w:iCs w:val="0"/>
        </w:rPr>
        <w:t>- 97 -</w:t>
      </w:r>
      <w:r>
        <w:rPr>
          <w:i w:val="0"/>
          <w:iCs w:val="0"/>
        </w:rPr>
        <w:fldChar w:fldCharType="end"/>
      </w:r>
      <w:r>
        <w:rPr>
          <w:i w:val="0"/>
          <w:iCs w:val="0"/>
          <w:color w:val="000000" w:themeColor="text1"/>
          <w14:textFill>
            <w14:solidFill>
              <w14:schemeClr w14:val="tx1"/>
            </w14:solidFill>
          </w14:textFill>
        </w:rPr>
        <w:fldChar w:fldCharType="end"/>
      </w:r>
    </w:p>
    <w:p w14:paraId="615725DF">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_Toc5830 </w:instrText>
      </w:r>
      <w:r>
        <w:rPr>
          <w:i w:val="0"/>
          <w:iCs w:val="0"/>
        </w:rPr>
        <w:fldChar w:fldCharType="separate"/>
      </w:r>
      <w:r>
        <w:rPr>
          <w:rFonts w:hint="eastAsia"/>
          <w:i w:val="0"/>
          <w:iCs w:val="0"/>
        </w:rPr>
        <w:t>2. 监狱企业证明文件【如适用】</w:t>
      </w:r>
      <w:r>
        <w:rPr>
          <w:i w:val="0"/>
          <w:iCs w:val="0"/>
        </w:rPr>
        <w:tab/>
      </w:r>
      <w:r>
        <w:rPr>
          <w:i w:val="0"/>
          <w:iCs w:val="0"/>
        </w:rPr>
        <w:fldChar w:fldCharType="begin"/>
      </w:r>
      <w:r>
        <w:rPr>
          <w:i w:val="0"/>
          <w:iCs w:val="0"/>
        </w:rPr>
        <w:instrText xml:space="preserve"> PAGEREF _Toc5830 \h </w:instrText>
      </w:r>
      <w:r>
        <w:rPr>
          <w:i w:val="0"/>
          <w:iCs w:val="0"/>
        </w:rPr>
        <w:fldChar w:fldCharType="separate"/>
      </w:r>
      <w:r>
        <w:rPr>
          <w:i w:val="0"/>
          <w:iCs w:val="0"/>
        </w:rPr>
        <w:t>- 98 -</w:t>
      </w:r>
      <w:r>
        <w:rPr>
          <w:i w:val="0"/>
          <w:iCs w:val="0"/>
        </w:rPr>
        <w:fldChar w:fldCharType="end"/>
      </w:r>
      <w:r>
        <w:rPr>
          <w:i w:val="0"/>
          <w:iCs w:val="0"/>
          <w:color w:val="000000" w:themeColor="text1"/>
          <w14:textFill>
            <w14:solidFill>
              <w14:schemeClr w14:val="tx1"/>
            </w14:solidFill>
          </w14:textFill>
        </w:rPr>
        <w:fldChar w:fldCharType="end"/>
      </w:r>
    </w:p>
    <w:p w14:paraId="299FA3B5">
      <w:pPr>
        <w:pStyle w:val="26"/>
        <w:tabs>
          <w:tab w:val="right" w:leader="dot" w:pos="8306"/>
        </w:tabs>
        <w:rPr>
          <w:i w:val="0"/>
          <w:iCs w:val="0"/>
        </w:rPr>
      </w:pPr>
      <w:r>
        <w:rPr>
          <w:i w:val="0"/>
          <w:iCs w:val="0"/>
          <w:color w:val="000000" w:themeColor="text1"/>
          <w14:textFill>
            <w14:solidFill>
              <w14:schemeClr w14:val="tx1"/>
            </w14:solidFill>
          </w14:textFill>
        </w:rPr>
        <w:fldChar w:fldCharType="begin"/>
      </w:r>
      <w:r>
        <w:rPr>
          <w:i w:val="0"/>
          <w:iCs w:val="0"/>
        </w:rPr>
        <w:instrText xml:space="preserve"> HYPERLINK \l _Toc7088 </w:instrText>
      </w:r>
      <w:r>
        <w:rPr>
          <w:i w:val="0"/>
          <w:iCs w:val="0"/>
        </w:rPr>
        <w:fldChar w:fldCharType="separate"/>
      </w:r>
      <w:r>
        <w:rPr>
          <w:rFonts w:hint="eastAsia"/>
          <w:i w:val="0"/>
          <w:iCs w:val="0"/>
        </w:rPr>
        <w:t xml:space="preserve">3. </w:t>
      </w:r>
      <w:r>
        <w:rPr>
          <w:i w:val="0"/>
          <w:iCs w:val="0"/>
        </w:rPr>
        <w:t>残疾人福利性单位声明函</w:t>
      </w:r>
      <w:r>
        <w:rPr>
          <w:rFonts w:hint="eastAsia"/>
          <w:i w:val="0"/>
          <w:iCs w:val="0"/>
        </w:rPr>
        <w:t>【如适用】</w:t>
      </w:r>
      <w:r>
        <w:rPr>
          <w:i w:val="0"/>
          <w:iCs w:val="0"/>
        </w:rPr>
        <w:tab/>
      </w:r>
      <w:r>
        <w:rPr>
          <w:i w:val="0"/>
          <w:iCs w:val="0"/>
        </w:rPr>
        <w:fldChar w:fldCharType="begin"/>
      </w:r>
      <w:r>
        <w:rPr>
          <w:i w:val="0"/>
          <w:iCs w:val="0"/>
        </w:rPr>
        <w:instrText xml:space="preserve"> PAGEREF _Toc7088 \h </w:instrText>
      </w:r>
      <w:r>
        <w:rPr>
          <w:i w:val="0"/>
          <w:iCs w:val="0"/>
        </w:rPr>
        <w:fldChar w:fldCharType="separate"/>
      </w:r>
      <w:r>
        <w:rPr>
          <w:i w:val="0"/>
          <w:iCs w:val="0"/>
        </w:rPr>
        <w:t>- 99 -</w:t>
      </w:r>
      <w:r>
        <w:rPr>
          <w:i w:val="0"/>
          <w:iCs w:val="0"/>
        </w:rPr>
        <w:fldChar w:fldCharType="end"/>
      </w:r>
      <w:r>
        <w:rPr>
          <w:i w:val="0"/>
          <w:iCs w:val="0"/>
          <w:color w:val="000000" w:themeColor="text1"/>
          <w14:textFill>
            <w14:solidFill>
              <w14:schemeClr w14:val="tx1"/>
            </w14:solidFill>
          </w14:textFill>
        </w:rPr>
        <w:fldChar w:fldCharType="end"/>
      </w:r>
    </w:p>
    <w:p w14:paraId="195B931A">
      <w:pPr>
        <w:pStyle w:val="26"/>
        <w:tabs>
          <w:tab w:val="right" w:leader="dot" w:pos="8306"/>
        </w:tabs>
      </w:pPr>
      <w:r>
        <w:rPr>
          <w:i w:val="0"/>
          <w:iCs w:val="0"/>
          <w:color w:val="000000" w:themeColor="text1"/>
          <w14:textFill>
            <w14:solidFill>
              <w14:schemeClr w14:val="tx1"/>
            </w14:solidFill>
          </w14:textFill>
        </w:rPr>
        <w:fldChar w:fldCharType="begin"/>
      </w:r>
      <w:r>
        <w:rPr>
          <w:i w:val="0"/>
          <w:iCs w:val="0"/>
        </w:rPr>
        <w:instrText xml:space="preserve"> HYPERLINK \l _Toc19904 </w:instrText>
      </w:r>
      <w:r>
        <w:rPr>
          <w:i w:val="0"/>
          <w:iCs w:val="0"/>
        </w:rPr>
        <w:fldChar w:fldCharType="separate"/>
      </w:r>
      <w:r>
        <w:rPr>
          <w:rFonts w:hint="eastAsia"/>
          <w:i w:val="0"/>
          <w:iCs w:val="0"/>
        </w:rPr>
        <w:t>4. 投标供应商认为需要提供的其他资料</w:t>
      </w:r>
      <w:r>
        <w:rPr>
          <w:i w:val="0"/>
          <w:iCs w:val="0"/>
        </w:rPr>
        <w:tab/>
      </w:r>
      <w:r>
        <w:rPr>
          <w:i w:val="0"/>
          <w:iCs w:val="0"/>
        </w:rPr>
        <w:fldChar w:fldCharType="begin"/>
      </w:r>
      <w:r>
        <w:rPr>
          <w:i w:val="0"/>
          <w:iCs w:val="0"/>
        </w:rPr>
        <w:instrText xml:space="preserve"> PAGEREF _Toc19904 \h </w:instrText>
      </w:r>
      <w:r>
        <w:rPr>
          <w:i w:val="0"/>
          <w:iCs w:val="0"/>
        </w:rPr>
        <w:fldChar w:fldCharType="separate"/>
      </w:r>
      <w:r>
        <w:rPr>
          <w:i w:val="0"/>
          <w:iCs w:val="0"/>
        </w:rPr>
        <w:t>- 102 -</w:t>
      </w:r>
      <w:r>
        <w:rPr>
          <w:i w:val="0"/>
          <w:iCs w:val="0"/>
        </w:rPr>
        <w:fldChar w:fldCharType="end"/>
      </w:r>
      <w:r>
        <w:rPr>
          <w:i w:val="0"/>
          <w:iCs w:val="0"/>
          <w:color w:val="000000" w:themeColor="text1"/>
          <w14:textFill>
            <w14:solidFill>
              <w14:schemeClr w14:val="tx1"/>
            </w14:solidFill>
          </w14:textFill>
        </w:rPr>
        <w:fldChar w:fldCharType="end"/>
      </w:r>
    </w:p>
    <w:p w14:paraId="2C81AF47">
      <w:pPr>
        <w:rPr>
          <w:rFonts w:hint="eastAsia"/>
          <w:color w:val="000000" w:themeColor="text1"/>
          <w14:textFill>
            <w14:solidFill>
              <w14:schemeClr w14:val="tx1"/>
            </w14:solidFill>
          </w14:textFill>
        </w:rPr>
      </w:pPr>
      <w:r>
        <w:rPr>
          <w:color w:val="000000" w:themeColor="text1"/>
          <w14:textFill>
            <w14:solidFill>
              <w14:schemeClr w14:val="tx1"/>
            </w14:solidFill>
          </w14:textFill>
        </w:rPr>
        <w:fldChar w:fldCharType="end"/>
      </w:r>
    </w:p>
    <w:p w14:paraId="5E9465E6">
      <w:pPr>
        <w:jc w:val="center"/>
        <w:rPr>
          <w:rFonts w:hint="eastAsia" w:ascii="黑体" w:hAnsi="黑体" w:eastAsia="黑体"/>
          <w:b/>
          <w:bCs/>
          <w:color w:val="000000" w:themeColor="text1"/>
          <w:sz w:val="32"/>
          <w:szCs w:val="32"/>
          <w14:textFill>
            <w14:solidFill>
              <w14:schemeClr w14:val="tx1"/>
            </w14:solidFill>
          </w14:textFill>
        </w:rPr>
      </w:pPr>
    </w:p>
    <w:p w14:paraId="19C2E551">
      <w:pPr>
        <w:jc w:val="center"/>
        <w:rPr>
          <w:rFonts w:hint="eastAsia" w:ascii="黑体" w:hAnsi="黑体" w:eastAsia="黑体"/>
          <w:b/>
          <w:bCs/>
          <w:color w:val="000000" w:themeColor="text1"/>
          <w:sz w:val="32"/>
          <w:szCs w:val="32"/>
          <w14:textFill>
            <w14:solidFill>
              <w14:schemeClr w14:val="tx1"/>
            </w14:solidFill>
          </w14:textFill>
        </w:rPr>
        <w:sectPr>
          <w:headerReference r:id="rId6" w:type="default"/>
          <w:pgSz w:w="11906" w:h="16838"/>
          <w:pgMar w:top="1440" w:right="1800" w:bottom="1440" w:left="1800" w:header="851" w:footer="992" w:gutter="0"/>
          <w:pgNumType w:fmt="numberInDash"/>
          <w:cols w:space="425" w:num="1"/>
          <w:docGrid w:type="lines" w:linePitch="312" w:charSpace="0"/>
        </w:sectPr>
      </w:pPr>
    </w:p>
    <w:p w14:paraId="381EF174">
      <w:pPr>
        <w:pStyle w:val="3"/>
        <w:numPr>
          <w:ilvl w:val="0"/>
          <w:numId w:val="2"/>
        </w:numPr>
        <w:rPr>
          <w:rFonts w:hint="eastAsia" w:cs="仿宋_GB2312"/>
          <w:color w:val="000000" w:themeColor="text1"/>
          <w:szCs w:val="24"/>
          <w14:textFill>
            <w14:solidFill>
              <w14:schemeClr w14:val="tx1"/>
            </w14:solidFill>
          </w14:textFill>
        </w:rPr>
      </w:pPr>
      <w:bookmarkStart w:id="1" w:name="_Toc18493"/>
      <w:bookmarkStart w:id="2" w:name="_Toc155185859"/>
      <w:r>
        <w:rPr>
          <w:rFonts w:hint="eastAsia"/>
          <w:color w:val="000000" w:themeColor="text1"/>
          <w14:textFill>
            <w14:solidFill>
              <w14:schemeClr w14:val="tx1"/>
            </w14:solidFill>
          </w14:textFill>
        </w:rPr>
        <w:t>投标邀请</w:t>
      </w:r>
      <w:bookmarkEnd w:id="1"/>
      <w:bookmarkEnd w:id="2"/>
      <w:bookmarkStart w:id="3" w:name="_Hlk130458318"/>
    </w:p>
    <w:p w14:paraId="7CB54B07">
      <w:pPr>
        <w:spacing w:line="480" w:lineRule="auto"/>
        <w:jc w:val="center"/>
        <w:outlineLvl w:val="0"/>
        <w:rPr>
          <w:rFonts w:hint="eastAsia" w:cs="宋体"/>
          <w:b/>
          <w:color w:val="000000" w:themeColor="text1"/>
          <w:sz w:val="32"/>
          <w:szCs w:val="32"/>
          <w14:textFill>
            <w14:solidFill>
              <w14:schemeClr w14:val="tx1"/>
            </w14:solidFill>
          </w14:textFill>
        </w:rPr>
      </w:pPr>
      <w:bookmarkStart w:id="4" w:name="_Toc140132745"/>
      <w:bookmarkStart w:id="5" w:name="_Toc44583628"/>
      <w:bookmarkStart w:id="6" w:name="_Toc35393629"/>
      <w:bookmarkStart w:id="7" w:name="_Toc155185860"/>
      <w:bookmarkStart w:id="8" w:name="_Toc109899410"/>
      <w:bookmarkStart w:id="9" w:name="_Toc28359089"/>
      <w:bookmarkStart w:id="10" w:name="_Toc109899829"/>
      <w:bookmarkStart w:id="11" w:name="_Toc35393798"/>
      <w:bookmarkStart w:id="12" w:name="_Toc28359012"/>
      <w:bookmarkStart w:id="13" w:name="_Toc109900248"/>
      <w:r>
        <w:rPr>
          <w:rFonts w:hint="eastAsia"/>
          <w:color w:val="000000" w:themeColor="text1"/>
          <w:lang w:val="hr-HR"/>
          <w14:textFill>
            <w14:solidFill>
              <w14:schemeClr w14:val="tx1"/>
            </w14:solidFill>
          </w14:textFill>
        </w:rPr>
        <w:br w:type="page"/>
      </w:r>
      <w:bookmarkStart w:id="14" w:name="_Toc7767"/>
      <w:r>
        <w:rPr>
          <w:rFonts w:hint="eastAsia" w:cs="宋体"/>
          <w:b/>
          <w:color w:val="000000" w:themeColor="text1"/>
          <w:sz w:val="32"/>
          <w:szCs w:val="32"/>
          <w:lang w:val="hr-HR" w:eastAsia="zh-CN"/>
          <w14:textFill>
            <w14:solidFill>
              <w14:schemeClr w14:val="tx1"/>
            </w14:solidFill>
          </w14:textFill>
        </w:rPr>
        <w:t>晋宁区医疗卫生强基工程项目（资源共享中心：医共体中心药房系统、医共体审方中心系统）</w:t>
      </w:r>
      <w:r>
        <w:rPr>
          <w:rFonts w:hint="eastAsia" w:cs="宋体"/>
          <w:b/>
          <w:color w:val="000000" w:themeColor="text1"/>
          <w:sz w:val="32"/>
          <w:szCs w:val="32"/>
          <w14:textFill>
            <w14:solidFill>
              <w14:schemeClr w14:val="tx1"/>
            </w14:solidFill>
          </w14:textFill>
        </w:rPr>
        <w:t>的招标公告</w:t>
      </w:r>
      <w:bookmarkEnd w:id="14"/>
    </w:p>
    <w:p w14:paraId="3643A437">
      <w:pPr>
        <w:pBdr>
          <w:top w:val="single" w:color="000000" w:sz="4" w:space="1"/>
          <w:left w:val="single" w:color="000000" w:sz="4" w:space="4"/>
          <w:bottom w:val="single" w:color="000000" w:sz="4" w:space="1"/>
          <w:right w:val="single" w:color="000000" w:sz="4" w:space="4"/>
        </w:pBdr>
        <w:rPr>
          <w:rFonts w:hint="eastAsia" w:cs="宋体"/>
          <w:color w:val="000000" w:themeColor="text1"/>
          <w:sz w:val="24"/>
          <w:szCs w:val="24"/>
          <w14:textFill>
            <w14:solidFill>
              <w14:schemeClr w14:val="tx1"/>
            </w14:solidFill>
          </w14:textFill>
        </w:rPr>
      </w:pPr>
      <w:bookmarkStart w:id="15" w:name="_Toc308530169"/>
      <w:bookmarkStart w:id="16" w:name="_Toc308530447"/>
      <w:bookmarkStart w:id="17" w:name="_Toc309030114"/>
      <w:bookmarkStart w:id="18" w:name="_Toc309029540"/>
      <w:bookmarkStart w:id="19" w:name="_Toc309030717"/>
      <w:r>
        <w:rPr>
          <w:rFonts w:hint="eastAsia" w:cs="宋体"/>
          <w:color w:val="000000" w:themeColor="text1"/>
          <w:sz w:val="24"/>
          <w:szCs w:val="24"/>
          <w14:textFill>
            <w14:solidFill>
              <w14:schemeClr w14:val="tx1"/>
            </w14:solidFill>
          </w14:textFill>
        </w:rPr>
        <w:t>项目概况：</w:t>
      </w:r>
    </w:p>
    <w:p w14:paraId="7C040D1E">
      <w:pPr>
        <w:pBdr>
          <w:top w:val="single" w:color="000000" w:sz="4" w:space="1"/>
          <w:left w:val="single" w:color="000000" w:sz="4" w:space="4"/>
          <w:bottom w:val="single" w:color="000000" w:sz="4" w:space="1"/>
          <w:right w:val="single" w:color="000000" w:sz="4" w:space="4"/>
        </w:pBdr>
        <w:wordWrap w:val="0"/>
        <w:ind w:firstLine="480" w:firstLineChars="2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u w:val="single"/>
          <w:lang w:eastAsia="zh-CN"/>
          <w14:textFill>
            <w14:solidFill>
              <w14:schemeClr w14:val="tx1"/>
            </w14:solidFill>
          </w14:textFill>
        </w:rPr>
        <w:t>晋宁区医疗卫生强基工程项目（资源共享中心：医共体中心药房系统、医共体审方中心系统）</w:t>
      </w:r>
      <w:r>
        <w:rPr>
          <w:rFonts w:hint="eastAsia" w:cs="宋体"/>
          <w:color w:val="000000" w:themeColor="text1"/>
          <w:sz w:val="24"/>
          <w:szCs w:val="24"/>
          <w14:textFill>
            <w14:solidFill>
              <w14:schemeClr w14:val="tx1"/>
            </w14:solidFill>
          </w14:textFill>
        </w:rPr>
        <w:t>的潜在投标供应商</w:t>
      </w:r>
      <w:r>
        <w:rPr>
          <w:rFonts w:hint="eastAsia" w:cs="宋体"/>
          <w:bCs/>
          <w:color w:val="000000" w:themeColor="text1"/>
          <w:sz w:val="24"/>
          <w:szCs w:val="24"/>
          <w14:textFill>
            <w14:solidFill>
              <w14:schemeClr w14:val="tx1"/>
            </w14:solidFill>
          </w14:textFill>
        </w:rPr>
        <w:t>在</w:t>
      </w:r>
      <w:r>
        <w:rPr>
          <w:rFonts w:hint="eastAsia" w:cs="宋体"/>
          <w:color w:val="000000" w:themeColor="text1"/>
          <w:sz w:val="24"/>
          <w:szCs w:val="24"/>
          <w:u w:val="single"/>
          <w14:textFill>
            <w14:solidFill>
              <w14:schemeClr w14:val="tx1"/>
            </w14:solidFill>
          </w14:textFill>
        </w:rPr>
        <w:t>政府采购云平台（https://www.zcygov.cn/）</w:t>
      </w:r>
      <w:r>
        <w:rPr>
          <w:rFonts w:hint="eastAsia" w:cs="宋体"/>
          <w:color w:val="000000" w:themeColor="text1"/>
          <w:sz w:val="24"/>
          <w:szCs w:val="24"/>
          <w14:textFill>
            <w14:solidFill>
              <w14:schemeClr w14:val="tx1"/>
            </w14:solidFill>
          </w14:textFill>
        </w:rPr>
        <w:t xml:space="preserve">获取招标文件，并于 </w:t>
      </w:r>
      <w:r>
        <w:rPr>
          <w:rFonts w:hint="eastAsia" w:cs="宋体"/>
          <w:color w:val="FF0000"/>
          <w:sz w:val="24"/>
          <w:szCs w:val="24"/>
          <w:u w:val="single"/>
          <w:lang w:eastAsia="zh-CN"/>
        </w:rPr>
        <w:t>2026</w:t>
      </w:r>
      <w:r>
        <w:rPr>
          <w:rFonts w:hint="eastAsia" w:cs="宋体"/>
          <w:color w:val="FF0000"/>
          <w:sz w:val="24"/>
          <w:szCs w:val="24"/>
          <w:u w:val="single"/>
        </w:rPr>
        <w:t>年</w:t>
      </w:r>
      <w:r>
        <w:rPr>
          <w:rFonts w:hint="eastAsia" w:cs="宋体"/>
          <w:color w:val="FF0000"/>
          <w:sz w:val="24"/>
          <w:szCs w:val="24"/>
          <w:u w:val="single"/>
          <w:lang w:val="en-US" w:eastAsia="zh-CN"/>
        </w:rPr>
        <w:t>7</w:t>
      </w:r>
      <w:r>
        <w:rPr>
          <w:rFonts w:hint="eastAsia" w:cs="宋体"/>
          <w:color w:val="FF0000"/>
          <w:sz w:val="24"/>
          <w:szCs w:val="24"/>
          <w:u w:val="single"/>
        </w:rPr>
        <w:t>月</w:t>
      </w:r>
      <w:r>
        <w:rPr>
          <w:rFonts w:hint="eastAsia" w:cs="宋体"/>
          <w:color w:val="FF0000"/>
          <w:sz w:val="24"/>
          <w:szCs w:val="24"/>
          <w:u w:val="single"/>
          <w:lang w:val="en-US" w:eastAsia="zh-CN"/>
        </w:rPr>
        <w:t>15</w:t>
      </w:r>
      <w:r>
        <w:rPr>
          <w:rFonts w:hint="eastAsia" w:cs="宋体"/>
          <w:color w:val="FF0000"/>
          <w:sz w:val="24"/>
          <w:szCs w:val="24"/>
          <w:u w:val="single"/>
        </w:rPr>
        <w:t>日9点30分（北京时间）</w:t>
      </w:r>
      <w:r>
        <w:rPr>
          <w:rFonts w:hint="eastAsia" w:cs="宋体"/>
          <w:color w:val="000000" w:themeColor="text1"/>
          <w:sz w:val="24"/>
          <w:szCs w:val="24"/>
          <w14:textFill>
            <w14:solidFill>
              <w14:schemeClr w14:val="tx1"/>
            </w14:solidFill>
          </w14:textFill>
        </w:rPr>
        <w:t>前提交投标文件。</w:t>
      </w:r>
    </w:p>
    <w:p w14:paraId="04F78941">
      <w:pPr>
        <w:pStyle w:val="58"/>
        <w:spacing w:before="260" w:after="260" w:line="360" w:lineRule="auto"/>
        <w:jc w:val="both"/>
        <w:rPr>
          <w:rFonts w:hint="eastAsia" w:ascii="宋体" w:hAnsi="宋体" w:cs="宋体"/>
          <w:bCs w:val="0"/>
          <w:color w:val="000000" w:themeColor="text1"/>
          <w:sz w:val="24"/>
          <w:szCs w:val="24"/>
          <w14:textFill>
            <w14:solidFill>
              <w14:schemeClr w14:val="tx1"/>
            </w14:solidFill>
          </w14:textFill>
        </w:rPr>
      </w:pPr>
      <w:bookmarkStart w:id="20" w:name="_Toc16624"/>
      <w:bookmarkEnd w:id="20"/>
      <w:bookmarkStart w:id="21" w:name="_Toc28651"/>
      <w:bookmarkEnd w:id="21"/>
      <w:bookmarkStart w:id="22" w:name="_Toc35393790"/>
      <w:bookmarkEnd w:id="22"/>
      <w:bookmarkStart w:id="23" w:name="_Toc30547"/>
      <w:bookmarkEnd w:id="23"/>
      <w:bookmarkStart w:id="24" w:name="_Toc28359002"/>
      <w:bookmarkEnd w:id="24"/>
      <w:bookmarkStart w:id="25" w:name="_Toc28359079"/>
      <w:bookmarkEnd w:id="25"/>
      <w:bookmarkStart w:id="26" w:name="_Toc35393621"/>
      <w:bookmarkEnd w:id="26"/>
      <w:bookmarkStart w:id="27" w:name="_Toc26503"/>
      <w:bookmarkStart w:id="28" w:name="_Hlk24379207"/>
      <w:r>
        <w:rPr>
          <w:rFonts w:hint="eastAsia" w:ascii="宋体" w:hAnsi="宋体" w:cs="宋体"/>
          <w:bCs w:val="0"/>
          <w:color w:val="000000" w:themeColor="text1"/>
          <w:sz w:val="28"/>
          <w:szCs w:val="28"/>
          <w14:textFill>
            <w14:solidFill>
              <w14:schemeClr w14:val="tx1"/>
            </w14:solidFill>
          </w14:textFill>
        </w:rPr>
        <w:t>一</w:t>
      </w:r>
      <w:r>
        <w:rPr>
          <w:rFonts w:hint="eastAsia" w:ascii="宋体" w:hAnsi="宋体" w:cs="宋体"/>
          <w:bCs w:val="0"/>
          <w:color w:val="000000" w:themeColor="text1"/>
          <w:sz w:val="24"/>
          <w:szCs w:val="24"/>
          <w14:textFill>
            <w14:solidFill>
              <w14:schemeClr w14:val="tx1"/>
            </w14:solidFill>
          </w14:textFill>
        </w:rPr>
        <w:t>、项目基本情况</w:t>
      </w:r>
      <w:bookmarkEnd w:id="27"/>
    </w:p>
    <w:p w14:paraId="6319BCB5">
      <w:pPr>
        <w:ind w:firstLine="480" w:firstLineChars="200"/>
        <w:rPr>
          <w:rFonts w:hint="default" w:cs="宋体"/>
          <w:color w:val="FF0000"/>
          <w:sz w:val="24"/>
          <w:szCs w:val="24"/>
          <w:u w:val="single"/>
          <w:lang w:val="en-US" w:eastAsia="zh-CN"/>
        </w:rPr>
      </w:pPr>
      <w:r>
        <w:rPr>
          <w:rFonts w:hint="eastAsia" w:cs="宋体"/>
          <w:color w:val="000000" w:themeColor="text1"/>
          <w:sz w:val="24"/>
          <w:szCs w:val="24"/>
          <w14:textFill>
            <w14:solidFill>
              <w14:schemeClr w14:val="tx1"/>
            </w14:solidFill>
          </w14:textFill>
        </w:rPr>
        <w:t>1.1</w:t>
      </w:r>
      <w:r>
        <w:rPr>
          <w:rFonts w:hint="eastAsia" w:cs="宋体"/>
          <w:b w:val="0"/>
          <w:bCs w:val="0"/>
          <w:color w:val="000000" w:themeColor="text1"/>
          <w:sz w:val="24"/>
          <w:szCs w:val="24"/>
          <w14:textFill>
            <w14:solidFill>
              <w14:schemeClr w14:val="tx1"/>
            </w14:solidFill>
          </w14:textFill>
        </w:rPr>
        <w:t>政府采购计划编号：</w:t>
      </w:r>
      <w:r>
        <w:rPr>
          <w:rFonts w:hint="eastAsia" w:cs="宋体"/>
          <w:b w:val="0"/>
          <w:bCs w:val="0"/>
          <w:color w:val="000000" w:themeColor="text1"/>
          <w:sz w:val="24"/>
          <w:szCs w:val="24"/>
          <w:u w:val="single"/>
          <w:lang w:val="en-US" w:eastAsia="zh-CN"/>
          <w14:textFill>
            <w14:solidFill>
              <w14:schemeClr w14:val="tx1"/>
            </w14:solidFill>
          </w14:textFill>
        </w:rPr>
        <w:t xml:space="preserve"> </w:t>
      </w:r>
      <w:r>
        <w:rPr>
          <w:rFonts w:hint="eastAsia" w:cs="宋体"/>
          <w:color w:val="000000" w:themeColor="text1"/>
          <w:sz w:val="24"/>
          <w:szCs w:val="24"/>
          <w:u w:val="single"/>
          <w:lang w:val="en-US" w:eastAsia="zh-CN"/>
          <w14:textFill>
            <w14:solidFill>
              <w14:schemeClr w14:val="tx1"/>
            </w14:solidFill>
          </w14:textFill>
        </w:rPr>
        <w:t xml:space="preserve"> 4530122JH202600541      </w:t>
      </w:r>
    </w:p>
    <w:p w14:paraId="7047C0A9">
      <w:pPr>
        <w:ind w:firstLine="480" w:firstLineChars="2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1.2项目名称：</w:t>
      </w:r>
      <w:r>
        <w:rPr>
          <w:rFonts w:hint="eastAsia" w:cs="宋体"/>
          <w:color w:val="000000" w:themeColor="text1"/>
          <w:sz w:val="24"/>
          <w:szCs w:val="24"/>
          <w:u w:val="single"/>
          <w:lang w:eastAsia="zh-CN"/>
          <w14:textFill>
            <w14:solidFill>
              <w14:schemeClr w14:val="tx1"/>
            </w14:solidFill>
          </w14:textFill>
        </w:rPr>
        <w:t>晋宁区医疗卫生强基工程项目（资源共享中心：医共体中心药房系统、医共体审方中心系统）</w:t>
      </w:r>
      <w:r>
        <w:rPr>
          <w:rFonts w:hint="eastAsia" w:cs="宋体"/>
          <w:color w:val="000000" w:themeColor="text1"/>
          <w:sz w:val="24"/>
          <w:szCs w:val="24"/>
          <w14:textFill>
            <w14:solidFill>
              <w14:schemeClr w14:val="tx1"/>
            </w14:solidFill>
          </w14:textFill>
        </w:rPr>
        <w:t>。</w:t>
      </w:r>
    </w:p>
    <w:bookmarkEnd w:id="28"/>
    <w:p w14:paraId="417BC49B">
      <w:pPr>
        <w:snapToGrid w:val="0"/>
        <w:spacing w:line="440" w:lineRule="exact"/>
        <w:ind w:firstLine="480" w:firstLineChars="200"/>
        <w:rPr>
          <w:rFonts w:hint="eastAsia" w:cs="宋体"/>
          <w:color w:val="000000" w:themeColor="text1"/>
          <w:sz w:val="24"/>
          <w:szCs w:val="24"/>
          <w:u w:val="single"/>
          <w:lang w:val="en-US" w:eastAsia="zh-CN"/>
          <w14:textFill>
            <w14:solidFill>
              <w14:schemeClr w14:val="tx1"/>
            </w14:solidFill>
          </w14:textFill>
        </w:rPr>
      </w:pPr>
      <w:r>
        <w:rPr>
          <w:rFonts w:hint="eastAsia" w:cs="宋体"/>
          <w:color w:val="000000" w:themeColor="text1"/>
          <w:sz w:val="24"/>
          <w:szCs w:val="24"/>
          <w14:textFill>
            <w14:solidFill>
              <w14:schemeClr w14:val="tx1"/>
            </w14:solidFill>
          </w14:textFill>
        </w:rPr>
        <w:t>1.3预算金额：</w:t>
      </w:r>
      <w:r>
        <w:rPr>
          <w:rFonts w:hint="eastAsia" w:cs="宋体"/>
          <w:color w:val="000000" w:themeColor="text1"/>
          <w:sz w:val="24"/>
          <w:szCs w:val="24"/>
          <w:u w:val="single"/>
          <w:lang w:val="en-US" w:eastAsia="zh-CN"/>
          <w14:textFill>
            <w14:solidFill>
              <w14:schemeClr w14:val="tx1"/>
            </w14:solidFill>
          </w14:textFill>
        </w:rPr>
        <w:t>150.00万元。</w:t>
      </w:r>
    </w:p>
    <w:p w14:paraId="709AC669">
      <w:pPr>
        <w:spacing w:line="360" w:lineRule="auto"/>
        <w:ind w:firstLine="480" w:firstLineChars="200"/>
        <w:rPr>
          <w:rFonts w:hint="default"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auto"/>
          <w:sz w:val="24"/>
          <w:szCs w:val="24"/>
        </w:rPr>
        <w:t>1.</w:t>
      </w:r>
      <w:r>
        <w:rPr>
          <w:rFonts w:hint="eastAsia" w:cs="宋体"/>
          <w:color w:val="auto"/>
          <w:sz w:val="24"/>
          <w:szCs w:val="24"/>
          <w:lang w:val="en-US" w:eastAsia="zh-CN"/>
        </w:rPr>
        <w:t>4</w:t>
      </w:r>
      <w:r>
        <w:rPr>
          <w:rFonts w:hint="eastAsia" w:ascii="宋体" w:hAnsi="宋体" w:eastAsia="宋体" w:cs="宋体"/>
          <w:color w:val="auto"/>
          <w:sz w:val="24"/>
          <w:szCs w:val="24"/>
        </w:rPr>
        <w:t>标</w:t>
      </w:r>
      <w:r>
        <w:rPr>
          <w:rFonts w:hint="eastAsia" w:cs="宋体"/>
          <w:color w:val="auto"/>
          <w:sz w:val="24"/>
          <w:szCs w:val="24"/>
          <w:lang w:val="en-US" w:eastAsia="zh-CN"/>
        </w:rPr>
        <w:t>包</w:t>
      </w:r>
      <w:r>
        <w:rPr>
          <w:rFonts w:hint="eastAsia" w:ascii="宋体" w:hAnsi="宋体" w:eastAsia="宋体" w:cs="宋体"/>
          <w:color w:val="auto"/>
          <w:sz w:val="24"/>
          <w:szCs w:val="24"/>
        </w:rPr>
        <w:t>划分：</w:t>
      </w:r>
      <w:r>
        <w:rPr>
          <w:rFonts w:hint="eastAsia" w:ascii="宋体" w:hAnsi="宋体" w:eastAsia="宋体" w:cs="宋体"/>
          <w:color w:val="auto"/>
          <w:kern w:val="0"/>
          <w:sz w:val="24"/>
          <w:szCs w:val="24"/>
        </w:rPr>
        <w:t>本采购项目</w:t>
      </w:r>
      <w:r>
        <w:rPr>
          <w:rFonts w:hint="eastAsia" w:cs="宋体"/>
          <w:color w:val="auto"/>
          <w:kern w:val="0"/>
          <w:sz w:val="24"/>
          <w:szCs w:val="24"/>
          <w:lang w:val="en-US" w:eastAsia="zh-CN"/>
        </w:rPr>
        <w:t>划分为2个包。</w:t>
      </w:r>
    </w:p>
    <w:p w14:paraId="370A02DA">
      <w:pPr>
        <w:spacing w:line="360" w:lineRule="auto"/>
        <w:ind w:firstLine="480" w:firstLineChars="200"/>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cs="宋体"/>
          <w:color w:val="000000" w:themeColor="text1"/>
          <w:sz w:val="24"/>
          <w:szCs w:val="24"/>
          <w14:textFill>
            <w14:solidFill>
              <w14:schemeClr w14:val="tx1"/>
            </w14:solidFill>
          </w14:textFill>
        </w:rPr>
        <w:t>1.</w:t>
      </w:r>
      <w:r>
        <w:rPr>
          <w:rFonts w:hint="eastAsia" w:cs="宋体"/>
          <w:color w:val="000000" w:themeColor="text1"/>
          <w:sz w:val="24"/>
          <w:szCs w:val="24"/>
          <w:lang w:val="en-US" w:eastAsia="zh-CN"/>
          <w14:textFill>
            <w14:solidFill>
              <w14:schemeClr w14:val="tx1"/>
            </w14:solidFill>
          </w14:textFill>
        </w:rPr>
        <w:t>5</w:t>
      </w:r>
      <w:r>
        <w:rPr>
          <w:rFonts w:hint="eastAsia" w:cs="宋体"/>
          <w:color w:val="000000" w:themeColor="text1"/>
          <w:sz w:val="24"/>
          <w:szCs w:val="24"/>
          <w14:textFill>
            <w14:solidFill>
              <w14:schemeClr w14:val="tx1"/>
            </w14:solidFill>
          </w14:textFill>
        </w:rPr>
        <w:t>最高限价：</w:t>
      </w:r>
      <w:r>
        <w:rPr>
          <w:rFonts w:hint="eastAsia" w:cs="宋体"/>
          <w:color w:val="auto"/>
          <w:sz w:val="24"/>
          <w:szCs w:val="24"/>
          <w:lang w:val="en-US" w:eastAsia="zh-CN"/>
        </w:rPr>
        <w:t>A包</w:t>
      </w:r>
      <w:r>
        <w:rPr>
          <w:rFonts w:hint="eastAsia" w:cs="宋体"/>
          <w:color w:val="000000" w:themeColor="text1"/>
          <w:sz w:val="24"/>
          <w:szCs w:val="24"/>
          <w:u w:val="none"/>
          <w:lang w:eastAsia="zh-CN"/>
          <w14:textFill>
            <w14:solidFill>
              <w14:schemeClr w14:val="tx1"/>
            </w14:solidFill>
          </w14:textFill>
        </w:rPr>
        <w:t>医共体中心药房系统</w:t>
      </w:r>
      <w:r>
        <w:rPr>
          <w:rFonts w:hint="eastAsia" w:cs="宋体"/>
          <w:color w:val="auto"/>
          <w:sz w:val="24"/>
          <w:szCs w:val="24"/>
          <w:lang w:val="en-US" w:eastAsia="zh-CN"/>
        </w:rPr>
        <w:t>：</w:t>
      </w:r>
      <w:r>
        <w:rPr>
          <w:rFonts w:hint="eastAsia" w:cs="宋体"/>
          <w:b w:val="0"/>
          <w:bCs w:val="0"/>
          <w:color w:val="000000" w:themeColor="text1"/>
          <w:sz w:val="24"/>
          <w:szCs w:val="24"/>
          <w:u w:val="single"/>
          <w:lang w:val="en-US" w:eastAsia="zh-CN"/>
          <w14:textFill>
            <w14:solidFill>
              <w14:schemeClr w14:val="tx1"/>
            </w14:solidFill>
          </w14:textFill>
        </w:rPr>
        <w:t>70.00万</w:t>
      </w:r>
      <w:r>
        <w:rPr>
          <w:rFonts w:hint="eastAsia" w:cs="宋体"/>
          <w:b w:val="0"/>
          <w:bCs w:val="0"/>
          <w:color w:val="000000" w:themeColor="text1"/>
          <w:sz w:val="24"/>
          <w:szCs w:val="24"/>
          <w:lang w:val="en-US" w:eastAsia="zh-CN"/>
          <w14:textFill>
            <w14:solidFill>
              <w14:schemeClr w14:val="tx1"/>
            </w14:solidFill>
          </w14:textFill>
        </w:rPr>
        <w:t>元；B包</w:t>
      </w:r>
      <w:r>
        <w:rPr>
          <w:rFonts w:hint="eastAsia" w:cs="宋体"/>
          <w:b w:val="0"/>
          <w:bCs w:val="0"/>
          <w:color w:val="000000" w:themeColor="text1"/>
          <w:sz w:val="24"/>
          <w:szCs w:val="24"/>
          <w:u w:val="none"/>
          <w:lang w:eastAsia="zh-CN"/>
          <w14:textFill>
            <w14:solidFill>
              <w14:schemeClr w14:val="tx1"/>
            </w14:solidFill>
          </w14:textFill>
        </w:rPr>
        <w:t>医共体审方中心系统</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cs="宋体"/>
          <w:b w:val="0"/>
          <w:bCs w:val="0"/>
          <w:color w:val="000000" w:themeColor="text1"/>
          <w:sz w:val="24"/>
          <w:szCs w:val="24"/>
          <w:u w:val="single"/>
          <w:lang w:val="en-US" w:eastAsia="zh-CN"/>
          <w14:textFill>
            <w14:solidFill>
              <w14:schemeClr w14:val="tx1"/>
            </w14:solidFill>
          </w14:textFill>
        </w:rPr>
        <w:t>80.00</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万元</w:t>
      </w:r>
      <w:r>
        <w:rPr>
          <w:rFonts w:hint="eastAsia" w:cs="宋体"/>
          <w:b w:val="0"/>
          <w:bCs w:val="0"/>
          <w:color w:val="000000" w:themeColor="text1"/>
          <w:sz w:val="24"/>
          <w:szCs w:val="24"/>
          <w:lang w:val="en-US" w:eastAsia="zh-CN"/>
          <w14:textFill>
            <w14:solidFill>
              <w14:schemeClr w14:val="tx1"/>
            </w14:solidFill>
          </w14:textFill>
        </w:rPr>
        <w:t>。</w:t>
      </w:r>
    </w:p>
    <w:p w14:paraId="10FADCE3">
      <w:pPr>
        <w:pageBreakBefore w:val="0"/>
        <w:wordWrap/>
        <w:overflowPunct/>
        <w:topLinePunct w:val="0"/>
        <w:bidi w:val="0"/>
        <w:spacing w:beforeAutospacing="0" w:line="360" w:lineRule="auto"/>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1.6采购需求：</w:t>
      </w:r>
      <w:r>
        <w:rPr>
          <w:rFonts w:hint="eastAsia" w:ascii="宋体" w:hAnsi="宋体" w:eastAsia="宋体" w:cs="宋体"/>
          <w:color w:val="auto"/>
          <w:sz w:val="24"/>
          <w:szCs w:val="24"/>
          <w:lang w:val="en-US" w:eastAsia="zh-CN"/>
        </w:rPr>
        <w:t>A包</w:t>
      </w:r>
      <w:r>
        <w:rPr>
          <w:rFonts w:hint="eastAsia" w:cs="宋体"/>
          <w:color w:val="auto"/>
          <w:sz w:val="24"/>
          <w:szCs w:val="24"/>
          <w:lang w:val="en-US" w:eastAsia="zh-CN"/>
        </w:rPr>
        <w:t>：</w:t>
      </w:r>
      <w:r>
        <w:rPr>
          <w:rFonts w:hint="eastAsia" w:ascii="宋体" w:hAnsi="宋体" w:eastAsia="宋体" w:cs="宋体"/>
          <w:bCs/>
          <w:color w:val="000000" w:themeColor="text1"/>
          <w:sz w:val="24"/>
          <w:szCs w:val="24"/>
          <w14:textFill>
            <w14:solidFill>
              <w14:schemeClr w14:val="tx1"/>
            </w14:solidFill>
          </w14:textFill>
        </w:rPr>
        <w:t>围绕紧密型医联体用药目录(以下简称“用药目录”)、生产企业</w:t>
      </w:r>
      <w:r>
        <w:rPr>
          <w:rFonts w:hint="eastAsia"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配送企业、用</w:t>
      </w:r>
      <w:r>
        <w:rPr>
          <w:rFonts w:hint="eastAsia" w:cs="宋体"/>
          <w:bCs/>
          <w:color w:val="000000" w:themeColor="text1"/>
          <w:sz w:val="24"/>
          <w:szCs w:val="24"/>
          <w:lang w:val="en-US" w:eastAsia="zh-CN"/>
          <w14:textFill>
            <w14:solidFill>
              <w14:schemeClr w14:val="tx1"/>
            </w14:solidFill>
          </w14:textFill>
        </w:rPr>
        <w:t>药</w:t>
      </w:r>
      <w:r>
        <w:rPr>
          <w:rFonts w:hint="eastAsia" w:ascii="宋体" w:hAnsi="宋体" w:eastAsia="宋体" w:cs="宋体"/>
          <w:bCs/>
          <w:color w:val="000000" w:themeColor="text1"/>
          <w:sz w:val="24"/>
          <w:szCs w:val="24"/>
          <w14:textFill>
            <w14:solidFill>
              <w14:schemeClr w14:val="tx1"/>
            </w14:solidFill>
          </w14:textFill>
        </w:rPr>
        <w:t>需求、采购计划、采购订单、配送、结算、价格、出入库、调拨、调配以及药学服务等关键环节，建立管理制度和运行机制，通过人工和/或信息化手段，能够开展用药衔接比对、供需监测对接、定期集中配送、药品库存警戒监测、近效期药品监测和调配、余缺调度、缺药登记、统计分析等工作</w:t>
      </w:r>
      <w:r>
        <w:rPr>
          <w:rFonts w:hint="eastAsia" w:cs="宋体"/>
          <w:bCs/>
          <w:color w:val="000000" w:themeColor="text1"/>
          <w:sz w:val="24"/>
          <w:szCs w:val="24"/>
          <w:lang w:val="en-US"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运用大数据、互联网、人工智能等技术，实现药品订单汇总、采购、配送、结算、库存、处方、使用、居民用药监测、统计分析等全流程智能管理。</w:t>
      </w:r>
      <w:r>
        <w:rPr>
          <w:rFonts w:hint="eastAsia" w:ascii="宋体" w:hAnsi="宋体" w:eastAsia="宋体" w:cs="宋体"/>
          <w:color w:val="auto"/>
          <w:kern w:val="0"/>
          <w:sz w:val="24"/>
          <w:szCs w:val="24"/>
          <w:lang w:val="en-US" w:eastAsia="zh-CN" w:bidi="ar-SA"/>
        </w:rPr>
        <w:t>具体内容详见第三章采购需求。</w:t>
      </w:r>
    </w:p>
    <w:p w14:paraId="5E5FC53F">
      <w:pPr>
        <w:pStyle w:val="75"/>
        <w:keepNext w:val="0"/>
        <w:keepLines w:val="0"/>
        <w:pageBreakBefore w:val="0"/>
        <w:numPr>
          <w:ilvl w:val="0"/>
          <w:numId w:val="0"/>
        </w:numPr>
        <w:kinsoku/>
        <w:wordWrap/>
        <w:overflowPunct/>
        <w:topLinePunct w:val="0"/>
        <w:autoSpaceDE/>
        <w:autoSpaceDN/>
        <w:bidi w:val="0"/>
        <w:adjustRightInd/>
        <w:spacing w:line="560" w:lineRule="exact"/>
        <w:ind w:firstLine="480" w:firstLineChars="200"/>
        <w:rPr>
          <w:rFonts w:hint="default"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lang w:val="en-US" w:eastAsia="zh-CN" w:bidi="ar-SA"/>
        </w:rPr>
        <w:t>B包：</w:t>
      </w:r>
      <w:r>
        <w:rPr>
          <w:rFonts w:hint="default" w:ascii="宋体" w:hAnsi="宋体" w:eastAsia="宋体" w:cs="宋体"/>
          <w:color w:val="auto"/>
          <w:kern w:val="0"/>
          <w:sz w:val="24"/>
          <w:szCs w:val="24"/>
          <w:lang w:val="en-US" w:eastAsia="zh-CN" w:bidi="ar-SA"/>
        </w:rPr>
        <w:t>保障患者用药安全、提升基层合理用药水平，同时通过资源整合实现药学服务的标准化和同质化。实现用药安全的“事前干预”</w:t>
      </w:r>
      <w:r>
        <w:rPr>
          <w:rFonts w:hint="eastAsia" w:ascii="宋体" w:hAnsi="宋体" w:eastAsia="宋体" w:cs="宋体"/>
          <w:color w:val="auto"/>
          <w:kern w:val="0"/>
          <w:sz w:val="24"/>
          <w:szCs w:val="24"/>
          <w:lang w:val="en-US" w:eastAsia="zh-CN" w:bidi="ar-SA"/>
        </w:rPr>
        <w:t>，推进药学服务的“均等化”，提供精细化监管与决策支持，提供精细化监管与决策支持。具体内容详见第三章采购需求。</w:t>
      </w:r>
    </w:p>
    <w:p w14:paraId="5D7A9380">
      <w:pPr>
        <w:pStyle w:val="58"/>
        <w:spacing w:before="260" w:after="260" w:line="360" w:lineRule="auto"/>
        <w:jc w:val="both"/>
        <w:rPr>
          <w:rFonts w:hint="eastAsia" w:ascii="宋体" w:hAnsi="宋体" w:cs="宋体"/>
          <w:bCs w:val="0"/>
          <w:color w:val="000000" w:themeColor="text1"/>
          <w:sz w:val="24"/>
          <w:szCs w:val="24"/>
          <w14:textFill>
            <w14:solidFill>
              <w14:schemeClr w14:val="tx1"/>
            </w14:solidFill>
          </w14:textFill>
        </w:rPr>
      </w:pPr>
      <w:bookmarkStart w:id="29" w:name="_Toc28359003"/>
      <w:bookmarkEnd w:id="29"/>
      <w:bookmarkStart w:id="30" w:name="_Toc3064"/>
      <w:bookmarkEnd w:id="30"/>
      <w:bookmarkStart w:id="31" w:name="_Toc10155"/>
      <w:bookmarkEnd w:id="31"/>
      <w:bookmarkStart w:id="32" w:name="_Toc23681"/>
      <w:bookmarkEnd w:id="32"/>
      <w:bookmarkStart w:id="33" w:name="_Toc28359080"/>
      <w:bookmarkEnd w:id="33"/>
      <w:bookmarkStart w:id="34" w:name="_Toc35393622"/>
      <w:bookmarkEnd w:id="34"/>
      <w:bookmarkStart w:id="35" w:name="_Toc35393791"/>
      <w:bookmarkEnd w:id="35"/>
      <w:bookmarkStart w:id="36" w:name="_Toc12533"/>
      <w:r>
        <w:rPr>
          <w:rFonts w:hint="eastAsia" w:ascii="宋体" w:hAnsi="宋体" w:cs="宋体"/>
          <w:bCs w:val="0"/>
          <w:color w:val="000000" w:themeColor="text1"/>
          <w:sz w:val="24"/>
          <w:szCs w:val="24"/>
          <w14:textFill>
            <w14:solidFill>
              <w14:schemeClr w14:val="tx1"/>
            </w14:solidFill>
          </w14:textFill>
        </w:rPr>
        <w:t>二、投标供应商的资格要求：</w:t>
      </w:r>
      <w:bookmarkEnd w:id="36"/>
    </w:p>
    <w:p w14:paraId="55237C57">
      <w:pPr>
        <w:ind w:firstLine="540"/>
        <w:rPr>
          <w:rFonts w:hint="eastAsia" w:cs="宋体"/>
          <w:color w:val="000000" w:themeColor="text1"/>
          <w:sz w:val="24"/>
          <w:szCs w:val="24"/>
          <w14:textFill>
            <w14:solidFill>
              <w14:schemeClr w14:val="tx1"/>
            </w14:solidFill>
          </w14:textFill>
        </w:rPr>
      </w:pPr>
      <w:bookmarkStart w:id="37" w:name="_Toc1149"/>
      <w:bookmarkEnd w:id="37"/>
      <w:bookmarkStart w:id="38" w:name="_Toc35393623"/>
      <w:bookmarkEnd w:id="38"/>
      <w:bookmarkStart w:id="39" w:name="_Toc22491"/>
      <w:bookmarkEnd w:id="39"/>
      <w:bookmarkStart w:id="40" w:name="_Toc35393792"/>
      <w:bookmarkEnd w:id="40"/>
      <w:bookmarkStart w:id="41" w:name="_Toc4536"/>
      <w:bookmarkEnd w:id="41"/>
      <w:r>
        <w:rPr>
          <w:rFonts w:hint="eastAsia" w:cs="宋体"/>
          <w:color w:val="000000" w:themeColor="text1"/>
          <w:sz w:val="24"/>
          <w:szCs w:val="24"/>
          <w14:textFill>
            <w14:solidFill>
              <w14:schemeClr w14:val="tx1"/>
            </w14:solidFill>
          </w14:textFill>
        </w:rPr>
        <w:t>1.满足《中华人民共和国政府采购法》第二十二条规定；</w:t>
      </w:r>
    </w:p>
    <w:p w14:paraId="4A3FCC74">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（1）具有独立承担民事责任的能力。</w:t>
      </w:r>
    </w:p>
    <w:p w14:paraId="45231F90">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（2）具有良好的商业信誉和健全的财务会计制度。</w:t>
      </w:r>
    </w:p>
    <w:p w14:paraId="6F7729A0">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（3）具有履行合同所必需的设备和专业技术能力。</w:t>
      </w:r>
    </w:p>
    <w:p w14:paraId="1BB93F62">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（4）有依法缴纳税收和社会保障资金的良好记录。</w:t>
      </w:r>
    </w:p>
    <w:p w14:paraId="244511BC">
      <w:pPr>
        <w:numPr>
          <w:ilvl w:val="0"/>
          <w:numId w:val="0"/>
        </w:numPr>
        <w:spacing w:line="360" w:lineRule="auto"/>
        <w:ind w:firstLine="480" w:firstLineChars="2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（5）</w:t>
      </w:r>
      <w:r>
        <w:rPr>
          <w:rFonts w:hint="eastAsia" w:cs="宋体"/>
          <w:color w:val="000000" w:themeColor="text1"/>
          <w:sz w:val="24"/>
          <w:szCs w:val="24"/>
          <w14:textFill>
            <w14:solidFill>
              <w14:schemeClr w14:val="tx1"/>
            </w14:solidFill>
          </w14:textFill>
        </w:rPr>
        <w:t>参加采购活动前3年内，在经营活动中没有重大违法记录。</w:t>
      </w:r>
    </w:p>
    <w:p w14:paraId="621D0316">
      <w:pPr>
        <w:numPr>
          <w:ilvl w:val="0"/>
          <w:numId w:val="0"/>
        </w:num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提供书面声明，参加采购活动前三年内无因违法经营受到刑事处罚或者责令停产停业、吊销许可证或者执照、较大数额罚款</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200万元以上</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等行政处罚。</w:t>
      </w:r>
    </w:p>
    <w:p w14:paraId="26214036">
      <w:pPr>
        <w:ind w:firstLine="480" w:firstLineChars="2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（6）法律、行政法规规定的其他条件。</w:t>
      </w:r>
    </w:p>
    <w:p w14:paraId="2E2A1967">
      <w:pPr>
        <w:ind w:firstLine="780" w:firstLineChars="325"/>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无。</w:t>
      </w:r>
    </w:p>
    <w:p w14:paraId="70F324B8">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2.落实政府采购政策需满足的资格要求：</w:t>
      </w:r>
    </w:p>
    <w:p w14:paraId="2DF50C72">
      <w:pPr>
        <w:ind w:firstLine="720" w:firstLineChars="3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无</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本项目非专门面向中小企业采购项目</w:t>
      </w:r>
    </w:p>
    <w:p w14:paraId="3D87C0F2">
      <w:pPr>
        <w:ind w:firstLine="480" w:firstLineChars="2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3.本项目的特定资格要求：</w:t>
      </w:r>
    </w:p>
    <w:p w14:paraId="00CFC568">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（1）本项目不接受联合体投标。</w:t>
      </w:r>
    </w:p>
    <w:p w14:paraId="59A6B3E5">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后2小时内在“信用中国”网站（www.creditchina.gov.cn）及中国政府采购网（http://www.ccgp.gov.cn/）查询结果为准。</w:t>
      </w:r>
    </w:p>
    <w:p w14:paraId="50CAE037">
      <w:pPr>
        <w:ind w:firstLine="540"/>
        <w:rPr>
          <w:rFonts w:hint="default" w:eastAsia="宋体" w:cs="宋体"/>
          <w:color w:val="000000" w:themeColor="text1"/>
          <w:sz w:val="24"/>
          <w:szCs w:val="24"/>
          <w:lang w:val="en-US" w:eastAsia="zh-CN"/>
          <w14:textFill>
            <w14:solidFill>
              <w14:schemeClr w14:val="tx1"/>
            </w14:solidFill>
          </w14:textFill>
        </w:rPr>
      </w:pPr>
      <w:r>
        <w:rPr>
          <w:rFonts w:hint="eastAsia" w:cs="宋体"/>
          <w:color w:val="000000" w:themeColor="text1"/>
          <w:sz w:val="24"/>
          <w:szCs w:val="24"/>
          <w14:textFill>
            <w14:solidFill>
              <w14:schemeClr w14:val="tx1"/>
            </w14:solidFill>
          </w14:textFill>
        </w:rPr>
        <w:t>（3）单位负责人为同一人或者存在直接控股、管理关系的不同供应商，不得同时参加本采购项目（或采购包）投标（响应）。</w:t>
      </w:r>
    </w:p>
    <w:p w14:paraId="0327EC94">
      <w:pPr>
        <w:pStyle w:val="58"/>
        <w:spacing w:before="260" w:after="260" w:line="360" w:lineRule="auto"/>
        <w:jc w:val="both"/>
        <w:rPr>
          <w:rFonts w:hint="eastAsia" w:ascii="宋体" w:hAnsi="宋体" w:cs="宋体"/>
          <w:bCs w:val="0"/>
          <w:color w:val="000000" w:themeColor="text1"/>
          <w:sz w:val="24"/>
          <w:szCs w:val="24"/>
          <w14:textFill>
            <w14:solidFill>
              <w14:schemeClr w14:val="tx1"/>
            </w14:solidFill>
          </w14:textFill>
        </w:rPr>
      </w:pPr>
      <w:bookmarkStart w:id="42" w:name="_Toc3933"/>
      <w:r>
        <w:rPr>
          <w:rFonts w:hint="eastAsia" w:ascii="宋体" w:hAnsi="宋体" w:cs="宋体"/>
          <w:bCs w:val="0"/>
          <w:color w:val="000000" w:themeColor="text1"/>
          <w:sz w:val="24"/>
          <w:szCs w:val="24"/>
          <w14:textFill>
            <w14:solidFill>
              <w14:schemeClr w14:val="tx1"/>
            </w14:solidFill>
          </w14:textFill>
        </w:rPr>
        <w:t>三、获取招标文件</w:t>
      </w:r>
      <w:bookmarkEnd w:id="42"/>
    </w:p>
    <w:p w14:paraId="67418EF7">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时间：</w:t>
      </w:r>
      <w:r>
        <w:rPr>
          <w:rFonts w:hint="eastAsia" w:cs="宋体"/>
          <w:color w:val="FF0000"/>
          <w:sz w:val="24"/>
          <w:szCs w:val="24"/>
          <w:u w:val="single"/>
        </w:rPr>
        <w:t>202</w:t>
      </w:r>
      <w:r>
        <w:rPr>
          <w:rFonts w:hint="eastAsia" w:cs="宋体"/>
          <w:color w:val="FF0000"/>
          <w:sz w:val="24"/>
          <w:szCs w:val="24"/>
          <w:u w:val="single"/>
          <w:lang w:val="en-US" w:eastAsia="zh-CN"/>
        </w:rPr>
        <w:t>6</w:t>
      </w:r>
      <w:r>
        <w:rPr>
          <w:rFonts w:hint="eastAsia" w:cs="宋体"/>
          <w:color w:val="FF0000"/>
          <w:sz w:val="24"/>
          <w:szCs w:val="24"/>
          <w:u w:val="single"/>
        </w:rPr>
        <w:t>年</w:t>
      </w:r>
      <w:r>
        <w:rPr>
          <w:rFonts w:hint="eastAsia" w:cs="宋体"/>
          <w:color w:val="FF0000"/>
          <w:sz w:val="24"/>
          <w:szCs w:val="24"/>
          <w:u w:val="single"/>
          <w:lang w:val="en-US" w:eastAsia="zh-CN"/>
        </w:rPr>
        <w:t>6</w:t>
      </w:r>
      <w:r>
        <w:rPr>
          <w:rFonts w:hint="eastAsia" w:cs="宋体"/>
          <w:color w:val="FF0000"/>
          <w:sz w:val="24"/>
          <w:szCs w:val="24"/>
          <w:u w:val="single"/>
        </w:rPr>
        <w:t>月</w:t>
      </w:r>
      <w:r>
        <w:rPr>
          <w:rFonts w:hint="eastAsia" w:cs="宋体"/>
          <w:color w:val="FF0000"/>
          <w:sz w:val="24"/>
          <w:szCs w:val="24"/>
          <w:u w:val="single"/>
          <w:lang w:val="en-US" w:eastAsia="zh-CN"/>
        </w:rPr>
        <w:t>25</w:t>
      </w:r>
      <w:r>
        <w:rPr>
          <w:rFonts w:hint="eastAsia" w:cs="宋体"/>
          <w:color w:val="FF0000"/>
          <w:sz w:val="24"/>
          <w:szCs w:val="24"/>
          <w:u w:val="single"/>
        </w:rPr>
        <w:t>日至</w:t>
      </w:r>
      <w:r>
        <w:rPr>
          <w:rFonts w:hint="eastAsia" w:cs="宋体"/>
          <w:color w:val="FF0000"/>
          <w:sz w:val="24"/>
          <w:szCs w:val="24"/>
          <w:u w:val="single"/>
          <w:lang w:val="en-US" w:eastAsia="zh-CN"/>
        </w:rPr>
        <w:t>2026</w:t>
      </w:r>
      <w:r>
        <w:rPr>
          <w:rFonts w:hint="eastAsia" w:cs="宋体"/>
          <w:color w:val="FF0000"/>
          <w:sz w:val="24"/>
          <w:szCs w:val="24"/>
          <w:u w:val="single"/>
        </w:rPr>
        <w:t>年</w:t>
      </w:r>
      <w:r>
        <w:rPr>
          <w:rFonts w:hint="eastAsia" w:cs="宋体"/>
          <w:color w:val="FF0000"/>
          <w:sz w:val="24"/>
          <w:szCs w:val="24"/>
          <w:u w:val="single"/>
          <w:lang w:val="en-US" w:eastAsia="zh-CN"/>
        </w:rPr>
        <w:t>7</w:t>
      </w:r>
      <w:r>
        <w:rPr>
          <w:rFonts w:hint="eastAsia" w:cs="宋体"/>
          <w:color w:val="FF0000"/>
          <w:sz w:val="24"/>
          <w:szCs w:val="24"/>
          <w:u w:val="single"/>
        </w:rPr>
        <w:t>月</w:t>
      </w:r>
      <w:r>
        <w:rPr>
          <w:rFonts w:hint="eastAsia" w:cs="宋体"/>
          <w:color w:val="FF0000"/>
          <w:sz w:val="24"/>
          <w:szCs w:val="24"/>
          <w:u w:val="single"/>
          <w:lang w:val="en-US" w:eastAsia="zh-CN"/>
        </w:rPr>
        <w:t>2</w:t>
      </w:r>
      <w:r>
        <w:rPr>
          <w:rFonts w:hint="eastAsia" w:cs="宋体"/>
          <w:color w:val="FF0000"/>
          <w:sz w:val="24"/>
          <w:szCs w:val="24"/>
          <w:u w:val="single"/>
        </w:rPr>
        <w:t>日</w:t>
      </w:r>
      <w:r>
        <w:rPr>
          <w:rFonts w:hint="eastAsia" w:cs="宋体"/>
          <w:color w:val="FF0000"/>
          <w:sz w:val="24"/>
          <w:szCs w:val="24"/>
        </w:rPr>
        <w:t>（</w:t>
      </w:r>
      <w:r>
        <w:rPr>
          <w:rFonts w:hint="eastAsia" w:cs="宋体"/>
          <w:color w:val="000000" w:themeColor="text1"/>
          <w:sz w:val="24"/>
          <w:szCs w:val="24"/>
          <w14:textFill>
            <w14:solidFill>
              <w14:schemeClr w14:val="tx1"/>
            </w14:solidFill>
          </w14:textFill>
        </w:rPr>
        <w:t>节假日除外），每天上午0</w:t>
      </w:r>
      <w:r>
        <w:rPr>
          <w:rFonts w:hint="eastAsia" w:cs="宋体"/>
          <w:color w:val="000000" w:themeColor="text1"/>
          <w:sz w:val="24"/>
          <w:szCs w:val="24"/>
          <w:lang w:val="en-US" w:eastAsia="zh-CN"/>
          <w14:textFill>
            <w14:solidFill>
              <w14:schemeClr w14:val="tx1"/>
            </w14:solidFill>
          </w14:textFill>
        </w:rPr>
        <w:t>6</w:t>
      </w:r>
      <w:r>
        <w:rPr>
          <w:rFonts w:hint="eastAsia" w:cs="宋体"/>
          <w:color w:val="000000" w:themeColor="text1"/>
          <w:sz w:val="24"/>
          <w:szCs w:val="24"/>
          <w14:textFill>
            <w14:solidFill>
              <w14:schemeClr w14:val="tx1"/>
            </w14:solidFill>
          </w14:textFill>
        </w:rPr>
        <w:t>：00至12：00，下午12：00至23：59（北京时间，法定节假日除外 ）</w:t>
      </w:r>
    </w:p>
    <w:p w14:paraId="0939C0D4">
      <w:pPr>
        <w:ind w:firstLine="54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方式：1.凡有意参加投标者，须在政采云平台办理数字证书（CA），CA申领链接：http://yzt.ynsmartcert.cn/cms/yztkmkh12.html（客服热线：0871-67276028&lt;紧急可拨19988166369&gt;）或https://middle.zcygov.cn/ca/apply/edit?certType=32，并在政采云绑定数字证书（CA）后在网上获取采购文件及其它采购资料，数字证书（CA）详见其办理流程。注：云南本地供应商如之前已在云南CA在线数字证书办理网进行过注册并办理过企业数字证书（CA），直接绑定即可，无需重复办理（2022年1月1日前办理的云南 CA 需到云南CA办理处进行升级）。外省供应商在政采云平台办理的其他CA可直接使用，无需重复办理。2.按上述要求获取文件的供应商视为合法获取了本项目采购文件，具备本项目的投标资格。</w:t>
      </w:r>
    </w:p>
    <w:p w14:paraId="69D13119">
      <w:pPr>
        <w:pStyle w:val="58"/>
        <w:spacing w:before="260" w:after="260" w:line="360" w:lineRule="auto"/>
        <w:jc w:val="both"/>
        <w:rPr>
          <w:rFonts w:hint="eastAsia" w:ascii="宋体" w:hAnsi="宋体" w:cs="宋体"/>
          <w:b w:val="0"/>
          <w:color w:val="000000" w:themeColor="text1"/>
          <w:sz w:val="24"/>
          <w:szCs w:val="24"/>
          <w14:textFill>
            <w14:solidFill>
              <w14:schemeClr w14:val="tx1"/>
            </w14:solidFill>
          </w14:textFill>
        </w:rPr>
      </w:pPr>
      <w:bookmarkStart w:id="43" w:name="_Toc28359082"/>
      <w:bookmarkEnd w:id="43"/>
      <w:bookmarkStart w:id="44" w:name="_Toc24963"/>
      <w:bookmarkEnd w:id="44"/>
      <w:bookmarkStart w:id="45" w:name="_Toc14174"/>
      <w:bookmarkEnd w:id="45"/>
      <w:bookmarkStart w:id="46" w:name="_Toc28359005"/>
      <w:bookmarkEnd w:id="46"/>
      <w:bookmarkStart w:id="47" w:name="_Toc35393624"/>
      <w:bookmarkEnd w:id="47"/>
      <w:bookmarkStart w:id="48" w:name="_Toc2770"/>
      <w:bookmarkEnd w:id="48"/>
      <w:bookmarkStart w:id="49" w:name="_Toc35393793"/>
      <w:bookmarkEnd w:id="49"/>
      <w:bookmarkStart w:id="50" w:name="_Toc1786"/>
      <w:r>
        <w:rPr>
          <w:rFonts w:hint="eastAsia" w:ascii="宋体" w:hAnsi="宋体" w:cs="宋体"/>
          <w:bCs w:val="0"/>
          <w:color w:val="000000" w:themeColor="text1"/>
          <w:sz w:val="24"/>
          <w:szCs w:val="24"/>
          <w14:textFill>
            <w14:solidFill>
              <w14:schemeClr w14:val="tx1"/>
            </w14:solidFill>
          </w14:textFill>
        </w:rPr>
        <w:t>四、提交投标文件截止时间、时间和地点</w:t>
      </w:r>
      <w:bookmarkEnd w:id="50"/>
    </w:p>
    <w:p w14:paraId="1FFD52EA">
      <w:pPr>
        <w:ind w:firstLine="480" w:firstLineChars="200"/>
        <w:rPr>
          <w:rFonts w:hint="eastAsia"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提交投标文件截止时间：</w:t>
      </w:r>
      <w:r>
        <w:rPr>
          <w:rFonts w:hint="eastAsia" w:cs="宋体"/>
          <w:bCs/>
          <w:color w:val="FF0000"/>
          <w:sz w:val="24"/>
          <w:szCs w:val="24"/>
          <w:u w:val="single"/>
        </w:rPr>
        <w:t>202</w:t>
      </w:r>
      <w:r>
        <w:rPr>
          <w:rFonts w:hint="eastAsia" w:cs="宋体"/>
          <w:bCs/>
          <w:color w:val="FF0000"/>
          <w:sz w:val="24"/>
          <w:szCs w:val="24"/>
          <w:u w:val="single"/>
          <w:lang w:val="en-US" w:eastAsia="zh-CN"/>
        </w:rPr>
        <w:t>6</w:t>
      </w:r>
      <w:r>
        <w:rPr>
          <w:rFonts w:hint="eastAsia" w:cs="宋体"/>
          <w:bCs/>
          <w:color w:val="FF0000"/>
          <w:sz w:val="24"/>
          <w:szCs w:val="24"/>
          <w:u w:val="single"/>
        </w:rPr>
        <w:t>年</w:t>
      </w:r>
      <w:r>
        <w:rPr>
          <w:rFonts w:hint="eastAsia" w:cs="宋体"/>
          <w:bCs/>
          <w:color w:val="FF0000"/>
          <w:sz w:val="24"/>
          <w:szCs w:val="24"/>
          <w:u w:val="single"/>
          <w:lang w:val="en-US" w:eastAsia="zh-CN"/>
        </w:rPr>
        <w:t>7</w:t>
      </w:r>
      <w:r>
        <w:rPr>
          <w:rFonts w:hint="eastAsia" w:cs="宋体"/>
          <w:bCs/>
          <w:color w:val="FF0000"/>
          <w:sz w:val="24"/>
          <w:szCs w:val="24"/>
          <w:u w:val="single"/>
        </w:rPr>
        <w:t>月</w:t>
      </w:r>
      <w:r>
        <w:rPr>
          <w:rFonts w:hint="eastAsia" w:cs="宋体"/>
          <w:bCs/>
          <w:color w:val="FF0000"/>
          <w:sz w:val="24"/>
          <w:szCs w:val="24"/>
          <w:u w:val="single"/>
          <w:lang w:val="en-US" w:eastAsia="zh-CN"/>
        </w:rPr>
        <w:t>15</w:t>
      </w:r>
      <w:r>
        <w:rPr>
          <w:rFonts w:hint="eastAsia" w:cs="宋体"/>
          <w:bCs/>
          <w:color w:val="FF0000"/>
          <w:sz w:val="24"/>
          <w:szCs w:val="24"/>
          <w:u w:val="single"/>
        </w:rPr>
        <w:t>日9 点30 分</w:t>
      </w:r>
      <w:r>
        <w:rPr>
          <w:rFonts w:hint="eastAsia" w:cs="宋体"/>
          <w:bCs/>
          <w:color w:val="000000" w:themeColor="text1"/>
          <w:sz w:val="24"/>
          <w:szCs w:val="24"/>
          <w14:textFill>
            <w14:solidFill>
              <w14:schemeClr w14:val="tx1"/>
            </w14:solidFill>
          </w14:textFill>
        </w:rPr>
        <w:t>（北京时间）</w:t>
      </w:r>
    </w:p>
    <w:p w14:paraId="2FD7D380">
      <w:pPr>
        <w:ind w:right="742" w:rightChars="309" w:firstLine="480" w:firstLineChars="2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开标时间：同投标文件递交截止时间</w:t>
      </w:r>
    </w:p>
    <w:p w14:paraId="5CAD86C9">
      <w:pPr>
        <w:ind w:firstLine="480" w:firstLineChars="2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开标地点：昆明阔海建设工程咨询有限公司会议室（晋宁区昆阳街道办事处湖景天颐家园一期42幢3层 ）</w:t>
      </w:r>
    </w:p>
    <w:p w14:paraId="04CF3169">
      <w:pPr>
        <w:pStyle w:val="58"/>
        <w:spacing w:before="260" w:after="260" w:line="240" w:lineRule="auto"/>
        <w:jc w:val="both"/>
        <w:rPr>
          <w:rFonts w:hint="eastAsia" w:ascii="宋体" w:hAnsi="宋体" w:cs="宋体"/>
          <w:bCs w:val="0"/>
          <w:color w:val="000000" w:themeColor="text1"/>
          <w:sz w:val="24"/>
          <w:szCs w:val="24"/>
          <w14:textFill>
            <w14:solidFill>
              <w14:schemeClr w14:val="tx1"/>
            </w14:solidFill>
          </w14:textFill>
        </w:rPr>
      </w:pPr>
      <w:bookmarkStart w:id="51" w:name="_Toc5121"/>
      <w:bookmarkEnd w:id="51"/>
      <w:bookmarkStart w:id="52" w:name="_Toc20933"/>
      <w:bookmarkEnd w:id="52"/>
      <w:bookmarkStart w:id="53" w:name="_Toc15457"/>
      <w:bookmarkEnd w:id="53"/>
      <w:bookmarkStart w:id="54" w:name="_Toc24279"/>
      <w:r>
        <w:rPr>
          <w:rFonts w:hint="eastAsia" w:ascii="宋体" w:hAnsi="宋体" w:cs="宋体"/>
          <w:bCs w:val="0"/>
          <w:color w:val="000000" w:themeColor="text1"/>
          <w:sz w:val="24"/>
          <w:szCs w:val="24"/>
          <w14:textFill>
            <w14:solidFill>
              <w14:schemeClr w14:val="tx1"/>
            </w14:solidFill>
          </w14:textFill>
        </w:rPr>
        <w:t>五、公告期限</w:t>
      </w:r>
      <w:bookmarkEnd w:id="54"/>
    </w:p>
    <w:p w14:paraId="788E495E">
      <w:pPr>
        <w:spacing w:line="240" w:lineRule="auto"/>
        <w:ind w:firstLine="480" w:firstLineChars="200"/>
        <w:rPr>
          <w:rFonts w:hint="eastAsia"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自本公告发布之日起5个工作日。</w:t>
      </w:r>
    </w:p>
    <w:p w14:paraId="56DA788D">
      <w:pPr>
        <w:pStyle w:val="58"/>
        <w:spacing w:before="260" w:after="260" w:line="240" w:lineRule="auto"/>
        <w:jc w:val="both"/>
        <w:rPr>
          <w:rFonts w:hint="eastAsia" w:ascii="宋体" w:hAnsi="宋体" w:cs="宋体"/>
          <w:bCs w:val="0"/>
          <w:color w:val="000000" w:themeColor="text1"/>
          <w:sz w:val="24"/>
          <w:szCs w:val="24"/>
          <w14:textFill>
            <w14:solidFill>
              <w14:schemeClr w14:val="tx1"/>
            </w14:solidFill>
          </w14:textFill>
        </w:rPr>
      </w:pPr>
      <w:bookmarkStart w:id="55" w:name="_Toc7701"/>
      <w:bookmarkEnd w:id="55"/>
      <w:bookmarkStart w:id="56" w:name="_Toc32004"/>
      <w:bookmarkEnd w:id="56"/>
      <w:bookmarkStart w:id="57" w:name="_Toc17640"/>
      <w:bookmarkEnd w:id="57"/>
      <w:bookmarkStart w:id="58" w:name="_Toc30101"/>
      <w:r>
        <w:rPr>
          <w:rFonts w:hint="eastAsia" w:ascii="宋体" w:hAnsi="宋体" w:cs="宋体"/>
          <w:bCs w:val="0"/>
          <w:color w:val="000000" w:themeColor="text1"/>
          <w:sz w:val="24"/>
          <w:szCs w:val="24"/>
          <w14:textFill>
            <w14:solidFill>
              <w14:schemeClr w14:val="tx1"/>
            </w14:solidFill>
          </w14:textFill>
        </w:rPr>
        <w:t>六、其他补充事宜</w:t>
      </w:r>
      <w:bookmarkEnd w:id="58"/>
    </w:p>
    <w:p w14:paraId="1FDBB204">
      <w:pPr>
        <w:ind w:firstLine="480" w:firstLineChars="200"/>
        <w:rPr>
          <w:rFonts w:hint="eastAsia" w:eastAsia="宋体" w:cs="宋体"/>
          <w:color w:val="000000" w:themeColor="text1"/>
          <w:kern w:val="0"/>
          <w:sz w:val="24"/>
          <w:szCs w:val="24"/>
          <w:lang w:val="en-US" w:eastAsia="zh-CN"/>
          <w14:textFill>
            <w14:solidFill>
              <w14:schemeClr w14:val="tx1"/>
            </w14:solidFill>
          </w14:textFill>
        </w:rPr>
      </w:pPr>
      <w:bookmarkStart w:id="59" w:name="_Toc20003"/>
      <w:bookmarkEnd w:id="59"/>
      <w:bookmarkStart w:id="60" w:name="_Toc28359085"/>
      <w:bookmarkEnd w:id="60"/>
      <w:bookmarkStart w:id="61" w:name="_Toc28359008"/>
      <w:bookmarkEnd w:id="61"/>
      <w:bookmarkStart w:id="62" w:name="_Toc21276"/>
      <w:bookmarkEnd w:id="62"/>
      <w:bookmarkStart w:id="63" w:name="_Toc21409"/>
      <w:bookmarkEnd w:id="63"/>
      <w:bookmarkStart w:id="64" w:name="_Toc35393796"/>
      <w:bookmarkEnd w:id="64"/>
      <w:bookmarkStart w:id="65" w:name="_Toc35393627"/>
      <w:bookmarkEnd w:id="65"/>
      <w:r>
        <w:rPr>
          <w:rFonts w:hint="eastAsia" w:cs="宋体"/>
          <w:color w:val="000000" w:themeColor="text1"/>
          <w:kern w:val="0"/>
          <w:sz w:val="24"/>
          <w:szCs w:val="24"/>
          <w14:textFill>
            <w14:solidFill>
              <w14:schemeClr w14:val="tx1"/>
            </w14:solidFill>
          </w14:textFill>
        </w:rPr>
        <w:t>本项目非专门面向中小企业的政府采购项目。在评审时中小型、微型企业提供的服务价格给予10%的扣除。监狱企业、残疾人福利性单位视同小型和微型企业，其提供的服务在评审时给予相同的价格扣除。《政府采购促进中小企业发展管理办法》（财库〔2020〕46号）、《财政部民政部中国残疾人联合会关于促进残疾人就业政府采购政策的通知》（财库〔2017〕141号）、《关于政府采购支持监狱企业发展有关问题的通知》(财库〔2014〕68号)等</w:t>
      </w:r>
      <w:r>
        <w:rPr>
          <w:rFonts w:hint="eastAsia" w:cs="宋体"/>
          <w:color w:val="000000" w:themeColor="text1"/>
          <w:kern w:val="0"/>
          <w:sz w:val="24"/>
          <w:szCs w:val="24"/>
          <w:lang w:eastAsia="zh-CN"/>
          <w14:textFill>
            <w14:solidFill>
              <w14:schemeClr w14:val="tx1"/>
            </w14:solidFill>
          </w14:textFill>
        </w:rPr>
        <w:t>。</w:t>
      </w:r>
    </w:p>
    <w:p w14:paraId="691DA6B9">
      <w:pPr>
        <w:ind w:firstLine="480" w:firstLineChars="200"/>
        <w:rPr>
          <w:rFonts w:hint="eastAsia"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 xml:space="preserve"> 2.发布公告的媒体：本项目采购公告在云南省政府采购网（http://www.yngp.com/）发布，其他网站转载后与云南省政府采购网发布信息不一致的，采购人和代理机构均不承担任何责任。</w:t>
      </w:r>
    </w:p>
    <w:p w14:paraId="7EDFE4F0">
      <w:pPr>
        <w:ind w:firstLine="482" w:firstLineChars="200"/>
        <w:rPr>
          <w:rFonts w:hint="eastAsia" w:cs="宋体"/>
          <w:b/>
          <w:bCs/>
          <w:color w:val="000000" w:themeColor="text1"/>
          <w:kern w:val="0"/>
          <w:sz w:val="24"/>
          <w:szCs w:val="24"/>
          <w:lang w:eastAsia="zh-CN"/>
          <w14:textFill>
            <w14:solidFill>
              <w14:schemeClr w14:val="tx1"/>
            </w14:solidFill>
          </w14:textFill>
        </w:rPr>
      </w:pPr>
      <w:r>
        <w:rPr>
          <w:rFonts w:hint="eastAsia" w:cs="宋体"/>
          <w:b/>
          <w:bCs/>
          <w:color w:val="000000" w:themeColor="text1"/>
          <w:kern w:val="0"/>
          <w:sz w:val="24"/>
          <w:szCs w:val="24"/>
          <w14:textFill>
            <w14:solidFill>
              <w14:schemeClr w14:val="tx1"/>
            </w14:solidFill>
          </w14:textFill>
        </w:rPr>
        <w:t>3.供应商应当在政采云电子投标客户端上编制响应文件，并生成电子加密标书（后缀名：.jmbs），投标文件制作完成并生成加密标书后，供应商需在开标前将加密的投标文件上传至政采云平台。具体操作请下载附件（供应商政府采购电子交易平台操作指南）</w:t>
      </w:r>
      <w:r>
        <w:rPr>
          <w:rFonts w:hint="eastAsia" w:cs="宋体"/>
          <w:b/>
          <w:bCs/>
          <w:color w:val="000000" w:themeColor="text1"/>
          <w:kern w:val="0"/>
          <w:sz w:val="24"/>
          <w:szCs w:val="24"/>
          <w:lang w:eastAsia="zh-CN"/>
          <w14:textFill>
            <w14:solidFill>
              <w14:schemeClr w14:val="tx1"/>
            </w14:solidFill>
          </w14:textFill>
        </w:rPr>
        <w:t>。</w:t>
      </w:r>
    </w:p>
    <w:p w14:paraId="6F44F8F2">
      <w:pPr>
        <w:pStyle w:val="58"/>
        <w:spacing w:before="260" w:after="260" w:line="360" w:lineRule="auto"/>
        <w:jc w:val="both"/>
        <w:rPr>
          <w:rFonts w:hint="eastAsia" w:ascii="宋体" w:hAnsi="宋体" w:cs="宋体"/>
          <w:bCs w:val="0"/>
          <w:color w:val="000000" w:themeColor="text1"/>
          <w:sz w:val="24"/>
          <w:szCs w:val="24"/>
          <w14:textFill>
            <w14:solidFill>
              <w14:schemeClr w14:val="tx1"/>
            </w14:solidFill>
          </w14:textFill>
        </w:rPr>
      </w:pPr>
      <w:bookmarkStart w:id="66" w:name="_Toc1806"/>
      <w:r>
        <w:rPr>
          <w:rFonts w:hint="eastAsia" w:ascii="宋体" w:hAnsi="宋体" w:cs="宋体"/>
          <w:bCs w:val="0"/>
          <w:color w:val="000000" w:themeColor="text1"/>
          <w:sz w:val="24"/>
          <w:szCs w:val="24"/>
          <w14:textFill>
            <w14:solidFill>
              <w14:schemeClr w14:val="tx1"/>
            </w14:solidFill>
          </w14:textFill>
        </w:rPr>
        <w:t>七、对本次招标提出询问，请按以下方式联系</w:t>
      </w:r>
      <w:bookmarkEnd w:id="66"/>
    </w:p>
    <w:p w14:paraId="61EA2835">
      <w:pPr>
        <w:widowControl/>
        <w:spacing w:line="480" w:lineRule="auto"/>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　1.采购人信息</w:t>
      </w:r>
    </w:p>
    <w:p w14:paraId="2CE27E0B">
      <w:pPr>
        <w:spacing w:line="360" w:lineRule="auto"/>
        <w:ind w:firstLine="480" w:firstLineChars="200"/>
        <w:rPr>
          <w:rFonts w:hint="eastAsia" w:ascii="宋体" w:hAnsi="宋体" w:cs="宋体"/>
          <w:sz w:val="24"/>
          <w:u w:val="single"/>
        </w:rPr>
      </w:pPr>
      <w:bookmarkStart w:id="67" w:name="_Toc28359009"/>
      <w:bookmarkStart w:id="68" w:name="_Toc28359086"/>
      <w:r>
        <w:rPr>
          <w:rFonts w:hint="eastAsia" w:ascii="宋体" w:hAnsi="宋体" w:cs="宋体"/>
          <w:sz w:val="24"/>
        </w:rPr>
        <w:t>名    称：</w:t>
      </w:r>
      <w:r>
        <w:rPr>
          <w:rFonts w:hint="eastAsia" w:cs="宋体"/>
          <w:sz w:val="24"/>
          <w:u w:val="single"/>
          <w:lang w:eastAsia="zh-CN"/>
        </w:rPr>
        <w:t>昆明市晋宁区人民医院(昆明市晋宁区紧密型医共体总医院)</w:t>
      </w:r>
      <w:r>
        <w:rPr>
          <w:rFonts w:hint="eastAsia" w:ascii="宋体" w:hAnsi="宋体" w:cs="宋体"/>
          <w:sz w:val="24"/>
        </w:rPr>
        <w:t>地    址：</w:t>
      </w:r>
      <w:r>
        <w:rPr>
          <w:rFonts w:hint="eastAsia" w:ascii="宋体" w:hAnsi="宋体" w:cs="宋体"/>
          <w:sz w:val="24"/>
          <w:u w:val="single"/>
        </w:rPr>
        <w:t xml:space="preserve">昆明市晋宁区昆阳街道巨桥路36号 </w:t>
      </w:r>
    </w:p>
    <w:p w14:paraId="7F1EDB10">
      <w:pPr>
        <w:spacing w:line="360" w:lineRule="auto"/>
        <w:ind w:firstLine="480" w:firstLineChars="200"/>
        <w:jc w:val="left"/>
        <w:rPr>
          <w:rFonts w:hint="eastAsia" w:ascii="宋体" w:hAnsi="宋体" w:cs="宋体"/>
          <w:color w:val="000000"/>
          <w:sz w:val="24"/>
          <w:u w:val="single"/>
        </w:rPr>
      </w:pPr>
      <w:r>
        <w:rPr>
          <w:rFonts w:hint="eastAsia" w:ascii="宋体" w:hAnsi="宋体" w:cs="宋体"/>
          <w:sz w:val="24"/>
        </w:rPr>
        <w:t>联</w:t>
      </w:r>
      <w:r>
        <w:rPr>
          <w:rFonts w:hint="eastAsia" w:ascii="宋体" w:hAnsi="宋体" w:cs="宋体"/>
          <w:sz w:val="24"/>
          <w:lang w:val="en-US" w:eastAsia="zh-CN"/>
        </w:rPr>
        <w:t xml:space="preserve"> </w:t>
      </w:r>
      <w:r>
        <w:rPr>
          <w:rFonts w:hint="eastAsia" w:ascii="宋体" w:hAnsi="宋体" w:cs="宋体"/>
          <w:sz w:val="24"/>
        </w:rPr>
        <w:t>系</w:t>
      </w:r>
      <w:r>
        <w:rPr>
          <w:rFonts w:hint="eastAsia" w:ascii="宋体" w:hAnsi="宋体" w:cs="宋体"/>
          <w:sz w:val="24"/>
          <w:lang w:val="en-US" w:eastAsia="zh-CN"/>
        </w:rPr>
        <w:t xml:space="preserve"> 人</w:t>
      </w:r>
      <w:r>
        <w:rPr>
          <w:rFonts w:hint="eastAsia" w:ascii="宋体" w:hAnsi="宋体" w:cs="宋体"/>
          <w:sz w:val="24"/>
        </w:rPr>
        <w:t>：</w:t>
      </w:r>
      <w:r>
        <w:rPr>
          <w:rFonts w:hint="eastAsia" w:ascii="宋体" w:hAnsi="宋体" w:cs="宋体"/>
          <w:sz w:val="24"/>
          <w:u w:val="single"/>
        </w:rPr>
        <w:t xml:space="preserve">冯师 </w:t>
      </w:r>
    </w:p>
    <w:p w14:paraId="1108A3E6">
      <w:pPr>
        <w:spacing w:line="480" w:lineRule="auto"/>
        <w:ind w:firstLine="480" w:firstLineChars="200"/>
        <w:rPr>
          <w:rFonts w:hint="eastAsia" w:ascii="宋体" w:hAnsi="宋体" w:cs="宋体"/>
          <w:sz w:val="24"/>
          <w:u w:val="single"/>
        </w:rPr>
      </w:pPr>
      <w:r>
        <w:rPr>
          <w:rFonts w:hint="eastAsia" w:cs="宋体"/>
          <w:color w:val="000000" w:themeColor="text1"/>
          <w:sz w:val="24"/>
          <w:szCs w:val="24"/>
          <w:lang w:val="en-US" w:eastAsia="zh-CN"/>
          <w14:textFill>
            <w14:solidFill>
              <w14:schemeClr w14:val="tx1"/>
            </w14:solidFill>
          </w14:textFill>
        </w:rPr>
        <w:t>联系</w:t>
      </w:r>
      <w:r>
        <w:rPr>
          <w:rFonts w:hint="eastAsia" w:cs="宋体"/>
          <w:color w:val="000000" w:themeColor="text1"/>
          <w:sz w:val="24"/>
          <w:szCs w:val="24"/>
          <w14:textFill>
            <w14:solidFill>
              <w14:schemeClr w14:val="tx1"/>
            </w14:solidFill>
          </w14:textFill>
        </w:rPr>
        <w:t>方式：</w:t>
      </w:r>
      <w:r>
        <w:rPr>
          <w:rFonts w:hint="eastAsia" w:cs="宋体"/>
          <w:color w:val="000000" w:themeColor="text1"/>
          <w:sz w:val="24"/>
          <w:szCs w:val="24"/>
          <w:u w:val="single"/>
          <w:lang w:val="en-US" w:eastAsia="zh-CN"/>
          <w14:textFill>
            <w14:solidFill>
              <w14:schemeClr w14:val="tx1"/>
            </w14:solidFill>
          </w14:textFill>
        </w:rPr>
        <w:t xml:space="preserve"> </w:t>
      </w:r>
      <w:r>
        <w:rPr>
          <w:rFonts w:hint="eastAsia" w:cs="宋体"/>
          <w:sz w:val="24"/>
          <w:u w:val="single"/>
          <w:lang w:val="en-US" w:eastAsia="zh-CN"/>
        </w:rPr>
        <w:t>0871-67835198</w:t>
      </w:r>
    </w:p>
    <w:bookmarkEnd w:id="67"/>
    <w:bookmarkEnd w:id="68"/>
    <w:p w14:paraId="6F452ACF">
      <w:pPr>
        <w:spacing w:line="480" w:lineRule="auto"/>
        <w:ind w:firstLine="240" w:firstLineChars="1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2.采购代理机构信息</w:t>
      </w:r>
    </w:p>
    <w:p w14:paraId="77369E19">
      <w:pPr>
        <w:spacing w:line="480" w:lineRule="auto"/>
        <w:ind w:firstLine="480" w:firstLineChars="2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名 称：</w:t>
      </w:r>
      <w:r>
        <w:rPr>
          <w:rFonts w:hint="eastAsia" w:cs="宋体"/>
          <w:color w:val="000000" w:themeColor="text1"/>
          <w:sz w:val="24"/>
          <w:szCs w:val="24"/>
          <w:u w:val="single"/>
          <w14:textFill>
            <w14:solidFill>
              <w14:schemeClr w14:val="tx1"/>
            </w14:solidFill>
          </w14:textFill>
        </w:rPr>
        <w:t>昆明阔海建设工程咨询有限公司</w:t>
      </w:r>
    </w:p>
    <w:p w14:paraId="77F44047">
      <w:pPr>
        <w:spacing w:line="480" w:lineRule="auto"/>
        <w:ind w:firstLine="480" w:firstLineChars="200"/>
        <w:rPr>
          <w:rFonts w:hint="eastAsia"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地　址：</w:t>
      </w:r>
      <w:bookmarkStart w:id="69" w:name="_Toc28359087"/>
      <w:bookmarkStart w:id="70" w:name="_Toc28359010"/>
      <w:r>
        <w:rPr>
          <w:rFonts w:hint="eastAsia" w:cs="宋体"/>
          <w:color w:val="000000" w:themeColor="text1"/>
          <w:sz w:val="24"/>
          <w:szCs w:val="24"/>
          <w:u w:val="single"/>
          <w14:textFill>
            <w14:solidFill>
              <w14:schemeClr w14:val="tx1"/>
            </w14:solidFill>
          </w14:textFill>
        </w:rPr>
        <w:t>晋宁区昆阳街道办事处湖景天颐家园一期42幢3层</w:t>
      </w:r>
    </w:p>
    <w:p w14:paraId="38E0B989">
      <w:pPr>
        <w:spacing w:line="480" w:lineRule="auto"/>
        <w:ind w:firstLine="480" w:firstLineChars="200"/>
        <w:rPr>
          <w:rFonts w:hint="eastAsia" w:cs="宋体"/>
          <w:color w:val="000000" w:themeColor="text1"/>
          <w:sz w:val="24"/>
          <w:szCs w:val="24"/>
          <w:lang w:val="en-US" w:eastAsia="zh-CN"/>
          <w14:textFill>
            <w14:solidFill>
              <w14:schemeClr w14:val="tx1"/>
            </w14:solidFill>
          </w14:textFill>
        </w:rPr>
      </w:pPr>
      <w:r>
        <w:rPr>
          <w:rFonts w:hint="eastAsia" w:cs="宋体"/>
          <w:color w:val="000000" w:themeColor="text1"/>
          <w:sz w:val="24"/>
          <w:szCs w:val="24"/>
          <w14:textFill>
            <w14:solidFill>
              <w14:schemeClr w14:val="tx1"/>
            </w14:solidFill>
          </w14:textFill>
        </w:rPr>
        <w:t>联系</w:t>
      </w:r>
      <w:r>
        <w:rPr>
          <w:rFonts w:hint="eastAsia" w:cs="宋体"/>
          <w:color w:val="000000" w:themeColor="text1"/>
          <w:sz w:val="24"/>
          <w:szCs w:val="24"/>
          <w:lang w:val="en-US" w:eastAsia="zh-CN"/>
          <w14:textFill>
            <w14:solidFill>
              <w14:schemeClr w14:val="tx1"/>
            </w14:solidFill>
          </w14:textFill>
        </w:rPr>
        <w:t>人：</w:t>
      </w:r>
      <w:r>
        <w:rPr>
          <w:rFonts w:hint="eastAsia" w:hAnsi="宋体" w:cs="宋体"/>
          <w:color w:val="000000" w:themeColor="text1"/>
          <w:sz w:val="24"/>
          <w:szCs w:val="24"/>
          <w:u w:val="single"/>
          <w14:textFill>
            <w14:solidFill>
              <w14:schemeClr w14:val="tx1"/>
            </w14:solidFill>
          </w14:textFill>
        </w:rPr>
        <w:t>李竑、</w:t>
      </w:r>
      <w:r>
        <w:rPr>
          <w:rFonts w:hint="eastAsia" w:cs="宋体"/>
          <w:color w:val="000000" w:themeColor="text1"/>
          <w:sz w:val="24"/>
          <w:szCs w:val="24"/>
          <w:u w:val="single"/>
          <w:lang w:val="en-US" w:eastAsia="zh-CN"/>
          <w14:textFill>
            <w14:solidFill>
              <w14:schemeClr w14:val="tx1"/>
            </w14:solidFill>
          </w14:textFill>
        </w:rPr>
        <w:t>李洁、</w:t>
      </w:r>
      <w:r>
        <w:rPr>
          <w:rFonts w:hint="eastAsia" w:hAnsi="宋体" w:cs="宋体"/>
          <w:color w:val="000000" w:themeColor="text1"/>
          <w:sz w:val="24"/>
          <w:szCs w:val="24"/>
          <w:u w:val="single"/>
          <w14:textFill>
            <w14:solidFill>
              <w14:schemeClr w14:val="tx1"/>
            </w14:solidFill>
          </w14:textFill>
        </w:rPr>
        <w:t>张志程</w:t>
      </w:r>
    </w:p>
    <w:p w14:paraId="379AEFF8">
      <w:pPr>
        <w:spacing w:line="480" w:lineRule="auto"/>
        <w:ind w:firstLine="480" w:firstLineChars="200"/>
        <w:rPr>
          <w:rFonts w:hint="eastAsia" w:cs="宋体"/>
          <w:color w:val="000000" w:themeColor="text1"/>
          <w:sz w:val="24"/>
          <w:szCs w:val="24"/>
          <w:u w:val="single"/>
          <w:lang w:val="en-US" w:eastAsia="zh-CN"/>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联系</w:t>
      </w:r>
      <w:r>
        <w:rPr>
          <w:rFonts w:hint="eastAsia" w:cs="宋体"/>
          <w:color w:val="000000" w:themeColor="text1"/>
          <w:sz w:val="24"/>
          <w:szCs w:val="24"/>
          <w14:textFill>
            <w14:solidFill>
              <w14:schemeClr w14:val="tx1"/>
            </w14:solidFill>
          </w14:textFill>
        </w:rPr>
        <w:t>方式：</w:t>
      </w:r>
      <w:r>
        <w:rPr>
          <w:rFonts w:hint="eastAsia" w:cs="宋体"/>
          <w:color w:val="000000" w:themeColor="text1"/>
          <w:sz w:val="24"/>
          <w:szCs w:val="24"/>
          <w:u w:val="single"/>
          <w14:textFill>
            <w14:solidFill>
              <w14:schemeClr w14:val="tx1"/>
            </w14:solidFill>
          </w14:textFill>
        </w:rPr>
        <w:t xml:space="preserve">0871-67803770 </w:t>
      </w:r>
      <w:bookmarkEnd w:id="69"/>
      <w:bookmarkEnd w:id="70"/>
      <w:r>
        <w:rPr>
          <w:rFonts w:hint="eastAsia" w:cs="宋体"/>
          <w:color w:val="000000" w:themeColor="text1"/>
          <w:sz w:val="24"/>
          <w:szCs w:val="24"/>
          <w:u w:val="single"/>
          <w:lang w:eastAsia="zh-CN"/>
          <w14:textFill>
            <w14:solidFill>
              <w14:schemeClr w14:val="tx1"/>
            </w14:solidFill>
          </w14:textFill>
        </w:rPr>
        <w:t>、</w:t>
      </w:r>
      <w:r>
        <w:rPr>
          <w:rFonts w:hint="eastAsia" w:cs="宋体"/>
          <w:color w:val="000000" w:themeColor="text1"/>
          <w:sz w:val="24"/>
          <w:szCs w:val="24"/>
          <w:u w:val="single"/>
          <w:lang w:val="en-US" w:eastAsia="zh-CN"/>
          <w14:textFill>
            <w14:solidFill>
              <w14:schemeClr w14:val="tx1"/>
            </w14:solidFill>
          </w14:textFill>
        </w:rPr>
        <w:t>15969523836</w:t>
      </w:r>
    </w:p>
    <w:p w14:paraId="5B3E0AA9">
      <w:pPr>
        <w:spacing w:line="480" w:lineRule="auto"/>
        <w:ind w:firstLine="240" w:firstLineChars="100"/>
        <w:rPr>
          <w:rFonts w:hint="eastAsia" w:cs="宋体"/>
          <w:color w:val="000000" w:themeColor="text1"/>
          <w:sz w:val="24"/>
          <w:szCs w:val="24"/>
          <w14:textFill>
            <w14:solidFill>
              <w14:schemeClr w14:val="tx1"/>
            </w14:solidFill>
          </w14:textFill>
        </w:rPr>
      </w:pPr>
    </w:p>
    <w:p w14:paraId="6B55664B">
      <w:pPr>
        <w:spacing w:line="480" w:lineRule="auto"/>
        <w:ind w:firstLine="240" w:firstLineChars="10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3.项目联系方式</w:t>
      </w:r>
    </w:p>
    <w:p w14:paraId="224BF68E">
      <w:pPr>
        <w:pStyle w:val="61"/>
        <w:spacing w:line="480" w:lineRule="auto"/>
        <w:ind w:firstLine="480" w:firstLineChars="200"/>
        <w:rPr>
          <w:rFonts w:hint="default" w:hAnsi="宋体" w:eastAsia="宋体" w:cs="宋体"/>
          <w:color w:val="000000" w:themeColor="text1"/>
          <w:sz w:val="24"/>
          <w:szCs w:val="24"/>
          <w:u w:val="single"/>
          <w:lang w:val="en-US" w:eastAsia="zh-CN"/>
          <w14:textFill>
            <w14:solidFill>
              <w14:schemeClr w14:val="tx1"/>
            </w14:solidFill>
          </w14:textFill>
        </w:rPr>
      </w:pPr>
      <w:r>
        <w:rPr>
          <w:rFonts w:hint="eastAsia" w:hAnsi="宋体" w:cs="宋体"/>
          <w:color w:val="000000" w:themeColor="text1"/>
          <w:sz w:val="24"/>
          <w:szCs w:val="24"/>
          <w14:textFill>
            <w14:solidFill>
              <w14:schemeClr w14:val="tx1"/>
            </w14:solidFill>
          </w14:textFill>
        </w:rPr>
        <w:t>项目联系人：</w:t>
      </w:r>
      <w:r>
        <w:rPr>
          <w:rFonts w:hint="eastAsia" w:hAnsi="宋体" w:cs="宋体"/>
          <w:color w:val="000000" w:themeColor="text1"/>
          <w:sz w:val="24"/>
          <w:szCs w:val="24"/>
          <w:u w:val="single"/>
          <w:lang w:val="en-US" w:eastAsia="zh-CN"/>
          <w14:textFill>
            <w14:solidFill>
              <w14:schemeClr w14:val="tx1"/>
            </w14:solidFill>
          </w14:textFill>
        </w:rPr>
        <w:t xml:space="preserve"> 李竑   </w:t>
      </w:r>
    </w:p>
    <w:p w14:paraId="2C420F27">
      <w:pPr>
        <w:ind w:firstLine="480" w:firstLineChars="200"/>
        <w:rPr>
          <w:rFonts w:hint="eastAsia"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电　话：</w:t>
      </w:r>
      <w:r>
        <w:rPr>
          <w:rFonts w:hint="eastAsia" w:cs="宋体"/>
          <w:color w:val="000000" w:themeColor="text1"/>
          <w:sz w:val="24"/>
          <w:szCs w:val="24"/>
          <w:u w:val="single"/>
          <w14:textFill>
            <w14:solidFill>
              <w14:schemeClr w14:val="tx1"/>
            </w14:solidFill>
          </w14:textFill>
        </w:rPr>
        <w:t xml:space="preserve">0871-67803770 </w:t>
      </w:r>
      <w:bookmarkEnd w:id="15"/>
      <w:bookmarkEnd w:id="16"/>
      <w:bookmarkEnd w:id="17"/>
      <w:bookmarkEnd w:id="18"/>
      <w:bookmarkEnd w:id="19"/>
      <w:bookmarkStart w:id="71" w:name="_Toc6042"/>
      <w:bookmarkEnd w:id="71"/>
      <w:bookmarkStart w:id="72" w:name="_Toc450311983"/>
      <w:bookmarkEnd w:id="72"/>
    </w:p>
    <w:p w14:paraId="56CC0C92">
      <w:pPr>
        <w:ind w:firstLine="480" w:firstLineChars="200"/>
        <w:rPr>
          <w:rFonts w:hint="eastAsia" w:cs="宋体"/>
          <w:color w:val="000000" w:themeColor="text1"/>
          <w:sz w:val="24"/>
          <w:szCs w:val="24"/>
          <w:u w:val="single"/>
          <w14:textFill>
            <w14:solidFill>
              <w14:schemeClr w14:val="tx1"/>
            </w14:solidFill>
          </w14:textFill>
        </w:rPr>
      </w:pPr>
    </w:p>
    <w:p w14:paraId="057239FC">
      <w:pPr>
        <w:spacing w:line="480" w:lineRule="auto"/>
        <w:ind w:firstLine="240" w:firstLineChars="1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4.政府采购监督部门：昆明市晋宁区财政局</w:t>
      </w:r>
    </w:p>
    <w:p w14:paraId="3EAAAB98">
      <w:pPr>
        <w:spacing w:line="480" w:lineRule="auto"/>
        <w:ind w:firstLine="240" w:firstLineChars="100"/>
        <w:rPr>
          <w:rFonts w:hint="eastAsia"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认为采购文件内容、采购过程及中标结果使自己的权益受到损害的，可以在知道或者应知其权益受到损害之日起7个工作日内，以书面形式向采购人或代理机构提出质疑（质疑函范本详见招标文件附件）。采购人或代理机构应在收到书面质疑后7个工作日内作出答复，若投标供应商对答复仍不满意或采购人、采购代理机构均未在规定时间内予以答复的可向昆明市晋宁区财政局按《政府采</w:t>
      </w:r>
      <w:r>
        <w:rPr>
          <w:rFonts w:hint="eastAsia" w:cs="宋体"/>
          <w:color w:val="000000" w:themeColor="text1"/>
          <w:kern w:val="0"/>
          <w:sz w:val="24"/>
          <w:szCs w:val="24"/>
          <w14:textFill>
            <w14:solidFill>
              <w14:schemeClr w14:val="tx1"/>
            </w14:solidFill>
          </w14:textFill>
        </w:rPr>
        <w:t>购投标供应商投诉处理办法》（财政部第94号令）有关规定进行投诉。</w:t>
      </w:r>
    </w:p>
    <w:p w14:paraId="5FBE2F2F">
      <w:pPr>
        <w:ind w:firstLine="480" w:firstLineChars="200"/>
        <w:rPr>
          <w:rFonts w:hint="eastAsia"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昆明市晋宁区财政局联系电话：0871-67896932</w:t>
      </w:r>
    </w:p>
    <w:p w14:paraId="6AD7FD3C">
      <w:pPr>
        <w:ind w:firstLine="480" w:firstLineChars="200"/>
        <w:rPr>
          <w:rFonts w:hint="eastAsia"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联系人：杨老师</w:t>
      </w:r>
    </w:p>
    <w:p w14:paraId="24599586">
      <w:pPr>
        <w:ind w:firstLine="480" w:firstLineChars="200"/>
        <w:rPr>
          <w:rFonts w:hint="eastAsia"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地址：昆明市晋宁区昆阳街道办永乐大街云南磷化集团综合办公楼8楼。</w:t>
      </w:r>
    </w:p>
    <w:p w14:paraId="08E2571A">
      <w:pPr>
        <w:ind w:firstLine="643" w:firstLineChars="200"/>
        <w:rPr>
          <w:rFonts w:hint="eastAsia"/>
          <w:color w:val="000000" w:themeColor="text1"/>
          <w:lang w:val="hr-HR"/>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br w:type="page"/>
      </w:r>
    </w:p>
    <w:bookmarkEnd w:id="4"/>
    <w:bookmarkEnd w:id="5"/>
    <w:bookmarkEnd w:id="6"/>
    <w:bookmarkEnd w:id="7"/>
    <w:bookmarkEnd w:id="8"/>
    <w:bookmarkEnd w:id="9"/>
    <w:bookmarkEnd w:id="10"/>
    <w:bookmarkEnd w:id="11"/>
    <w:bookmarkEnd w:id="12"/>
    <w:bookmarkEnd w:id="13"/>
    <w:p w14:paraId="7A89D8F4">
      <w:pPr>
        <w:pStyle w:val="3"/>
        <w:numPr>
          <w:ilvl w:val="0"/>
          <w:numId w:val="2"/>
        </w:numPr>
        <w:rPr>
          <w:rFonts w:hint="eastAsia"/>
          <w:color w:val="000000" w:themeColor="text1"/>
          <w14:textFill>
            <w14:solidFill>
              <w14:schemeClr w14:val="tx1"/>
            </w14:solidFill>
          </w14:textFill>
        </w:rPr>
      </w:pPr>
      <w:bookmarkStart w:id="73" w:name="_Toc155185867"/>
      <w:bookmarkStart w:id="74" w:name="_Toc32635"/>
      <w:r>
        <w:rPr>
          <w:rFonts w:hint="eastAsia"/>
          <w:color w:val="000000" w:themeColor="text1"/>
          <w14:textFill>
            <w14:solidFill>
              <w14:schemeClr w14:val="tx1"/>
            </w14:solidFill>
          </w14:textFill>
        </w:rPr>
        <w:t>投标供应商须知</w:t>
      </w:r>
      <w:bookmarkEnd w:id="73"/>
      <w:bookmarkEnd w:id="74"/>
    </w:p>
    <w:bookmarkEnd w:id="3"/>
    <w:p w14:paraId="53925841">
      <w:pPr>
        <w:pStyle w:val="4"/>
        <w:numPr>
          <w:ilvl w:val="0"/>
          <w:numId w:val="3"/>
        </w:numPr>
        <w:rPr>
          <w:rFonts w:hint="eastAsia"/>
          <w:color w:val="000000" w:themeColor="text1"/>
          <w14:textFill>
            <w14:solidFill>
              <w14:schemeClr w14:val="tx1"/>
            </w14:solidFill>
          </w14:textFill>
        </w:rPr>
      </w:pPr>
      <w:bookmarkStart w:id="75" w:name="_Toc17884"/>
      <w:bookmarkStart w:id="76" w:name="_Toc155185868"/>
      <w:r>
        <w:rPr>
          <w:rFonts w:hint="eastAsia"/>
          <w:color w:val="000000" w:themeColor="text1"/>
          <w14:textFill>
            <w14:solidFill>
              <w14:schemeClr w14:val="tx1"/>
            </w14:solidFill>
          </w14:textFill>
        </w:rPr>
        <w:t>投标供应商须知前附表</w:t>
      </w:r>
      <w:bookmarkEnd w:id="75"/>
      <w:bookmarkEnd w:id="76"/>
    </w:p>
    <w:p w14:paraId="576AC2E9">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投标供应商应仔细阅读本招标文件的第二章“投标供应商须知”，下面所列资料是对“投标供应商须知”的具体补充和说明。如有矛盾，应以本表为准。</w:t>
      </w:r>
    </w:p>
    <w:tbl>
      <w:tblPr>
        <w:tblStyle w:val="33"/>
        <w:tblW w:w="8531"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908"/>
        <w:gridCol w:w="5653"/>
      </w:tblGrid>
      <w:tr w14:paraId="641E7C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933AEC6">
            <w:pPr>
              <w:pStyle w:val="54"/>
              <w:jc w:val="center"/>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条款号</w:t>
            </w:r>
          </w:p>
        </w:tc>
        <w:tc>
          <w:tcPr>
            <w:tcW w:w="1908"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BEF0758">
            <w:pPr>
              <w:pStyle w:val="54"/>
              <w:jc w:val="center"/>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条款名称</w:t>
            </w:r>
          </w:p>
        </w:tc>
        <w:tc>
          <w:tcPr>
            <w:tcW w:w="5653"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8507702">
            <w:pPr>
              <w:pStyle w:val="54"/>
              <w:jc w:val="center"/>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内  容</w:t>
            </w:r>
          </w:p>
        </w:tc>
      </w:tr>
      <w:tr w14:paraId="3C3219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12" w:hRule="atLeast"/>
        </w:trPr>
        <w:tc>
          <w:tcPr>
            <w:tcW w:w="970" w:type="dxa"/>
            <w:tcBorders>
              <w:top w:val="single" w:color="auto" w:sz="4" w:space="0"/>
            </w:tcBorders>
            <w:vAlign w:val="center"/>
          </w:tcPr>
          <w:p w14:paraId="3314399F">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2.2</w:t>
            </w:r>
          </w:p>
        </w:tc>
        <w:tc>
          <w:tcPr>
            <w:tcW w:w="1908" w:type="dxa"/>
            <w:tcBorders>
              <w:top w:val="single" w:color="auto" w:sz="4" w:space="0"/>
            </w:tcBorders>
            <w:vAlign w:val="center"/>
          </w:tcPr>
          <w:p w14:paraId="19108AC7">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采购人</w:t>
            </w:r>
          </w:p>
        </w:tc>
        <w:tc>
          <w:tcPr>
            <w:tcW w:w="5653" w:type="dxa"/>
            <w:tcBorders>
              <w:top w:val="single" w:color="auto" w:sz="4" w:space="0"/>
            </w:tcBorders>
            <w:vAlign w:val="center"/>
          </w:tcPr>
          <w:p w14:paraId="4FD5273A">
            <w:pPr>
              <w:pStyle w:val="54"/>
              <w:rPr>
                <w:rFonts w:hint="eastAsia" w:eastAsia="宋体"/>
                <w:color w:val="000000" w:themeColor="text1"/>
                <w:sz w:val="24"/>
                <w:szCs w:val="24"/>
                <w:lang w:eastAsia="zh-CN"/>
                <w14:textFill>
                  <w14:solidFill>
                    <w14:schemeClr w14:val="tx1"/>
                  </w14:solidFill>
                </w14:textFill>
              </w:rPr>
            </w:pPr>
            <w:r>
              <w:rPr>
                <w:rFonts w:hint="eastAsia"/>
                <w:lang w:val="en-US" w:eastAsia="zh-CN"/>
              </w:rPr>
              <w:t>昆明市晋宁区人民医院(昆明市晋宁区紧密型医共体总医院)</w:t>
            </w:r>
          </w:p>
        </w:tc>
      </w:tr>
      <w:tr w14:paraId="2013AD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D6B95D7">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2.3</w:t>
            </w:r>
          </w:p>
        </w:tc>
        <w:tc>
          <w:tcPr>
            <w:tcW w:w="1908" w:type="dxa"/>
            <w:vAlign w:val="center"/>
          </w:tcPr>
          <w:p w14:paraId="12918447">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采购代理机构</w:t>
            </w:r>
          </w:p>
        </w:tc>
        <w:tc>
          <w:tcPr>
            <w:tcW w:w="5653" w:type="dxa"/>
            <w:vAlign w:val="center"/>
          </w:tcPr>
          <w:p w14:paraId="55B151BC">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昆明阔海建设工程咨询有限公司</w:t>
            </w:r>
          </w:p>
        </w:tc>
      </w:tr>
      <w:tr w14:paraId="49282D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4B0FF0A5">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2.4</w:t>
            </w:r>
          </w:p>
        </w:tc>
        <w:tc>
          <w:tcPr>
            <w:tcW w:w="1908" w:type="dxa"/>
            <w:vAlign w:val="center"/>
          </w:tcPr>
          <w:p w14:paraId="3F767C37">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监督管理部门</w:t>
            </w:r>
          </w:p>
        </w:tc>
        <w:tc>
          <w:tcPr>
            <w:tcW w:w="5653" w:type="dxa"/>
            <w:vAlign w:val="center"/>
          </w:tcPr>
          <w:p w14:paraId="0AC71526">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昆明市晋宁区财政局</w:t>
            </w:r>
          </w:p>
        </w:tc>
      </w:tr>
      <w:tr w14:paraId="7AE91E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154FB8A">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2.5</w:t>
            </w:r>
          </w:p>
        </w:tc>
        <w:tc>
          <w:tcPr>
            <w:tcW w:w="1908" w:type="dxa"/>
            <w:vAlign w:val="center"/>
          </w:tcPr>
          <w:p w14:paraId="6564097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项目名称</w:t>
            </w:r>
          </w:p>
        </w:tc>
        <w:tc>
          <w:tcPr>
            <w:tcW w:w="5653" w:type="dxa"/>
            <w:vAlign w:val="center"/>
          </w:tcPr>
          <w:p w14:paraId="00F559CD">
            <w:pPr>
              <w:pStyle w:val="54"/>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晋宁区医疗卫生强基工程项目（资源共享中心：医共体中心药房系统、医共体审方中心系统）</w:t>
            </w:r>
          </w:p>
        </w:tc>
      </w:tr>
      <w:tr w14:paraId="49FF8E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7C05E9F8">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2.6</w:t>
            </w:r>
          </w:p>
        </w:tc>
        <w:tc>
          <w:tcPr>
            <w:tcW w:w="1908" w:type="dxa"/>
            <w:vAlign w:val="center"/>
          </w:tcPr>
          <w:p w14:paraId="7B18819C">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项目地点</w:t>
            </w:r>
          </w:p>
        </w:tc>
        <w:tc>
          <w:tcPr>
            <w:tcW w:w="5653" w:type="dxa"/>
            <w:vAlign w:val="center"/>
          </w:tcPr>
          <w:p w14:paraId="13424C41">
            <w:pPr>
              <w:pStyle w:val="54"/>
              <w:rPr>
                <w:rFonts w:hint="eastAsia"/>
                <w:color w:val="000000" w:themeColor="text1"/>
                <w:sz w:val="24"/>
                <w:szCs w:val="24"/>
                <w14:textFill>
                  <w14:solidFill>
                    <w14:schemeClr w14:val="tx1"/>
                  </w14:solidFill>
                </w14:textFill>
              </w:rPr>
            </w:pPr>
            <w:r>
              <w:rPr>
                <w:rFonts w:hint="eastAsia"/>
                <w:color w:val="auto"/>
                <w:lang w:val="en-US" w:eastAsia="zh-CN"/>
              </w:rPr>
              <w:t>采购人指定地点</w:t>
            </w:r>
          </w:p>
        </w:tc>
      </w:tr>
      <w:tr w14:paraId="58EF68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7DF62E2">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2.7</w:t>
            </w:r>
          </w:p>
        </w:tc>
        <w:tc>
          <w:tcPr>
            <w:tcW w:w="1908" w:type="dxa"/>
            <w:vAlign w:val="center"/>
          </w:tcPr>
          <w:p w14:paraId="6E5AAC30">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项目内容</w:t>
            </w:r>
          </w:p>
        </w:tc>
        <w:tc>
          <w:tcPr>
            <w:tcW w:w="5653" w:type="dxa"/>
            <w:vAlign w:val="center"/>
          </w:tcPr>
          <w:p w14:paraId="3B53B86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eastAsia="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详见第三章采购需求。</w:t>
            </w:r>
          </w:p>
        </w:tc>
      </w:tr>
      <w:tr w14:paraId="72C6B5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77DF94C6">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2.8</w:t>
            </w:r>
          </w:p>
        </w:tc>
        <w:tc>
          <w:tcPr>
            <w:tcW w:w="1908" w:type="dxa"/>
            <w:vAlign w:val="center"/>
          </w:tcPr>
          <w:p w14:paraId="5F62790E">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项目属性</w:t>
            </w:r>
          </w:p>
        </w:tc>
        <w:tc>
          <w:tcPr>
            <w:tcW w:w="5653" w:type="dxa"/>
            <w:vAlign w:val="center"/>
          </w:tcPr>
          <w:p w14:paraId="56FA90C6">
            <w:pPr>
              <w:pStyle w:val="54"/>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货物</w:t>
            </w:r>
          </w:p>
        </w:tc>
      </w:tr>
      <w:tr w14:paraId="44C193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E558AB8">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3.1</w:t>
            </w:r>
          </w:p>
        </w:tc>
        <w:tc>
          <w:tcPr>
            <w:tcW w:w="1908" w:type="dxa"/>
            <w:vAlign w:val="center"/>
          </w:tcPr>
          <w:p w14:paraId="20F8D647">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资金来源</w:t>
            </w:r>
          </w:p>
        </w:tc>
        <w:tc>
          <w:tcPr>
            <w:tcW w:w="5653" w:type="dxa"/>
            <w:vAlign w:val="center"/>
          </w:tcPr>
          <w:p w14:paraId="1F3B3586">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财政性资金</w:t>
            </w:r>
          </w:p>
        </w:tc>
      </w:tr>
      <w:tr w14:paraId="637CE9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A71A2CD">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4.1</w:t>
            </w:r>
          </w:p>
        </w:tc>
        <w:tc>
          <w:tcPr>
            <w:tcW w:w="1908" w:type="dxa"/>
            <w:vAlign w:val="center"/>
          </w:tcPr>
          <w:p w14:paraId="2EFB8765">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投标供应商资格要求</w:t>
            </w:r>
          </w:p>
        </w:tc>
        <w:tc>
          <w:tcPr>
            <w:tcW w:w="5653" w:type="dxa"/>
            <w:vAlign w:val="center"/>
          </w:tcPr>
          <w:p w14:paraId="7436E075">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详见第一章”投标邀请”第二项“投标供应商资格要求”</w:t>
            </w:r>
          </w:p>
        </w:tc>
      </w:tr>
      <w:tr w14:paraId="6119BD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E18D795">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4.2</w:t>
            </w:r>
          </w:p>
        </w:tc>
        <w:tc>
          <w:tcPr>
            <w:tcW w:w="1908" w:type="dxa"/>
            <w:vAlign w:val="center"/>
          </w:tcPr>
          <w:p w14:paraId="3D6A87FE">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是否接受联合体投标</w:t>
            </w:r>
          </w:p>
        </w:tc>
        <w:tc>
          <w:tcPr>
            <w:tcW w:w="5653" w:type="dxa"/>
            <w:vAlign w:val="center"/>
          </w:tcPr>
          <w:p w14:paraId="4F0BE8A3">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FE"/>
            </w:r>
            <w:r>
              <w:rPr>
                <w:rFonts w:hint="eastAsia"/>
                <w:color w:val="000000" w:themeColor="text1"/>
                <w:sz w:val="24"/>
                <w:szCs w:val="24"/>
                <w14:textFill>
                  <w14:solidFill>
                    <w14:schemeClr w14:val="tx1"/>
                  </w14:solidFill>
                </w14:textFill>
              </w:rPr>
              <w:t>不接受</w:t>
            </w:r>
          </w:p>
          <w:p w14:paraId="379DF311">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接受，应满足下列要求：</w:t>
            </w:r>
          </w:p>
          <w:p w14:paraId="22D4164B">
            <w:pPr>
              <w:pStyle w:val="54"/>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r>
              <w:rPr>
                <w:rFonts w:hint="eastAsia"/>
                <w:color w:val="000000" w:themeColor="text1"/>
                <w:sz w:val="24"/>
                <w:szCs w:val="24"/>
                <w:lang w:eastAsia="zh-CN"/>
                <w14:textFill>
                  <w14:solidFill>
                    <w14:schemeClr w14:val="tx1"/>
                  </w14:solidFill>
                </w14:textFill>
              </w:rPr>
              <w:t>。</w:t>
            </w:r>
          </w:p>
        </w:tc>
      </w:tr>
      <w:tr w14:paraId="4A75C6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4329CA41">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9.1</w:t>
            </w:r>
          </w:p>
        </w:tc>
        <w:tc>
          <w:tcPr>
            <w:tcW w:w="1908" w:type="dxa"/>
            <w:vAlign w:val="center"/>
          </w:tcPr>
          <w:p w14:paraId="60D243C3">
            <w:pPr>
              <w:pStyle w:val="54"/>
              <w:rPr>
                <w:rFonts w:hint="eastAsia"/>
                <w:color w:val="000000" w:themeColor="text1"/>
                <w:sz w:val="24"/>
                <w:szCs w:val="24"/>
                <w14:textFill>
                  <w14:solidFill>
                    <w14:schemeClr w14:val="tx1"/>
                  </w14:solidFill>
                </w14:textFill>
              </w:rPr>
            </w:pPr>
            <w:bookmarkStart w:id="77" w:name="_Hlk143529175"/>
            <w:r>
              <w:rPr>
                <w:rFonts w:hint="eastAsia"/>
                <w:color w:val="000000" w:themeColor="text1"/>
                <w:sz w:val="24"/>
                <w:szCs w:val="24"/>
                <w14:textFill>
                  <w14:solidFill>
                    <w14:schemeClr w14:val="tx1"/>
                  </w14:solidFill>
                </w14:textFill>
              </w:rPr>
              <w:t>现场考察和答疑会</w:t>
            </w:r>
            <w:bookmarkEnd w:id="77"/>
          </w:p>
        </w:tc>
        <w:tc>
          <w:tcPr>
            <w:tcW w:w="5653" w:type="dxa"/>
            <w:vAlign w:val="center"/>
          </w:tcPr>
          <w:p w14:paraId="2BE81546">
            <w:pPr>
              <w:pStyle w:val="54"/>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sym w:font="Wingdings" w:char="00FE"/>
            </w:r>
            <w:r>
              <w:rPr>
                <w:rFonts w:hint="eastAsia"/>
                <w:color w:val="000000" w:themeColor="text1"/>
                <w:sz w:val="24"/>
                <w:szCs w:val="24"/>
                <w14:textFill>
                  <w14:solidFill>
                    <w14:schemeClr w14:val="tx1"/>
                  </w14:solidFill>
                </w14:textFill>
              </w:rPr>
              <w:t>不组织，投标供应商自行前往</w:t>
            </w:r>
            <w:r>
              <w:rPr>
                <w:rFonts w:hint="eastAsia"/>
                <w:color w:val="000000" w:themeColor="text1"/>
                <w:sz w:val="24"/>
                <w:szCs w:val="24"/>
                <w:lang w:eastAsia="zh-CN"/>
                <w14:textFill>
                  <w14:solidFill>
                    <w14:schemeClr w14:val="tx1"/>
                  </w14:solidFill>
                </w14:textFill>
              </w:rPr>
              <w:t>。</w:t>
            </w:r>
          </w:p>
          <w:p w14:paraId="21FEBAA2">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组织</w:t>
            </w:r>
          </w:p>
          <w:p w14:paraId="338684C0">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时间：</w:t>
            </w:r>
            <w:r>
              <w:rPr>
                <w:rFonts w:hint="eastAsia"/>
                <w:color w:val="000000" w:themeColor="text1"/>
                <w:sz w:val="24"/>
                <w:szCs w:val="24"/>
                <w:u w:val="single"/>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p>
          <w:p w14:paraId="7837405D">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地点：</w:t>
            </w:r>
            <w:r>
              <w:rPr>
                <w:rFonts w:hint="eastAsia"/>
                <w:color w:val="000000" w:themeColor="text1"/>
                <w:sz w:val="24"/>
                <w:szCs w:val="24"/>
                <w:u w:val="single"/>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p>
        </w:tc>
      </w:tr>
      <w:tr w14:paraId="7DEB42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1BB8AD18">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10</w:t>
            </w:r>
          </w:p>
        </w:tc>
        <w:tc>
          <w:tcPr>
            <w:tcW w:w="1908" w:type="dxa"/>
            <w:vAlign w:val="center"/>
          </w:tcPr>
          <w:p w14:paraId="0F7E1823">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中标后分包</w:t>
            </w:r>
          </w:p>
        </w:tc>
        <w:tc>
          <w:tcPr>
            <w:tcW w:w="5653" w:type="dxa"/>
            <w:vAlign w:val="center"/>
          </w:tcPr>
          <w:p w14:paraId="2B1503A1">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FE"/>
            </w:r>
            <w:r>
              <w:rPr>
                <w:rFonts w:hint="eastAsia"/>
                <w:color w:val="000000" w:themeColor="text1"/>
                <w:sz w:val="24"/>
                <w:szCs w:val="24"/>
                <w14:textFill>
                  <w14:solidFill>
                    <w14:schemeClr w14:val="tx1"/>
                  </w14:solidFill>
                </w14:textFill>
              </w:rPr>
              <w:t>不允许</w:t>
            </w:r>
          </w:p>
          <w:p w14:paraId="1B6BD6DA">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允许，分包内容要求：</w:t>
            </w:r>
          </w:p>
          <w:p w14:paraId="18625149">
            <w:pPr>
              <w:pStyle w:val="54"/>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仅允许对本项目的非主体、非关键性工作进行分包</w:t>
            </w:r>
          </w:p>
          <w:p w14:paraId="2FA64EA5">
            <w:pPr>
              <w:pStyle w:val="54"/>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分包金额要求：</w:t>
            </w:r>
            <w:r>
              <w:rPr>
                <w:rFonts w:hint="eastAsia"/>
                <w:color w:val="000000" w:themeColor="text1"/>
                <w:sz w:val="24"/>
                <w:szCs w:val="24"/>
                <w:u w:val="single"/>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p>
          <w:p w14:paraId="16DB6ED3">
            <w:pPr>
              <w:pStyle w:val="54"/>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分包人资质要求：</w:t>
            </w:r>
            <w:r>
              <w:rPr>
                <w:rFonts w:hint="eastAsia"/>
                <w:color w:val="000000" w:themeColor="text1"/>
                <w:sz w:val="24"/>
                <w:szCs w:val="24"/>
                <w:u w:val="single"/>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p>
        </w:tc>
      </w:tr>
      <w:tr w14:paraId="2B6E38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48" w:hRule="atLeast"/>
        </w:trPr>
        <w:tc>
          <w:tcPr>
            <w:tcW w:w="970" w:type="dxa"/>
            <w:vAlign w:val="center"/>
          </w:tcPr>
          <w:p w14:paraId="08F5E874">
            <w:pPr>
              <w:pStyle w:val="54"/>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1.5</w:t>
            </w:r>
          </w:p>
        </w:tc>
        <w:tc>
          <w:tcPr>
            <w:tcW w:w="1908" w:type="dxa"/>
            <w:vAlign w:val="center"/>
          </w:tcPr>
          <w:p w14:paraId="6A6BDA51">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电子交易系统咨询</w:t>
            </w:r>
          </w:p>
        </w:tc>
        <w:tc>
          <w:tcPr>
            <w:tcW w:w="5653" w:type="dxa"/>
            <w:vAlign w:val="center"/>
          </w:tcPr>
          <w:p w14:paraId="6EE0DD3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如有问题，应当在提交投标文件截止时间</w:t>
            </w:r>
            <w:r>
              <w:rPr>
                <w:b/>
                <w:color w:val="000000" w:themeColor="text1"/>
                <w:sz w:val="24"/>
                <w:szCs w:val="24"/>
                <w14:textFill>
                  <w14:solidFill>
                    <w14:schemeClr w14:val="tx1"/>
                  </w14:solidFill>
                </w14:textFill>
              </w:rPr>
              <w:t>24</w:t>
            </w:r>
            <w:r>
              <w:rPr>
                <w:rFonts w:hint="eastAsia"/>
                <w:b/>
                <w:color w:val="000000" w:themeColor="text1"/>
                <w:sz w:val="24"/>
                <w:szCs w:val="24"/>
                <w14:textFill>
                  <w14:solidFill>
                    <w14:schemeClr w14:val="tx1"/>
                  </w14:solidFill>
                </w14:textFill>
              </w:rPr>
              <w:t>小时前</w:t>
            </w:r>
            <w:r>
              <w:rPr>
                <w:rFonts w:hint="eastAsia"/>
                <w:bCs/>
                <w:color w:val="000000" w:themeColor="text1"/>
                <w:sz w:val="24"/>
                <w:szCs w:val="24"/>
                <w14:textFill>
                  <w14:solidFill>
                    <w14:schemeClr w14:val="tx1"/>
                  </w14:solidFill>
                </w14:textFill>
              </w:rPr>
              <w:t>咨询供应商客户端或政府采购交易系统</w:t>
            </w:r>
          </w:p>
        </w:tc>
      </w:tr>
      <w:tr w14:paraId="47E495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D8B8984">
            <w:pPr>
              <w:pStyle w:val="54"/>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1.6</w:t>
            </w:r>
          </w:p>
        </w:tc>
        <w:tc>
          <w:tcPr>
            <w:tcW w:w="1908" w:type="dxa"/>
            <w:vAlign w:val="center"/>
          </w:tcPr>
          <w:p w14:paraId="15AF99E1">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政府采购交易系统</w:t>
            </w:r>
            <w:r>
              <w:rPr>
                <w:color w:val="000000" w:themeColor="text1"/>
                <w:sz w:val="24"/>
                <w:szCs w:val="24"/>
                <w14:textFill>
                  <w14:solidFill>
                    <w14:schemeClr w14:val="tx1"/>
                  </w14:solidFill>
                </w14:textFill>
              </w:rPr>
              <w:t>联系方式</w:t>
            </w:r>
          </w:p>
        </w:tc>
        <w:tc>
          <w:tcPr>
            <w:tcW w:w="5653" w:type="dxa"/>
            <w:vAlign w:val="center"/>
          </w:tcPr>
          <w:p w14:paraId="6388BFBD">
            <w:pPr>
              <w:pStyle w:val="54"/>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联系人：</w:t>
            </w:r>
            <w:r>
              <w:rPr>
                <w:rFonts w:hint="eastAsia"/>
                <w:color w:val="000000" w:themeColor="text1"/>
                <w:sz w:val="24"/>
                <w:szCs w:val="24"/>
                <w:u w:val="single"/>
                <w14:textFill>
                  <w14:solidFill>
                    <w14:schemeClr w14:val="tx1"/>
                  </w14:solidFill>
                </w14:textFill>
              </w:rPr>
              <w:t>东软集团股份有限公司工作人员</w:t>
            </w:r>
          </w:p>
          <w:p w14:paraId="7265EC93">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联系电话：</w:t>
            </w:r>
            <w:r>
              <w:rPr>
                <w:rFonts w:hint="eastAsia"/>
                <w:color w:val="000000" w:themeColor="text1"/>
                <w:sz w:val="24"/>
                <w:szCs w:val="24"/>
                <w:u w:val="single"/>
                <w14:textFill>
                  <w14:solidFill>
                    <w14:schemeClr w14:val="tx1"/>
                  </w14:solidFill>
                </w14:textFill>
              </w:rPr>
              <w:t>0871-65383105、0871-65378716、0871-65391971、0871-65390547</w:t>
            </w:r>
          </w:p>
          <w:p w14:paraId="1ECE358D">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其他联系方式：</w:t>
            </w:r>
            <w:r>
              <w:rPr>
                <w:rFonts w:hint="eastAsia"/>
                <w:color w:val="000000" w:themeColor="text1"/>
                <w:sz w:val="24"/>
                <w:szCs w:val="24"/>
                <w:u w:val="single"/>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14:textFill>
                  <w14:solidFill>
                    <w14:schemeClr w14:val="tx1"/>
                  </w14:solidFill>
                </w14:textFill>
              </w:rPr>
              <w:t>/</w:t>
            </w:r>
            <w:r>
              <w:rPr>
                <w:color w:val="000000" w:themeColor="text1"/>
                <w:sz w:val="24"/>
                <w:szCs w:val="24"/>
                <w:u w:val="single"/>
                <w14:textFill>
                  <w14:solidFill>
                    <w14:schemeClr w14:val="tx1"/>
                  </w14:solidFill>
                </w14:textFill>
              </w:rPr>
              <w:t xml:space="preserve">      </w:t>
            </w:r>
          </w:p>
        </w:tc>
      </w:tr>
      <w:tr w14:paraId="50E3DC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5AE63EE6">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13.1</w:t>
            </w:r>
          </w:p>
        </w:tc>
        <w:tc>
          <w:tcPr>
            <w:tcW w:w="1908" w:type="dxa"/>
            <w:vAlign w:val="center"/>
          </w:tcPr>
          <w:p w14:paraId="3D8A0FD9">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提出询问方式</w:t>
            </w:r>
          </w:p>
        </w:tc>
        <w:tc>
          <w:tcPr>
            <w:tcW w:w="5653" w:type="dxa"/>
            <w:vAlign w:val="center"/>
          </w:tcPr>
          <w:p w14:paraId="706664F0">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提出询问方式：可致电采购代理机构工作人员询问</w:t>
            </w:r>
          </w:p>
          <w:p w14:paraId="7116A37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其他询问方式：</w:t>
            </w:r>
            <w:r>
              <w:rPr>
                <w:rFonts w:hint="eastAsia"/>
                <w:color w:val="000000" w:themeColor="text1"/>
                <w:sz w:val="24"/>
                <w:szCs w:val="24"/>
                <w:u w:val="single"/>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14:textFill>
                  <w14:solidFill>
                    <w14:schemeClr w14:val="tx1"/>
                  </w14:solidFill>
                </w14:textFill>
              </w:rPr>
              <w:t>/</w:t>
            </w:r>
            <w:r>
              <w:rPr>
                <w:color w:val="000000" w:themeColor="text1"/>
                <w:sz w:val="24"/>
                <w:szCs w:val="24"/>
                <w:u w:val="single"/>
                <w14:textFill>
                  <w14:solidFill>
                    <w14:schemeClr w14:val="tx1"/>
                  </w14:solidFill>
                </w14:textFill>
              </w:rPr>
              <w:t xml:space="preserve">       </w:t>
            </w:r>
          </w:p>
        </w:tc>
      </w:tr>
      <w:tr w14:paraId="477C9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51ACA037">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15.2</w:t>
            </w:r>
          </w:p>
        </w:tc>
        <w:tc>
          <w:tcPr>
            <w:tcW w:w="1908" w:type="dxa"/>
            <w:vAlign w:val="center"/>
          </w:tcPr>
          <w:p w14:paraId="140719EB">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报价方式</w:t>
            </w:r>
          </w:p>
        </w:tc>
        <w:tc>
          <w:tcPr>
            <w:tcW w:w="5653" w:type="dxa"/>
            <w:vAlign w:val="center"/>
          </w:tcPr>
          <w:p w14:paraId="3B348402">
            <w:pPr>
              <w:pStyle w:val="54"/>
              <w:ind w:firstLine="240" w:firstLineChars="100"/>
              <w:rPr>
                <w:rFonts w:hint="eastAsia" w:eastAsia="宋体"/>
                <w:color w:val="000000" w:themeColor="text1"/>
                <w:sz w:val="24"/>
                <w:szCs w:val="24"/>
                <w:lang w:val="en-US" w:eastAsia="zh-CN"/>
                <w14:textFill>
                  <w14:solidFill>
                    <w14:schemeClr w14:val="tx1"/>
                  </w14:solidFill>
                </w14:textFill>
              </w:rPr>
            </w:pPr>
            <w:r>
              <w:rPr>
                <w:rFonts w:hint="eastAsia" w:ascii="宋体" w:hAnsi="宋体" w:eastAsia="宋体" w:cs="宋体"/>
                <w:color w:val="auto"/>
                <w:szCs w:val="21"/>
              </w:rPr>
              <w:t>投标报价为完成采购范围及合同委托范围内的所有工作内容所需的全部费用，包含但不限于</w:t>
            </w:r>
            <w:r>
              <w:rPr>
                <w:rFonts w:hint="eastAsia" w:ascii="宋体" w:hAnsi="宋体" w:eastAsia="宋体" w:cs="宋体"/>
                <w:color w:val="auto"/>
                <w:szCs w:val="21"/>
                <w:lang w:eastAsia="zh-TW"/>
              </w:rPr>
              <w:t>项目管理费</w:t>
            </w:r>
            <w:r>
              <w:rPr>
                <w:rFonts w:hint="eastAsia" w:ascii="宋体" w:hAnsi="宋体" w:eastAsia="宋体" w:cs="宋体"/>
                <w:color w:val="auto"/>
                <w:szCs w:val="21"/>
              </w:rPr>
              <w:t>、</w:t>
            </w:r>
            <w:r>
              <w:rPr>
                <w:rFonts w:hint="eastAsia" w:ascii="宋体" w:hAnsi="宋体" w:eastAsia="宋体" w:cs="宋体"/>
                <w:color w:val="auto"/>
                <w:szCs w:val="21"/>
                <w:lang w:eastAsia="zh-TW"/>
              </w:rPr>
              <w:t>设备费用、</w:t>
            </w:r>
            <w:r>
              <w:rPr>
                <w:rFonts w:hint="eastAsia" w:ascii="宋体" w:hAnsi="宋体" w:cs="宋体"/>
                <w:color w:val="auto"/>
                <w:szCs w:val="21"/>
                <w:lang w:val="en-US" w:eastAsia="zh-CN"/>
              </w:rPr>
              <w:t>医院</w:t>
            </w:r>
            <w:r>
              <w:rPr>
                <w:rFonts w:hint="eastAsia" w:ascii="宋体" w:hAnsi="宋体" w:eastAsia="宋体" w:cs="Arial"/>
                <w:sz w:val="21"/>
                <w:szCs w:val="21"/>
              </w:rPr>
              <w:t>系统</w:t>
            </w:r>
            <w:r>
              <w:rPr>
                <w:rFonts w:hint="eastAsia" w:ascii="宋体" w:hAnsi="宋体" w:eastAsia="宋体" w:cs="Arial"/>
                <w:sz w:val="21"/>
                <w:szCs w:val="21"/>
                <w:lang w:val="en-US" w:eastAsia="zh-CN"/>
              </w:rPr>
              <w:t>对接费、</w:t>
            </w:r>
            <w:r>
              <w:rPr>
                <w:rFonts w:hint="eastAsia" w:ascii="宋体" w:hAnsi="宋体" w:eastAsia="宋体" w:cs="宋体"/>
                <w:color w:val="auto"/>
                <w:szCs w:val="21"/>
                <w:lang w:eastAsia="zh-TW"/>
              </w:rPr>
              <w:t>技术支持、服务费用、运维服务</w:t>
            </w:r>
            <w:r>
              <w:rPr>
                <w:rFonts w:hint="eastAsia" w:ascii="宋体" w:hAnsi="宋体" w:eastAsia="宋体" w:cs="宋体"/>
                <w:color w:val="auto"/>
                <w:szCs w:val="21"/>
                <w:lang w:eastAsia="zh-CN"/>
              </w:rPr>
              <w:t>、</w:t>
            </w:r>
            <w:r>
              <w:rPr>
                <w:rFonts w:hint="eastAsia" w:ascii="宋体" w:hAnsi="宋体" w:eastAsia="宋体" w:cs="宋体"/>
                <w:color w:val="auto"/>
                <w:szCs w:val="21"/>
              </w:rPr>
              <w:t>人工、利润、税金</w:t>
            </w:r>
            <w:r>
              <w:rPr>
                <w:rFonts w:hint="eastAsia" w:ascii="宋体" w:hAnsi="宋体" w:cs="宋体"/>
                <w:color w:val="auto"/>
                <w:szCs w:val="21"/>
                <w:lang w:eastAsia="zh-CN"/>
              </w:rPr>
              <w:t>、</w:t>
            </w:r>
            <w:r>
              <w:rPr>
                <w:rFonts w:hint="eastAsia" w:cs="宋体"/>
                <w:color w:val="auto"/>
                <w:szCs w:val="21"/>
                <w:lang w:val="en-US" w:eastAsia="zh-CN"/>
              </w:rPr>
              <w:t>硬件、软件、</w:t>
            </w:r>
            <w:r>
              <w:rPr>
                <w:rFonts w:hint="eastAsia" w:ascii="宋体" w:hAnsi="宋体" w:cs="宋体"/>
                <w:color w:val="auto"/>
                <w:szCs w:val="21"/>
                <w:lang w:val="en-US" w:eastAsia="zh-CN"/>
              </w:rPr>
              <w:t>采购代理费</w:t>
            </w:r>
            <w:r>
              <w:rPr>
                <w:rFonts w:hint="eastAsia" w:ascii="宋体" w:hAnsi="宋体" w:eastAsia="宋体" w:cs="宋体"/>
                <w:color w:val="auto"/>
                <w:szCs w:val="21"/>
              </w:rPr>
              <w:t>等所有费用。</w:t>
            </w:r>
            <w:r>
              <w:rPr>
                <w:rFonts w:hint="eastAsia" w:ascii="宋体" w:hAnsi="宋体" w:cs="宋体"/>
                <w:color w:val="auto"/>
                <w:szCs w:val="21"/>
                <w:lang w:val="en-US" w:eastAsia="zh-CN"/>
              </w:rPr>
              <w:t>投标人</w:t>
            </w:r>
            <w:r>
              <w:rPr>
                <w:rFonts w:hint="eastAsia" w:ascii="宋体" w:hAnsi="宋体" w:eastAsia="宋体" w:cs="宋体"/>
                <w:color w:val="auto"/>
                <w:szCs w:val="21"/>
              </w:rPr>
              <w:t>应充分考虑交货期内可能发生的各种风险因素。</w:t>
            </w:r>
            <w:r>
              <w:rPr>
                <w:rFonts w:hint="eastAsia" w:ascii="宋体" w:hAnsi="宋体" w:eastAsia="宋体" w:cs="宋体"/>
                <w:color w:val="auto"/>
                <w:szCs w:val="21"/>
                <w:lang w:eastAsia="zh-TW"/>
              </w:rPr>
              <w:t>合同签订后，合同价款不因工期延长或缩短、人工费涨跌、物价波动、汇率浮动、国家或地方政府法律法规变动、国家或地方政府相关部门发布的任何调价文件等任何因素作而作调整。</w:t>
            </w:r>
          </w:p>
        </w:tc>
      </w:tr>
      <w:tr w14:paraId="077806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4115FDF">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15.6</w:t>
            </w:r>
          </w:p>
        </w:tc>
        <w:tc>
          <w:tcPr>
            <w:tcW w:w="1908" w:type="dxa"/>
            <w:vAlign w:val="center"/>
          </w:tcPr>
          <w:p w14:paraId="32E2EF7B">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最高限价</w:t>
            </w:r>
          </w:p>
        </w:tc>
        <w:tc>
          <w:tcPr>
            <w:tcW w:w="5653" w:type="dxa"/>
            <w:vAlign w:val="center"/>
          </w:tcPr>
          <w:p w14:paraId="17337EFC">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详见第一章”投标邀请”</w:t>
            </w:r>
          </w:p>
        </w:tc>
      </w:tr>
      <w:tr w14:paraId="258EB9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0" w:hRule="atLeast"/>
        </w:trPr>
        <w:tc>
          <w:tcPr>
            <w:tcW w:w="970" w:type="dxa"/>
            <w:vAlign w:val="center"/>
          </w:tcPr>
          <w:p w14:paraId="5835F1D7">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16.1</w:t>
            </w:r>
          </w:p>
        </w:tc>
        <w:tc>
          <w:tcPr>
            <w:tcW w:w="1908" w:type="dxa"/>
            <w:vAlign w:val="center"/>
          </w:tcPr>
          <w:p w14:paraId="21A4160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投标有效期</w:t>
            </w:r>
          </w:p>
        </w:tc>
        <w:tc>
          <w:tcPr>
            <w:tcW w:w="5653" w:type="dxa"/>
            <w:vAlign w:val="center"/>
          </w:tcPr>
          <w:p w14:paraId="60E5EE6E">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投标截止日期后</w:t>
            </w:r>
            <w:r>
              <w:rPr>
                <w:rFonts w:hint="eastAsia"/>
                <w:color w:val="000000" w:themeColor="text1"/>
                <w:sz w:val="24"/>
                <w:szCs w:val="24"/>
                <w:u w:val="single"/>
                <w14:textFill>
                  <w14:solidFill>
                    <w14:schemeClr w14:val="tx1"/>
                  </w14:solidFill>
                </w14:textFill>
              </w:rPr>
              <w:t>90</w:t>
            </w:r>
            <w:r>
              <w:rPr>
                <w:rFonts w:hint="eastAsia"/>
                <w:color w:val="000000" w:themeColor="text1"/>
                <w:sz w:val="24"/>
                <w:szCs w:val="24"/>
                <w14:textFill>
                  <w14:solidFill>
                    <w14:schemeClr w14:val="tx1"/>
                  </w14:solidFill>
                </w14:textFill>
              </w:rPr>
              <w:t>日历天</w:t>
            </w:r>
          </w:p>
        </w:tc>
      </w:tr>
      <w:tr w14:paraId="080CFA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29942ED">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19.1</w:t>
            </w:r>
          </w:p>
        </w:tc>
        <w:tc>
          <w:tcPr>
            <w:tcW w:w="1908" w:type="dxa"/>
            <w:vAlign w:val="center"/>
          </w:tcPr>
          <w:p w14:paraId="7C81181D">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投标截止时间</w:t>
            </w:r>
          </w:p>
        </w:tc>
        <w:tc>
          <w:tcPr>
            <w:tcW w:w="5653" w:type="dxa"/>
            <w:vAlign w:val="center"/>
          </w:tcPr>
          <w:p w14:paraId="4C594863">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详见第一章”投标邀请”</w:t>
            </w:r>
          </w:p>
        </w:tc>
      </w:tr>
      <w:tr w14:paraId="6CBB9B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85FEBB5">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19.2</w:t>
            </w:r>
          </w:p>
        </w:tc>
        <w:tc>
          <w:tcPr>
            <w:tcW w:w="1908" w:type="dxa"/>
            <w:vAlign w:val="center"/>
          </w:tcPr>
          <w:p w14:paraId="71313865">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递交投标文件地点</w:t>
            </w:r>
          </w:p>
        </w:tc>
        <w:tc>
          <w:tcPr>
            <w:tcW w:w="5653" w:type="dxa"/>
            <w:vAlign w:val="center"/>
          </w:tcPr>
          <w:p w14:paraId="155F6A00">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详见第一章”投标邀请”</w:t>
            </w:r>
          </w:p>
        </w:tc>
      </w:tr>
      <w:tr w14:paraId="64D7F9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79A6EBFB">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22.1</w:t>
            </w:r>
          </w:p>
        </w:tc>
        <w:tc>
          <w:tcPr>
            <w:tcW w:w="1908" w:type="dxa"/>
            <w:vAlign w:val="center"/>
          </w:tcPr>
          <w:p w14:paraId="1EEB6E59">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实物样品</w:t>
            </w:r>
          </w:p>
        </w:tc>
        <w:tc>
          <w:tcPr>
            <w:tcW w:w="5653" w:type="dxa"/>
            <w:vAlign w:val="center"/>
          </w:tcPr>
          <w:p w14:paraId="18A5E7F7">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本项目无需提供样品</w:t>
            </w:r>
          </w:p>
          <w:p w14:paraId="71B55D2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提供样品的品种有：/ </w:t>
            </w:r>
          </w:p>
          <w:p w14:paraId="4D5BC6D4">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样品规格：/</w:t>
            </w:r>
          </w:p>
          <w:p w14:paraId="1E13A80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样品密封要求：/ </w:t>
            </w:r>
          </w:p>
          <w:p w14:paraId="3276E810">
            <w:pPr>
              <w:pStyle w:val="54"/>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开标当天</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w:t>
            </w:r>
            <w:r>
              <w:rPr>
                <w:rFonts w:hint="eastAsia"/>
                <w:color w:val="000000" w:themeColor="text1"/>
                <w:sz w:val="24"/>
                <w:szCs w:val="24"/>
                <w:u w:val="single"/>
                <w14:textFill>
                  <w14:solidFill>
                    <w14:schemeClr w14:val="tx1"/>
                  </w14:solidFill>
                </w14:textFill>
              </w:rPr>
              <w:t xml:space="preserve"> 时 </w:t>
            </w:r>
            <w:r>
              <w:rPr>
                <w:rFonts w:hint="eastAsia"/>
                <w:color w:val="000000" w:themeColor="text1"/>
                <w:sz w:val="24"/>
                <w:szCs w:val="24"/>
                <w14:textFill>
                  <w14:solidFill>
                    <w14:schemeClr w14:val="tx1"/>
                  </w14:solidFill>
                </w14:textFill>
              </w:rPr>
              <w:t>/</w:t>
            </w:r>
            <w:r>
              <w:rPr>
                <w:rFonts w:hint="eastAsia"/>
                <w:color w:val="000000" w:themeColor="text1"/>
                <w:sz w:val="24"/>
                <w:szCs w:val="24"/>
                <w:u w:val="single"/>
                <w14:textFill>
                  <w14:solidFill>
                    <w14:schemeClr w14:val="tx1"/>
                  </w14:solidFill>
                </w14:textFill>
              </w:rPr>
              <w:t xml:space="preserve"> 分</w:t>
            </w:r>
            <w:r>
              <w:rPr>
                <w:rFonts w:hint="eastAsia"/>
                <w:color w:val="000000" w:themeColor="text1"/>
                <w:sz w:val="24"/>
                <w:szCs w:val="24"/>
                <w14:textFill>
                  <w14:solidFill>
                    <w14:schemeClr w14:val="tx1"/>
                  </w14:solidFill>
                </w14:textFill>
              </w:rPr>
              <w:t>至</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w:t>
            </w:r>
            <w:r>
              <w:rPr>
                <w:rFonts w:hint="eastAsia"/>
                <w:color w:val="000000" w:themeColor="text1"/>
                <w:sz w:val="24"/>
                <w:szCs w:val="24"/>
                <w:u w:val="single"/>
                <w14:textFill>
                  <w14:solidFill>
                    <w14:schemeClr w14:val="tx1"/>
                  </w14:solidFill>
                </w14:textFill>
              </w:rPr>
              <w:t xml:space="preserve"> 时  </w:t>
            </w:r>
            <w:r>
              <w:rPr>
                <w:rFonts w:hint="eastAsia"/>
                <w:color w:val="000000" w:themeColor="text1"/>
                <w:sz w:val="24"/>
                <w:szCs w:val="24"/>
                <w14:textFill>
                  <w14:solidFill>
                    <w14:schemeClr w14:val="tx1"/>
                  </w14:solidFill>
                </w14:textFill>
              </w:rPr>
              <w:t>/</w:t>
            </w:r>
            <w:r>
              <w:rPr>
                <w:rFonts w:hint="eastAsia"/>
                <w:color w:val="000000" w:themeColor="text1"/>
                <w:sz w:val="24"/>
                <w:szCs w:val="24"/>
                <w:u w:val="single"/>
                <w14:textFill>
                  <w14:solidFill>
                    <w14:schemeClr w14:val="tx1"/>
                  </w14:solidFill>
                </w14:textFill>
              </w:rPr>
              <w:t>分</w:t>
            </w:r>
            <w:r>
              <w:rPr>
                <w:rFonts w:hint="eastAsia"/>
                <w:color w:val="000000" w:themeColor="text1"/>
                <w:sz w:val="24"/>
                <w:szCs w:val="24"/>
                <w14:textFill>
                  <w14:solidFill>
                    <w14:schemeClr w14:val="tx1"/>
                  </w14:solidFill>
                </w14:textFill>
              </w:rPr>
              <w:t>，提供至（地点）：/，逾期提供的样品将不予接受</w:t>
            </w:r>
            <w:r>
              <w:rPr>
                <w:rFonts w:hint="eastAsia"/>
                <w:color w:val="000000" w:themeColor="text1"/>
                <w:sz w:val="24"/>
                <w:szCs w:val="24"/>
                <w:lang w:eastAsia="zh-CN"/>
                <w14:textFill>
                  <w14:solidFill>
                    <w14:schemeClr w14:val="tx1"/>
                  </w14:solidFill>
                </w14:textFill>
              </w:rPr>
              <w:t>。</w:t>
            </w:r>
          </w:p>
        </w:tc>
      </w:tr>
      <w:tr w14:paraId="3089EC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F418D7B">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23.1</w:t>
            </w:r>
          </w:p>
        </w:tc>
        <w:tc>
          <w:tcPr>
            <w:tcW w:w="1908" w:type="dxa"/>
            <w:vAlign w:val="center"/>
          </w:tcPr>
          <w:p w14:paraId="25FB58C0">
            <w:pPr>
              <w:pStyle w:val="54"/>
              <w:rPr>
                <w:rFonts w:hint="eastAsia"/>
                <w:b w:val="0"/>
                <w:bCs w:val="0"/>
                <w:color w:val="000000" w:themeColor="text1"/>
                <w:sz w:val="24"/>
                <w:szCs w:val="24"/>
                <w14:textFill>
                  <w14:solidFill>
                    <w14:schemeClr w14:val="tx1"/>
                  </w14:solidFill>
                </w14:textFill>
              </w:rPr>
            </w:pPr>
            <w:r>
              <w:rPr>
                <w:rFonts w:hint="eastAsia"/>
                <w:b w:val="0"/>
                <w:bCs w:val="0"/>
                <w:color w:val="000000" w:themeColor="text1"/>
                <w:sz w:val="24"/>
                <w:szCs w:val="24"/>
                <w14:textFill>
                  <w14:solidFill>
                    <w14:schemeClr w14:val="tx1"/>
                  </w14:solidFill>
                </w14:textFill>
              </w:rPr>
              <w:t>项目演示</w:t>
            </w:r>
          </w:p>
        </w:tc>
        <w:tc>
          <w:tcPr>
            <w:tcW w:w="5653" w:type="dxa"/>
            <w:vAlign w:val="center"/>
          </w:tcPr>
          <w:p w14:paraId="66108ABD">
            <w:pPr>
              <w:pStyle w:val="54"/>
              <w:rPr>
                <w:rFonts w:hint="eastAsia"/>
              </w:rPr>
            </w:pPr>
            <w:r>
              <w:rPr>
                <w:rFonts w:hint="eastAsia"/>
              </w:rPr>
              <w:sym w:font="Wingdings" w:char="00FE"/>
            </w:r>
            <w:r>
              <w:rPr>
                <w:rFonts w:hint="eastAsia"/>
              </w:rPr>
              <w:t>不进行</w:t>
            </w:r>
          </w:p>
          <w:p w14:paraId="13E1EC4B">
            <w:pPr>
              <w:pStyle w:val="54"/>
              <w:rPr>
                <w:rFonts w:hint="eastAsia"/>
                <w:b w:val="0"/>
                <w:bCs w:val="0"/>
                <w:color w:val="000000" w:themeColor="text1"/>
                <w:sz w:val="24"/>
                <w:szCs w:val="24"/>
                <w14:textFill>
                  <w14:solidFill>
                    <w14:schemeClr w14:val="tx1"/>
                  </w14:solidFill>
                </w14:textFill>
              </w:rPr>
            </w:pPr>
            <w:r>
              <w:rPr>
                <w:rFonts w:hint="eastAsia"/>
                <w:b w:val="0"/>
                <w:bCs w:val="0"/>
                <w:color w:val="000000" w:themeColor="text1"/>
                <w:sz w:val="24"/>
                <w:szCs w:val="24"/>
                <w14:textFill>
                  <w14:solidFill>
                    <w14:schemeClr w14:val="tx1"/>
                  </w14:solidFill>
                </w14:textFill>
              </w:rPr>
              <w:sym w:font="Wingdings" w:char="00A8"/>
            </w:r>
            <w:r>
              <w:rPr>
                <w:rFonts w:hint="eastAsia"/>
                <w:b w:val="0"/>
                <w:bCs w:val="0"/>
                <w:color w:val="000000" w:themeColor="text1"/>
                <w:sz w:val="24"/>
                <w:szCs w:val="24"/>
                <w14:textFill>
                  <w14:solidFill>
                    <w14:schemeClr w14:val="tx1"/>
                  </w14:solidFill>
                </w14:textFill>
              </w:rPr>
              <w:t>进行，现场演示</w:t>
            </w:r>
          </w:p>
          <w:p w14:paraId="1F9A5AE1">
            <w:pP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1、演示时间：</w:t>
            </w:r>
            <w:r>
              <w:rPr>
                <w:rFonts w:hint="eastAsia" w:ascii="宋体" w:hAnsi="宋体" w:eastAsia="宋体" w:cs="宋体"/>
                <w:color w:val="000000" w:themeColor="text1"/>
                <w:kern w:val="0"/>
                <w:szCs w:val="21"/>
                <w:u w:val="single"/>
                <w14:textFill>
                  <w14:solidFill>
                    <w14:schemeClr w14:val="tx1"/>
                  </w14:solidFill>
                </w14:textFill>
              </w:rPr>
              <w:t xml:space="preserve"> </w:t>
            </w:r>
            <w:r>
              <w:rPr>
                <w:rFonts w:hint="eastAsia" w:cs="宋体"/>
                <w:color w:val="000000" w:themeColor="text1"/>
                <w:kern w:val="0"/>
                <w:szCs w:val="21"/>
                <w:u w:val="single"/>
                <w:lang w:val="en-US" w:eastAsia="zh-CN"/>
                <w14:textFill>
                  <w14:solidFill>
                    <w14:schemeClr w14:val="tx1"/>
                  </w14:solidFill>
                </w14:textFill>
              </w:rPr>
              <w:t>/</w:t>
            </w:r>
            <w:r>
              <w:rPr>
                <w:rFonts w:hint="eastAsia" w:ascii="宋体" w:hAnsi="宋体" w:eastAsia="宋体" w:cs="宋体"/>
                <w:color w:val="000000" w:themeColor="text1"/>
                <w:kern w:val="0"/>
                <w:szCs w:val="21"/>
                <w:u w:val="single"/>
                <w14:textFill>
                  <w14:solidFill>
                    <w14:schemeClr w14:val="tx1"/>
                  </w14:solidFill>
                </w14:textFill>
              </w:rPr>
              <w:t xml:space="preserve">   </w:t>
            </w:r>
          </w:p>
          <w:p w14:paraId="52531CB8">
            <w:pP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演示地点：</w:t>
            </w:r>
            <w:r>
              <w:rPr>
                <w:rFonts w:hint="eastAsia" w:ascii="宋体" w:hAnsi="宋体" w:eastAsia="宋体" w:cs="宋体"/>
                <w:color w:val="000000" w:themeColor="text1"/>
                <w:kern w:val="0"/>
                <w:szCs w:val="21"/>
                <w:u w:val="single"/>
                <w14:textFill>
                  <w14:solidFill>
                    <w14:schemeClr w14:val="tx1"/>
                  </w14:solidFill>
                </w14:textFill>
              </w:rPr>
              <w:t xml:space="preserve"> </w:t>
            </w:r>
            <w:r>
              <w:rPr>
                <w:rFonts w:hint="eastAsia" w:cs="宋体"/>
                <w:color w:val="000000" w:themeColor="text1"/>
                <w:kern w:val="0"/>
                <w:szCs w:val="21"/>
                <w:u w:val="single"/>
                <w:lang w:val="en-US" w:eastAsia="zh-CN"/>
                <w14:textFill>
                  <w14:solidFill>
                    <w14:schemeClr w14:val="tx1"/>
                  </w14:solidFill>
                </w14:textFill>
              </w:rPr>
              <w:t>/</w:t>
            </w:r>
            <w:r>
              <w:rPr>
                <w:rFonts w:hint="eastAsia" w:ascii="宋体" w:hAnsi="宋体" w:eastAsia="宋体" w:cs="宋体"/>
                <w:color w:val="000000" w:themeColor="text1"/>
                <w:kern w:val="0"/>
                <w:szCs w:val="21"/>
                <w:u w:val="single"/>
                <w14:textFill>
                  <w14:solidFill>
                    <w14:schemeClr w14:val="tx1"/>
                  </w14:solidFill>
                </w14:textFill>
              </w:rPr>
              <w:t xml:space="preserve">           </w:t>
            </w:r>
          </w:p>
          <w:p w14:paraId="29A755C4">
            <w:pPr>
              <w:rPr>
                <w:rFonts w:hint="eastAsia" w:ascii="宋体" w:hAnsi="宋体" w:eastAsia="宋体" w:cs="宋体"/>
                <w:color w:val="000000" w:themeColor="text1"/>
                <w:kern w:val="0"/>
                <w:szCs w:val="21"/>
                <w:u w:val="single"/>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演示顺序：</w:t>
            </w:r>
            <w:r>
              <w:rPr>
                <w:rFonts w:hint="eastAsia" w:ascii="宋体" w:hAnsi="宋体" w:eastAsia="宋体" w:cs="宋体"/>
                <w:color w:val="000000" w:themeColor="text1"/>
                <w:kern w:val="0"/>
                <w:szCs w:val="21"/>
                <w:u w:val="single"/>
                <w14:textFill>
                  <w14:solidFill>
                    <w14:schemeClr w14:val="tx1"/>
                  </w14:solidFill>
                </w14:textFill>
              </w:rPr>
              <w:t xml:space="preserve"> </w:t>
            </w:r>
            <w:r>
              <w:rPr>
                <w:rFonts w:hint="eastAsia" w:cs="宋体"/>
                <w:color w:val="000000" w:themeColor="text1"/>
                <w:kern w:val="0"/>
                <w:szCs w:val="21"/>
                <w:u w:val="single"/>
                <w:lang w:val="en-US" w:eastAsia="zh-CN"/>
                <w14:textFill>
                  <w14:solidFill>
                    <w14:schemeClr w14:val="tx1"/>
                  </w14:solidFill>
                </w14:textFill>
              </w:rPr>
              <w:t>/</w:t>
            </w:r>
            <w:r>
              <w:rPr>
                <w:rFonts w:hint="eastAsia" w:ascii="宋体" w:hAnsi="宋体" w:eastAsia="宋体" w:cs="宋体"/>
                <w:color w:val="000000" w:themeColor="text1"/>
                <w:kern w:val="0"/>
                <w:szCs w:val="21"/>
                <w:u w:val="single"/>
                <w14:textFill>
                  <w14:solidFill>
                    <w14:schemeClr w14:val="tx1"/>
                  </w14:solidFill>
                </w14:textFill>
              </w:rPr>
              <w:t xml:space="preserve">     </w:t>
            </w:r>
          </w:p>
          <w:p w14:paraId="7EBAB991">
            <w:pPr>
              <w:rPr>
                <w:rFonts w:hint="eastAsia" w:eastAsia="宋体"/>
                <w:color w:val="000000" w:themeColor="text1"/>
                <w:highlight w:val="none"/>
                <w:u w:val="none"/>
                <w:lang w:val="en-US" w:eastAsia="zh-CN"/>
                <w14:textFill>
                  <w14:solidFill>
                    <w14:schemeClr w14:val="tx1"/>
                  </w14:solidFill>
                </w14:textFill>
              </w:rPr>
            </w:pPr>
            <w:r>
              <w:rPr>
                <w:rFonts w:hint="eastAsia" w:cs="宋体"/>
                <w:color w:val="000000" w:themeColor="text1"/>
                <w:kern w:val="0"/>
                <w:szCs w:val="21"/>
                <w:u w:val="none"/>
                <w:lang w:val="en-US" w:eastAsia="zh-CN"/>
                <w14:textFill>
                  <w14:solidFill>
                    <w14:schemeClr w14:val="tx1"/>
                  </w14:solidFill>
                </w14:textFill>
              </w:rPr>
              <w:t>4、演示视频材料递交方式：</w:t>
            </w:r>
            <w:r>
              <w:rPr>
                <w:rFonts w:hint="eastAsia" w:cs="宋体"/>
                <w:b w:val="0"/>
                <w:bCs w:val="0"/>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Cs w:val="21"/>
                <w:highlight w:val="none"/>
                <w:u w:val="none"/>
                <w:lang w:eastAsia="zh-CN"/>
                <w14:textFill>
                  <w14:solidFill>
                    <w14:schemeClr w14:val="tx1"/>
                  </w14:solidFill>
                </w14:textFill>
              </w:rPr>
              <w:t>，</w:t>
            </w:r>
          </w:p>
          <w:p w14:paraId="15EAB186">
            <w:pPr>
              <w:pStyle w:val="54"/>
              <w:numPr>
                <w:ilvl w:val="0"/>
                <w:numId w:val="0"/>
              </w:numPr>
              <w:spacing w:line="360" w:lineRule="auto"/>
              <w:rPr>
                <w:rFonts w:hint="eastAsia" w:ascii="宋体" w:hAnsi="宋体" w:eastAsia="宋体" w:cs="宋体"/>
                <w:color w:val="000000" w:themeColor="text1"/>
                <w:kern w:val="0"/>
                <w:szCs w:val="21"/>
                <w:u w:val="none"/>
                <w14:textFill>
                  <w14:solidFill>
                    <w14:schemeClr w14:val="tx1"/>
                  </w14:solidFill>
                </w14:textFill>
              </w:rPr>
            </w:pPr>
            <w:r>
              <w:rPr>
                <w:rFonts w:hint="eastAsia" w:cs="宋体"/>
                <w:color w:val="000000" w:themeColor="text1"/>
                <w:kern w:val="0"/>
                <w:szCs w:val="21"/>
                <w:lang w:val="en-US" w:eastAsia="zh-CN"/>
                <w14:textFill>
                  <w14:solidFill>
                    <w14:schemeClr w14:val="tx1"/>
                  </w14:solidFill>
                </w14:textFill>
              </w:rPr>
              <w:t>5</w:t>
            </w:r>
            <w:r>
              <w:rPr>
                <w:rFonts w:hint="eastAsia" w:ascii="宋体" w:hAnsi="宋体" w:eastAsia="宋体" w:cs="宋体"/>
                <w:color w:val="000000" w:themeColor="text1"/>
                <w:kern w:val="0"/>
                <w:szCs w:val="21"/>
                <w:lang w:val="en-US" w:eastAsia="zh-CN"/>
                <w14:textFill>
                  <w14:solidFill>
                    <w14:schemeClr w14:val="tx1"/>
                  </w14:solidFill>
                </w14:textFill>
              </w:rPr>
              <w:t>、</w:t>
            </w:r>
            <w:r>
              <w:rPr>
                <w:rFonts w:hint="eastAsia" w:ascii="宋体" w:hAnsi="宋体" w:eastAsia="宋体" w:cs="宋体"/>
                <w:color w:val="000000" w:themeColor="text1"/>
                <w:kern w:val="0"/>
                <w:szCs w:val="21"/>
                <w14:textFill>
                  <w14:solidFill>
                    <w14:schemeClr w14:val="tx1"/>
                  </w14:solidFill>
                </w14:textFill>
              </w:rPr>
              <w:t>演示要求：</w:t>
            </w:r>
            <w:r>
              <w:rPr>
                <w:rFonts w:hint="eastAsia" w:ascii="宋体" w:hAnsi="宋体" w:eastAsia="宋体" w:cs="宋体"/>
                <w:color w:val="000000" w:themeColor="text1"/>
                <w:kern w:val="0"/>
                <w:sz w:val="24"/>
                <w:szCs w:val="21"/>
                <w:u w:val="single"/>
                <w:lang w:val="en-US" w:eastAsia="zh-CN" w:bidi="ar-SA"/>
                <w14:textFill>
                  <w14:solidFill>
                    <w14:schemeClr w14:val="tx1"/>
                  </w14:solidFill>
                </w14:textFill>
              </w:rPr>
              <w:t xml:space="preserve"> </w:t>
            </w:r>
            <w:r>
              <w:rPr>
                <w:rFonts w:hint="eastAsia" w:cs="宋体"/>
                <w:color w:val="000000" w:themeColor="text1"/>
                <w:kern w:val="0"/>
                <w:sz w:val="24"/>
                <w:szCs w:val="21"/>
                <w:u w:val="single"/>
                <w:lang w:val="en-US" w:eastAsia="zh-CN" w:bidi="ar-SA"/>
                <w14:textFill>
                  <w14:solidFill>
                    <w14:schemeClr w14:val="tx1"/>
                  </w14:solidFill>
                </w14:textFill>
              </w:rPr>
              <w:t>/</w:t>
            </w:r>
            <w:r>
              <w:rPr>
                <w:rFonts w:hint="eastAsia" w:cs="宋体"/>
                <w:color w:val="000000" w:themeColor="text1"/>
                <w:kern w:val="0"/>
                <w:sz w:val="24"/>
                <w:szCs w:val="21"/>
                <w:u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1"/>
                <w:u w:val="none"/>
                <w:lang w:val="en-US" w:eastAsia="zh-CN" w:bidi="ar-SA"/>
                <w14:textFill>
                  <w14:solidFill>
                    <w14:schemeClr w14:val="tx1"/>
                  </w14:solidFill>
                </w14:textFill>
              </w:rPr>
              <w:t xml:space="preserve">          </w:t>
            </w:r>
          </w:p>
          <w:p w14:paraId="49E22BF2">
            <w:pPr>
              <w:pStyle w:val="54"/>
              <w:numPr>
                <w:ilvl w:val="0"/>
                <w:numId w:val="0"/>
              </w:numPr>
              <w:rPr>
                <w:rFonts w:hint="eastAsia" w:ascii="宋体" w:hAnsi="宋体" w:eastAsia="宋体" w:cs="宋体"/>
                <w:color w:val="000000" w:themeColor="text1"/>
                <w:kern w:val="0"/>
                <w:szCs w:val="21"/>
                <w:lang w:eastAsia="zh-CN"/>
                <w14:textFill>
                  <w14:solidFill>
                    <w14:schemeClr w14:val="tx1"/>
                  </w14:solidFill>
                </w14:textFill>
              </w:rPr>
            </w:pPr>
            <w:r>
              <w:rPr>
                <w:rFonts w:hint="eastAsia" w:cs="宋体"/>
                <w:color w:val="000000" w:themeColor="text1"/>
                <w:kern w:val="0"/>
                <w:sz w:val="24"/>
                <w:szCs w:val="21"/>
                <w:lang w:val="en-US" w:eastAsia="zh-CN" w:bidi="ar-SA"/>
                <w14:textFill>
                  <w14:solidFill>
                    <w14:schemeClr w14:val="tx1"/>
                  </w14:solidFill>
                </w14:textFill>
              </w:rPr>
              <w:t>6</w:t>
            </w:r>
            <w:r>
              <w:rPr>
                <w:rFonts w:hint="eastAsia" w:ascii="宋体" w:hAnsi="宋体" w:eastAsia="宋体" w:cs="宋体"/>
                <w:color w:val="000000" w:themeColor="text1"/>
                <w:kern w:val="0"/>
                <w:sz w:val="24"/>
                <w:szCs w:val="21"/>
                <w:lang w:val="en-US" w:eastAsia="zh-CN" w:bidi="ar-SA"/>
                <w14:textFill>
                  <w14:solidFill>
                    <w14:schemeClr w14:val="tx1"/>
                  </w14:solidFill>
                </w14:textFill>
              </w:rPr>
              <w:t>、</w:t>
            </w:r>
            <w:r>
              <w:rPr>
                <w:rFonts w:hint="eastAsia"/>
                <w:b w:val="0"/>
                <w:bCs w:val="0"/>
                <w:color w:val="000000" w:themeColor="text1"/>
                <w:sz w:val="24"/>
                <w:szCs w:val="24"/>
                <w14:textFill>
                  <w14:solidFill>
                    <w14:schemeClr w14:val="tx1"/>
                  </w14:solidFill>
                </w14:textFill>
              </w:rPr>
              <w:t>投标供应商应提前自行准备好演示的各项准备工作。因投标供应商自身原因无法演示或者演示效果不理想的，导致的后果由投标供应商自行承担</w:t>
            </w:r>
            <w:r>
              <w:rPr>
                <w:rFonts w:hint="eastAsia"/>
                <w:b w:val="0"/>
                <w:bCs w:val="0"/>
                <w:color w:val="000000" w:themeColor="text1"/>
                <w:sz w:val="24"/>
                <w:szCs w:val="24"/>
                <w:lang w:eastAsia="zh-CN"/>
                <w14:textFill>
                  <w14:solidFill>
                    <w14:schemeClr w14:val="tx1"/>
                  </w14:solidFill>
                </w14:textFill>
              </w:rPr>
              <w:t>。</w:t>
            </w:r>
          </w:p>
        </w:tc>
      </w:tr>
      <w:tr w14:paraId="5200AD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A07A678">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24.1</w:t>
            </w:r>
          </w:p>
        </w:tc>
        <w:tc>
          <w:tcPr>
            <w:tcW w:w="1908" w:type="dxa"/>
            <w:vAlign w:val="center"/>
          </w:tcPr>
          <w:p w14:paraId="204E68C5">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远程开标会议环境准备</w:t>
            </w:r>
          </w:p>
        </w:tc>
        <w:tc>
          <w:tcPr>
            <w:tcW w:w="5653" w:type="dxa"/>
            <w:vAlign w:val="center"/>
          </w:tcPr>
          <w:p w14:paraId="0AA357E7">
            <w:pPr>
              <w:pStyle w:val="54"/>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远程开标会议环境要求：符合政采云系统操作条件要求即可，具体按操作说明执行</w:t>
            </w:r>
            <w:r>
              <w:rPr>
                <w:rFonts w:hint="eastAsia"/>
                <w:color w:val="000000" w:themeColor="text1"/>
                <w:sz w:val="24"/>
                <w:szCs w:val="24"/>
                <w:lang w:eastAsia="zh-CN"/>
                <w14:textFill>
                  <w14:solidFill>
                    <w14:schemeClr w14:val="tx1"/>
                  </w14:solidFill>
                </w14:textFill>
              </w:rPr>
              <w:t>。</w:t>
            </w:r>
          </w:p>
          <w:p w14:paraId="37E5092B">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操作说明：供应商可登陆https://customer.zcygov.cn/CA-driver-download?utm=web-cafront.3ddc8fbb.0.0.87133ef03d5611eca03abdd942cbc4e6，下载“政采云电子投标客户端”。</w:t>
            </w:r>
          </w:p>
        </w:tc>
      </w:tr>
      <w:tr w14:paraId="67444F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F5E823A">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25.1</w:t>
            </w:r>
          </w:p>
        </w:tc>
        <w:tc>
          <w:tcPr>
            <w:tcW w:w="1908" w:type="dxa"/>
            <w:vAlign w:val="center"/>
          </w:tcPr>
          <w:p w14:paraId="69014182">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开标时间和地点</w:t>
            </w:r>
          </w:p>
        </w:tc>
        <w:tc>
          <w:tcPr>
            <w:tcW w:w="5653" w:type="dxa"/>
            <w:vAlign w:val="center"/>
          </w:tcPr>
          <w:p w14:paraId="59054910">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详见第一章”投标邀请”</w:t>
            </w:r>
          </w:p>
        </w:tc>
      </w:tr>
      <w:tr w14:paraId="3AD78E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517A6AB1">
            <w:pPr>
              <w:pStyle w:val="54"/>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27.1</w:t>
            </w:r>
          </w:p>
        </w:tc>
        <w:tc>
          <w:tcPr>
            <w:tcW w:w="1908" w:type="dxa"/>
            <w:vAlign w:val="center"/>
          </w:tcPr>
          <w:p w14:paraId="0A1D38B0">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采购人及采购代理机构工作人员需要回避的情形及开始时出现列举情形时的处理方式</w:t>
            </w:r>
          </w:p>
        </w:tc>
        <w:tc>
          <w:tcPr>
            <w:tcW w:w="5653" w:type="dxa"/>
            <w:vAlign w:val="center"/>
          </w:tcPr>
          <w:p w14:paraId="23A71E1D">
            <w:pPr>
              <w:pStyle w:val="54"/>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在政府采购活动中，采购人员及相关人员与供应商有下列利害关系之一的，应当回避：</w:t>
            </w:r>
          </w:p>
          <w:p w14:paraId="3C00D9F7">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（1）参加采购活动前3年内与供应商存在劳动关系；</w:t>
            </w:r>
          </w:p>
          <w:p w14:paraId="35162042">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（2）参加采购活动前3年内担任供应商的董事、监事；</w:t>
            </w:r>
          </w:p>
          <w:p w14:paraId="30B857CA">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（3）参加采购活动前3年内是供应商的控股股东或者实际控制人；</w:t>
            </w:r>
          </w:p>
          <w:p w14:paraId="79ECC518">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（4）与供应商的法定代表人或者负责人有夫妻、直系血亲、三代以内旁系血亲或者近姻亲关系；</w:t>
            </w:r>
          </w:p>
          <w:p w14:paraId="38E241D8">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（5）与供应商有其他可能影响政府采购活动公平、公正进行的关系。</w:t>
            </w:r>
          </w:p>
          <w:p w14:paraId="0B81E2D5">
            <w:pPr>
              <w:pStyle w:val="54"/>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在开标过程中，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开标过程中投标供应商未针对需要回避情形提出回避申请的，事后不得针对该问题提出质疑和投诉。</w:t>
            </w:r>
          </w:p>
        </w:tc>
      </w:tr>
      <w:tr w14:paraId="22656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18ACD43">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26.3</w:t>
            </w:r>
          </w:p>
        </w:tc>
        <w:tc>
          <w:tcPr>
            <w:tcW w:w="1908" w:type="dxa"/>
            <w:vAlign w:val="center"/>
          </w:tcPr>
          <w:p w14:paraId="3398DDC5">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解密投标文件的时限</w:t>
            </w:r>
          </w:p>
        </w:tc>
        <w:tc>
          <w:tcPr>
            <w:tcW w:w="5653" w:type="dxa"/>
            <w:vAlign w:val="center"/>
          </w:tcPr>
          <w:p w14:paraId="383CAC07">
            <w:pPr>
              <w:pStyle w:val="54"/>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u w:val="single"/>
                <w14:textFill>
                  <w14:solidFill>
                    <w14:schemeClr w14:val="tx1"/>
                  </w14:solidFill>
                </w14:textFill>
              </w:rPr>
              <w:t>60</w:t>
            </w:r>
            <w:r>
              <w:rPr>
                <w:rFonts w:hint="eastAsia"/>
                <w:color w:val="000000" w:themeColor="text1"/>
                <w:sz w:val="24"/>
                <w:szCs w:val="24"/>
                <w14:textFill>
                  <w14:solidFill>
                    <w14:schemeClr w14:val="tx1"/>
                  </w14:solidFill>
                </w14:textFill>
              </w:rPr>
              <w:t>分钟，若遇到系统异常情况，采购代理机构须经监督人员同意后可延长解密时间。投标供应商因自身原因未按规定解密投标文件的，承担相应责任</w:t>
            </w:r>
            <w:r>
              <w:rPr>
                <w:rFonts w:hint="eastAsia"/>
                <w:color w:val="000000" w:themeColor="text1"/>
                <w:sz w:val="24"/>
                <w:szCs w:val="24"/>
                <w:lang w:eastAsia="zh-CN"/>
                <w14:textFill>
                  <w14:solidFill>
                    <w14:schemeClr w14:val="tx1"/>
                  </w14:solidFill>
                </w14:textFill>
              </w:rPr>
              <w:t>。</w:t>
            </w:r>
          </w:p>
        </w:tc>
      </w:tr>
      <w:tr w14:paraId="0ACCAD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CB21496">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30.2</w:t>
            </w:r>
          </w:p>
        </w:tc>
        <w:tc>
          <w:tcPr>
            <w:tcW w:w="1908" w:type="dxa"/>
            <w:vAlign w:val="center"/>
          </w:tcPr>
          <w:p w14:paraId="13AA9774">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推荐中标候选人</w:t>
            </w:r>
          </w:p>
        </w:tc>
        <w:tc>
          <w:tcPr>
            <w:tcW w:w="5653" w:type="dxa"/>
            <w:vAlign w:val="center"/>
          </w:tcPr>
          <w:p w14:paraId="59206A6B">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中标候选人数量</w:t>
            </w:r>
            <w:r>
              <w:rPr>
                <w:rFonts w:hint="eastAsia"/>
                <w:color w:val="000000" w:themeColor="text1"/>
                <w:sz w:val="24"/>
                <w:szCs w:val="24"/>
                <w:u w:val="single"/>
                <w14:textFill>
                  <w14:solidFill>
                    <w14:schemeClr w14:val="tx1"/>
                  </w14:solidFill>
                </w14:textFill>
              </w:rPr>
              <w:t xml:space="preserve"> 3</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家</w:t>
            </w:r>
          </w:p>
        </w:tc>
      </w:tr>
      <w:tr w14:paraId="70B7E1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31F0F81">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31.1</w:t>
            </w:r>
          </w:p>
        </w:tc>
        <w:tc>
          <w:tcPr>
            <w:tcW w:w="1908" w:type="dxa"/>
            <w:vAlign w:val="center"/>
          </w:tcPr>
          <w:p w14:paraId="6CC0D856">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确定中标人</w:t>
            </w:r>
          </w:p>
        </w:tc>
        <w:tc>
          <w:tcPr>
            <w:tcW w:w="5653" w:type="dxa"/>
            <w:vAlign w:val="center"/>
          </w:tcPr>
          <w:p w14:paraId="6DAFD12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FE"/>
            </w:r>
            <w:r>
              <w:rPr>
                <w:rFonts w:hint="eastAsia"/>
                <w:color w:val="000000" w:themeColor="text1"/>
                <w:sz w:val="24"/>
                <w:szCs w:val="24"/>
                <w14:textFill>
                  <w14:solidFill>
                    <w14:schemeClr w14:val="tx1"/>
                  </w14:solidFill>
                </w14:textFill>
              </w:rPr>
              <w:t>采购人按评审报告中推荐的中标候选人排序确定中标人。</w:t>
            </w:r>
          </w:p>
          <w:p w14:paraId="7A84D0CD">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采购人委托评标委员会直接确定中标人。</w:t>
            </w:r>
          </w:p>
        </w:tc>
      </w:tr>
      <w:tr w14:paraId="203481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EF30106">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32.1</w:t>
            </w:r>
          </w:p>
        </w:tc>
        <w:tc>
          <w:tcPr>
            <w:tcW w:w="1908" w:type="dxa"/>
            <w:vAlign w:val="center"/>
          </w:tcPr>
          <w:p w14:paraId="5591A3B2">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中标结果公告</w:t>
            </w:r>
          </w:p>
        </w:tc>
        <w:tc>
          <w:tcPr>
            <w:tcW w:w="5653" w:type="dxa"/>
            <w:vAlign w:val="center"/>
          </w:tcPr>
          <w:p w14:paraId="7ECBE72C">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公告媒介：云南省政府采购网</w:t>
            </w:r>
          </w:p>
        </w:tc>
      </w:tr>
      <w:tr w14:paraId="2D9E2F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0" w:hRule="atLeast"/>
        </w:trPr>
        <w:tc>
          <w:tcPr>
            <w:tcW w:w="970" w:type="dxa"/>
            <w:vAlign w:val="center"/>
          </w:tcPr>
          <w:p w14:paraId="17E4E668">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34.1</w:t>
            </w:r>
          </w:p>
        </w:tc>
        <w:tc>
          <w:tcPr>
            <w:tcW w:w="1908" w:type="dxa"/>
            <w:vAlign w:val="center"/>
          </w:tcPr>
          <w:p w14:paraId="40573ED5">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履约保证金</w:t>
            </w:r>
          </w:p>
        </w:tc>
        <w:tc>
          <w:tcPr>
            <w:tcW w:w="5653" w:type="dxa"/>
            <w:vAlign w:val="center"/>
          </w:tcPr>
          <w:p w14:paraId="7C648AAD">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sym w:font="Wingdings" w:char="00FE"/>
            </w:r>
            <w:r>
              <w:rPr>
                <w:rFonts w:hint="eastAsia"/>
                <w:color w:val="000000" w:themeColor="text1"/>
                <w14:textFill>
                  <w14:solidFill>
                    <w14:schemeClr w14:val="tx1"/>
                  </w14:solidFill>
                </w14:textFill>
              </w:rPr>
              <w:t>无</w:t>
            </w:r>
          </w:p>
          <w:p w14:paraId="38290490">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sym w:font="Wingdings" w:char="00A8"/>
            </w:r>
            <w:r>
              <w:rPr>
                <w:rFonts w:hint="eastAsia"/>
                <w:color w:val="000000" w:themeColor="text1"/>
                <w14:textFill>
                  <w14:solidFill>
                    <w14:schemeClr w14:val="tx1"/>
                  </w14:solidFill>
                </w14:textFill>
              </w:rPr>
              <w:t>有，履约保证金金额：</w:t>
            </w:r>
            <w:r>
              <w:rPr>
                <w:rFonts w:hint="eastAsia"/>
                <w:color w:val="000000" w:themeColor="text1"/>
                <w:u w:val="single"/>
                <w14:textFill>
                  <w14:solidFill>
                    <w14:schemeClr w14:val="tx1"/>
                  </w14:solidFill>
                </w14:textFill>
              </w:rPr>
              <w:t xml:space="preserve"> /</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p w14:paraId="094B989B">
            <w:pPr>
              <w:pStyle w:val="54"/>
              <w:ind w:firstLine="720" w:firstLineChars="300"/>
              <w:rPr>
                <w:rFonts w:hint="eastAsia"/>
                <w:color w:val="000000" w:themeColor="text1"/>
                <w:sz w:val="24"/>
                <w:szCs w:val="24"/>
                <w14:textFill>
                  <w14:solidFill>
                    <w14:schemeClr w14:val="tx1"/>
                  </w14:solidFill>
                </w14:textFill>
              </w:rPr>
            </w:pPr>
            <w:r>
              <w:rPr>
                <w:rFonts w:hint="eastAsia"/>
                <w:color w:val="000000" w:themeColor="text1"/>
                <w14:textFill>
                  <w14:solidFill>
                    <w14:schemeClr w14:val="tx1"/>
                  </w14:solidFill>
                </w14:textFill>
              </w:rPr>
              <w:t>履约担保形式：</w:t>
            </w:r>
            <w:r>
              <w:rPr>
                <w:rFonts w:hint="eastAsia"/>
                <w:color w:val="000000" w:themeColor="text1"/>
                <w:u w:val="single"/>
                <w14:textFill>
                  <w14:solidFill>
                    <w14:schemeClr w14:val="tx1"/>
                  </w14:solidFill>
                </w14:textFill>
              </w:rPr>
              <w:t>以支票、汇票、本票或者金融机构、担保机构出具的保函等非现金形式提交</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tc>
      </w:tr>
      <w:tr w14:paraId="604EF8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C075830">
            <w:pPr>
              <w:pStyle w:val="54"/>
              <w:jc w:val="center"/>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39.1</w:t>
            </w:r>
          </w:p>
        </w:tc>
        <w:tc>
          <w:tcPr>
            <w:tcW w:w="1908" w:type="dxa"/>
            <w:vAlign w:val="center"/>
          </w:tcPr>
          <w:p w14:paraId="4B5D0D56">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采购代理服务费收取方式和标准</w:t>
            </w:r>
          </w:p>
        </w:tc>
        <w:tc>
          <w:tcPr>
            <w:tcW w:w="5653" w:type="dxa"/>
            <w:vAlign w:val="center"/>
          </w:tcPr>
          <w:p w14:paraId="0C6925E1">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根据采购人和采购代理机构签署的委托代理协议书约定：</w:t>
            </w:r>
          </w:p>
          <w:p w14:paraId="77B2C9E2">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采购代理服务费：</w:t>
            </w:r>
            <w:r>
              <w:rPr>
                <w:rFonts w:hint="eastAsia"/>
                <w:color w:val="000000" w:themeColor="text1"/>
                <w:sz w:val="24"/>
                <w:szCs w:val="24"/>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 xml:space="preserve">由采购人支付 </w:t>
            </w:r>
            <w:r>
              <w:rPr>
                <w:rFonts w:hint="eastAsia"/>
                <w:color w:val="000000" w:themeColor="text1"/>
                <w:sz w:val="24"/>
                <w:szCs w:val="24"/>
                <w14:textFill>
                  <w14:solidFill>
                    <w14:schemeClr w14:val="tx1"/>
                  </w14:solidFill>
                </w14:textFill>
              </w:rPr>
              <w:sym w:font="Wingdings" w:char="00FE"/>
            </w:r>
            <w:r>
              <w:rPr>
                <w:rFonts w:hint="eastAsia"/>
                <w:color w:val="000000" w:themeColor="text1"/>
                <w:sz w:val="24"/>
                <w:szCs w:val="24"/>
                <w14:textFill>
                  <w14:solidFill>
                    <w14:schemeClr w14:val="tx1"/>
                  </w14:solidFill>
                </w14:textFill>
              </w:rPr>
              <w:t xml:space="preserve">由中标人支付 </w:t>
            </w:r>
          </w:p>
          <w:p w14:paraId="183B079A">
            <w:pPr>
              <w:pStyle w:val="54"/>
              <w:rPr>
                <w:rFonts w:hint="eastAsia" w:ascii="宋体" w:hAnsi="宋体" w:eastAsia="宋体"/>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2.支付标准</w:t>
            </w:r>
            <w:r>
              <w:rPr>
                <w:rFonts w:hint="eastAsia"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lang w:val="en-US" w:eastAsia="zh-CN"/>
                <w14:textFill>
                  <w14:solidFill>
                    <w14:schemeClr w14:val="tx1"/>
                  </w14:solidFill>
                </w14:textFill>
              </w:rPr>
              <w:t>根据《云南省建设工程招标代理服务收费参考意见》（云建招协〔2024〕58号）文件</w:t>
            </w:r>
            <w:r>
              <w:rPr>
                <w:rFonts w:hint="eastAsia"/>
                <w:color w:val="000000" w:themeColor="text1"/>
                <w:sz w:val="24"/>
                <w:szCs w:val="24"/>
                <w:lang w:val="en-US" w:eastAsia="zh-CN"/>
                <w14:textFill>
                  <w14:solidFill>
                    <w14:schemeClr w14:val="tx1"/>
                  </w14:solidFill>
                </w14:textFill>
              </w:rPr>
              <w:t>服务类</w:t>
            </w:r>
            <w:r>
              <w:rPr>
                <w:rFonts w:hint="eastAsia" w:ascii="宋体" w:hAnsi="宋体" w:eastAsia="宋体"/>
                <w:color w:val="000000" w:themeColor="text1"/>
                <w:sz w:val="24"/>
                <w:szCs w:val="24"/>
                <w:lang w:val="en-US" w:eastAsia="zh-CN"/>
                <w14:textFill>
                  <w14:solidFill>
                    <w14:schemeClr w14:val="tx1"/>
                  </w14:solidFill>
                </w14:textFill>
              </w:rPr>
              <w:t>的规定下浮</w:t>
            </w:r>
            <w:r>
              <w:rPr>
                <w:rFonts w:hint="eastAsia"/>
                <w:color w:val="000000" w:themeColor="text1"/>
                <w:sz w:val="24"/>
                <w:szCs w:val="24"/>
                <w:lang w:val="en-US" w:eastAsia="zh-CN"/>
                <w14:textFill>
                  <w14:solidFill>
                    <w14:schemeClr w14:val="tx1"/>
                  </w14:solidFill>
                </w14:textFill>
              </w:rPr>
              <w:t>35</w:t>
            </w:r>
            <w:r>
              <w:rPr>
                <w:rFonts w:hint="eastAsia" w:ascii="宋体" w:hAnsi="宋体" w:eastAsia="宋体"/>
                <w:color w:val="000000" w:themeColor="text1"/>
                <w:sz w:val="24"/>
                <w:szCs w:val="24"/>
                <w:lang w:val="en-US" w:eastAsia="zh-CN"/>
                <w14:textFill>
                  <w14:solidFill>
                    <w14:schemeClr w14:val="tx1"/>
                  </w14:solidFill>
                </w14:textFill>
              </w:rPr>
              <w:t>%收取。</w:t>
            </w:r>
          </w:p>
          <w:p w14:paraId="54A45A43">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3.支付时间：领取中标通知书前</w:t>
            </w:r>
          </w:p>
          <w:p w14:paraId="00748D8A">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4.支付方式：不限</w:t>
            </w:r>
            <w:r>
              <w:rPr>
                <w:color w:val="000000" w:themeColor="text1"/>
                <w:sz w:val="24"/>
                <w:szCs w:val="24"/>
                <w14:textFill>
                  <w14:solidFill>
                    <w14:schemeClr w14:val="tx1"/>
                  </w14:solidFill>
                </w14:textFill>
              </w:rPr>
              <w:t xml:space="preserve"> </w:t>
            </w:r>
          </w:p>
        </w:tc>
      </w:tr>
      <w:tr w14:paraId="3CB1F7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28937FD">
            <w:pPr>
              <w:pStyle w:val="54"/>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2.1</w:t>
            </w:r>
          </w:p>
        </w:tc>
        <w:tc>
          <w:tcPr>
            <w:tcW w:w="1908" w:type="dxa"/>
            <w:vAlign w:val="center"/>
          </w:tcPr>
          <w:p w14:paraId="29BE23B6">
            <w:pPr>
              <w:pStyle w:val="54"/>
              <w:rPr>
                <w:rFonts w:hint="eastAsia"/>
                <w:color w:val="000000" w:themeColor="text1"/>
                <w:sz w:val="24"/>
                <w:szCs w:val="24"/>
                <w14:textFill>
                  <w14:solidFill>
                    <w14:schemeClr w14:val="tx1"/>
                  </w14:solidFill>
                </w14:textFill>
              </w:rPr>
            </w:pPr>
            <w:r>
              <w:rPr>
                <w:rFonts w:hint="eastAsia" w:cs="仿宋_GB2312"/>
                <w:color w:val="000000" w:themeColor="text1"/>
                <w:sz w:val="24"/>
                <w:szCs w:val="24"/>
                <w:lang w:val="zh-CN"/>
                <w14:textFill>
                  <w14:solidFill>
                    <w14:schemeClr w14:val="tx1"/>
                  </w14:solidFill>
                </w14:textFill>
              </w:rPr>
              <w:t>是否接受进口产品</w:t>
            </w:r>
          </w:p>
        </w:tc>
        <w:tc>
          <w:tcPr>
            <w:tcW w:w="5653" w:type="dxa"/>
            <w:vAlign w:val="center"/>
          </w:tcPr>
          <w:p w14:paraId="490BE8C4">
            <w:pPr>
              <w:pStyle w:val="54"/>
              <w:rPr>
                <w:rFonts w:hint="eastAsia" w:cs="仿宋_GB2312"/>
                <w:color w:val="000000" w:themeColor="text1"/>
                <w:sz w:val="24"/>
                <w:szCs w:val="24"/>
                <w14:textFill>
                  <w14:solidFill>
                    <w14:schemeClr w14:val="tx1"/>
                  </w14:solidFill>
                </w14:textFill>
              </w:rPr>
            </w:pPr>
            <w:r>
              <w:rPr>
                <w:rFonts w:hint="eastAsia" w:cs="仿宋_GB2312"/>
                <w:color w:val="000000" w:themeColor="text1"/>
                <w:sz w:val="24"/>
                <w:szCs w:val="24"/>
                <w14:textFill>
                  <w14:solidFill>
                    <w14:schemeClr w14:val="tx1"/>
                  </w14:solidFill>
                </w14:textFill>
              </w:rPr>
              <w:sym w:font="Wingdings" w:char="00FE"/>
            </w:r>
            <w:r>
              <w:rPr>
                <w:rFonts w:cs="仿宋_GB2312"/>
                <w:color w:val="000000" w:themeColor="text1"/>
                <w:sz w:val="24"/>
                <w:szCs w:val="24"/>
                <w14:textFill>
                  <w14:solidFill>
                    <w14:schemeClr w14:val="tx1"/>
                  </w14:solidFill>
                </w14:textFill>
              </w:rPr>
              <w:t>不接受</w:t>
            </w:r>
          </w:p>
          <w:p w14:paraId="0EE8238F">
            <w:pPr>
              <w:pStyle w:val="54"/>
              <w:rPr>
                <w:rFonts w:hint="eastAsia"/>
                <w:color w:val="000000" w:themeColor="text1"/>
                <w:sz w:val="24"/>
                <w:szCs w:val="24"/>
                <w14:textFill>
                  <w14:solidFill>
                    <w14:schemeClr w14:val="tx1"/>
                  </w14:solidFill>
                </w14:textFill>
              </w:rPr>
            </w:pPr>
            <w:r>
              <w:rPr>
                <w:rFonts w:hint="eastAsia" w:cs="仿宋_GB2312"/>
                <w:color w:val="000000" w:themeColor="text1"/>
                <w:sz w:val="24"/>
                <w:szCs w:val="24"/>
                <w14:textFill>
                  <w14:solidFill>
                    <w14:schemeClr w14:val="tx1"/>
                  </w14:solidFill>
                </w14:textFill>
              </w:rPr>
              <w:sym w:font="Wingdings" w:char="00A8"/>
            </w:r>
            <w:r>
              <w:rPr>
                <w:rFonts w:hint="eastAsia" w:cs="仿宋_GB2312"/>
                <w:color w:val="000000" w:themeColor="text1"/>
                <w:sz w:val="24"/>
                <w:szCs w:val="24"/>
                <w:lang w:val="zh-CN"/>
                <w14:textFill>
                  <w14:solidFill>
                    <w14:schemeClr w14:val="tx1"/>
                  </w14:solidFill>
                </w14:textFill>
              </w:rPr>
              <w:t>接受</w:t>
            </w:r>
          </w:p>
        </w:tc>
      </w:tr>
      <w:tr w14:paraId="46713C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DF5CC39">
            <w:pPr>
              <w:pStyle w:val="54"/>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43.1</w:t>
            </w:r>
          </w:p>
        </w:tc>
        <w:tc>
          <w:tcPr>
            <w:tcW w:w="1908" w:type="dxa"/>
            <w:vAlign w:val="center"/>
          </w:tcPr>
          <w:p w14:paraId="60B63F0A">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支持中小企业政策</w:t>
            </w:r>
          </w:p>
        </w:tc>
        <w:tc>
          <w:tcPr>
            <w:tcW w:w="5653" w:type="dxa"/>
            <w:vAlign w:val="center"/>
          </w:tcPr>
          <w:p w14:paraId="13E44FA9">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FE"/>
            </w:r>
            <w:r>
              <w:rPr>
                <w:rFonts w:hint="eastAsia"/>
                <w:color w:val="000000" w:themeColor="text1"/>
                <w:sz w:val="24"/>
                <w:szCs w:val="24"/>
                <w14:textFill>
                  <w14:solidFill>
                    <w14:schemeClr w14:val="tx1"/>
                  </w14:solidFill>
                </w14:textFill>
              </w:rPr>
              <w:t>非专门面向中小企业的项目</w:t>
            </w:r>
          </w:p>
          <w:p w14:paraId="4E6CB137">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1.对于未预留份额专门面向中小企业采购的采购项目，以及预留份额项目中的非预留部分采购包，对小微企业报价给予比例扣除，价格扣除比例为：</w:t>
            </w:r>
            <w:r>
              <w:rPr>
                <w:rFonts w:hint="eastAsia"/>
                <w:color w:val="000000" w:themeColor="text1"/>
                <w:sz w:val="24"/>
                <w:szCs w:val="24"/>
                <w:u w:val="single"/>
                <w14:textFill>
                  <w14:solidFill>
                    <w14:schemeClr w14:val="tx1"/>
                  </w14:solidFill>
                </w14:textFill>
              </w:rPr>
              <w:t>10%</w:t>
            </w:r>
            <w:r>
              <w:rPr>
                <w:rFonts w:hint="eastAsia"/>
                <w:color w:val="000000" w:themeColor="text1"/>
                <w:sz w:val="24"/>
                <w:szCs w:val="24"/>
                <w14:textFill>
                  <w14:solidFill>
                    <w14:schemeClr w14:val="tx1"/>
                  </w14:solidFill>
                </w14:textFill>
              </w:rPr>
              <w:t>（货物服务1</w:t>
            </w:r>
            <w:r>
              <w:rPr>
                <w:color w:val="000000" w:themeColor="text1"/>
                <w:sz w:val="24"/>
                <w:szCs w:val="24"/>
                <w14:textFill>
                  <w14:solidFill>
                    <w14:schemeClr w14:val="tx1"/>
                  </w14:solidFill>
                </w14:textFill>
              </w:rPr>
              <w:t>0%-20%</w:t>
            </w:r>
            <w:r>
              <w:rPr>
                <w:rFonts w:hint="eastAsia"/>
                <w:color w:val="000000" w:themeColor="text1"/>
                <w:sz w:val="24"/>
                <w:szCs w:val="24"/>
                <w14:textFill>
                  <w14:solidFill>
                    <w14:schemeClr w14:val="tx1"/>
                  </w14:solidFill>
                </w14:textFill>
              </w:rPr>
              <w:t>）；</w:t>
            </w:r>
          </w:p>
          <w:p w14:paraId="232C67AA">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2.接受大中型企业与小微企业组成联合体或者允许大中型企业向一家或者多家小微企业分包的采购项目，对于联合协议或者分包意向协议约定小微企业的合同份额占到合同总金额</w:t>
            </w:r>
            <w:r>
              <w:rPr>
                <w:color w:val="000000" w:themeColor="text1"/>
                <w:sz w:val="24"/>
                <w:szCs w:val="24"/>
                <w14:textFill>
                  <w14:solidFill>
                    <w14:schemeClr w14:val="tx1"/>
                  </w14:solidFill>
                </w14:textFill>
              </w:rPr>
              <w:t>4</w:t>
            </w:r>
            <w:r>
              <w:rPr>
                <w:rFonts w:hint="eastAsia"/>
                <w:color w:val="000000" w:themeColor="text1"/>
                <w:sz w:val="24"/>
                <w:szCs w:val="24"/>
                <w14:textFill>
                  <w14:solidFill>
                    <w14:schemeClr w14:val="tx1"/>
                  </w14:solidFill>
                </w14:textFill>
              </w:rPr>
              <w:t>0%以上的，对联合体或者大中型企业的报价给予比例扣除，价格扣除比例为：</w:t>
            </w:r>
            <w:r>
              <w:rPr>
                <w:rFonts w:hint="eastAsia"/>
                <w:color w:val="000000" w:themeColor="text1"/>
                <w:sz w:val="24"/>
                <w:szCs w:val="24"/>
                <w:u w:val="single"/>
                <w14:textFill>
                  <w14:solidFill>
                    <w14:schemeClr w14:val="tx1"/>
                  </w14:solidFill>
                </w14:textFill>
              </w:rPr>
              <w:t>4%</w:t>
            </w:r>
            <w:r>
              <w:rPr>
                <w:rFonts w:hint="eastAsia"/>
                <w:color w:val="000000" w:themeColor="text1"/>
                <w:sz w:val="24"/>
                <w:szCs w:val="24"/>
                <w14:textFill>
                  <w14:solidFill>
                    <w14:schemeClr w14:val="tx1"/>
                  </w14:solidFill>
                </w14:textFill>
              </w:rPr>
              <w:t>（货物服务</w:t>
            </w:r>
            <w:r>
              <w:rPr>
                <w:color w:val="000000" w:themeColor="text1"/>
                <w:sz w:val="24"/>
                <w:szCs w:val="24"/>
                <w14:textFill>
                  <w14:solidFill>
                    <w14:schemeClr w14:val="tx1"/>
                  </w14:solidFill>
                </w14:textFill>
              </w:rPr>
              <w:t>4%-6%</w:t>
            </w:r>
            <w:r>
              <w:rPr>
                <w:rFonts w:hint="eastAsia"/>
                <w:color w:val="000000" w:themeColor="text1"/>
                <w:sz w:val="24"/>
                <w:szCs w:val="24"/>
                <w14:textFill>
                  <w14:solidFill>
                    <w14:schemeClr w14:val="tx1"/>
                  </w14:solidFill>
                </w14:textFill>
              </w:rPr>
              <w:t>）；</w:t>
            </w:r>
          </w:p>
          <w:p w14:paraId="74A93E3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中小企业应当提供《中小企业声明函》（详见本招标文件第七章 响应文件格式），否则在评审时不享受上述评审优惠。</w:t>
            </w:r>
          </w:p>
          <w:p w14:paraId="207AFB99">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专门面向中小企业的项目</w:t>
            </w:r>
          </w:p>
          <w:p w14:paraId="75CF422F">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专门面向中小企业采购标的内容：</w:t>
            </w:r>
            <w:r>
              <w:rPr>
                <w:rFonts w:hint="eastAsia"/>
                <w:color w:val="000000" w:themeColor="text1"/>
                <w:sz w:val="24"/>
                <w:szCs w:val="24"/>
                <w:u w:val="single"/>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lang w:val="en-US" w:eastAsia="zh-CN"/>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w:t>
            </w:r>
          </w:p>
          <w:p w14:paraId="580E9014">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专门面向中小企业采购预算金额：</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lang w:val="en-US" w:eastAsia="zh-CN"/>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w:t>
            </w:r>
          </w:p>
        </w:tc>
      </w:tr>
      <w:tr w14:paraId="077DEE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right w:val="single" w:color="auto" w:sz="4" w:space="0"/>
            </w:tcBorders>
            <w:vAlign w:val="center"/>
          </w:tcPr>
          <w:p w14:paraId="28B4181F">
            <w:pPr>
              <w:pStyle w:val="54"/>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5.1</w:t>
            </w:r>
          </w:p>
        </w:tc>
        <w:tc>
          <w:tcPr>
            <w:tcW w:w="1908" w:type="dxa"/>
            <w:tcBorders>
              <w:left w:val="single" w:color="auto" w:sz="4" w:space="0"/>
              <w:right w:val="single" w:color="auto" w:sz="4" w:space="0"/>
            </w:tcBorders>
            <w:vAlign w:val="center"/>
          </w:tcPr>
          <w:p w14:paraId="72CFB7DD">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政府采购</w:t>
            </w:r>
          </w:p>
          <w:p w14:paraId="76832487">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合同融资政策</w:t>
            </w:r>
          </w:p>
        </w:tc>
        <w:tc>
          <w:tcPr>
            <w:tcW w:w="5653" w:type="dxa"/>
            <w:tcBorders>
              <w:left w:val="single" w:color="auto" w:sz="4" w:space="0"/>
            </w:tcBorders>
            <w:vAlign w:val="center"/>
          </w:tcPr>
          <w:p w14:paraId="1F7927E4">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政府采购合同融资（以下简称“政采贷”）指参与政府采购活动的中小微企业，在获得政府采购中标（成交）通知书后，即可向开展“政采贷”业务的金融机构提出申请，金融机构依据政府采购中标（成交）通知书和政府采购合同，为中小微企业提供融资服务。</w:t>
            </w:r>
          </w:p>
          <w:p w14:paraId="028FF335">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渠道和方式：中标供应商可联系昆明市晋宁区财政局咨询有关业务，联系电话0871-67896932。</w:t>
            </w:r>
          </w:p>
        </w:tc>
      </w:tr>
      <w:tr w14:paraId="6763AC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right w:val="single" w:color="auto" w:sz="4" w:space="0"/>
            </w:tcBorders>
            <w:vAlign w:val="center"/>
          </w:tcPr>
          <w:p w14:paraId="6125B7E7">
            <w:pPr>
              <w:pStyle w:val="54"/>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6.1</w:t>
            </w:r>
          </w:p>
        </w:tc>
        <w:tc>
          <w:tcPr>
            <w:tcW w:w="1908" w:type="dxa"/>
            <w:tcBorders>
              <w:right w:val="single" w:color="auto" w:sz="4" w:space="0"/>
            </w:tcBorders>
            <w:vAlign w:val="center"/>
          </w:tcPr>
          <w:p w14:paraId="2727F300">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需要补充的其他内容</w:t>
            </w:r>
          </w:p>
        </w:tc>
        <w:tc>
          <w:tcPr>
            <w:tcW w:w="5653" w:type="dxa"/>
            <w:tcBorders>
              <w:left w:val="single" w:color="auto" w:sz="4" w:space="0"/>
            </w:tcBorders>
            <w:vAlign w:val="center"/>
          </w:tcPr>
          <w:p w14:paraId="5C5BFA6D">
            <w:pPr>
              <w:pStyle w:val="54"/>
              <w:rPr>
                <w:rFonts w:hint="eastAsia"/>
                <w:color w:val="000000" w:themeColor="text1"/>
                <w:sz w:val="24"/>
                <w:szCs w:val="24"/>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1.为支持和促进中小企业发展，进一步发挥政府采购政策功能，鼓励</w:t>
            </w:r>
            <w:r>
              <w:rPr>
                <w:rFonts w:hint="eastAsia" w:cs="宋体"/>
                <w:color w:val="000000" w:themeColor="text1"/>
                <w:lang w:val="en-US" w:eastAsia="zh-CN"/>
                <w14:textFill>
                  <w14:solidFill>
                    <w14:schemeClr w14:val="tx1"/>
                  </w14:solidFill>
                </w14:textFill>
              </w:rPr>
              <w:t>投标供应商</w:t>
            </w:r>
            <w:r>
              <w:rPr>
                <w:rFonts w:hint="eastAsia" w:ascii="宋体" w:hAnsi="宋体" w:eastAsia="宋体" w:cs="宋体"/>
                <w:color w:val="000000" w:themeColor="text1"/>
                <w:lang w:val="en-US" w:eastAsia="zh-CN"/>
                <w14:textFill>
                  <w14:solidFill>
                    <w14:schemeClr w14:val="tx1"/>
                  </w14:solidFill>
                </w14:textFill>
              </w:rPr>
              <w:t>使用电子保险/保函替代投标、履约保证金，支持中标人基于中标项目进行合同融资。申请人可登录【云南省政府采购金融服务支撑平台】进行了解办理或致电95763，如您有紧急需求的可联系13732226998（谢工）。直达链接：https://jinrong.zcygov.cn/luban/finance/yunnan</w:t>
            </w:r>
          </w:p>
          <w:p w14:paraId="6AAE234E">
            <w:pPr>
              <w:pStyle w:val="54"/>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合同签订前，中标单位必须在</w:t>
            </w:r>
            <w:r>
              <w:rPr>
                <w:rFonts w:hint="eastAsia"/>
                <w:color w:val="000000" w:themeColor="text1"/>
                <w:sz w:val="24"/>
                <w:szCs w:val="24"/>
                <w14:textFill>
                  <w14:solidFill>
                    <w14:schemeClr w14:val="tx1"/>
                  </w14:solidFill>
                </w14:textFill>
              </w:rPr>
              <w:t>政采云网</w:t>
            </w:r>
            <w:r>
              <w:rPr>
                <w:color w:val="000000" w:themeColor="text1"/>
                <w:sz w:val="24"/>
                <w:szCs w:val="24"/>
                <w14:textFill>
                  <w14:solidFill>
                    <w14:schemeClr w14:val="tx1"/>
                  </w14:solidFill>
                </w14:textFill>
              </w:rPr>
              <w:t>上完成供应商注册，以方便合同备案。</w:t>
            </w:r>
          </w:p>
          <w:p w14:paraId="5838D0E9">
            <w:pPr>
              <w:pStyle w:val="54"/>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14:textFill>
                  <w14:solidFill>
                    <w14:schemeClr w14:val="tx1"/>
                  </w14:solidFill>
                </w14:textFill>
              </w:rPr>
              <w:t>.本采购项目不收取投标保证金。</w:t>
            </w:r>
          </w:p>
          <w:p w14:paraId="2BB59CA6">
            <w:pPr>
              <w:pStyle w:val="12"/>
              <w:rPr>
                <w:rFonts w:hint="eastAsia" w:ascii="宋体" w:hAnsi="宋体" w:eastAsia="宋体"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14:textFill>
                  <w14:solidFill>
                    <w14:schemeClr w14:val="tx1"/>
                  </w14:solidFill>
                </w14:textFill>
              </w:rPr>
              <w:t>.</w:t>
            </w:r>
            <w:r>
              <w:rPr>
                <w:rFonts w:hint="eastAsia" w:ascii="宋体" w:hAnsi="宋体" w:eastAsia="宋体" w:cstheme="minorBidi"/>
                <w:color w:val="000000" w:themeColor="text1"/>
                <w:kern w:val="2"/>
                <w:sz w:val="24"/>
                <w:szCs w:val="24"/>
                <w:lang w:val="en-US" w:eastAsia="zh-CN" w:bidi="ar-SA"/>
                <w14:textFill>
                  <w14:solidFill>
                    <w14:schemeClr w14:val="tx1"/>
                  </w14:solidFill>
                </w14:textFill>
              </w:rPr>
              <w:t>本项目标的行业划分为：</w:t>
            </w:r>
            <w:r>
              <w:rPr>
                <w:rFonts w:hint="eastAsia" w:ascii="宋体" w:hAnsi="宋体" w:eastAsia="宋体" w:cstheme="minorBidi"/>
                <w:color w:val="000000" w:themeColor="text1"/>
                <w:kern w:val="2"/>
                <w:sz w:val="24"/>
                <w:szCs w:val="24"/>
                <w:u w:val="single"/>
                <w:lang w:val="en-US" w:eastAsia="zh-CN" w:bidi="ar-SA"/>
                <w14:textFill>
                  <w14:solidFill>
                    <w14:schemeClr w14:val="tx1"/>
                  </w14:solidFill>
                </w14:textFill>
              </w:rPr>
              <w:t>软件和信息技术服务业</w:t>
            </w:r>
            <w:r>
              <w:rPr>
                <w:rFonts w:hint="eastAsia" w:ascii="宋体" w:hAnsi="宋体" w:eastAsia="宋体" w:cstheme="minorBidi"/>
                <w:color w:val="000000" w:themeColor="text1"/>
                <w:kern w:val="2"/>
                <w:sz w:val="24"/>
                <w:szCs w:val="24"/>
                <w:lang w:val="en-US" w:eastAsia="zh-CN" w:bidi="ar-SA"/>
                <w14:textFill>
                  <w14:solidFill>
                    <w14:schemeClr w14:val="tx1"/>
                  </w14:solidFill>
                </w14:textFill>
              </w:rPr>
              <w:t xml:space="preserve">。 </w:t>
            </w:r>
          </w:p>
          <w:p w14:paraId="77B8B492">
            <w:pPr>
              <w:pStyle w:val="54"/>
              <w:rPr>
                <w:rFonts w:hint="eastAsia"/>
                <w:b/>
                <w:bCs/>
                <w:color w:val="000000" w:themeColor="text1"/>
                <w:sz w:val="24"/>
                <w:szCs w:val="24"/>
                <w:u w:val="single"/>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14:textFill>
                  <w14:solidFill>
                    <w14:schemeClr w14:val="tx1"/>
                  </w14:solidFill>
                </w14:textFill>
              </w:rPr>
              <w:t>.本项目评标委员会组成：由采购人代表和云南省政府采购评标专家库随机抽取的评标专家组成，评标专家占比不低于三分之二。</w:t>
            </w:r>
          </w:p>
        </w:tc>
      </w:tr>
      <w:tr w14:paraId="4B0D1F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1" w:type="dxa"/>
            <w:gridSpan w:val="3"/>
            <w:vAlign w:val="center"/>
          </w:tcPr>
          <w:p w14:paraId="00C901D8">
            <w:pPr>
              <w:pStyle w:val="54"/>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1. </w:t>
            </w:r>
            <w:r>
              <w:rPr>
                <w:rFonts w:hint="eastAsia"/>
                <w:color w:val="000000" w:themeColor="text1"/>
                <w:sz w:val="24"/>
                <w:szCs w:val="24"/>
                <w14:textFill>
                  <w14:solidFill>
                    <w14:schemeClr w14:val="tx1"/>
                  </w14:solidFill>
                </w14:textFill>
              </w:rPr>
              <w:t>除本招标文件另有规定外，招标文件中出现的类似于“近三年”或“前三年”、“近五年”或“前五年”均指递交投标文件时间以前三</w:t>
            </w:r>
            <w:r>
              <w:rPr>
                <w:color w:val="000000" w:themeColor="text1"/>
                <w:sz w:val="24"/>
                <w:szCs w:val="24"/>
                <w14:textFill>
                  <w14:solidFill>
                    <w14:schemeClr w14:val="tx1"/>
                  </w14:solidFill>
                </w14:textFill>
              </w:rPr>
              <w:t>年或前</w:t>
            </w:r>
            <w:r>
              <w:rPr>
                <w:rFonts w:hint="eastAsia"/>
                <w:color w:val="000000" w:themeColor="text1"/>
                <w:sz w:val="24"/>
                <w:szCs w:val="24"/>
                <w14:textFill>
                  <w14:solidFill>
                    <w14:schemeClr w14:val="tx1"/>
                  </w14:solidFill>
                </w14:textFill>
              </w:rPr>
              <w:t>五</w:t>
            </w:r>
            <w:r>
              <w:rPr>
                <w:color w:val="000000" w:themeColor="text1"/>
                <w:sz w:val="24"/>
                <w:szCs w:val="24"/>
                <w14:textFill>
                  <w14:solidFill>
                    <w14:schemeClr w14:val="tx1"/>
                  </w14:solidFill>
                </w14:textFill>
              </w:rPr>
              <w:t xml:space="preserve">年，以此类推。如：递交投标文件时间为  </w:t>
            </w:r>
            <w:r>
              <w:rPr>
                <w:rFonts w:hint="eastAsia"/>
                <w:color w:val="000000" w:themeColor="text1"/>
                <w:sz w:val="24"/>
                <w:szCs w:val="24"/>
                <w14:textFill>
                  <w14:solidFill>
                    <w14:schemeClr w14:val="tx1"/>
                  </w14:solidFill>
                </w14:textFill>
              </w:rPr>
              <w:t>年</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日，则“近三年”是指</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日至</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日。</w:t>
            </w:r>
          </w:p>
          <w:p w14:paraId="1658CDB5">
            <w:pPr>
              <w:pStyle w:val="54"/>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2. </w:t>
            </w:r>
            <w:r>
              <w:rPr>
                <w:rFonts w:hint="eastAsia"/>
                <w:color w:val="000000" w:themeColor="text1"/>
                <w:sz w:val="24"/>
                <w:szCs w:val="24"/>
                <w14:textFill>
                  <w14:solidFill>
                    <w14:schemeClr w14:val="tx1"/>
                  </w14:solidFill>
                </w14:textFill>
              </w:rPr>
              <w:t>本招标文件所称的“以上”、“以下”、“内”、“以内”，包括本数；所称的“不足”，不包括本数。</w:t>
            </w:r>
          </w:p>
          <w:p w14:paraId="1CA7D8F2">
            <w:pPr>
              <w:pStyle w:val="54"/>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 </w:t>
            </w:r>
            <w:r>
              <w:rPr>
                <w:rFonts w:hint="eastAsia"/>
                <w:color w:val="000000" w:themeColor="text1"/>
                <w:sz w:val="24"/>
                <w:szCs w:val="24"/>
                <w14:textFill>
                  <w14:solidFill>
                    <w14:schemeClr w14:val="tx1"/>
                  </w14:solidFill>
                </w14:textFill>
              </w:rPr>
              <w:t>投标供应商须知前附表中，“</w:t>
            </w:r>
            <w:r>
              <w:rPr>
                <w:color w:val="000000" w:themeColor="text1"/>
                <w:sz w:val="24"/>
                <w:szCs w:val="24"/>
                <w14:textFill>
                  <w14:solidFill>
                    <w14:schemeClr w14:val="tx1"/>
                  </w14:solidFill>
                </w14:textFill>
              </w:rPr>
              <w:sym w:font="Wingdings" w:char="00FE"/>
            </w:r>
            <w:r>
              <w:rPr>
                <w:rFonts w:hint="eastAsia"/>
                <w:color w:val="000000" w:themeColor="text1"/>
                <w:sz w:val="24"/>
                <w:szCs w:val="24"/>
                <w14:textFill>
                  <w14:solidFill>
                    <w14:schemeClr w14:val="tx1"/>
                  </w14:solidFill>
                </w14:textFill>
              </w:rPr>
              <w:t>”代表选中，“</w:t>
            </w:r>
            <w:r>
              <w:rPr>
                <w:color w:val="000000" w:themeColor="text1"/>
                <w:sz w:val="24"/>
                <w:szCs w:val="24"/>
                <w14:textFill>
                  <w14:solidFill>
                    <w14:schemeClr w14:val="tx1"/>
                  </w14:solidFill>
                </w14:textFill>
              </w:rPr>
              <w:sym w:font="Wingdings" w:char="00A8"/>
            </w:r>
            <w:r>
              <w:rPr>
                <w:rFonts w:hint="eastAsia"/>
                <w:color w:val="000000" w:themeColor="text1"/>
                <w:sz w:val="24"/>
                <w:szCs w:val="24"/>
                <w14:textFill>
                  <w14:solidFill>
                    <w14:schemeClr w14:val="tx1"/>
                  </w14:solidFill>
                </w14:textFill>
              </w:rPr>
              <w:t>”代表未选中。</w:t>
            </w:r>
          </w:p>
        </w:tc>
      </w:tr>
    </w:tbl>
    <w:p w14:paraId="673A7AD6">
      <w:pPr>
        <w:rPr>
          <w:rFonts w:hint="eastAsia"/>
          <w:color w:val="000000" w:themeColor="text1"/>
          <w14:textFill>
            <w14:solidFill>
              <w14:schemeClr w14:val="tx1"/>
            </w14:solidFill>
          </w14:textFill>
        </w:rPr>
      </w:pPr>
    </w:p>
    <w:p w14:paraId="78E80927">
      <w:pPr>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664A5778">
      <w:pP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附件：</w:t>
      </w:r>
    </w:p>
    <w:p w14:paraId="1CB93E49">
      <w:pPr>
        <w:widowControl/>
        <w:shd w:val="clear" w:color="auto" w:fill="FFFFFF"/>
        <w:spacing w:before="100" w:beforeAutospacing="1" w:after="100" w:afterAutospacing="1"/>
        <w:jc w:val="center"/>
        <w:rPr>
          <w:rFonts w:hint="eastAsia" w:cs="宋体"/>
          <w:color w:val="000000" w:themeColor="text1"/>
          <w:sz w:val="21"/>
          <w:szCs w:val="21"/>
          <w14:textFill>
            <w14:solidFill>
              <w14:schemeClr w14:val="tx1"/>
            </w14:solidFill>
          </w14:textFill>
        </w:rPr>
      </w:pPr>
      <w:r>
        <w:rPr>
          <w:rFonts w:hint="eastAsia" w:cs="宋体"/>
          <w:b/>
          <w:bCs/>
          <w:color w:val="000000" w:themeColor="text1"/>
          <w:sz w:val="28"/>
          <w:szCs w:val="28"/>
          <w14:textFill>
            <w14:solidFill>
              <w14:schemeClr w14:val="tx1"/>
            </w14:solidFill>
          </w14:textFill>
        </w:rPr>
        <w:t>中小企业划型标准规定</w:t>
      </w:r>
    </w:p>
    <w:p w14:paraId="20B2A19D">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一、根据《中华人民共和国中小企业促进法》和《国务院关于进一步促进中小企业发展的若干意见》(国发〔2009〕36号)，制定本规定。</w:t>
      </w:r>
    </w:p>
    <w:p w14:paraId="7037DA0D">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二、中小企业划分为中型、小型、微型三种类型，具体标准根据企业从业人员、营业收入、资产总额等指标，结合行业特点制定。</w:t>
      </w:r>
    </w:p>
    <w:p w14:paraId="0C02EB6F">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DF52710">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四、各行业划型标准为：</w:t>
      </w:r>
    </w:p>
    <w:p w14:paraId="5F28FBC5">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5CECFF22">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1C8DB7E">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3418432">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52EF60F">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793E114">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4AE4A65">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F91D580">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7481E4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33A8A3B">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38FE287">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016315A">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9390351">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B3AA01A">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836B4C9">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8DE4C43">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7F08A3CD">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五、企业类型的划分以统计部门的统计数据为依据。</w:t>
      </w:r>
    </w:p>
    <w:p w14:paraId="1F96C097">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7A24345C">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1161AAC7">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八、本规定由工业和信息化部、国家统计局会同有关部门根据《国民经济行业分类》修订情况和企业发展变化情况适时修订。</w:t>
      </w:r>
    </w:p>
    <w:p w14:paraId="471E5D1E">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九、本规定由工业和信息化部、国家统计局会同有关部门负责解释。</w:t>
      </w:r>
    </w:p>
    <w:p w14:paraId="0F59BBA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十、本规定自发布之日起执行，原国家经贸委、原国家计委、财政部和国家统计局2003年颁布的《中小企业标准暂行规定》同时废止。</w:t>
      </w:r>
    </w:p>
    <w:p w14:paraId="1B15861C">
      <w:pPr>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74DB7BFF">
      <w:pPr>
        <w:pStyle w:val="4"/>
        <w:numPr>
          <w:ilvl w:val="0"/>
          <w:numId w:val="3"/>
        </w:numPr>
        <w:rPr>
          <w:rFonts w:hint="eastAsia"/>
          <w:color w:val="000000" w:themeColor="text1"/>
          <w14:textFill>
            <w14:solidFill>
              <w14:schemeClr w14:val="tx1"/>
            </w14:solidFill>
          </w14:textFill>
        </w:rPr>
      </w:pPr>
      <w:bookmarkStart w:id="78" w:name="_Toc303"/>
      <w:bookmarkStart w:id="79" w:name="_Toc155185869"/>
      <w:r>
        <w:rPr>
          <w:rFonts w:hint="eastAsia"/>
          <w:color w:val="000000" w:themeColor="text1"/>
          <w14:textFill>
            <w14:solidFill>
              <w14:schemeClr w14:val="tx1"/>
            </w14:solidFill>
          </w14:textFill>
        </w:rPr>
        <w:t>投标供应商须知</w:t>
      </w:r>
      <w:bookmarkEnd w:id="78"/>
      <w:bookmarkEnd w:id="79"/>
    </w:p>
    <w:p w14:paraId="4C47BBFB">
      <w:pPr>
        <w:pStyle w:val="5"/>
        <w:numPr>
          <w:ilvl w:val="0"/>
          <w:numId w:val="4"/>
        </w:numPr>
        <w:rPr>
          <w:rFonts w:hint="eastAsia"/>
          <w:color w:val="000000" w:themeColor="text1"/>
          <w14:textFill>
            <w14:solidFill>
              <w14:schemeClr w14:val="tx1"/>
            </w14:solidFill>
          </w14:textFill>
        </w:rPr>
      </w:pPr>
      <w:bookmarkStart w:id="80" w:name="_Toc155185870"/>
      <w:bookmarkStart w:id="81" w:name="_Toc2947"/>
      <w:r>
        <w:rPr>
          <w:rFonts w:hint="eastAsia"/>
          <w:color w:val="000000" w:themeColor="text1"/>
          <w14:textFill>
            <w14:solidFill>
              <w14:schemeClr w14:val="tx1"/>
            </w14:solidFill>
          </w14:textFill>
        </w:rPr>
        <w:t>总则</w:t>
      </w:r>
      <w:bookmarkEnd w:id="80"/>
      <w:bookmarkEnd w:id="81"/>
    </w:p>
    <w:p w14:paraId="2D8B2CDA">
      <w:pPr>
        <w:pStyle w:val="6"/>
        <w:numPr>
          <w:ilvl w:val="0"/>
          <w:numId w:val="5"/>
        </w:numPr>
        <w:rPr>
          <w:rFonts w:hint="eastAsia"/>
          <w:color w:val="000000" w:themeColor="text1"/>
          <w14:textFill>
            <w14:solidFill>
              <w14:schemeClr w14:val="tx1"/>
            </w14:solidFill>
          </w14:textFill>
        </w:rPr>
      </w:pPr>
      <w:bookmarkStart w:id="82" w:name="_Toc109900469"/>
      <w:bookmarkStart w:id="83" w:name="_Toc109899631"/>
      <w:bookmarkStart w:id="84" w:name="_Toc21293"/>
      <w:bookmarkStart w:id="85" w:name="_Toc31233"/>
      <w:bookmarkStart w:id="86" w:name="_Toc16528"/>
      <w:bookmarkStart w:id="87" w:name="_Toc109900050"/>
      <w:bookmarkStart w:id="88" w:name="_Toc109897532"/>
      <w:bookmarkStart w:id="89" w:name="_Toc155095689"/>
      <w:r>
        <w:rPr>
          <w:rFonts w:hint="eastAsia"/>
          <w:color w:val="000000" w:themeColor="text1"/>
          <w14:textFill>
            <w14:solidFill>
              <w14:schemeClr w14:val="tx1"/>
            </w14:solidFill>
          </w14:textFill>
        </w:rPr>
        <w:t>适用范围</w:t>
      </w:r>
      <w:bookmarkEnd w:id="82"/>
      <w:bookmarkEnd w:id="83"/>
      <w:bookmarkEnd w:id="84"/>
      <w:bookmarkEnd w:id="85"/>
      <w:bookmarkEnd w:id="86"/>
      <w:bookmarkEnd w:id="87"/>
      <w:bookmarkEnd w:id="88"/>
      <w:bookmarkEnd w:id="89"/>
    </w:p>
    <w:p w14:paraId="7C8FF9E5">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1.1本招标文件仅适用于本次公开招标中所述项目的采购活动。</w:t>
      </w:r>
    </w:p>
    <w:p w14:paraId="6514C168">
      <w:pPr>
        <w:pStyle w:val="6"/>
        <w:numPr>
          <w:ilvl w:val="0"/>
          <w:numId w:val="5"/>
        </w:numPr>
        <w:rPr>
          <w:rFonts w:hint="eastAsia"/>
          <w:color w:val="000000" w:themeColor="text1"/>
          <w14:textFill>
            <w14:solidFill>
              <w14:schemeClr w14:val="tx1"/>
            </w14:solidFill>
          </w14:textFill>
        </w:rPr>
      </w:pPr>
      <w:bookmarkStart w:id="90" w:name="_Toc19073"/>
      <w:bookmarkStart w:id="91" w:name="_Toc15755"/>
      <w:r>
        <w:rPr>
          <w:rFonts w:hint="eastAsia"/>
          <w:color w:val="000000" w:themeColor="text1"/>
          <w14:textFill>
            <w14:solidFill>
              <w14:schemeClr w14:val="tx1"/>
            </w14:solidFill>
          </w14:textFill>
        </w:rPr>
        <w:t>基本定义</w:t>
      </w:r>
      <w:bookmarkEnd w:id="90"/>
      <w:bookmarkEnd w:id="91"/>
    </w:p>
    <w:p w14:paraId="628686F2">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2.1根据《中华人民共和国政府采购法》及其实施条例等有关法律、法规和规章的规定，制定本招标文件。</w:t>
      </w:r>
    </w:p>
    <w:p w14:paraId="0978E27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2.2采购人：见“投标供应商须知前附表”。</w:t>
      </w:r>
    </w:p>
    <w:p w14:paraId="1CE198BF">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2.3采购代理机构：见“投标供应商须知前附表”。</w:t>
      </w:r>
    </w:p>
    <w:p w14:paraId="4754CC6D">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2.4政府采购监督管理部门：</w:t>
      </w:r>
      <w:r>
        <w:rPr>
          <w:color w:val="000000" w:themeColor="text1"/>
          <w14:textFill>
            <w14:solidFill>
              <w14:schemeClr w14:val="tx1"/>
            </w14:solidFill>
          </w14:textFill>
        </w:rPr>
        <w:t>见</w:t>
      </w:r>
      <w:r>
        <w:rPr>
          <w:rFonts w:hint="eastAsia"/>
          <w:color w:val="000000" w:themeColor="text1"/>
          <w14:textFill>
            <w14:solidFill>
              <w14:schemeClr w14:val="tx1"/>
            </w14:solidFill>
          </w14:textFill>
        </w:rPr>
        <w:t>“投标供应商须知前附表”。</w:t>
      </w:r>
    </w:p>
    <w:p w14:paraId="58B74CD4">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项目名称：见“投标供应商须知前附表”。</w:t>
      </w:r>
    </w:p>
    <w:p w14:paraId="2D2FCD39">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项目地点：见“投标供应商须知前附表”。</w:t>
      </w:r>
    </w:p>
    <w:p w14:paraId="57B0CCBF">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项目内容：见“投标供应商须知前附表”。</w:t>
      </w:r>
    </w:p>
    <w:p w14:paraId="16933CF0">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2.8项目属性：见“投标供应商须知前附表”。</w:t>
      </w:r>
    </w:p>
    <w:p w14:paraId="2E4D86A5">
      <w:pPr>
        <w:pStyle w:val="6"/>
        <w:numPr>
          <w:ilvl w:val="0"/>
          <w:numId w:val="5"/>
        </w:numPr>
        <w:rPr>
          <w:rFonts w:hint="eastAsia"/>
          <w:color w:val="000000" w:themeColor="text1"/>
          <w14:textFill>
            <w14:solidFill>
              <w14:schemeClr w14:val="tx1"/>
            </w14:solidFill>
          </w14:textFill>
        </w:rPr>
      </w:pPr>
      <w:bookmarkStart w:id="92" w:name="_Toc465"/>
      <w:bookmarkStart w:id="93" w:name="_Toc140132758"/>
      <w:bookmarkStart w:id="94" w:name="_Toc11616"/>
      <w:r>
        <w:rPr>
          <w:rFonts w:hint="eastAsia"/>
          <w:color w:val="000000" w:themeColor="text1"/>
          <w14:textFill>
            <w14:solidFill>
              <w14:schemeClr w14:val="tx1"/>
            </w14:solidFill>
          </w14:textFill>
        </w:rPr>
        <w:t>资金来源</w:t>
      </w:r>
      <w:bookmarkEnd w:id="92"/>
      <w:bookmarkEnd w:id="93"/>
      <w:bookmarkEnd w:id="94"/>
    </w:p>
    <w:p w14:paraId="475F8A89">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3.1资金来源：见“投标供应商须知前附表”。</w:t>
      </w:r>
    </w:p>
    <w:p w14:paraId="2DE86918">
      <w:pPr>
        <w:pStyle w:val="6"/>
        <w:numPr>
          <w:ilvl w:val="0"/>
          <w:numId w:val="5"/>
        </w:numPr>
        <w:rPr>
          <w:rFonts w:hint="eastAsia"/>
          <w:color w:val="000000" w:themeColor="text1"/>
          <w14:textFill>
            <w14:solidFill>
              <w14:schemeClr w14:val="tx1"/>
            </w14:solidFill>
          </w14:textFill>
        </w:rPr>
      </w:pPr>
      <w:bookmarkStart w:id="95" w:name="_Toc11045"/>
      <w:bookmarkStart w:id="96" w:name="_Toc140132760"/>
      <w:bookmarkStart w:id="97" w:name="_Toc19075"/>
      <w:r>
        <w:rPr>
          <w:rFonts w:hint="eastAsia"/>
          <w:color w:val="000000" w:themeColor="text1"/>
          <w14:textFill>
            <w14:solidFill>
              <w14:schemeClr w14:val="tx1"/>
            </w14:solidFill>
          </w14:textFill>
        </w:rPr>
        <w:t>投标供应商资格要求</w:t>
      </w:r>
      <w:bookmarkEnd w:id="95"/>
      <w:bookmarkEnd w:id="96"/>
      <w:bookmarkEnd w:id="97"/>
    </w:p>
    <w:p w14:paraId="6018B019">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4.1投标供应商资格要求：见“投标供应商须知前附表”；</w:t>
      </w:r>
    </w:p>
    <w:p w14:paraId="5CE0CA6D">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4.2“投标供应商须知前附表”规定接受联合体投标的，还应遵守以下规定：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（1）联合体各方应按招标文件提供的格式签订联合体协议书，明确联合体牵头人和各方权利义务；</w:t>
      </w:r>
    </w:p>
    <w:p w14:paraId="06471484">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（2）由同一专业的单位组成的联合体，按照资质等级较低的单位确定资质等级；</w:t>
      </w:r>
    </w:p>
    <w:p w14:paraId="05FAC370">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（3）联合体各方不得再以自己名义单独或参加其他联合体在本招标项目中投标。</w:t>
      </w:r>
    </w:p>
    <w:p w14:paraId="58C42EBF">
      <w:pPr>
        <w:pStyle w:val="6"/>
        <w:numPr>
          <w:ilvl w:val="0"/>
          <w:numId w:val="5"/>
        </w:numPr>
        <w:rPr>
          <w:rFonts w:hint="eastAsia"/>
          <w:color w:val="000000" w:themeColor="text1"/>
          <w14:textFill>
            <w14:solidFill>
              <w14:schemeClr w14:val="tx1"/>
            </w14:solidFill>
          </w14:textFill>
        </w:rPr>
      </w:pPr>
      <w:bookmarkStart w:id="98" w:name="_Toc5453"/>
      <w:bookmarkStart w:id="99" w:name="_Toc229"/>
      <w:r>
        <w:rPr>
          <w:rFonts w:hint="eastAsia"/>
          <w:color w:val="000000" w:themeColor="text1"/>
          <w14:textFill>
            <w14:solidFill>
              <w14:schemeClr w14:val="tx1"/>
            </w14:solidFill>
          </w14:textFill>
        </w:rPr>
        <w:t>费用承担</w:t>
      </w:r>
      <w:bookmarkEnd w:id="98"/>
      <w:bookmarkEnd w:id="99"/>
    </w:p>
    <w:p w14:paraId="26609ADE">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5.1不论投标的结果如何，投标供应商应承担所有与准备和参加投标有关的费用。</w:t>
      </w:r>
    </w:p>
    <w:p w14:paraId="5F0A3DA1">
      <w:pPr>
        <w:pStyle w:val="6"/>
        <w:numPr>
          <w:ilvl w:val="0"/>
          <w:numId w:val="5"/>
        </w:numPr>
        <w:rPr>
          <w:rFonts w:hint="eastAsia"/>
          <w:color w:val="000000" w:themeColor="text1"/>
          <w14:textFill>
            <w14:solidFill>
              <w14:schemeClr w14:val="tx1"/>
            </w14:solidFill>
          </w14:textFill>
        </w:rPr>
      </w:pPr>
      <w:bookmarkStart w:id="100" w:name="_Toc26779"/>
      <w:bookmarkStart w:id="101" w:name="_Toc31051"/>
      <w:bookmarkStart w:id="102" w:name="_Toc140132761"/>
      <w:r>
        <w:rPr>
          <w:rFonts w:hint="eastAsia"/>
          <w:color w:val="000000" w:themeColor="text1"/>
          <w14:textFill>
            <w14:solidFill>
              <w14:schemeClr w14:val="tx1"/>
            </w14:solidFill>
          </w14:textFill>
        </w:rPr>
        <w:t>保密</w:t>
      </w:r>
      <w:bookmarkEnd w:id="100"/>
      <w:bookmarkEnd w:id="101"/>
      <w:bookmarkEnd w:id="102"/>
    </w:p>
    <w:p w14:paraId="74501843">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6.1参与招标投标活动的各方应对招标文件和投标文件中的商业和技术等秘密保密，否则应承担相应的法律责任。 </w:t>
      </w:r>
    </w:p>
    <w:p w14:paraId="4A26F617">
      <w:pPr>
        <w:pStyle w:val="6"/>
        <w:numPr>
          <w:ilvl w:val="0"/>
          <w:numId w:val="5"/>
        </w:numPr>
        <w:rPr>
          <w:rFonts w:hint="eastAsia"/>
          <w:color w:val="000000" w:themeColor="text1"/>
          <w14:textFill>
            <w14:solidFill>
              <w14:schemeClr w14:val="tx1"/>
            </w14:solidFill>
          </w14:textFill>
        </w:rPr>
      </w:pPr>
      <w:bookmarkStart w:id="103" w:name="_Toc11471"/>
      <w:bookmarkStart w:id="104" w:name="_Toc11945"/>
      <w:bookmarkStart w:id="105" w:name="_Toc140132762"/>
      <w:r>
        <w:rPr>
          <w:rFonts w:hint="eastAsia"/>
          <w:color w:val="000000" w:themeColor="text1"/>
          <w14:textFill>
            <w14:solidFill>
              <w14:schemeClr w14:val="tx1"/>
            </w14:solidFill>
          </w14:textFill>
        </w:rPr>
        <w:t>语言文字</w:t>
      </w:r>
      <w:bookmarkEnd w:id="103"/>
      <w:bookmarkEnd w:id="104"/>
      <w:bookmarkEnd w:id="105"/>
    </w:p>
    <w:p w14:paraId="3BF2868C">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7.1招标投标文件使用的语言文字为中文。专用术语使用外文的，应附有中文注释。</w:t>
      </w:r>
    </w:p>
    <w:p w14:paraId="5FB05A21">
      <w:pPr>
        <w:pStyle w:val="6"/>
        <w:numPr>
          <w:ilvl w:val="0"/>
          <w:numId w:val="5"/>
        </w:numPr>
        <w:rPr>
          <w:rFonts w:hint="eastAsia"/>
          <w:color w:val="000000" w:themeColor="text1"/>
          <w14:textFill>
            <w14:solidFill>
              <w14:schemeClr w14:val="tx1"/>
            </w14:solidFill>
          </w14:textFill>
        </w:rPr>
      </w:pPr>
      <w:bookmarkStart w:id="106" w:name="_Toc140132764"/>
      <w:bookmarkStart w:id="107" w:name="_Toc2953"/>
      <w:bookmarkStart w:id="108" w:name="_Toc5582"/>
      <w:r>
        <w:rPr>
          <w:rFonts w:hint="eastAsia"/>
          <w:color w:val="000000" w:themeColor="text1"/>
          <w14:textFill>
            <w14:solidFill>
              <w14:schemeClr w14:val="tx1"/>
            </w14:solidFill>
          </w14:textFill>
        </w:rPr>
        <w:t>现场考察和答疑会</w:t>
      </w:r>
      <w:bookmarkEnd w:id="106"/>
      <w:bookmarkEnd w:id="107"/>
      <w:bookmarkEnd w:id="108"/>
    </w:p>
    <w:p w14:paraId="6FBD58B5">
      <w:pPr>
        <w:pStyle w:val="42"/>
        <w:rPr>
          <w:rFonts w:hint="eastAsia"/>
          <w:color w:val="000000" w:themeColor="text1"/>
          <w14:textFill>
            <w14:solidFill>
              <w14:schemeClr w14:val="tx1"/>
            </w14:solidFill>
          </w14:textFill>
        </w:rPr>
      </w:pPr>
      <w:bookmarkStart w:id="109" w:name="_Hlk143529198"/>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 xml:space="preserve">.1 “投标供应商须知前附表”规定组织现场考察的，采购代理机构按“投标供应商须知前附表”规定的时间、地点组织投标供应商项目现场考察。 </w:t>
      </w:r>
    </w:p>
    <w:p w14:paraId="3AE2C25A">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.2 投标供应商现场考察发生的费用自理。</w:t>
      </w:r>
    </w:p>
    <w:p w14:paraId="7FA14B1C">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.3 在现场考察中，因投标供应商自身原因发生的人员伤亡和财产损失，由投标供应商自行负责。</w:t>
      </w:r>
    </w:p>
    <w:p w14:paraId="5C2CA33E">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.4 采购人在现场考察中介绍的项目场地和相关的周边环境情况，仅供投标供应商在编制投标文件时参考，采购人和采购代理机构不对投标供应商据此作出的判断和决策负责。</w:t>
      </w:r>
    </w:p>
    <w:p w14:paraId="4C30E044">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.5 “投标供应商须知前附表”规定召开答疑会的，采购代理机构按“投标供应商须知前附表”规定的时间和地点召开答疑会，澄清投标供应商提出的问题。</w:t>
      </w:r>
    </w:p>
    <w:bookmarkEnd w:id="109"/>
    <w:p w14:paraId="27E5DEAD">
      <w:pPr>
        <w:pStyle w:val="6"/>
        <w:numPr>
          <w:ilvl w:val="0"/>
          <w:numId w:val="5"/>
        </w:numPr>
        <w:rPr>
          <w:rFonts w:hint="eastAsia"/>
          <w:color w:val="000000" w:themeColor="text1"/>
          <w14:textFill>
            <w14:solidFill>
              <w14:schemeClr w14:val="tx1"/>
            </w14:solidFill>
          </w14:textFill>
        </w:rPr>
      </w:pPr>
      <w:bookmarkStart w:id="110" w:name="_Toc140132765"/>
      <w:bookmarkStart w:id="111" w:name="_Toc31816"/>
      <w:bookmarkStart w:id="112" w:name="_Toc10471"/>
      <w:r>
        <w:rPr>
          <w:rFonts w:hint="eastAsia"/>
          <w:color w:val="000000" w:themeColor="text1"/>
          <w14:textFill>
            <w14:solidFill>
              <w14:schemeClr w14:val="tx1"/>
            </w14:solidFill>
          </w14:textFill>
        </w:rPr>
        <w:t>中标后分包</w:t>
      </w:r>
      <w:bookmarkEnd w:id="110"/>
      <w:bookmarkEnd w:id="111"/>
      <w:bookmarkEnd w:id="112"/>
    </w:p>
    <w:p w14:paraId="6A9294F9">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.1 “投标供应商须知前附表”规定允许分包的，投标供应商应当遵守其分包规定。</w:t>
      </w:r>
    </w:p>
    <w:p w14:paraId="29F9F4AF">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.2 投标供应商未遵守招标文件分包规定的，其</w:t>
      </w:r>
      <w:r>
        <w:rPr>
          <w:rFonts w:hint="eastAsia"/>
          <w:b/>
          <w:bCs/>
          <w:color w:val="000000" w:themeColor="text1"/>
          <w14:textFill>
            <w14:solidFill>
              <w14:schemeClr w14:val="tx1"/>
            </w14:solidFill>
          </w14:textFill>
        </w:rPr>
        <w:t>投标无效</w:t>
      </w:r>
      <w:r>
        <w:rPr>
          <w:rFonts w:hint="eastAsia"/>
          <w:color w:val="000000" w:themeColor="text1"/>
          <w14:textFill>
            <w14:solidFill>
              <w14:schemeClr w14:val="tx1"/>
            </w14:solidFill>
          </w14:textFill>
        </w:rPr>
        <w:t>。分包规定见“投标供应商须知前附表”。</w:t>
      </w:r>
    </w:p>
    <w:p w14:paraId="04BE1BDC">
      <w:pPr>
        <w:pStyle w:val="6"/>
        <w:numPr>
          <w:ilvl w:val="0"/>
          <w:numId w:val="5"/>
        </w:numPr>
        <w:rPr>
          <w:rFonts w:hint="eastAsia"/>
          <w:color w:val="000000" w:themeColor="text1"/>
          <w14:textFill>
            <w14:solidFill>
              <w14:schemeClr w14:val="tx1"/>
            </w14:solidFill>
          </w14:textFill>
        </w:rPr>
      </w:pPr>
      <w:bookmarkStart w:id="113" w:name="_Toc155185858"/>
      <w:bookmarkStart w:id="114" w:name="_Toc23562"/>
      <w:bookmarkStart w:id="115" w:name="_Toc5753"/>
      <w:bookmarkStart w:id="116" w:name="_Toc155185871"/>
      <w:r>
        <w:rPr>
          <w:rFonts w:hint="eastAsia"/>
          <w:color w:val="000000" w:themeColor="text1"/>
          <w14:textFill>
            <w14:solidFill>
              <w14:schemeClr w14:val="tx1"/>
            </w14:solidFill>
          </w14:textFill>
        </w:rPr>
        <w:t>电子投标说明</w:t>
      </w:r>
      <w:bookmarkEnd w:id="113"/>
      <w:bookmarkEnd w:id="114"/>
      <w:bookmarkEnd w:id="115"/>
    </w:p>
    <w:p w14:paraId="7CFEE9E8">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0</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由于本项目采用电子招标方式，潜在投标供应商的名单将在投标截止时间后才会解密。因此，采购人或采购代理机构无法通过传统的传真或邮件方式，将招标文件的澄清或修改内容逐一通知到每位已获取招标文件的潜在投标供应商。为确保信息的及时性和准确性，澄清或修改的内容将仅在云南省政府采购网上以更正公告的形式发布。潜在投标供应商需密切关注该网站，及时查看并下载相关更正公告。若因潜在投标供应商未能及时查看或下载相关更正公告，而导致的一切后果，将由潜在投标供应商自行承担；</w:t>
      </w:r>
    </w:p>
    <w:p w14:paraId="701BE002">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0</w:t>
      </w:r>
      <w:r>
        <w:rPr>
          <w:color w:val="000000" w:themeColor="text1"/>
          <w14:textFill>
            <w14:solidFill>
              <w14:schemeClr w14:val="tx1"/>
            </w14:solidFill>
          </w14:textFill>
        </w:rPr>
        <w:t>.2制作电子投标文件需要数字证书（简称“CA”）和电子签章，请</w:t>
      </w:r>
      <w:r>
        <w:rPr>
          <w:rFonts w:hint="eastAsia"/>
          <w:color w:val="000000" w:themeColor="text1"/>
          <w14:textFill>
            <w14:solidFill>
              <w14:schemeClr w14:val="tx1"/>
            </w14:solidFill>
          </w14:textFill>
        </w:rPr>
        <w:t>供应商</w:t>
      </w:r>
      <w:r>
        <w:rPr>
          <w:color w:val="000000" w:themeColor="text1"/>
          <w14:textFill>
            <w14:solidFill>
              <w14:schemeClr w14:val="tx1"/>
            </w14:solidFill>
          </w14:textFill>
        </w:rPr>
        <w:t>及时办理数字证书及电子签章；</w:t>
      </w:r>
    </w:p>
    <w:p w14:paraId="43AE4C62">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0</w:t>
      </w:r>
      <w:r>
        <w:rPr>
          <w:color w:val="000000" w:themeColor="text1"/>
          <w14:textFill>
            <w14:solidFill>
              <w14:schemeClr w14:val="tx1"/>
            </w14:solidFill>
          </w14:textFill>
        </w:rPr>
        <w:t>.3数字证书及电子签章必须是在</w:t>
      </w:r>
      <w:r>
        <w:rPr>
          <w:rFonts w:hint="eastAsia"/>
          <w:color w:val="000000" w:themeColor="text1"/>
          <w:lang w:val="en-US"/>
          <w14:textFill>
            <w14:solidFill>
              <w14:schemeClr w14:val="tx1"/>
            </w14:solidFill>
          </w14:textFill>
        </w:rPr>
        <w:t>云南省政府采购电子交易系统</w:t>
      </w:r>
      <w:r>
        <w:rPr>
          <w:color w:val="000000" w:themeColor="text1"/>
          <w14:textFill>
            <w14:solidFill>
              <w14:schemeClr w14:val="tx1"/>
            </w14:solidFill>
          </w14:textFill>
        </w:rPr>
        <w:t>中实现了互联互通对接的产品。办理地点详见</w:t>
      </w:r>
      <w:r>
        <w:rPr>
          <w:rFonts w:hint="eastAsia"/>
          <w:color w:val="000000" w:themeColor="text1"/>
          <w:lang w:val="en-US"/>
          <w14:textFill>
            <w14:solidFill>
              <w14:schemeClr w14:val="tx1"/>
            </w14:solidFill>
          </w14:textFill>
        </w:rPr>
        <w:t>公告内容</w:t>
      </w:r>
      <w:r>
        <w:rPr>
          <w:color w:val="000000" w:themeColor="text1"/>
          <w14:textFill>
            <w14:solidFill>
              <w14:schemeClr w14:val="tx1"/>
            </w14:solidFill>
          </w14:textFill>
        </w:rPr>
        <w:t>。</w:t>
      </w:r>
    </w:p>
    <w:p w14:paraId="25CE77CC">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0</w:t>
      </w:r>
      <w:r>
        <w:rPr>
          <w:color w:val="000000" w:themeColor="text1"/>
          <w14:textFill>
            <w14:solidFill>
              <w14:schemeClr w14:val="tx1"/>
            </w14:solidFill>
          </w14:textFill>
        </w:rPr>
        <w:t>.4本招标文件中电子化招标采购的有关概念：</w:t>
      </w:r>
    </w:p>
    <w:p w14:paraId="344B14EC">
      <w:pPr>
        <w:pStyle w:val="42"/>
        <w:numPr>
          <w:ilvl w:val="0"/>
          <w:numId w:val="6"/>
        </w:numPr>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电子签名</w:t>
      </w:r>
      <w:r>
        <w:rPr>
          <w:rFonts w:hint="eastAsia"/>
          <w:color w:val="000000" w:themeColor="text1"/>
          <w14:textFill>
            <w14:solidFill>
              <w14:schemeClr w14:val="tx1"/>
            </w14:solidFill>
          </w14:textFill>
        </w:rPr>
        <w:t>：指运用电子密码技术，在数据电文中以电子形式所含，用于识别签名人（法人或自然人）身份并表明签名人认可其中内容的数据。</w:t>
      </w:r>
    </w:p>
    <w:p w14:paraId="4905A0CC">
      <w:pPr>
        <w:pStyle w:val="42"/>
        <w:numPr>
          <w:ilvl w:val="0"/>
          <w:numId w:val="6"/>
        </w:numPr>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电子印章</w:t>
      </w:r>
      <w:r>
        <w:rPr>
          <w:rFonts w:hint="eastAsia"/>
          <w:color w:val="000000" w:themeColor="text1"/>
          <w14:textFill>
            <w14:solidFill>
              <w14:schemeClr w14:val="tx1"/>
            </w14:solidFill>
          </w14:textFill>
        </w:rPr>
        <w:t>：指模拟在纸质文件上加盖传统实物印章的外观和方式进行电子签名的形式。</w:t>
      </w:r>
    </w:p>
    <w:p w14:paraId="2C2D0F72">
      <w:pPr>
        <w:pStyle w:val="42"/>
        <w:numPr>
          <w:ilvl w:val="0"/>
          <w:numId w:val="6"/>
        </w:numPr>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数字证书（简称“</w:t>
      </w:r>
      <w:r>
        <w:rPr>
          <w:b/>
          <w:bCs/>
          <w:color w:val="000000" w:themeColor="text1"/>
          <w14:textFill>
            <w14:solidFill>
              <w14:schemeClr w14:val="tx1"/>
            </w14:solidFill>
          </w14:textFill>
        </w:rPr>
        <w:t>CA”）：</w:t>
      </w:r>
      <w:r>
        <w:rPr>
          <w:color w:val="000000" w:themeColor="text1"/>
          <w14:textFill>
            <w14:solidFill>
              <w14:schemeClr w14:val="tx1"/>
            </w14:solidFill>
          </w14:textFill>
        </w:rPr>
        <w:t>经过有关部门认可的电子认证服务机构基于 PKI 技术签发、认证和管理的数字证书。CA 证书具有数据电文交换中身份识别、电子签名、加密解密等功能。</w:t>
      </w:r>
    </w:p>
    <w:p w14:paraId="5C83E147">
      <w:pPr>
        <w:pStyle w:val="42"/>
        <w:numPr>
          <w:ilvl w:val="0"/>
          <w:numId w:val="6"/>
        </w:numPr>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供应商客户端：</w:t>
      </w:r>
      <w:r>
        <w:rPr>
          <w:rFonts w:hint="eastAsia"/>
          <w:color w:val="000000" w:themeColor="text1"/>
          <w14:textFill>
            <w14:solidFill>
              <w14:schemeClr w14:val="tx1"/>
            </w14:solidFill>
          </w14:textFill>
        </w:rPr>
        <w:t>供应商可在</w:t>
      </w:r>
      <w:r>
        <w:rPr>
          <w:rFonts w:hint="eastAsia"/>
          <w:color w:val="000000" w:themeColor="text1"/>
          <w:lang w:val="en-US"/>
          <w14:textFill>
            <w14:solidFill>
              <w14:schemeClr w14:val="tx1"/>
            </w14:solidFill>
          </w14:textFill>
        </w:rPr>
        <w:t>云南</w:t>
      </w:r>
      <w:r>
        <w:rPr>
          <w:rFonts w:hint="eastAsia"/>
          <w:color w:val="000000" w:themeColor="text1"/>
          <w14:textFill>
            <w14:solidFill>
              <w14:schemeClr w14:val="tx1"/>
            </w14:solidFill>
          </w14:textFill>
        </w:rPr>
        <w:t>省政府采购电子交易平台中下载使用。</w:t>
      </w:r>
    </w:p>
    <w:p w14:paraId="56126626">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0</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电子交易系统咨询：投标供应商应当充分考虑到电子投标可能会发生的各种问题和风险，特别是投标文件签署、提交等问题，无特殊情况，应当按照“投标供应商须知前附表”的规定咨询采购代理机构或政府采购交易系统。</w:t>
      </w:r>
    </w:p>
    <w:p w14:paraId="0360DC85">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0</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政府采购交易系统</w:t>
      </w:r>
      <w:r>
        <w:rPr>
          <w:color w:val="000000" w:themeColor="text1"/>
          <w14:textFill>
            <w14:solidFill>
              <w14:schemeClr w14:val="tx1"/>
            </w14:solidFill>
          </w14:textFill>
        </w:rPr>
        <w:t>联系方式详见“</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须知前附表”</w:t>
      </w:r>
      <w:r>
        <w:rPr>
          <w:rFonts w:hint="eastAsia"/>
          <w:color w:val="000000" w:themeColor="text1"/>
          <w14:textFill>
            <w14:solidFill>
              <w14:schemeClr w14:val="tx1"/>
            </w14:solidFill>
          </w14:textFill>
        </w:rPr>
        <w:t>。</w:t>
      </w:r>
    </w:p>
    <w:p w14:paraId="35289E08">
      <w:pPr>
        <w:pStyle w:val="5"/>
        <w:numPr>
          <w:ilvl w:val="0"/>
          <w:numId w:val="4"/>
        </w:numPr>
        <w:rPr>
          <w:rFonts w:hint="eastAsia"/>
          <w:color w:val="000000" w:themeColor="text1"/>
          <w14:textFill>
            <w14:solidFill>
              <w14:schemeClr w14:val="tx1"/>
            </w14:solidFill>
          </w14:textFill>
        </w:rPr>
      </w:pPr>
      <w:bookmarkStart w:id="117" w:name="_Toc2313"/>
      <w:r>
        <w:rPr>
          <w:rFonts w:hint="eastAsia"/>
          <w:color w:val="000000" w:themeColor="text1"/>
          <w14:textFill>
            <w14:solidFill>
              <w14:schemeClr w14:val="tx1"/>
            </w14:solidFill>
          </w14:textFill>
        </w:rPr>
        <w:t>招标文件</w:t>
      </w:r>
      <w:bookmarkEnd w:id="116"/>
      <w:bookmarkEnd w:id="117"/>
    </w:p>
    <w:p w14:paraId="7AAA816B">
      <w:pPr>
        <w:pStyle w:val="6"/>
        <w:numPr>
          <w:ilvl w:val="0"/>
          <w:numId w:val="5"/>
        </w:numPr>
        <w:rPr>
          <w:rFonts w:hint="eastAsia"/>
          <w:color w:val="000000" w:themeColor="text1"/>
          <w14:textFill>
            <w14:solidFill>
              <w14:schemeClr w14:val="tx1"/>
            </w14:solidFill>
          </w14:textFill>
        </w:rPr>
      </w:pPr>
      <w:bookmarkStart w:id="118" w:name="_Toc6815"/>
      <w:bookmarkStart w:id="119" w:name="_Toc140132768"/>
      <w:bookmarkStart w:id="120" w:name="_Toc11714"/>
      <w:r>
        <w:rPr>
          <w:rFonts w:hint="eastAsia"/>
          <w:color w:val="000000" w:themeColor="text1"/>
          <w14:textFill>
            <w14:solidFill>
              <w14:schemeClr w14:val="tx1"/>
            </w14:solidFill>
          </w14:textFill>
        </w:rPr>
        <w:t>招标文件的组成</w:t>
      </w:r>
      <w:bookmarkEnd w:id="118"/>
      <w:bookmarkEnd w:id="119"/>
      <w:bookmarkEnd w:id="120"/>
    </w:p>
    <w:p w14:paraId="48597327">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1</w:t>
      </w:r>
      <w:r>
        <w:rPr>
          <w:rFonts w:hint="eastAsia" w:cs="仿宋_GB2312"/>
          <w:color w:val="000000" w:themeColor="text1"/>
          <w:szCs w:val="24"/>
          <w14:textFill>
            <w14:solidFill>
              <w14:schemeClr w14:val="tx1"/>
            </w14:solidFill>
          </w14:textFill>
        </w:rPr>
        <w:t>.1本招标文件包括下列文件及根据本章第9款、第</w:t>
      </w:r>
      <w:r>
        <w:rPr>
          <w:rFonts w:cs="仿宋_GB2312"/>
          <w:color w:val="000000" w:themeColor="text1"/>
          <w:szCs w:val="24"/>
          <w14:textFill>
            <w14:solidFill>
              <w14:schemeClr w14:val="tx1"/>
            </w14:solidFill>
          </w14:textFill>
        </w:rPr>
        <w:t>13</w:t>
      </w:r>
      <w:r>
        <w:rPr>
          <w:rFonts w:hint="eastAsia" w:cs="仿宋_GB2312"/>
          <w:color w:val="000000" w:themeColor="text1"/>
          <w:szCs w:val="24"/>
          <w14:textFill>
            <w14:solidFill>
              <w14:schemeClr w14:val="tx1"/>
            </w14:solidFill>
          </w14:textFill>
        </w:rPr>
        <w:t>款对招标文件所作的澄清或者修改。</w:t>
      </w:r>
    </w:p>
    <w:p w14:paraId="20FA0196">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第一章 投标邀请</w:t>
      </w:r>
    </w:p>
    <w:p w14:paraId="777DF74F">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第二章 投标供应商须知</w:t>
      </w:r>
    </w:p>
    <w:p w14:paraId="4C69A653">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第三章 采购需求</w:t>
      </w:r>
    </w:p>
    <w:p w14:paraId="21A36CED">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第四章 资格审查方法及标准</w:t>
      </w:r>
    </w:p>
    <w:p w14:paraId="685C4FB1">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第五章 评标办法及标准</w:t>
      </w:r>
    </w:p>
    <w:p w14:paraId="4C6B1849">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第六章 合同草案</w:t>
      </w:r>
    </w:p>
    <w:p w14:paraId="7DBC26F8">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第七章 投标文件的格式</w:t>
      </w:r>
    </w:p>
    <w:p w14:paraId="637AA79A">
      <w:pPr>
        <w:pStyle w:val="6"/>
        <w:numPr>
          <w:ilvl w:val="0"/>
          <w:numId w:val="5"/>
        </w:numPr>
        <w:rPr>
          <w:rFonts w:hint="eastAsia"/>
          <w:color w:val="000000" w:themeColor="text1"/>
          <w14:textFill>
            <w14:solidFill>
              <w14:schemeClr w14:val="tx1"/>
            </w14:solidFill>
          </w14:textFill>
        </w:rPr>
      </w:pPr>
      <w:bookmarkStart w:id="121" w:name="_Toc15397"/>
      <w:bookmarkStart w:id="122" w:name="_Toc25595"/>
      <w:bookmarkStart w:id="123" w:name="_Toc140132769"/>
      <w:r>
        <w:rPr>
          <w:rFonts w:hint="eastAsia"/>
          <w:color w:val="000000" w:themeColor="text1"/>
          <w14:textFill>
            <w14:solidFill>
              <w14:schemeClr w14:val="tx1"/>
            </w14:solidFill>
          </w14:textFill>
        </w:rPr>
        <w:t>招标文件的询问、澄清或者修改</w:t>
      </w:r>
      <w:bookmarkEnd w:id="121"/>
      <w:bookmarkEnd w:id="122"/>
      <w:bookmarkEnd w:id="123"/>
    </w:p>
    <w:p w14:paraId="1DDA3457">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2</w:t>
      </w:r>
      <w:r>
        <w:rPr>
          <w:rFonts w:hint="eastAsia" w:cs="仿宋_GB2312"/>
          <w:color w:val="000000" w:themeColor="text1"/>
          <w:szCs w:val="24"/>
          <w14:textFill>
            <w14:solidFill>
              <w14:schemeClr w14:val="tx1"/>
            </w14:solidFill>
          </w14:textFill>
        </w:rPr>
        <w:t>.</w:t>
      </w:r>
      <w:r>
        <w:rPr>
          <w:rFonts w:cs="仿宋_GB2312"/>
          <w:color w:val="000000" w:themeColor="text1"/>
          <w:szCs w:val="24"/>
          <w14:textFill>
            <w14:solidFill>
              <w14:schemeClr w14:val="tx1"/>
            </w14:solidFill>
          </w14:textFill>
        </w:rPr>
        <w:t>1</w:t>
      </w:r>
      <w:r>
        <w:rPr>
          <w:rFonts w:hint="eastAsia" w:cs="仿宋_GB2312"/>
          <w:color w:val="000000" w:themeColor="text1"/>
          <w:szCs w:val="24"/>
          <w14:textFill>
            <w14:solidFill>
              <w14:schemeClr w14:val="tx1"/>
            </w14:solidFill>
          </w14:textFill>
        </w:rPr>
        <w:t xml:space="preserve"> 投标供应商对采购项目有疑问的，可以按照“投标供应商须知前附表”中的规定提出询问。采购人或采购代理机构将在收到询问后依法予以答复。对招标文件询问的答复，在必要时将以澄清形式推送给每个获取招标文件的潜在投标供应商(答复中不包括问题的来源)。</w:t>
      </w:r>
    </w:p>
    <w:p w14:paraId="3CF1E5B1">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2</w:t>
      </w:r>
      <w:r>
        <w:rPr>
          <w:rFonts w:hint="eastAsia" w:cs="仿宋_GB2312"/>
          <w:color w:val="000000" w:themeColor="text1"/>
          <w:szCs w:val="24"/>
          <w14:textFill>
            <w14:solidFill>
              <w14:schemeClr w14:val="tx1"/>
            </w14:solidFill>
          </w14:textFill>
        </w:rPr>
        <w:t>.2 采购人或者采购代理机构可以对已发出的招标文件进行必要的澄清或者修改。</w:t>
      </w:r>
      <w:r>
        <w:rPr>
          <w:rFonts w:hint="eastAsia"/>
          <w:color w:val="000000" w:themeColor="text1"/>
          <w14:textFill>
            <w14:solidFill>
              <w14:schemeClr w14:val="tx1"/>
            </w14:solidFill>
          </w14:textFill>
        </w:rPr>
        <w:t>澄清或修改的内容为招标文件的组成部分，并对所有获取招标文件的潜在投标供应商具有约束力。</w:t>
      </w:r>
    </w:p>
    <w:p w14:paraId="4A40FC46">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2</w:t>
      </w:r>
      <w:r>
        <w:rPr>
          <w:rFonts w:hint="eastAsia" w:cs="仿宋_GB2312"/>
          <w:color w:val="000000" w:themeColor="text1"/>
          <w:szCs w:val="24"/>
          <w14:textFill>
            <w14:solidFill>
              <w14:schemeClr w14:val="tx1"/>
            </w14:solidFill>
          </w14:textFill>
        </w:rPr>
        <w:t>.3 招标文件的澄清或者修改以书面形式发给所有领取招标文件的投标供应商，但不包括问题的来源。澄清或者修改的内容可能影响投标文件编制的，采购人或者采购代理机构应当在投标截止时间至少15日前，以书面形式通知所有获取招标文件的潜在投标供应商；不足15日的，采购人或者采购代理机构应当顺延提交投标文件的截止时间。</w:t>
      </w:r>
    </w:p>
    <w:p w14:paraId="708ED085">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4 </w:t>
      </w:r>
      <w:r>
        <w:rPr>
          <w:rFonts w:hint="eastAsia" w:cs="仿宋_GB2312"/>
          <w:color w:val="000000" w:themeColor="text1"/>
          <w:szCs w:val="24"/>
          <w14:textFill>
            <w14:solidFill>
              <w14:schemeClr w14:val="tx1"/>
            </w14:solidFill>
          </w14:textFill>
        </w:rPr>
        <w:t>本”投标供应商须知”所称“</w:t>
      </w:r>
      <w:r>
        <w:rPr>
          <w:rFonts w:hint="eastAsia"/>
          <w:color w:val="000000" w:themeColor="text1"/>
          <w14:textFill>
            <w14:solidFill>
              <w14:schemeClr w14:val="tx1"/>
            </w14:solidFill>
          </w14:textFill>
        </w:rPr>
        <w:t>书面形式</w:t>
      </w:r>
      <w:r>
        <w:rPr>
          <w:rFonts w:hint="eastAsia" w:cs="仿宋_GB2312"/>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包括系统消息、云南省政府采购网中发布的公告。</w:t>
      </w:r>
    </w:p>
    <w:p w14:paraId="64D3C6C4">
      <w:pPr>
        <w:pStyle w:val="5"/>
        <w:numPr>
          <w:ilvl w:val="0"/>
          <w:numId w:val="4"/>
        </w:numPr>
        <w:rPr>
          <w:rFonts w:hint="eastAsia"/>
          <w:color w:val="000000" w:themeColor="text1"/>
          <w14:textFill>
            <w14:solidFill>
              <w14:schemeClr w14:val="tx1"/>
            </w14:solidFill>
          </w14:textFill>
        </w:rPr>
      </w:pPr>
      <w:bookmarkStart w:id="124" w:name="_Toc155185872"/>
      <w:bookmarkStart w:id="125" w:name="_Toc8124"/>
      <w:r>
        <w:rPr>
          <w:rFonts w:hint="eastAsia"/>
          <w:color w:val="000000" w:themeColor="text1"/>
          <w14:textFill>
            <w14:solidFill>
              <w14:schemeClr w14:val="tx1"/>
            </w14:solidFill>
          </w14:textFill>
        </w:rPr>
        <w:t>投标文件</w:t>
      </w:r>
      <w:bookmarkEnd w:id="124"/>
      <w:bookmarkEnd w:id="125"/>
    </w:p>
    <w:p w14:paraId="79264B1A">
      <w:pPr>
        <w:pStyle w:val="6"/>
        <w:numPr>
          <w:ilvl w:val="0"/>
          <w:numId w:val="5"/>
        </w:numPr>
        <w:rPr>
          <w:rFonts w:hint="eastAsia"/>
          <w:color w:val="000000" w:themeColor="text1"/>
          <w14:textFill>
            <w14:solidFill>
              <w14:schemeClr w14:val="tx1"/>
            </w14:solidFill>
          </w14:textFill>
        </w:rPr>
      </w:pPr>
      <w:bookmarkStart w:id="126" w:name="_Toc11884"/>
      <w:bookmarkStart w:id="127" w:name="_Toc15498"/>
      <w:r>
        <w:rPr>
          <w:rFonts w:hint="eastAsia"/>
          <w:color w:val="000000" w:themeColor="text1"/>
          <w14:textFill>
            <w14:solidFill>
              <w14:schemeClr w14:val="tx1"/>
            </w14:solidFill>
          </w14:textFill>
        </w:rPr>
        <w:t>投标文件的组成</w:t>
      </w:r>
      <w:bookmarkEnd w:id="126"/>
      <w:bookmarkEnd w:id="127"/>
    </w:p>
    <w:p w14:paraId="62F176C9">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一、投标函及报价文件</w:t>
      </w:r>
    </w:p>
    <w:p w14:paraId="6D6D5235">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（一）投标函</w:t>
      </w:r>
    </w:p>
    <w:p w14:paraId="74FE7815">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（二）开标一览表</w:t>
      </w:r>
    </w:p>
    <w:p w14:paraId="1954EDA6">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（三）法定代表人（负责人）身份证明</w:t>
      </w:r>
    </w:p>
    <w:p w14:paraId="27B57A29">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（四）法定代表人（负责人）授权书</w:t>
      </w:r>
    </w:p>
    <w:p w14:paraId="5E50DD86">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二、资格证明文件</w:t>
      </w:r>
    </w:p>
    <w:p w14:paraId="5D01874D">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（一）企业法人营业执照、事业单位法人证书或团体组织法人证书</w:t>
      </w:r>
    </w:p>
    <w:p w14:paraId="491C8FC5">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（二）资格条件承诺书</w:t>
      </w:r>
    </w:p>
    <w:p w14:paraId="54DA1C30">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（三）资格证明文件</w:t>
      </w:r>
    </w:p>
    <w:p w14:paraId="6F83D9B4">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（四）其他资格证明文件</w:t>
      </w:r>
    </w:p>
    <w:p w14:paraId="3544D95D">
      <w:pPr>
        <w:ind w:firstLine="480" w:firstLineChars="200"/>
        <w:rPr>
          <w:rFonts w:hint="eastAsia" w:cs="仿宋_GB2312"/>
          <w:b/>
          <w:bCs/>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三、其他响应文件</w:t>
      </w:r>
    </w:p>
    <w:p w14:paraId="3B2E9A0A">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（一）商务部分</w:t>
      </w:r>
    </w:p>
    <w:p w14:paraId="0A69CDB0">
      <w:pPr>
        <w:ind w:left="240" w:leftChars="100"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lang w:val="en-US" w:eastAsia="zh-CN"/>
          <w14:textFill>
            <w14:solidFill>
              <w14:schemeClr w14:val="tx1"/>
            </w14:solidFill>
          </w14:textFill>
        </w:rPr>
        <w:t>1</w:t>
      </w:r>
      <w:r>
        <w:rPr>
          <w:rFonts w:cs="仿宋_GB2312"/>
          <w:color w:val="000000" w:themeColor="text1"/>
          <w:szCs w:val="24"/>
          <w14:textFill>
            <w14:solidFill>
              <w14:schemeClr w14:val="tx1"/>
            </w14:solidFill>
          </w14:textFill>
        </w:rPr>
        <w:t>.商务响应偏离表</w:t>
      </w:r>
    </w:p>
    <w:p w14:paraId="3CE6A9B8">
      <w:pPr>
        <w:ind w:left="240" w:leftChars="100"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lang w:val="en-US" w:eastAsia="zh-CN"/>
          <w14:textFill>
            <w14:solidFill>
              <w14:schemeClr w14:val="tx1"/>
            </w14:solidFill>
          </w14:textFill>
        </w:rPr>
        <w:t>2</w:t>
      </w:r>
      <w:r>
        <w:rPr>
          <w:rFonts w:cs="仿宋_GB2312"/>
          <w:color w:val="000000" w:themeColor="text1"/>
          <w:szCs w:val="24"/>
          <w14:textFill>
            <w14:solidFill>
              <w14:schemeClr w14:val="tx1"/>
            </w14:solidFill>
          </w14:textFill>
        </w:rPr>
        <w:t>.其它商务文件</w:t>
      </w:r>
    </w:p>
    <w:p w14:paraId="53ED796A">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（二）技术部分</w:t>
      </w:r>
    </w:p>
    <w:p w14:paraId="00B4220E">
      <w:pPr>
        <w:ind w:left="240" w:leftChars="100"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1.技术响应偏离表</w:t>
      </w:r>
    </w:p>
    <w:p w14:paraId="1362FF53">
      <w:pPr>
        <w:ind w:left="240" w:leftChars="100"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2.技术</w:t>
      </w:r>
      <w:r>
        <w:rPr>
          <w:rFonts w:hint="eastAsia" w:cs="仿宋_GB2312"/>
          <w:color w:val="000000" w:themeColor="text1"/>
          <w:szCs w:val="24"/>
          <w:lang w:val="en-US" w:eastAsia="zh-CN"/>
          <w14:textFill>
            <w14:solidFill>
              <w14:schemeClr w14:val="tx1"/>
            </w14:solidFill>
          </w14:textFill>
        </w:rPr>
        <w:t>商务</w:t>
      </w:r>
      <w:r>
        <w:rPr>
          <w:rFonts w:cs="仿宋_GB2312"/>
          <w:color w:val="000000" w:themeColor="text1"/>
          <w:szCs w:val="24"/>
          <w14:textFill>
            <w14:solidFill>
              <w14:schemeClr w14:val="tx1"/>
            </w14:solidFill>
          </w14:textFill>
        </w:rPr>
        <w:t>方案</w:t>
      </w:r>
    </w:p>
    <w:p w14:paraId="4EAEEA1E">
      <w:pPr>
        <w:ind w:left="240" w:leftChars="100"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3.其他技术文件</w:t>
      </w:r>
    </w:p>
    <w:p w14:paraId="6185A72E">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（三）</w:t>
      </w:r>
      <w:bookmarkStart w:id="128" w:name="_Hlk161562968"/>
      <w:r>
        <w:rPr>
          <w:rFonts w:hint="eastAsia" w:cs="仿宋_GB2312"/>
          <w:color w:val="000000" w:themeColor="text1"/>
          <w:szCs w:val="24"/>
          <w14:textFill>
            <w14:solidFill>
              <w14:schemeClr w14:val="tx1"/>
            </w14:solidFill>
          </w14:textFill>
        </w:rPr>
        <w:t>落实政府采购政策相关证明文件</w:t>
      </w:r>
      <w:bookmarkEnd w:id="128"/>
    </w:p>
    <w:p w14:paraId="18384116">
      <w:pPr>
        <w:ind w:left="240" w:leftChars="100"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1.节能环保产品清单及证明材料【如适用】</w:t>
      </w:r>
    </w:p>
    <w:p w14:paraId="2F93BC0F">
      <w:pPr>
        <w:ind w:left="240" w:leftChars="100"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2.中小企业声明函【如适用】</w:t>
      </w:r>
    </w:p>
    <w:p w14:paraId="71E1DFBB">
      <w:pPr>
        <w:ind w:left="240" w:leftChars="100"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3.监狱企业证明文件【如适用】</w:t>
      </w:r>
    </w:p>
    <w:p w14:paraId="7CEE2CCB">
      <w:pPr>
        <w:ind w:left="240" w:leftChars="100"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4.残疾人福利性单位声明函【如适用】</w:t>
      </w:r>
    </w:p>
    <w:p w14:paraId="0D392416">
      <w:pPr>
        <w:ind w:left="240" w:leftChars="100"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5.</w:t>
      </w:r>
      <w:r>
        <w:rPr>
          <w:rFonts w:hint="eastAsia" w:cs="仿宋_GB2312"/>
          <w:color w:val="000000" w:themeColor="text1"/>
          <w:szCs w:val="24"/>
          <w14:textFill>
            <w14:solidFill>
              <w14:schemeClr w14:val="tx1"/>
            </w14:solidFill>
          </w14:textFill>
        </w:rPr>
        <w:t>投标供应商</w:t>
      </w:r>
      <w:r>
        <w:rPr>
          <w:rFonts w:cs="仿宋_GB2312"/>
          <w:color w:val="000000" w:themeColor="text1"/>
          <w:szCs w:val="24"/>
          <w14:textFill>
            <w14:solidFill>
              <w14:schemeClr w14:val="tx1"/>
            </w14:solidFill>
          </w14:textFill>
        </w:rPr>
        <w:t>认为需要提供的其他资料</w:t>
      </w:r>
    </w:p>
    <w:p w14:paraId="0887619E">
      <w:pPr>
        <w:pStyle w:val="6"/>
        <w:numPr>
          <w:ilvl w:val="0"/>
          <w:numId w:val="5"/>
        </w:numPr>
        <w:rPr>
          <w:rFonts w:hint="eastAsia"/>
          <w:color w:val="000000" w:themeColor="text1"/>
          <w14:textFill>
            <w14:solidFill>
              <w14:schemeClr w14:val="tx1"/>
            </w14:solidFill>
          </w14:textFill>
        </w:rPr>
      </w:pPr>
      <w:bookmarkStart w:id="129" w:name="_Toc12935"/>
      <w:bookmarkStart w:id="130" w:name="_Toc140132772"/>
      <w:bookmarkStart w:id="131" w:name="_Toc24621"/>
      <w:r>
        <w:rPr>
          <w:rFonts w:hint="eastAsia"/>
          <w:color w:val="000000" w:themeColor="text1"/>
          <w14:textFill>
            <w14:solidFill>
              <w14:schemeClr w14:val="tx1"/>
            </w14:solidFill>
          </w14:textFill>
        </w:rPr>
        <w:t>投标报价</w:t>
      </w:r>
      <w:bookmarkEnd w:id="129"/>
      <w:bookmarkEnd w:id="130"/>
      <w:bookmarkEnd w:id="131"/>
    </w:p>
    <w:p w14:paraId="1F8AA0DE">
      <w:pPr>
        <w:ind w:firstLine="480" w:firstLineChars="200"/>
        <w:rPr>
          <w:rFonts w:hint="eastAsia" w:cs="宋体"/>
          <w:snapToGrid w:val="0"/>
          <w:color w:val="000000" w:themeColor="text1"/>
          <w:szCs w:val="24"/>
          <w:lang w:val="zh-CN"/>
          <w14:textFill>
            <w14:solidFill>
              <w14:schemeClr w14:val="tx1"/>
            </w14:solidFill>
          </w14:textFill>
        </w:rPr>
      </w:pPr>
      <w:r>
        <w:rPr>
          <w:rFonts w:cs="宋体"/>
          <w:snapToGrid w:val="0"/>
          <w:color w:val="000000" w:themeColor="text1"/>
          <w:szCs w:val="24"/>
          <w14:textFill>
            <w14:solidFill>
              <w14:schemeClr w14:val="tx1"/>
            </w14:solidFill>
          </w14:textFill>
        </w:rPr>
        <w:t>1</w:t>
      </w:r>
      <w:r>
        <w:rPr>
          <w:rFonts w:hint="eastAsia" w:cs="宋体"/>
          <w:snapToGrid w:val="0"/>
          <w:color w:val="000000" w:themeColor="text1"/>
          <w:szCs w:val="24"/>
          <w:lang w:val="en-US" w:eastAsia="zh-CN"/>
          <w14:textFill>
            <w14:solidFill>
              <w14:schemeClr w14:val="tx1"/>
            </w14:solidFill>
          </w14:textFill>
        </w:rPr>
        <w:t>4</w:t>
      </w:r>
      <w:r>
        <w:rPr>
          <w:rFonts w:hint="eastAsia" w:cs="宋体"/>
          <w:snapToGrid w:val="0"/>
          <w:color w:val="000000" w:themeColor="text1"/>
          <w:szCs w:val="24"/>
          <w14:textFill>
            <w14:solidFill>
              <w14:schemeClr w14:val="tx1"/>
            </w14:solidFill>
          </w14:textFill>
        </w:rPr>
        <w:t xml:space="preserve">.1 </w:t>
      </w:r>
      <w:r>
        <w:rPr>
          <w:rFonts w:hint="eastAsia" w:cs="宋体"/>
          <w:snapToGrid w:val="0"/>
          <w:color w:val="000000" w:themeColor="text1"/>
          <w:szCs w:val="24"/>
          <w:lang w:val="zh-CN"/>
          <w14:textFill>
            <w14:solidFill>
              <w14:schemeClr w14:val="tx1"/>
            </w14:solidFill>
          </w14:textFill>
        </w:rPr>
        <w:t>投标供应商的报价均应以人民币进行报价。</w:t>
      </w:r>
    </w:p>
    <w:p w14:paraId="5EA097B7">
      <w:pPr>
        <w:ind w:firstLine="480" w:firstLineChars="200"/>
        <w:rPr>
          <w:rFonts w:hint="eastAsia" w:cs="宋体"/>
          <w:snapToGrid w:val="0"/>
          <w:color w:val="000000" w:themeColor="text1"/>
          <w:szCs w:val="24"/>
          <w14:textFill>
            <w14:solidFill>
              <w14:schemeClr w14:val="tx1"/>
            </w14:solidFill>
          </w14:textFill>
        </w:rPr>
      </w:pPr>
      <w:r>
        <w:rPr>
          <w:rFonts w:cs="宋体"/>
          <w:snapToGrid w:val="0"/>
          <w:color w:val="000000" w:themeColor="text1"/>
          <w:szCs w:val="24"/>
          <w14:textFill>
            <w14:solidFill>
              <w14:schemeClr w14:val="tx1"/>
            </w14:solidFill>
          </w14:textFill>
        </w:rPr>
        <w:t>1</w:t>
      </w:r>
      <w:r>
        <w:rPr>
          <w:rFonts w:hint="eastAsia" w:cs="宋体"/>
          <w:snapToGrid w:val="0"/>
          <w:color w:val="000000" w:themeColor="text1"/>
          <w:szCs w:val="24"/>
          <w:lang w:val="en-US" w:eastAsia="zh-CN"/>
          <w14:textFill>
            <w14:solidFill>
              <w14:schemeClr w14:val="tx1"/>
            </w14:solidFill>
          </w14:textFill>
        </w:rPr>
        <w:t>4</w:t>
      </w:r>
      <w:r>
        <w:rPr>
          <w:rFonts w:hint="eastAsia" w:cs="宋体"/>
          <w:snapToGrid w:val="0"/>
          <w:color w:val="000000" w:themeColor="text1"/>
          <w:szCs w:val="24"/>
          <w14:textFill>
            <w14:solidFill>
              <w14:schemeClr w14:val="tx1"/>
            </w14:solidFill>
          </w14:textFill>
        </w:rPr>
        <w:t>.2 投标供应商应按照本招标文件规定的报价方式进行报价，具体报价方式见“投标供应商须知前附表”。投标报价中不得包含招标文件要求以外的内容，否则，在评标时不予核减。投标报价中也不得遗漏招标文件所要求的内容，否则，其</w:t>
      </w:r>
      <w:r>
        <w:rPr>
          <w:rFonts w:hint="eastAsia" w:cs="宋体"/>
          <w:b/>
          <w:bCs/>
          <w:snapToGrid w:val="0"/>
          <w:color w:val="000000" w:themeColor="text1"/>
          <w:szCs w:val="24"/>
          <w14:textFill>
            <w14:solidFill>
              <w14:schemeClr w14:val="tx1"/>
            </w14:solidFill>
          </w14:textFill>
        </w:rPr>
        <w:t>投标无效</w:t>
      </w:r>
      <w:r>
        <w:rPr>
          <w:rFonts w:hint="eastAsia" w:cs="宋体"/>
          <w:snapToGrid w:val="0"/>
          <w:color w:val="000000" w:themeColor="text1"/>
          <w:szCs w:val="24"/>
          <w14:textFill>
            <w14:solidFill>
              <w14:schemeClr w14:val="tx1"/>
            </w14:solidFill>
          </w14:textFill>
        </w:rPr>
        <w:t>。</w:t>
      </w:r>
    </w:p>
    <w:p w14:paraId="03E5FCC2">
      <w:pPr>
        <w:ind w:firstLine="480" w:firstLineChars="200"/>
        <w:rPr>
          <w:rFonts w:hint="eastAsia" w:cs="宋体"/>
          <w:snapToGrid w:val="0"/>
          <w:color w:val="000000" w:themeColor="text1"/>
          <w:szCs w:val="24"/>
          <w:lang w:val="zh-CN"/>
          <w14:textFill>
            <w14:solidFill>
              <w14:schemeClr w14:val="tx1"/>
            </w14:solidFill>
          </w14:textFill>
        </w:rPr>
      </w:pPr>
      <w:r>
        <w:rPr>
          <w:rFonts w:cs="宋体"/>
          <w:snapToGrid w:val="0"/>
          <w:color w:val="000000" w:themeColor="text1"/>
          <w:szCs w:val="24"/>
          <w14:textFill>
            <w14:solidFill>
              <w14:schemeClr w14:val="tx1"/>
            </w14:solidFill>
          </w14:textFill>
        </w:rPr>
        <w:t>1</w:t>
      </w:r>
      <w:r>
        <w:rPr>
          <w:rFonts w:hint="eastAsia" w:cs="宋体"/>
          <w:snapToGrid w:val="0"/>
          <w:color w:val="000000" w:themeColor="text1"/>
          <w:szCs w:val="24"/>
          <w:lang w:val="en-US" w:eastAsia="zh-CN"/>
          <w14:textFill>
            <w14:solidFill>
              <w14:schemeClr w14:val="tx1"/>
            </w14:solidFill>
          </w14:textFill>
        </w:rPr>
        <w:t>4</w:t>
      </w:r>
      <w:r>
        <w:rPr>
          <w:rFonts w:hint="eastAsia" w:cs="宋体"/>
          <w:snapToGrid w:val="0"/>
          <w:color w:val="000000" w:themeColor="text1"/>
          <w:szCs w:val="24"/>
          <w14:textFill>
            <w14:solidFill>
              <w14:schemeClr w14:val="tx1"/>
            </w14:solidFill>
          </w14:textFill>
        </w:rPr>
        <w:t xml:space="preserve">.3 </w:t>
      </w:r>
      <w:r>
        <w:rPr>
          <w:rFonts w:hint="eastAsia" w:cs="宋体"/>
          <w:snapToGrid w:val="0"/>
          <w:color w:val="000000" w:themeColor="text1"/>
          <w:szCs w:val="24"/>
          <w:lang w:val="zh-CN"/>
          <w14:textFill>
            <w14:solidFill>
              <w14:schemeClr w14:val="tx1"/>
            </w14:solidFill>
          </w14:textFill>
        </w:rPr>
        <w:t>投标供应商应根据本招标文件的规定和要求、市场价格水平及其走势、投标供应商的管理水平、投标供应商的方案和由这些因素决定的投标供应商之于本项目的成本水平等提出自己的报价。报价应合理，并包含完成本招标文件采购需求全部内容的所有费用，所有根据本招标文件或其它原因应由投标供应商支付的税款和其他应交纳的费用都应包括在投标供应商提交的投标报价中。</w:t>
      </w:r>
    </w:p>
    <w:p w14:paraId="62BFDDDB">
      <w:pPr>
        <w:ind w:firstLine="480" w:firstLineChars="200"/>
        <w:rPr>
          <w:rFonts w:hint="eastAsia" w:cs="宋体"/>
          <w:snapToGrid w:val="0"/>
          <w:color w:val="000000" w:themeColor="text1"/>
          <w:szCs w:val="24"/>
          <w14:textFill>
            <w14:solidFill>
              <w14:schemeClr w14:val="tx1"/>
            </w14:solidFill>
          </w14:textFill>
        </w:rPr>
      </w:pPr>
      <w:r>
        <w:rPr>
          <w:rFonts w:cs="宋体"/>
          <w:snapToGrid w:val="0"/>
          <w:color w:val="000000" w:themeColor="text1"/>
          <w:szCs w:val="24"/>
          <w14:textFill>
            <w14:solidFill>
              <w14:schemeClr w14:val="tx1"/>
            </w14:solidFill>
          </w14:textFill>
        </w:rPr>
        <w:t>1</w:t>
      </w:r>
      <w:r>
        <w:rPr>
          <w:rFonts w:hint="eastAsia" w:cs="宋体"/>
          <w:snapToGrid w:val="0"/>
          <w:color w:val="000000" w:themeColor="text1"/>
          <w:szCs w:val="24"/>
          <w:lang w:val="en-US" w:eastAsia="zh-CN"/>
          <w14:textFill>
            <w14:solidFill>
              <w14:schemeClr w14:val="tx1"/>
            </w14:solidFill>
          </w14:textFill>
        </w:rPr>
        <w:t>4</w:t>
      </w:r>
      <w:r>
        <w:rPr>
          <w:rFonts w:hint="eastAsia" w:cs="宋体"/>
          <w:snapToGrid w:val="0"/>
          <w:color w:val="000000" w:themeColor="text1"/>
          <w:szCs w:val="24"/>
          <w14:textFill>
            <w14:solidFill>
              <w14:schemeClr w14:val="tx1"/>
            </w14:solidFill>
          </w14:textFill>
        </w:rPr>
        <w:t>.4 投标供应商在投标文件中注明免费的项目将视为包含在投标报价中。</w:t>
      </w:r>
    </w:p>
    <w:p w14:paraId="6504CED4">
      <w:pPr>
        <w:ind w:firstLine="480" w:firstLineChars="200"/>
        <w:rPr>
          <w:rFonts w:hint="eastAsia" w:cs="宋体"/>
          <w:snapToGrid w:val="0"/>
          <w:color w:val="000000" w:themeColor="text1"/>
          <w:szCs w:val="24"/>
          <w14:textFill>
            <w14:solidFill>
              <w14:schemeClr w14:val="tx1"/>
            </w14:solidFill>
          </w14:textFill>
        </w:rPr>
      </w:pPr>
      <w:r>
        <w:rPr>
          <w:rFonts w:cs="宋体"/>
          <w:snapToGrid w:val="0"/>
          <w:color w:val="000000" w:themeColor="text1"/>
          <w:szCs w:val="24"/>
          <w14:textFill>
            <w14:solidFill>
              <w14:schemeClr w14:val="tx1"/>
            </w14:solidFill>
          </w14:textFill>
        </w:rPr>
        <w:t>1</w:t>
      </w:r>
      <w:r>
        <w:rPr>
          <w:rFonts w:hint="eastAsia" w:cs="宋体"/>
          <w:snapToGrid w:val="0"/>
          <w:color w:val="000000" w:themeColor="text1"/>
          <w:szCs w:val="24"/>
          <w:lang w:val="en-US" w:eastAsia="zh-CN"/>
          <w14:textFill>
            <w14:solidFill>
              <w14:schemeClr w14:val="tx1"/>
            </w14:solidFill>
          </w14:textFill>
        </w:rPr>
        <w:t>4</w:t>
      </w:r>
      <w:r>
        <w:rPr>
          <w:rFonts w:hint="eastAsia" w:cs="宋体"/>
          <w:snapToGrid w:val="0"/>
          <w:color w:val="000000" w:themeColor="text1"/>
          <w:szCs w:val="24"/>
          <w14:textFill>
            <w14:solidFill>
              <w14:schemeClr w14:val="tx1"/>
            </w14:solidFill>
          </w14:textFill>
        </w:rPr>
        <w:t>.5 每一种采购内容只允许有一个报价，否则其</w:t>
      </w:r>
      <w:r>
        <w:rPr>
          <w:rFonts w:hint="eastAsia" w:cs="宋体"/>
          <w:b/>
          <w:bCs/>
          <w:snapToGrid w:val="0"/>
          <w:color w:val="000000" w:themeColor="text1"/>
          <w:szCs w:val="24"/>
          <w14:textFill>
            <w14:solidFill>
              <w14:schemeClr w14:val="tx1"/>
            </w14:solidFill>
          </w14:textFill>
        </w:rPr>
        <w:t>投标无效</w:t>
      </w:r>
      <w:r>
        <w:rPr>
          <w:rFonts w:hint="eastAsia" w:cs="宋体"/>
          <w:snapToGrid w:val="0"/>
          <w:color w:val="000000" w:themeColor="text1"/>
          <w:szCs w:val="24"/>
          <w14:textFill>
            <w14:solidFill>
              <w14:schemeClr w14:val="tx1"/>
            </w14:solidFill>
          </w14:textFill>
        </w:rPr>
        <w:t>。</w:t>
      </w:r>
    </w:p>
    <w:p w14:paraId="0A2B6100">
      <w:pPr>
        <w:ind w:firstLine="480" w:firstLineChars="200"/>
        <w:rPr>
          <w:rFonts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4</w:t>
      </w:r>
      <w:r>
        <w:rPr>
          <w:rFonts w:cs="仿宋_GB2312"/>
          <w:color w:val="000000" w:themeColor="text1"/>
          <w:szCs w:val="24"/>
          <w14:textFill>
            <w14:solidFill>
              <w14:schemeClr w14:val="tx1"/>
            </w14:solidFill>
          </w14:textFill>
        </w:rPr>
        <w:t>.</w:t>
      </w:r>
      <w:r>
        <w:rPr>
          <w:rFonts w:hint="eastAsia" w:cs="仿宋_GB2312"/>
          <w:color w:val="000000" w:themeColor="text1"/>
          <w:szCs w:val="24"/>
          <w14:textFill>
            <w14:solidFill>
              <w14:schemeClr w14:val="tx1"/>
            </w14:solidFill>
          </w14:textFill>
        </w:rPr>
        <w:t>6投标报价不得超过“投标供应商</w:t>
      </w:r>
      <w:r>
        <w:rPr>
          <w:rFonts w:cs="仿宋_GB2312"/>
          <w:color w:val="000000" w:themeColor="text1"/>
          <w:szCs w:val="24"/>
          <w14:textFill>
            <w14:solidFill>
              <w14:schemeClr w14:val="tx1"/>
            </w14:solidFill>
          </w14:textFill>
        </w:rPr>
        <w:t>须知前附表</w:t>
      </w:r>
      <w:r>
        <w:rPr>
          <w:rFonts w:hint="eastAsia" w:cs="仿宋_GB2312"/>
          <w:color w:val="000000" w:themeColor="text1"/>
          <w:szCs w:val="24"/>
          <w14:textFill>
            <w14:solidFill>
              <w14:schemeClr w14:val="tx1"/>
            </w14:solidFill>
          </w14:textFill>
        </w:rPr>
        <w:t>”中规定的最高投标限价，否则</w:t>
      </w:r>
      <w:r>
        <w:rPr>
          <w:rFonts w:cs="仿宋_GB2312"/>
          <w:color w:val="000000" w:themeColor="text1"/>
          <w:szCs w:val="24"/>
          <w14:textFill>
            <w14:solidFill>
              <w14:schemeClr w14:val="tx1"/>
            </w14:solidFill>
          </w14:textFill>
        </w:rPr>
        <w:t>评标委员会将否决其投标。</w:t>
      </w:r>
    </w:p>
    <w:p w14:paraId="473F5FEE">
      <w:pPr>
        <w:adjustRightInd w:val="0"/>
        <w:snapToGrid w:val="0"/>
        <w:spacing w:line="360" w:lineRule="auto"/>
        <w:ind w:firstLine="48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15.7</w:t>
      </w:r>
      <w:r>
        <w:rPr>
          <w:rFonts w:hint="eastAsia" w:ascii="宋体" w:hAnsi="宋体" w:eastAsia="宋体" w:cs="宋体"/>
          <w:color w:val="000000" w:themeColor="text1"/>
          <w:szCs w:val="21"/>
          <w:highlight w:val="none"/>
          <w14:textFill>
            <w14:solidFill>
              <w14:schemeClr w14:val="tx1"/>
            </w14:solidFill>
          </w14:textFill>
        </w:rPr>
        <w:t>所有投标均按投标人须知表12.1条中要求货币进行报价。投标人的投标报价应遵守《中华人民共和国价格法》。同时，根据《中华人民共和国政府采购法》第三条的规定，为保证公平竞争，如有服务主体部分的赠与行为，其投标将被认定为</w:t>
      </w:r>
      <w:r>
        <w:rPr>
          <w:rFonts w:hint="eastAsia" w:ascii="宋体" w:hAnsi="宋体" w:eastAsia="宋体" w:cs="宋体"/>
          <w:b/>
          <w:bCs/>
          <w:color w:val="000000" w:themeColor="text1"/>
          <w:szCs w:val="21"/>
          <w:highlight w:val="none"/>
          <w14:textFill>
            <w14:solidFill>
              <w14:schemeClr w14:val="tx1"/>
            </w14:solidFill>
          </w14:textFill>
        </w:rPr>
        <w:t>投标无效</w:t>
      </w:r>
      <w:r>
        <w:rPr>
          <w:rFonts w:hint="eastAsia" w:ascii="宋体" w:hAnsi="宋体" w:eastAsia="宋体" w:cs="宋体"/>
          <w:color w:val="000000" w:themeColor="text1"/>
          <w:szCs w:val="21"/>
          <w:highlight w:val="none"/>
          <w14:textFill>
            <w14:solidFill>
              <w14:schemeClr w14:val="tx1"/>
            </w14:solidFill>
          </w14:textFill>
        </w:rPr>
        <w:t>。</w:t>
      </w:r>
    </w:p>
    <w:p w14:paraId="315E7D9E">
      <w:pPr>
        <w:adjustRightInd w:val="0"/>
        <w:snapToGrid w:val="0"/>
        <w:spacing w:line="360" w:lineRule="auto"/>
        <w:ind w:firstLine="48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投标人应按招标文件要求在相关表格中标明投标服务及伴随货物的单价和总价，并由法定代表人（非法人组织的负责人）或其委托代理人签署。</w:t>
      </w:r>
    </w:p>
    <w:p w14:paraId="3E101542">
      <w:pPr>
        <w:adjustRightInd w:val="0"/>
        <w:snapToGrid w:val="0"/>
        <w:spacing w:line="360" w:lineRule="auto"/>
        <w:ind w:firstLine="480"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投标人所报的各分项投标单价在合同履行过程中是固定不变的，不得以任何理由予以变更。任何包含价格调整要求的投标，其投标将被认定为</w:t>
      </w:r>
      <w:r>
        <w:rPr>
          <w:rFonts w:hint="eastAsia" w:ascii="宋体" w:hAnsi="宋体" w:eastAsia="宋体" w:cs="宋体"/>
          <w:b/>
          <w:bCs/>
          <w:color w:val="000000" w:themeColor="text1"/>
          <w:szCs w:val="21"/>
          <w:highlight w:val="none"/>
          <w14:textFill>
            <w14:solidFill>
              <w14:schemeClr w14:val="tx1"/>
            </w14:solidFill>
          </w14:textFill>
        </w:rPr>
        <w:t>投标无效。</w:t>
      </w:r>
    </w:p>
    <w:p w14:paraId="22D2A86C">
      <w:pPr>
        <w:adjustRightInd w:val="0"/>
        <w:snapToGrid w:val="0"/>
        <w:spacing w:line="360" w:lineRule="auto"/>
        <w:ind w:firstLine="48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每种服务只能有一个投标报价。采购人不接受具有附加条件的报价。</w:t>
      </w:r>
    </w:p>
    <w:p w14:paraId="0DE4332E">
      <w:pPr>
        <w:adjustRightInd w:val="0"/>
        <w:snapToGrid w:val="0"/>
        <w:spacing w:line="360" w:lineRule="auto"/>
        <w:ind w:firstLine="480" w:firstLineChars="200"/>
        <w:rPr>
          <w:rFonts w:hint="eastAsia" w:ascii="宋体" w:hAnsi="宋体" w:eastAsia="宋体" w:cs="宋体"/>
          <w:color w:val="000000" w:themeColor="text1"/>
          <w:szCs w:val="21"/>
          <w:highlight w:val="none"/>
          <w14:textFill>
            <w14:solidFill>
              <w14:schemeClr w14:val="tx1"/>
            </w14:solidFill>
          </w14:textFill>
        </w:rPr>
      </w:pPr>
      <w:bookmarkStart w:id="132" w:name="_Toc31973_WPSOffice_Level2"/>
      <w:bookmarkStart w:id="133" w:name="_Toc22507_WPSOffice_Level2"/>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除非招标文件另有规定，报价原则上精确到小数点后两位。</w:t>
      </w:r>
      <w:bookmarkEnd w:id="132"/>
      <w:bookmarkEnd w:id="133"/>
    </w:p>
    <w:p w14:paraId="5093FB4B">
      <w:pPr>
        <w:adjustRightInd w:val="0"/>
        <w:snapToGrid w:val="0"/>
        <w:spacing w:line="360" w:lineRule="auto"/>
        <w:ind w:firstLine="48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.12</w:t>
      </w:r>
      <w:r>
        <w:rPr>
          <w:rFonts w:hint="eastAsia" w:ascii="宋体" w:hAnsi="宋体" w:eastAsia="宋体" w:cs="宋体"/>
          <w:color w:val="000000" w:themeColor="text1"/>
          <w:szCs w:val="21"/>
          <w:highlight w:val="none"/>
          <w14:textFill>
            <w14:solidFill>
              <w14:schemeClr w14:val="tx1"/>
            </w14:solidFill>
          </w14:textFill>
        </w:rPr>
        <w:t>评标委员会认为投标人的报价明显低于其他通过符合性审查投标人，有可能影响产品质量或者不能诚信履约的，且投标人不能按评标委员会的要求证明其报价合理性的</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根据《关于推动解决政府采购异常低价问题的通知》财库(2026)2号</w:t>
      </w:r>
      <w:r>
        <w:rPr>
          <w:rFonts w:hint="eastAsia" w:ascii="宋体" w:hAnsi="宋体" w:eastAsia="宋体" w:cs="宋体"/>
          <w:color w:val="000000" w:themeColor="text1"/>
          <w:szCs w:val="21"/>
          <w:highlight w:val="none"/>
          <w:lang w:val="en-US" w:eastAsia="zh-CN"/>
          <w14:textFill>
            <w14:solidFill>
              <w14:schemeClr w14:val="tx1"/>
            </w14:solidFill>
          </w14:textFill>
        </w:rPr>
        <w:t>文件规定将</w:t>
      </w:r>
      <w:r>
        <w:rPr>
          <w:rFonts w:hint="eastAsia" w:ascii="宋体" w:hAnsi="宋体" w:eastAsia="宋体" w:cs="宋体"/>
          <w:color w:val="000000" w:themeColor="text1"/>
          <w:szCs w:val="21"/>
          <w:highlight w:val="none"/>
          <w14:textFill>
            <w14:solidFill>
              <w14:schemeClr w14:val="tx1"/>
            </w14:solidFill>
          </w14:textFill>
        </w:rPr>
        <w:t>启动异常低价投标(响应)审查程序:</w:t>
      </w:r>
    </w:p>
    <w:p w14:paraId="497E8D01">
      <w:pPr>
        <w:adjustRightInd w:val="0"/>
        <w:snapToGrid w:val="0"/>
        <w:spacing w:line="360" w:lineRule="auto"/>
        <w:ind w:firstLine="48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投标报价低于全部通过符合性审查供应商投标报价平均值50%的，即投标报价〈全部通过符合性审查供应商投标报价平均值</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50%；</w:t>
      </w:r>
    </w:p>
    <w:p w14:paraId="31F6662D">
      <w:pPr>
        <w:adjustRightInd w:val="0"/>
        <w:snapToGrid w:val="0"/>
        <w:spacing w:line="360" w:lineRule="auto"/>
        <w:ind w:firstLine="48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投标报价低于通过符合性审查的次低报价供应商投标报价50%的，即投标报价〈通过符合性审查的次低报价供应商投标报价</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50%；</w:t>
      </w:r>
    </w:p>
    <w:p w14:paraId="66331085">
      <w:pPr>
        <w:adjustRightInd w:val="0"/>
        <w:snapToGrid w:val="0"/>
        <w:spacing w:line="360" w:lineRule="auto"/>
        <w:ind w:firstLine="48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投标报价低于采购项目最高限价45%的，即投标报价</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采购项目最高限价×45%。</w:t>
      </w:r>
    </w:p>
    <w:p w14:paraId="78500786">
      <w:pPr>
        <w:adjustRightInd w:val="0"/>
        <w:snapToGrid w:val="0"/>
        <w:spacing w:line="360" w:lineRule="auto"/>
        <w:ind w:firstLine="48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评审委员会基于专业判断，认为供应商报价过低，有可能影响产品质量或者不能诚信履约的其他情形。</w:t>
      </w:r>
    </w:p>
    <w:p w14:paraId="212DDEF5">
      <w:pPr>
        <w:adjustRightInd w:val="0"/>
        <w:snapToGrid w:val="0"/>
        <w:spacing w:line="360" w:lineRule="auto"/>
        <w:ind w:firstLine="48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评审委员会启动异常低价投标审查后，属于前述第</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项至第</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项情形的，</w:t>
      </w:r>
      <w:r>
        <w:rPr>
          <w:rFonts w:hint="eastAsia" w:ascii="宋体" w:hAnsi="宋体" w:eastAsia="宋体" w:cs="宋体"/>
          <w:color w:val="000000" w:themeColor="text1"/>
          <w:szCs w:val="21"/>
          <w:highlight w:val="none"/>
          <w:lang w:val="en-US" w:eastAsia="zh-CN"/>
          <w14:textFill>
            <w14:solidFill>
              <w14:schemeClr w14:val="tx1"/>
            </w14:solidFill>
          </w14:textFill>
        </w:rPr>
        <w:t>将</w:t>
      </w:r>
      <w:r>
        <w:rPr>
          <w:rFonts w:hint="eastAsia" w:ascii="宋体" w:hAnsi="宋体" w:eastAsia="宋体" w:cs="宋体"/>
          <w:color w:val="000000" w:themeColor="text1"/>
          <w:szCs w:val="21"/>
          <w:highlight w:val="none"/>
          <w14:textFill>
            <w14:solidFill>
              <w14:schemeClr w14:val="tx1"/>
            </w14:solidFill>
          </w14:textFill>
        </w:rPr>
        <w:t>要求相关供应商在评审现场合理的时间内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60分钟内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72A0692D">
      <w:pPr>
        <w:adjustRightInd w:val="0"/>
        <w:snapToGrid w:val="0"/>
        <w:spacing w:line="360" w:lineRule="auto"/>
        <w:ind w:firstLine="480" w:firstLineChars="200"/>
        <w:jc w:val="left"/>
        <w:rPr>
          <w:color w:val="000000" w:themeColor="text1"/>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1E9241F5">
      <w:pPr>
        <w:numPr>
          <w:ilvl w:val="0"/>
          <w:numId w:val="0"/>
        </w:numPr>
        <w:ind w:firstLine="480" w:firstLineChars="200"/>
        <w:rPr>
          <w:rFonts w:hint="default" w:cs="仿宋_GB2312"/>
          <w:color w:val="000000" w:themeColor="text1"/>
          <w:szCs w:val="24"/>
          <w:lang w:val="en-US" w:eastAsia="zh-CN"/>
          <w14:textFill>
            <w14:solidFill>
              <w14:schemeClr w14:val="tx1"/>
            </w14:solidFill>
          </w14:textFill>
        </w:rPr>
      </w:pPr>
    </w:p>
    <w:p w14:paraId="27046374">
      <w:pPr>
        <w:pStyle w:val="6"/>
        <w:numPr>
          <w:ilvl w:val="0"/>
          <w:numId w:val="5"/>
        </w:numPr>
        <w:rPr>
          <w:rFonts w:hint="eastAsia"/>
          <w:color w:val="000000" w:themeColor="text1"/>
          <w14:textFill>
            <w14:solidFill>
              <w14:schemeClr w14:val="tx1"/>
            </w14:solidFill>
          </w14:textFill>
        </w:rPr>
      </w:pPr>
      <w:bookmarkStart w:id="134" w:name="_Toc16897"/>
      <w:bookmarkStart w:id="135" w:name="_Toc1641"/>
      <w:bookmarkStart w:id="136" w:name="_Toc140132773"/>
      <w:r>
        <w:rPr>
          <w:rFonts w:hint="eastAsia"/>
          <w:color w:val="000000" w:themeColor="text1"/>
          <w14:textFill>
            <w14:solidFill>
              <w14:schemeClr w14:val="tx1"/>
            </w14:solidFill>
          </w14:textFill>
        </w:rPr>
        <w:t>投标有效期</w:t>
      </w:r>
      <w:bookmarkEnd w:id="134"/>
      <w:bookmarkEnd w:id="135"/>
      <w:bookmarkEnd w:id="136"/>
    </w:p>
    <w:p w14:paraId="457EC9B5">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5</w:t>
      </w:r>
      <w:r>
        <w:rPr>
          <w:rFonts w:hint="eastAsia" w:cs="仿宋_GB2312"/>
          <w:color w:val="000000" w:themeColor="text1"/>
          <w:szCs w:val="24"/>
          <w14:textFill>
            <w14:solidFill>
              <w14:schemeClr w14:val="tx1"/>
            </w14:solidFill>
          </w14:textFill>
        </w:rPr>
        <w:t xml:space="preserve">.1 </w:t>
      </w:r>
      <w:r>
        <w:rPr>
          <w:rFonts w:ascii="Arial" w:hAnsi="Arial" w:cs="Arial"/>
          <w:color w:val="000000" w:themeColor="text1"/>
          <w:kern w:val="0"/>
          <w:szCs w:val="21"/>
          <w:lang w:val="en"/>
          <w14:textFill>
            <w14:solidFill>
              <w14:schemeClr w14:val="tx1"/>
            </w14:solidFill>
          </w14:textFill>
        </w:rPr>
        <w:t>投标有效期</w:t>
      </w:r>
      <w:r>
        <w:rPr>
          <w:rFonts w:hint="eastAsia" w:cs="仿宋_GB2312"/>
          <w:color w:val="000000" w:themeColor="text1"/>
          <w:szCs w:val="24"/>
          <w14:textFill>
            <w14:solidFill>
              <w14:schemeClr w14:val="tx1"/>
            </w14:solidFill>
          </w14:textFill>
        </w:rPr>
        <w:t>见“投标供应商</w:t>
      </w:r>
      <w:r>
        <w:rPr>
          <w:rFonts w:cs="仿宋_GB2312"/>
          <w:color w:val="000000" w:themeColor="text1"/>
          <w:szCs w:val="24"/>
          <w14:textFill>
            <w14:solidFill>
              <w14:schemeClr w14:val="tx1"/>
            </w14:solidFill>
          </w14:textFill>
        </w:rPr>
        <w:t>须知前附表</w:t>
      </w:r>
      <w:r>
        <w:rPr>
          <w:rFonts w:hint="eastAsia" w:cs="仿宋_GB2312"/>
          <w:color w:val="000000" w:themeColor="text1"/>
          <w:szCs w:val="24"/>
          <w14:textFill>
            <w14:solidFill>
              <w14:schemeClr w14:val="tx1"/>
            </w14:solidFill>
          </w14:textFill>
        </w:rPr>
        <w:t>”，投标供应商承诺的投标有效期不足的，其投标文件将被视为</w:t>
      </w:r>
      <w:r>
        <w:rPr>
          <w:rFonts w:hint="eastAsia" w:cs="仿宋_GB2312"/>
          <w:b/>
          <w:bCs/>
          <w:color w:val="000000" w:themeColor="text1"/>
          <w:szCs w:val="24"/>
          <w14:textFill>
            <w14:solidFill>
              <w14:schemeClr w14:val="tx1"/>
            </w14:solidFill>
          </w14:textFill>
        </w:rPr>
        <w:t>投标无效</w:t>
      </w:r>
      <w:r>
        <w:rPr>
          <w:rFonts w:hint="eastAsia" w:cs="仿宋_GB2312"/>
          <w:color w:val="000000" w:themeColor="text1"/>
          <w:szCs w:val="24"/>
          <w14:textFill>
            <w14:solidFill>
              <w14:schemeClr w14:val="tx1"/>
            </w14:solidFill>
          </w14:textFill>
        </w:rPr>
        <w:t>。</w:t>
      </w:r>
    </w:p>
    <w:p w14:paraId="685D220C">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5</w:t>
      </w:r>
      <w:r>
        <w:rPr>
          <w:rFonts w:cs="仿宋_GB2312"/>
          <w:color w:val="000000" w:themeColor="text1"/>
          <w:szCs w:val="24"/>
          <w14:textFill>
            <w14:solidFill>
              <w14:schemeClr w14:val="tx1"/>
            </w14:solidFill>
          </w14:textFill>
        </w:rPr>
        <w:t>.2特殊情况下，在原</w:t>
      </w:r>
      <w:r>
        <w:rPr>
          <w:rFonts w:hint="eastAsia" w:cs="仿宋_GB2312"/>
          <w:color w:val="000000" w:themeColor="text1"/>
          <w:szCs w:val="24"/>
          <w14:textFill>
            <w14:solidFill>
              <w14:schemeClr w14:val="tx1"/>
            </w14:solidFill>
          </w14:textFill>
        </w:rPr>
        <w:t>投标文件</w:t>
      </w:r>
      <w:r>
        <w:rPr>
          <w:rFonts w:cs="仿宋_GB2312"/>
          <w:color w:val="000000" w:themeColor="text1"/>
          <w:szCs w:val="24"/>
          <w14:textFill>
            <w14:solidFill>
              <w14:schemeClr w14:val="tx1"/>
            </w14:solidFill>
          </w14:textFill>
        </w:rPr>
        <w:t>有效期截止之前，采购代理机构或采购人可要求</w:t>
      </w:r>
      <w:r>
        <w:rPr>
          <w:rFonts w:hint="eastAsia" w:cs="仿宋_GB2312"/>
          <w:color w:val="000000" w:themeColor="text1"/>
          <w:szCs w:val="24"/>
          <w14:textFill>
            <w14:solidFill>
              <w14:schemeClr w14:val="tx1"/>
            </w14:solidFill>
          </w14:textFill>
        </w:rPr>
        <w:t>投标供应商</w:t>
      </w:r>
      <w:r>
        <w:rPr>
          <w:rFonts w:cs="仿宋_GB2312"/>
          <w:color w:val="000000" w:themeColor="text1"/>
          <w:szCs w:val="24"/>
          <w14:textFill>
            <w14:solidFill>
              <w14:schemeClr w14:val="tx1"/>
            </w14:solidFill>
          </w14:textFill>
        </w:rPr>
        <w:t>延长</w:t>
      </w:r>
      <w:r>
        <w:rPr>
          <w:rFonts w:hint="eastAsia" w:cs="仿宋_GB2312"/>
          <w:color w:val="000000" w:themeColor="text1"/>
          <w:szCs w:val="24"/>
          <w14:textFill>
            <w14:solidFill>
              <w14:schemeClr w14:val="tx1"/>
            </w14:solidFill>
          </w14:textFill>
        </w:rPr>
        <w:t>投标</w:t>
      </w:r>
      <w:r>
        <w:rPr>
          <w:rFonts w:cs="仿宋_GB2312"/>
          <w:color w:val="000000" w:themeColor="text1"/>
          <w:szCs w:val="24"/>
          <w14:textFill>
            <w14:solidFill>
              <w14:schemeClr w14:val="tx1"/>
            </w14:solidFill>
          </w14:textFill>
        </w:rPr>
        <w:t>有效期。需要延长</w:t>
      </w:r>
      <w:r>
        <w:rPr>
          <w:rFonts w:hint="eastAsia" w:cs="仿宋_GB2312"/>
          <w:color w:val="000000" w:themeColor="text1"/>
          <w:szCs w:val="24"/>
          <w14:textFill>
            <w14:solidFill>
              <w14:schemeClr w14:val="tx1"/>
            </w14:solidFill>
          </w14:textFill>
        </w:rPr>
        <w:t>投标</w:t>
      </w:r>
      <w:r>
        <w:rPr>
          <w:rFonts w:cs="仿宋_GB2312"/>
          <w:color w:val="000000" w:themeColor="text1"/>
          <w:szCs w:val="24"/>
          <w14:textFill>
            <w14:solidFill>
              <w14:schemeClr w14:val="tx1"/>
            </w14:solidFill>
          </w14:textFill>
        </w:rPr>
        <w:t>有效期时，采购代理机构或采购人将以书面形式通知所有</w:t>
      </w:r>
      <w:r>
        <w:rPr>
          <w:rFonts w:hint="eastAsia" w:cs="仿宋_GB2312"/>
          <w:color w:val="000000" w:themeColor="text1"/>
          <w:szCs w:val="24"/>
          <w14:textFill>
            <w14:solidFill>
              <w14:schemeClr w14:val="tx1"/>
            </w14:solidFill>
          </w14:textFill>
        </w:rPr>
        <w:t>投标供应商</w:t>
      </w:r>
      <w:r>
        <w:rPr>
          <w:rFonts w:cs="仿宋_GB2312"/>
          <w:color w:val="000000" w:themeColor="text1"/>
          <w:szCs w:val="24"/>
          <w14:textFill>
            <w14:solidFill>
              <w14:schemeClr w14:val="tx1"/>
            </w14:solidFill>
          </w14:textFill>
        </w:rPr>
        <w:t>，</w:t>
      </w:r>
      <w:r>
        <w:rPr>
          <w:rFonts w:hint="eastAsia" w:cs="仿宋_GB2312"/>
          <w:color w:val="000000" w:themeColor="text1"/>
          <w:szCs w:val="24"/>
          <w14:textFill>
            <w14:solidFill>
              <w14:schemeClr w14:val="tx1"/>
            </w14:solidFill>
          </w14:textFill>
        </w:rPr>
        <w:t>投标供应商</w:t>
      </w:r>
      <w:r>
        <w:rPr>
          <w:rFonts w:cs="仿宋_GB2312"/>
          <w:color w:val="000000" w:themeColor="text1"/>
          <w:szCs w:val="24"/>
          <w14:textFill>
            <w14:solidFill>
              <w14:schemeClr w14:val="tx1"/>
            </w14:solidFill>
          </w14:textFill>
        </w:rPr>
        <w:t>应以书面形式答复是否同意延长</w:t>
      </w:r>
      <w:r>
        <w:rPr>
          <w:rFonts w:hint="eastAsia" w:cs="仿宋_GB2312"/>
          <w:color w:val="000000" w:themeColor="text1"/>
          <w:szCs w:val="24"/>
          <w14:textFill>
            <w14:solidFill>
              <w14:schemeClr w14:val="tx1"/>
            </w14:solidFill>
          </w14:textFill>
        </w:rPr>
        <w:t>投标</w:t>
      </w:r>
      <w:r>
        <w:rPr>
          <w:rFonts w:cs="仿宋_GB2312"/>
          <w:color w:val="000000" w:themeColor="text1"/>
          <w:szCs w:val="24"/>
          <w14:textFill>
            <w14:solidFill>
              <w14:schemeClr w14:val="tx1"/>
            </w14:solidFill>
          </w14:textFill>
        </w:rPr>
        <w:t>有效期。</w:t>
      </w:r>
    </w:p>
    <w:p w14:paraId="191125BE">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5</w:t>
      </w:r>
      <w:r>
        <w:rPr>
          <w:rFonts w:cs="仿宋_GB2312"/>
          <w:color w:val="000000" w:themeColor="text1"/>
          <w:szCs w:val="24"/>
          <w14:textFill>
            <w14:solidFill>
              <w14:schemeClr w14:val="tx1"/>
            </w14:solidFill>
          </w14:textFill>
        </w:rPr>
        <w:t>.3</w:t>
      </w:r>
      <w:r>
        <w:rPr>
          <w:rFonts w:hint="eastAsia" w:cs="仿宋_GB2312"/>
          <w:color w:val="000000" w:themeColor="text1"/>
          <w:szCs w:val="24"/>
          <w14:textFill>
            <w14:solidFill>
              <w14:schemeClr w14:val="tx1"/>
            </w14:solidFill>
          </w14:textFill>
        </w:rPr>
        <w:t>投标供应商</w:t>
      </w:r>
      <w:r>
        <w:rPr>
          <w:rFonts w:cs="仿宋_GB2312"/>
          <w:color w:val="000000" w:themeColor="text1"/>
          <w:szCs w:val="24"/>
          <w14:textFill>
            <w14:solidFill>
              <w14:schemeClr w14:val="tx1"/>
            </w14:solidFill>
          </w14:textFill>
        </w:rPr>
        <w:t>同意延长的，不得要求或被允许修改或撤销其</w:t>
      </w:r>
      <w:r>
        <w:rPr>
          <w:rFonts w:hint="eastAsia" w:cs="仿宋_GB2312"/>
          <w:color w:val="000000" w:themeColor="text1"/>
          <w:szCs w:val="24"/>
          <w14:textFill>
            <w14:solidFill>
              <w14:schemeClr w14:val="tx1"/>
            </w14:solidFill>
          </w14:textFill>
        </w:rPr>
        <w:t>投标文件</w:t>
      </w:r>
      <w:r>
        <w:rPr>
          <w:rFonts w:cs="仿宋_GB2312"/>
          <w:color w:val="000000" w:themeColor="text1"/>
          <w:szCs w:val="24"/>
          <w14:textFill>
            <w14:solidFill>
              <w14:schemeClr w14:val="tx1"/>
            </w14:solidFill>
          </w14:textFill>
        </w:rPr>
        <w:t>；供应商拒绝延长的，其</w:t>
      </w:r>
      <w:r>
        <w:rPr>
          <w:rFonts w:hint="eastAsia" w:cs="仿宋_GB2312"/>
          <w:color w:val="000000" w:themeColor="text1"/>
          <w:szCs w:val="24"/>
          <w14:textFill>
            <w14:solidFill>
              <w14:schemeClr w14:val="tx1"/>
            </w14:solidFill>
          </w14:textFill>
        </w:rPr>
        <w:t>投标文件</w:t>
      </w:r>
      <w:r>
        <w:rPr>
          <w:rFonts w:cs="仿宋_GB2312"/>
          <w:color w:val="000000" w:themeColor="text1"/>
          <w:szCs w:val="24"/>
          <w14:textFill>
            <w14:solidFill>
              <w14:schemeClr w14:val="tx1"/>
            </w14:solidFill>
          </w14:textFill>
        </w:rPr>
        <w:t>在原</w:t>
      </w:r>
      <w:r>
        <w:rPr>
          <w:rFonts w:hint="eastAsia" w:cs="仿宋_GB2312"/>
          <w:color w:val="000000" w:themeColor="text1"/>
          <w:szCs w:val="24"/>
          <w14:textFill>
            <w14:solidFill>
              <w14:schemeClr w14:val="tx1"/>
            </w14:solidFill>
          </w14:textFill>
        </w:rPr>
        <w:t>投标</w:t>
      </w:r>
      <w:r>
        <w:rPr>
          <w:rFonts w:cs="仿宋_GB2312"/>
          <w:color w:val="000000" w:themeColor="text1"/>
          <w:szCs w:val="24"/>
          <w14:textFill>
            <w14:solidFill>
              <w14:schemeClr w14:val="tx1"/>
            </w14:solidFill>
          </w14:textFill>
        </w:rPr>
        <w:t>有效期满后将不再有效。</w:t>
      </w:r>
    </w:p>
    <w:p w14:paraId="546A25A3">
      <w:pPr>
        <w:pStyle w:val="6"/>
        <w:numPr>
          <w:ilvl w:val="0"/>
          <w:numId w:val="5"/>
        </w:numPr>
        <w:rPr>
          <w:rFonts w:hint="eastAsia"/>
          <w:color w:val="000000" w:themeColor="text1"/>
          <w14:textFill>
            <w14:solidFill>
              <w14:schemeClr w14:val="tx1"/>
            </w14:solidFill>
          </w14:textFill>
        </w:rPr>
      </w:pPr>
      <w:bookmarkStart w:id="137" w:name="_Toc140132774"/>
      <w:bookmarkStart w:id="138" w:name="_Toc8809"/>
      <w:bookmarkStart w:id="139" w:name="_Toc23918"/>
      <w:r>
        <w:rPr>
          <w:rFonts w:hint="eastAsia"/>
          <w:color w:val="000000" w:themeColor="text1"/>
          <w14:textFill>
            <w14:solidFill>
              <w14:schemeClr w14:val="tx1"/>
            </w14:solidFill>
          </w14:textFill>
        </w:rPr>
        <w:t>投标文件的编制</w:t>
      </w:r>
      <w:bookmarkEnd w:id="137"/>
      <w:bookmarkEnd w:id="138"/>
      <w:bookmarkEnd w:id="139"/>
    </w:p>
    <w:p w14:paraId="2784F323">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6</w:t>
      </w:r>
      <w:r>
        <w:rPr>
          <w:rFonts w:hint="eastAsia" w:cs="仿宋_GB2312"/>
          <w:color w:val="000000" w:themeColor="text1"/>
          <w:szCs w:val="24"/>
          <w14:textFill>
            <w14:solidFill>
              <w14:schemeClr w14:val="tx1"/>
            </w14:solidFill>
          </w14:textFill>
        </w:rPr>
        <w:t>.1投标文件应在供应商客户端中进行编制，在投标文件中要求加盖印章的，除有特殊说明之外，一律使用电子签章签署。</w:t>
      </w:r>
    </w:p>
    <w:p w14:paraId="0854DC8A">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w:t>
      </w:r>
      <w:bookmarkStart w:id="140" w:name="_Hlk143528557"/>
      <w:r>
        <w:rPr>
          <w:color w:val="000000" w:themeColor="text1"/>
          <w14:textFill>
            <w14:solidFill>
              <w14:schemeClr w14:val="tx1"/>
            </w14:solidFill>
          </w14:textFill>
        </w:rPr>
        <w:t>2</w:t>
      </w:r>
      <w:r>
        <w:rPr>
          <w:rFonts w:hint="eastAsia"/>
          <w:color w:val="000000" w:themeColor="text1"/>
          <w14:textFill>
            <w14:solidFill>
              <w14:schemeClr w14:val="tx1"/>
            </w14:solidFill>
          </w14:textFill>
        </w:rPr>
        <w:t>投标供应商在供应商客户端中按照供应商客户端中的格式要求填写响应内容后，生成投标文件。投标供应商须按照招标文件的要求使用电子签章对要求加盖印章的部分逐一进行签章。</w:t>
      </w:r>
      <w:bookmarkEnd w:id="140"/>
    </w:p>
    <w:p w14:paraId="497CF18D">
      <w:pPr>
        <w:pStyle w:val="5"/>
        <w:numPr>
          <w:ilvl w:val="0"/>
          <w:numId w:val="4"/>
        </w:numPr>
        <w:rPr>
          <w:rFonts w:hint="eastAsia"/>
          <w:color w:val="000000" w:themeColor="text1"/>
          <w14:textFill>
            <w14:solidFill>
              <w14:schemeClr w14:val="tx1"/>
            </w14:solidFill>
          </w14:textFill>
        </w:rPr>
      </w:pPr>
      <w:bookmarkStart w:id="141" w:name="_Toc155185873"/>
      <w:bookmarkStart w:id="142" w:name="_Toc7868"/>
      <w:r>
        <w:rPr>
          <w:rFonts w:hint="eastAsia" w:asciiTheme="minorHAnsi" w:hAnsiTheme="minorHAnsi"/>
          <w:color w:val="000000" w:themeColor="text1"/>
          <w14:textFill>
            <w14:solidFill>
              <w14:schemeClr w14:val="tx1"/>
            </w14:solidFill>
          </w14:textFill>
        </w:rPr>
        <w:t>投标</w:t>
      </w:r>
      <w:bookmarkEnd w:id="141"/>
      <w:bookmarkEnd w:id="142"/>
    </w:p>
    <w:p w14:paraId="1DD0510E">
      <w:pPr>
        <w:pStyle w:val="6"/>
        <w:numPr>
          <w:ilvl w:val="0"/>
          <w:numId w:val="5"/>
        </w:numPr>
        <w:rPr>
          <w:rFonts w:hint="eastAsia"/>
          <w:color w:val="000000" w:themeColor="text1"/>
          <w14:textFill>
            <w14:solidFill>
              <w14:schemeClr w14:val="tx1"/>
            </w14:solidFill>
          </w14:textFill>
        </w:rPr>
      </w:pPr>
      <w:bookmarkStart w:id="143" w:name="_Toc27206"/>
      <w:bookmarkStart w:id="144" w:name="_Toc892"/>
      <w:r>
        <w:rPr>
          <w:rFonts w:hint="eastAsia"/>
          <w:color w:val="000000" w:themeColor="text1"/>
          <w14:textFill>
            <w14:solidFill>
              <w14:schemeClr w14:val="tx1"/>
            </w14:solidFill>
          </w14:textFill>
        </w:rPr>
        <w:t>投标文件的加密</w:t>
      </w:r>
      <w:bookmarkEnd w:id="143"/>
      <w:bookmarkEnd w:id="144"/>
    </w:p>
    <w:p w14:paraId="7C1DA3CD">
      <w:pPr>
        <w:ind w:firstLine="480" w:firstLineChars="200"/>
        <w:rPr>
          <w:rFonts w:hint="eastAsia" w:cs="仿宋_GB2312"/>
          <w:color w:val="000000" w:themeColor="text1"/>
          <w:szCs w:val="24"/>
          <w:u w:val="single"/>
          <w14:textFill>
            <w14:solidFill>
              <w14:schemeClr w14:val="tx1"/>
            </w14:solidFill>
          </w14:textFill>
        </w:rPr>
      </w:pPr>
      <w:bookmarkStart w:id="145" w:name="_Hlk143531864"/>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7</w:t>
      </w:r>
      <w:r>
        <w:rPr>
          <w:rFonts w:hint="eastAsia" w:cs="仿宋_GB2312"/>
          <w:color w:val="000000" w:themeColor="text1"/>
          <w:szCs w:val="24"/>
          <w14:textFill>
            <w14:solidFill>
              <w14:schemeClr w14:val="tx1"/>
            </w14:solidFill>
          </w14:textFill>
        </w:rPr>
        <w:t>.1投标供应商在供应商客户端中生成投标文件并完成签章之后，使用CA证书在供应商客户端中对投标文件进行加密。</w:t>
      </w:r>
    </w:p>
    <w:p w14:paraId="698572C1">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7</w:t>
      </w:r>
      <w:r>
        <w:rPr>
          <w:rFonts w:hint="eastAsia" w:cs="仿宋_GB2312"/>
          <w:color w:val="000000" w:themeColor="text1"/>
          <w:szCs w:val="24"/>
          <w14:textFill>
            <w14:solidFill>
              <w14:schemeClr w14:val="tx1"/>
            </w14:solidFill>
          </w14:textFill>
        </w:rPr>
        <w:t>.2投标供应商应在供应商客户端中对加密的投标文件进行解密验证，以防止投标文件加密异常，在开标时无法解密。</w:t>
      </w:r>
    </w:p>
    <w:p w14:paraId="623F80CD">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7</w:t>
      </w:r>
      <w:r>
        <w:rPr>
          <w:rFonts w:hint="eastAsia" w:cs="仿宋_GB2312"/>
          <w:color w:val="000000" w:themeColor="text1"/>
          <w:szCs w:val="24"/>
          <w14:textFill>
            <w14:solidFill>
              <w14:schemeClr w14:val="tx1"/>
            </w14:solidFill>
          </w14:textFill>
        </w:rPr>
        <w:t>.3 投标供应商应保证加密投标文件的CA证书有效期在开标时间之前。若CA证书有效期临近开标时间，建议投标供应商提前办理CA证书续期，以免开标时无法进行解密。</w:t>
      </w:r>
    </w:p>
    <w:bookmarkEnd w:id="145"/>
    <w:p w14:paraId="38901CA0">
      <w:pPr>
        <w:pStyle w:val="6"/>
        <w:numPr>
          <w:ilvl w:val="0"/>
          <w:numId w:val="5"/>
        </w:numPr>
        <w:rPr>
          <w:rFonts w:hint="eastAsia"/>
          <w:color w:val="000000" w:themeColor="text1"/>
          <w14:textFill>
            <w14:solidFill>
              <w14:schemeClr w14:val="tx1"/>
            </w14:solidFill>
          </w14:textFill>
        </w:rPr>
      </w:pPr>
      <w:bookmarkStart w:id="146" w:name="_Toc140132777"/>
      <w:bookmarkStart w:id="147" w:name="_Toc10245"/>
      <w:bookmarkStart w:id="148" w:name="_Toc3408"/>
      <w:r>
        <w:rPr>
          <w:rFonts w:hint="eastAsia"/>
          <w:color w:val="000000" w:themeColor="text1"/>
          <w14:textFill>
            <w14:solidFill>
              <w14:schemeClr w14:val="tx1"/>
            </w14:solidFill>
          </w14:textFill>
        </w:rPr>
        <w:t>投标文件的递交</w:t>
      </w:r>
      <w:bookmarkEnd w:id="146"/>
      <w:r>
        <w:rPr>
          <w:rFonts w:hint="eastAsia"/>
          <w:color w:val="000000" w:themeColor="text1"/>
          <w14:textFill>
            <w14:solidFill>
              <w14:schemeClr w14:val="tx1"/>
            </w14:solidFill>
          </w14:textFill>
        </w:rPr>
        <w:t>（上传）</w:t>
      </w:r>
      <w:bookmarkEnd w:id="147"/>
      <w:bookmarkEnd w:id="148"/>
    </w:p>
    <w:p w14:paraId="351B2D98">
      <w:pPr>
        <w:ind w:firstLine="480" w:firstLineChars="200"/>
        <w:rPr>
          <w:rFonts w:hint="eastAsia" w:cs="仿宋_GB2312"/>
          <w:color w:val="000000" w:themeColor="text1"/>
          <w:szCs w:val="24"/>
          <w14:textFill>
            <w14:solidFill>
              <w14:schemeClr w14:val="tx1"/>
            </w14:solidFill>
          </w14:textFill>
        </w:rPr>
      </w:pPr>
      <w:bookmarkStart w:id="149" w:name="_Hlk143531977"/>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8</w:t>
      </w:r>
      <w:r>
        <w:rPr>
          <w:rFonts w:hint="eastAsia" w:cs="仿宋_GB2312"/>
          <w:color w:val="000000" w:themeColor="text1"/>
          <w:szCs w:val="24"/>
          <w14:textFill>
            <w14:solidFill>
              <w14:schemeClr w14:val="tx1"/>
            </w14:solidFill>
          </w14:textFill>
        </w:rPr>
        <w:t>.1 投标供应商应在“投标供应商</w:t>
      </w:r>
      <w:r>
        <w:rPr>
          <w:rFonts w:cs="仿宋_GB2312"/>
          <w:color w:val="000000" w:themeColor="text1"/>
          <w:szCs w:val="24"/>
          <w14:textFill>
            <w14:solidFill>
              <w14:schemeClr w14:val="tx1"/>
            </w14:solidFill>
          </w14:textFill>
        </w:rPr>
        <w:t>须知前附表</w:t>
      </w:r>
      <w:r>
        <w:rPr>
          <w:rFonts w:hint="eastAsia" w:cs="仿宋_GB2312"/>
          <w:color w:val="000000" w:themeColor="text1"/>
          <w:szCs w:val="24"/>
          <w14:textFill>
            <w14:solidFill>
              <w14:schemeClr w14:val="tx1"/>
            </w14:solidFill>
          </w14:textFill>
        </w:rPr>
        <w:t>”规定的投标截止时间前递交（上传）投标文件。</w:t>
      </w:r>
    </w:p>
    <w:p w14:paraId="226C588B">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8</w:t>
      </w:r>
      <w:r>
        <w:rPr>
          <w:rFonts w:hint="eastAsia" w:cs="仿宋_GB2312"/>
          <w:color w:val="000000" w:themeColor="text1"/>
          <w:szCs w:val="24"/>
          <w14:textFill>
            <w14:solidFill>
              <w14:schemeClr w14:val="tx1"/>
            </w14:solidFill>
          </w14:textFill>
        </w:rPr>
        <w:t>.2 投标供应商递交（上传）投标文件的地点见“投标供应商</w:t>
      </w:r>
      <w:r>
        <w:rPr>
          <w:rFonts w:cs="仿宋_GB2312"/>
          <w:color w:val="000000" w:themeColor="text1"/>
          <w:szCs w:val="24"/>
          <w14:textFill>
            <w14:solidFill>
              <w14:schemeClr w14:val="tx1"/>
            </w14:solidFill>
          </w14:textFill>
        </w:rPr>
        <w:t>须知前附表</w:t>
      </w:r>
      <w:r>
        <w:rPr>
          <w:rFonts w:hint="eastAsia" w:cs="仿宋_GB2312"/>
          <w:color w:val="000000" w:themeColor="text1"/>
          <w:szCs w:val="24"/>
          <w14:textFill>
            <w14:solidFill>
              <w14:schemeClr w14:val="tx1"/>
            </w14:solidFill>
          </w14:textFill>
        </w:rPr>
        <w:t>”。</w:t>
      </w:r>
    </w:p>
    <w:p w14:paraId="193B7B8B">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8</w:t>
      </w:r>
      <w:r>
        <w:rPr>
          <w:rFonts w:hint="eastAsia" w:cs="仿宋_GB2312"/>
          <w:color w:val="000000" w:themeColor="text1"/>
          <w:szCs w:val="24"/>
          <w14:textFill>
            <w14:solidFill>
              <w14:schemeClr w14:val="tx1"/>
            </w14:solidFill>
          </w14:textFill>
        </w:rPr>
        <w:t>.3投标供应商应充分评估集中同时投标带来的网络影响，尽量避开投标高峰时间，错峰进行电子投标。投标供应商递交全部的投标文件后可在递交投标文件的交易系统中获取投标文件递交回执单。</w:t>
      </w:r>
    </w:p>
    <w:p w14:paraId="476630F6">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8</w:t>
      </w:r>
      <w:r>
        <w:rPr>
          <w:rFonts w:hint="eastAsia" w:cs="仿宋_GB2312"/>
          <w:color w:val="000000" w:themeColor="text1"/>
          <w:szCs w:val="24"/>
          <w14:textFill>
            <w14:solidFill>
              <w14:schemeClr w14:val="tx1"/>
            </w14:solidFill>
          </w14:textFill>
        </w:rPr>
        <w:t>.4</w:t>
      </w:r>
      <w:r>
        <w:rPr>
          <w:rFonts w:cs="仿宋_GB2312"/>
          <w:color w:val="000000" w:themeColor="text1"/>
          <w:szCs w:val="24"/>
          <w14:textFill>
            <w14:solidFill>
              <w14:schemeClr w14:val="tx1"/>
            </w14:solidFill>
          </w14:textFill>
        </w:rPr>
        <w:t xml:space="preserve"> </w:t>
      </w:r>
      <w:r>
        <w:rPr>
          <w:rFonts w:hint="eastAsia" w:cs="仿宋_GB2312"/>
          <w:color w:val="000000" w:themeColor="text1"/>
          <w:szCs w:val="24"/>
          <w14:textFill>
            <w14:solidFill>
              <w14:schemeClr w14:val="tx1"/>
            </w14:solidFill>
          </w14:textFill>
        </w:rPr>
        <w:t>投标供应商应在供应商客户端中下载未加密且完成签章的投标文件妥善保存，以便启动应急开标程序时使用。</w:t>
      </w:r>
    </w:p>
    <w:p w14:paraId="1B3BB586">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1</w:t>
      </w:r>
      <w:r>
        <w:rPr>
          <w:rFonts w:hint="eastAsia" w:cs="仿宋_GB2312"/>
          <w:color w:val="000000" w:themeColor="text1"/>
          <w:szCs w:val="24"/>
          <w:lang w:val="en-US" w:eastAsia="zh-CN"/>
          <w14:textFill>
            <w14:solidFill>
              <w14:schemeClr w14:val="tx1"/>
            </w14:solidFill>
          </w14:textFill>
        </w:rPr>
        <w:t>8</w:t>
      </w:r>
      <w:r>
        <w:rPr>
          <w:rFonts w:hint="eastAsia" w:cs="仿宋_GB2312"/>
          <w:color w:val="000000" w:themeColor="text1"/>
          <w:szCs w:val="24"/>
          <w14:textFill>
            <w14:solidFill>
              <w14:schemeClr w14:val="tx1"/>
            </w14:solidFill>
          </w14:textFill>
        </w:rPr>
        <w:t>.</w:t>
      </w:r>
      <w:r>
        <w:rPr>
          <w:rFonts w:cs="仿宋_GB2312"/>
          <w:color w:val="000000" w:themeColor="text1"/>
          <w:szCs w:val="24"/>
          <w14:textFill>
            <w14:solidFill>
              <w14:schemeClr w14:val="tx1"/>
            </w14:solidFill>
          </w14:textFill>
        </w:rPr>
        <w:t>5</w:t>
      </w:r>
      <w:r>
        <w:rPr>
          <w:rFonts w:hint="eastAsia" w:cs="仿宋_GB2312"/>
          <w:color w:val="000000" w:themeColor="text1"/>
          <w:szCs w:val="24"/>
          <w14:textFill>
            <w14:solidFill>
              <w14:schemeClr w14:val="tx1"/>
            </w14:solidFill>
          </w14:textFill>
        </w:rPr>
        <w:t>投标供应商所递交的投标文件不予退还。</w:t>
      </w:r>
    </w:p>
    <w:bookmarkEnd w:id="149"/>
    <w:p w14:paraId="2A584D91">
      <w:pPr>
        <w:pStyle w:val="6"/>
        <w:numPr>
          <w:ilvl w:val="0"/>
          <w:numId w:val="5"/>
        </w:numPr>
        <w:rPr>
          <w:rFonts w:hint="eastAsia"/>
          <w:color w:val="000000" w:themeColor="text1"/>
          <w14:textFill>
            <w14:solidFill>
              <w14:schemeClr w14:val="tx1"/>
            </w14:solidFill>
          </w14:textFill>
        </w:rPr>
      </w:pPr>
      <w:bookmarkStart w:id="150" w:name="_Toc14110"/>
      <w:bookmarkStart w:id="151" w:name="_Toc25149"/>
      <w:r>
        <w:rPr>
          <w:rFonts w:hint="eastAsia"/>
          <w:color w:val="000000" w:themeColor="text1"/>
          <w14:textFill>
            <w14:solidFill>
              <w14:schemeClr w14:val="tx1"/>
            </w14:solidFill>
          </w14:textFill>
        </w:rPr>
        <w:t>拒收</w:t>
      </w:r>
      <w:bookmarkEnd w:id="150"/>
      <w:bookmarkEnd w:id="151"/>
    </w:p>
    <w:p w14:paraId="1EF76C61">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lang w:val="en-US" w:eastAsia="zh-CN"/>
          <w14:textFill>
            <w14:solidFill>
              <w14:schemeClr w14:val="tx1"/>
            </w14:solidFill>
          </w14:textFill>
        </w:rPr>
        <w:t>19</w:t>
      </w:r>
      <w:r>
        <w:rPr>
          <w:rFonts w:hint="eastAsia" w:cs="仿宋_GB2312"/>
          <w:color w:val="000000" w:themeColor="text1"/>
          <w:szCs w:val="24"/>
          <w14:textFill>
            <w14:solidFill>
              <w14:schemeClr w14:val="tx1"/>
            </w14:solidFill>
          </w14:textFill>
        </w:rPr>
        <w:t>.1 超过投标文件提交截止时间</w:t>
      </w:r>
      <w:bookmarkStart w:id="152" w:name="_Hlk143532404"/>
      <w:r>
        <w:rPr>
          <w:rFonts w:hint="eastAsia" w:cs="仿宋_GB2312"/>
          <w:color w:val="000000" w:themeColor="text1"/>
          <w:szCs w:val="24"/>
          <w14:textFill>
            <w14:solidFill>
              <w14:schemeClr w14:val="tx1"/>
            </w14:solidFill>
          </w14:textFill>
        </w:rPr>
        <w:t>或者不按照本章要求加密的投标文件，交易系统应当拒收</w:t>
      </w:r>
      <w:bookmarkEnd w:id="152"/>
      <w:r>
        <w:rPr>
          <w:rFonts w:hint="eastAsia" w:cs="仿宋_GB2312"/>
          <w:color w:val="000000" w:themeColor="text1"/>
          <w:szCs w:val="24"/>
          <w14:textFill>
            <w14:solidFill>
              <w14:schemeClr w14:val="tx1"/>
            </w14:solidFill>
          </w14:textFill>
        </w:rPr>
        <w:t>。</w:t>
      </w:r>
    </w:p>
    <w:p w14:paraId="3AC4A6F1">
      <w:pPr>
        <w:pStyle w:val="6"/>
        <w:numPr>
          <w:ilvl w:val="0"/>
          <w:numId w:val="5"/>
        </w:numPr>
        <w:rPr>
          <w:rFonts w:hint="eastAsia"/>
          <w:color w:val="000000" w:themeColor="text1"/>
          <w14:textFill>
            <w14:solidFill>
              <w14:schemeClr w14:val="tx1"/>
            </w14:solidFill>
          </w14:textFill>
        </w:rPr>
      </w:pPr>
      <w:bookmarkStart w:id="153" w:name="_Toc140132778"/>
      <w:bookmarkStart w:id="154" w:name="_Toc7056"/>
      <w:bookmarkStart w:id="155" w:name="_Toc6497"/>
      <w:r>
        <w:rPr>
          <w:rFonts w:hint="eastAsia"/>
          <w:color w:val="000000" w:themeColor="text1"/>
          <w14:textFill>
            <w14:solidFill>
              <w14:schemeClr w14:val="tx1"/>
            </w14:solidFill>
          </w14:textFill>
        </w:rPr>
        <w:t>投标文件的修改与撤回</w:t>
      </w:r>
      <w:bookmarkEnd w:id="153"/>
      <w:bookmarkEnd w:id="154"/>
      <w:bookmarkEnd w:id="155"/>
    </w:p>
    <w:p w14:paraId="3ABB5502">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 xml:space="preserve">.1 </w:t>
      </w:r>
      <w:bookmarkStart w:id="156" w:name="_Hlk143532466"/>
      <w:r>
        <w:rPr>
          <w:rFonts w:hint="eastAsia"/>
          <w:color w:val="000000" w:themeColor="text1"/>
          <w14:textFill>
            <w14:solidFill>
              <w14:schemeClr w14:val="tx1"/>
            </w14:solidFill>
          </w14:textFill>
        </w:rPr>
        <w:t>在投标截止时间前，投标供应商可使用CA证书在递交投标文件的系统中撤回已提交的投标文件。投标文件撤回后，需重新递交的，投标供应商按照本章第1</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款中的要求重新提交投标文件。</w:t>
      </w:r>
      <w:bookmarkEnd w:id="156"/>
    </w:p>
    <w:p w14:paraId="45F78A63">
      <w:pPr>
        <w:pStyle w:val="6"/>
        <w:numPr>
          <w:ilvl w:val="0"/>
          <w:numId w:val="5"/>
        </w:numPr>
        <w:rPr>
          <w:rFonts w:hint="eastAsia"/>
          <w:color w:val="000000" w:themeColor="text1"/>
          <w14:textFill>
            <w14:solidFill>
              <w14:schemeClr w14:val="tx1"/>
            </w14:solidFill>
          </w14:textFill>
        </w:rPr>
      </w:pPr>
      <w:bookmarkStart w:id="157" w:name="_Toc22866"/>
      <w:bookmarkStart w:id="158" w:name="_Toc19007"/>
      <w:bookmarkStart w:id="159" w:name="_Toc155185874"/>
      <w:r>
        <w:rPr>
          <w:rFonts w:hint="eastAsia"/>
          <w:color w:val="000000" w:themeColor="text1"/>
          <w14:textFill>
            <w14:solidFill>
              <w14:schemeClr w14:val="tx1"/>
            </w14:solidFill>
          </w14:textFill>
        </w:rPr>
        <w:t>实物样品</w:t>
      </w:r>
      <w:bookmarkEnd w:id="157"/>
      <w:bookmarkEnd w:id="158"/>
      <w:bookmarkEnd w:id="159"/>
    </w:p>
    <w:p w14:paraId="6084A281">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.1“投标供应商须知前附表”要求提供样品的，样品的具体要求及评审详见“第三章 采购需求”和“第五章 评标办法及标准”。</w:t>
      </w:r>
    </w:p>
    <w:p w14:paraId="484FD09C">
      <w:pPr>
        <w:pStyle w:val="42"/>
        <w:rPr>
          <w:rFonts w:hint="eastAsia" w:cs="仿宋_GB2312"/>
          <w:b/>
          <w:color w:val="000000" w:themeColor="text1"/>
          <w:szCs w:val="24"/>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.2样品退还：未中标的投标供应商应于中标结果公告发布之日起10日内自行联系采购人取回投标样品；中标人的样品由采购人进行保管、封存，并作为履约验收的参考（招标文件另有规定的从其规定）。</w:t>
      </w:r>
    </w:p>
    <w:p w14:paraId="5A599543">
      <w:pPr>
        <w:pStyle w:val="6"/>
        <w:numPr>
          <w:ilvl w:val="0"/>
          <w:numId w:val="5"/>
        </w:numPr>
        <w:rPr>
          <w:rFonts w:hint="eastAsia"/>
          <w:color w:val="000000" w:themeColor="text1"/>
          <w14:textFill>
            <w14:solidFill>
              <w14:schemeClr w14:val="tx1"/>
            </w14:solidFill>
          </w14:textFill>
        </w:rPr>
      </w:pPr>
      <w:bookmarkStart w:id="160" w:name="_Toc3235"/>
      <w:bookmarkStart w:id="161" w:name="_Toc15823"/>
      <w:bookmarkStart w:id="162" w:name="_Toc155185875"/>
      <w:r>
        <w:rPr>
          <w:rFonts w:hint="eastAsia"/>
          <w:color w:val="000000" w:themeColor="text1"/>
          <w14:textFill>
            <w14:solidFill>
              <w14:schemeClr w14:val="tx1"/>
            </w14:solidFill>
          </w14:textFill>
        </w:rPr>
        <w:t>演示</w:t>
      </w:r>
      <w:bookmarkEnd w:id="160"/>
      <w:bookmarkEnd w:id="161"/>
      <w:bookmarkEnd w:id="162"/>
    </w:p>
    <w:p w14:paraId="2AAFFDCD">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.1要求投标供应商进行演示的，演示要求详见“投标供应商须知前附表”。</w:t>
      </w:r>
    </w:p>
    <w:p w14:paraId="685B2DA6">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.2演示的评审详见“第三章 采购需求”和“第五章 评标办法及标准”。</w:t>
      </w:r>
    </w:p>
    <w:p w14:paraId="769DA1D0">
      <w:pPr>
        <w:pStyle w:val="5"/>
        <w:numPr>
          <w:ilvl w:val="0"/>
          <w:numId w:val="4"/>
        </w:numPr>
        <w:rPr>
          <w:rFonts w:hint="eastAsia" w:asciiTheme="minorHAnsi" w:hAnsiTheme="minorHAnsi"/>
          <w:color w:val="000000" w:themeColor="text1"/>
          <w14:textFill>
            <w14:solidFill>
              <w14:schemeClr w14:val="tx1"/>
            </w14:solidFill>
          </w14:textFill>
        </w:rPr>
      </w:pPr>
      <w:bookmarkStart w:id="163" w:name="_Toc155185876"/>
      <w:bookmarkStart w:id="164" w:name="_Toc26177"/>
      <w:bookmarkStart w:id="165" w:name="_Toc140132779"/>
      <w:r>
        <w:rPr>
          <w:rFonts w:hint="eastAsia" w:asciiTheme="minorHAnsi" w:hAnsiTheme="minorHAnsi"/>
          <w:color w:val="000000" w:themeColor="text1"/>
          <w14:textFill>
            <w14:solidFill>
              <w14:schemeClr w14:val="tx1"/>
            </w14:solidFill>
          </w14:textFill>
        </w:rPr>
        <w:t>开标</w:t>
      </w:r>
      <w:bookmarkEnd w:id="163"/>
      <w:bookmarkEnd w:id="164"/>
      <w:bookmarkEnd w:id="165"/>
    </w:p>
    <w:p w14:paraId="23B186A8">
      <w:pPr>
        <w:pStyle w:val="6"/>
        <w:numPr>
          <w:ilvl w:val="0"/>
          <w:numId w:val="5"/>
        </w:numPr>
        <w:rPr>
          <w:rFonts w:hint="eastAsia"/>
          <w:color w:val="000000" w:themeColor="text1"/>
          <w14:textFill>
            <w14:solidFill>
              <w14:schemeClr w14:val="tx1"/>
            </w14:solidFill>
          </w14:textFill>
        </w:rPr>
      </w:pPr>
      <w:bookmarkStart w:id="166" w:name="_Toc7582"/>
      <w:bookmarkStart w:id="167" w:name="_Toc29781"/>
      <w:bookmarkStart w:id="168" w:name="_Toc140132780"/>
      <w:r>
        <w:rPr>
          <w:rFonts w:hint="eastAsia"/>
          <w:color w:val="000000" w:themeColor="text1"/>
          <w14:textFill>
            <w14:solidFill>
              <w14:schemeClr w14:val="tx1"/>
            </w14:solidFill>
          </w14:textFill>
        </w:rPr>
        <w:t>开标会议准备</w:t>
      </w:r>
      <w:bookmarkEnd w:id="166"/>
      <w:bookmarkEnd w:id="167"/>
      <w:bookmarkEnd w:id="168"/>
    </w:p>
    <w:p w14:paraId="5280D342">
      <w:pPr>
        <w:ind w:firstLine="480" w:firstLineChars="200"/>
        <w:rPr>
          <w:rFonts w:hint="eastAsia" w:cs="仿宋_GB2312"/>
          <w:bCs/>
          <w:color w:val="000000" w:themeColor="text1"/>
          <w:szCs w:val="24"/>
          <w14:textFill>
            <w14:solidFill>
              <w14:schemeClr w14:val="tx1"/>
            </w14:solidFill>
          </w14:textFill>
        </w:rPr>
      </w:pPr>
      <w:bookmarkStart w:id="169" w:name="_Toc140132781"/>
      <w:r>
        <w:rPr>
          <w:rFonts w:cs="仿宋_GB2312"/>
          <w:color w:val="000000" w:themeColor="text1"/>
          <w:szCs w:val="24"/>
          <w14:textFill>
            <w14:solidFill>
              <w14:schemeClr w14:val="tx1"/>
            </w14:solidFill>
          </w14:textFill>
        </w:rPr>
        <w:t>2</w:t>
      </w:r>
      <w:r>
        <w:rPr>
          <w:rFonts w:hint="eastAsia" w:cs="仿宋_GB2312"/>
          <w:color w:val="000000" w:themeColor="text1"/>
          <w:szCs w:val="24"/>
          <w:lang w:val="en-US" w:eastAsia="zh-CN"/>
          <w14:textFill>
            <w14:solidFill>
              <w14:schemeClr w14:val="tx1"/>
            </w14:solidFill>
          </w14:textFill>
        </w:rPr>
        <w:t>3</w:t>
      </w:r>
      <w:r>
        <w:rPr>
          <w:rFonts w:hint="eastAsia" w:cs="仿宋_GB2312"/>
          <w:color w:val="000000" w:themeColor="text1"/>
          <w:szCs w:val="24"/>
          <w14:textFill>
            <w14:solidFill>
              <w14:schemeClr w14:val="tx1"/>
            </w14:solidFill>
          </w14:textFill>
        </w:rPr>
        <w:t>.1 投标供应商应按照“投标供应商须知前附表”中的要求参与远程开标。</w:t>
      </w:r>
      <w:bookmarkEnd w:id="169"/>
    </w:p>
    <w:p w14:paraId="4D3A0536">
      <w:pPr>
        <w:pStyle w:val="6"/>
        <w:numPr>
          <w:ilvl w:val="0"/>
          <w:numId w:val="5"/>
        </w:numPr>
        <w:rPr>
          <w:rFonts w:hint="eastAsia"/>
          <w:color w:val="000000" w:themeColor="text1"/>
          <w14:textFill>
            <w14:solidFill>
              <w14:schemeClr w14:val="tx1"/>
            </w14:solidFill>
          </w14:textFill>
        </w:rPr>
      </w:pPr>
      <w:bookmarkStart w:id="170" w:name="_Toc25018"/>
      <w:bookmarkStart w:id="171" w:name="_Toc140132782"/>
      <w:bookmarkStart w:id="172" w:name="_Toc3615"/>
      <w:r>
        <w:rPr>
          <w:rFonts w:hint="eastAsia"/>
          <w:color w:val="000000" w:themeColor="text1"/>
          <w14:textFill>
            <w14:solidFill>
              <w14:schemeClr w14:val="tx1"/>
            </w14:solidFill>
          </w14:textFill>
        </w:rPr>
        <w:t>开标时间和地点</w:t>
      </w:r>
      <w:bookmarkEnd w:id="170"/>
      <w:bookmarkEnd w:id="171"/>
      <w:bookmarkEnd w:id="172"/>
    </w:p>
    <w:p w14:paraId="6AAD13A8">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2</w:t>
      </w:r>
      <w:r>
        <w:rPr>
          <w:rFonts w:hint="eastAsia" w:cs="仿宋_GB2312"/>
          <w:color w:val="000000" w:themeColor="text1"/>
          <w:szCs w:val="24"/>
          <w:lang w:val="en-US" w:eastAsia="zh-CN"/>
          <w14:textFill>
            <w14:solidFill>
              <w14:schemeClr w14:val="tx1"/>
            </w14:solidFill>
          </w14:textFill>
        </w:rPr>
        <w:t>4</w:t>
      </w:r>
      <w:r>
        <w:rPr>
          <w:rFonts w:hint="eastAsia" w:cs="仿宋_GB2312"/>
          <w:color w:val="000000" w:themeColor="text1"/>
          <w:szCs w:val="24"/>
          <w14:textFill>
            <w14:solidFill>
              <w14:schemeClr w14:val="tx1"/>
            </w14:solidFill>
          </w14:textFill>
        </w:rPr>
        <w:t>.1开标会按“投标供应商须知前附表”规定的开标时间和地点准时举行，采购人、采购代理机构邀请所有投标供应商授权代表准时参加开标会。投标供应商授权代表如出席会议，应在供应商客户端中登录政府采购交易系统后，使用CA证书验证投标供应商身份后参与开标会。</w:t>
      </w:r>
    </w:p>
    <w:p w14:paraId="7BC7D415">
      <w:pPr>
        <w:pStyle w:val="6"/>
        <w:numPr>
          <w:ilvl w:val="0"/>
          <w:numId w:val="5"/>
        </w:numPr>
        <w:rPr>
          <w:rFonts w:hint="eastAsia"/>
          <w:color w:val="000000" w:themeColor="text1"/>
          <w14:textFill>
            <w14:solidFill>
              <w14:schemeClr w14:val="tx1"/>
            </w14:solidFill>
          </w14:textFill>
        </w:rPr>
      </w:pPr>
      <w:bookmarkStart w:id="173" w:name="_Toc22894"/>
      <w:bookmarkStart w:id="174" w:name="_Toc16064"/>
      <w:bookmarkStart w:id="175" w:name="_Toc140132783"/>
      <w:r>
        <w:rPr>
          <w:rFonts w:hint="eastAsia"/>
          <w:color w:val="000000" w:themeColor="text1"/>
          <w14:textFill>
            <w14:solidFill>
              <w14:schemeClr w14:val="tx1"/>
            </w14:solidFill>
          </w14:textFill>
        </w:rPr>
        <w:t>开标程序</w:t>
      </w:r>
      <w:bookmarkEnd w:id="173"/>
      <w:bookmarkEnd w:id="174"/>
      <w:bookmarkEnd w:id="175"/>
    </w:p>
    <w:p w14:paraId="505181ED">
      <w:pPr>
        <w:widowControl/>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2</w:t>
      </w:r>
      <w:r>
        <w:rPr>
          <w:rFonts w:hint="eastAsia" w:cs="仿宋_GB2312"/>
          <w:color w:val="000000" w:themeColor="text1"/>
          <w:szCs w:val="24"/>
          <w:lang w:val="en-US" w:eastAsia="zh-CN"/>
          <w14:textFill>
            <w14:solidFill>
              <w14:schemeClr w14:val="tx1"/>
            </w14:solidFill>
          </w14:textFill>
        </w:rPr>
        <w:t>5</w:t>
      </w:r>
      <w:r>
        <w:rPr>
          <w:rFonts w:hint="eastAsia" w:cs="仿宋_GB2312"/>
          <w:color w:val="000000" w:themeColor="text1"/>
          <w:szCs w:val="24"/>
          <w14:textFill>
            <w14:solidFill>
              <w14:schemeClr w14:val="tx1"/>
            </w14:solidFill>
          </w14:textFill>
        </w:rPr>
        <w:t>.1 投标供应商不足3家的，不得开标。</w:t>
      </w:r>
    </w:p>
    <w:p w14:paraId="76C00A41">
      <w:pPr>
        <w:widowControl/>
        <w:ind w:firstLine="480" w:firstLineChars="200"/>
        <w:rPr>
          <w:rFonts w:hint="eastAsia"/>
          <w:color w:val="000000" w:themeColor="text1"/>
          <w14:textFill>
            <w14:solidFill>
              <w14:schemeClr w14:val="tx1"/>
            </w14:solidFill>
          </w14:textFill>
        </w:rPr>
      </w:pPr>
      <w:r>
        <w:rPr>
          <w:rFonts w:cs="仿宋_GB2312"/>
          <w:color w:val="000000" w:themeColor="text1"/>
          <w:szCs w:val="24"/>
          <w14:textFill>
            <w14:solidFill>
              <w14:schemeClr w14:val="tx1"/>
            </w14:solidFill>
          </w14:textFill>
        </w:rPr>
        <w:t>2</w:t>
      </w:r>
      <w:r>
        <w:rPr>
          <w:rFonts w:hint="eastAsia" w:cs="仿宋_GB2312"/>
          <w:color w:val="000000" w:themeColor="text1"/>
          <w:szCs w:val="24"/>
          <w:lang w:val="en-US" w:eastAsia="zh-CN"/>
          <w14:textFill>
            <w14:solidFill>
              <w14:schemeClr w14:val="tx1"/>
            </w14:solidFill>
          </w14:textFill>
        </w:rPr>
        <w:t>5</w:t>
      </w:r>
      <w:r>
        <w:rPr>
          <w:rFonts w:hint="eastAsia" w:cs="仿宋_GB2312"/>
          <w:color w:val="000000" w:themeColor="text1"/>
          <w:szCs w:val="24"/>
          <w14:textFill>
            <w14:solidFill>
              <w14:schemeClr w14:val="tx1"/>
            </w14:solidFill>
          </w14:textFill>
        </w:rPr>
        <w:t>.2 评标委员会成员不得参加开标活动。</w:t>
      </w:r>
    </w:p>
    <w:p w14:paraId="261E59CF">
      <w:pPr>
        <w:ind w:firstLine="480" w:firstLineChars="20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t>2</w:t>
      </w:r>
      <w:r>
        <w:rPr>
          <w:rFonts w:hint="eastAsia" w:cs="仿宋_GB2312"/>
          <w:color w:val="000000" w:themeColor="text1"/>
          <w:szCs w:val="24"/>
          <w:lang w:val="en-US" w:eastAsia="zh-CN"/>
          <w14:textFill>
            <w14:solidFill>
              <w14:schemeClr w14:val="tx1"/>
            </w14:solidFill>
          </w14:textFill>
        </w:rPr>
        <w:t>5</w:t>
      </w:r>
      <w:r>
        <w:rPr>
          <w:rFonts w:hint="eastAsia" w:cs="仿宋_GB2312"/>
          <w:color w:val="000000" w:themeColor="text1"/>
          <w:szCs w:val="24"/>
          <w14:textFill>
            <w14:solidFill>
              <w14:schemeClr w14:val="tx1"/>
            </w14:solidFill>
          </w14:textFill>
        </w:rPr>
        <w:t>.3主持人按下列程序进行开标：</w:t>
      </w:r>
    </w:p>
    <w:p w14:paraId="14C766C1">
      <w:pPr>
        <w:ind w:firstLine="398" w:firstLineChars="166"/>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（1）宣布开标会纪律；</w:t>
      </w:r>
    </w:p>
    <w:p w14:paraId="1F9DD3B0">
      <w:pPr>
        <w:ind w:firstLine="398" w:firstLineChars="166"/>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（2）介绍参加开标会的单位和人员；</w:t>
      </w:r>
    </w:p>
    <w:p w14:paraId="29990167">
      <w:pPr>
        <w:ind w:firstLine="398" w:firstLineChars="166"/>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（3）发起投标文件解密。投标供应商应在“投标供应商须知前附表”规定的时间内使用加密投标文件的CA证书在系统中完成投标文件的解密；</w:t>
      </w:r>
    </w:p>
    <w:p w14:paraId="51B70327">
      <w:pPr>
        <w:ind w:firstLine="398" w:firstLineChars="166"/>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（4）解密完成后，系统自动显示投标供应商名称、投标价格和招标文件规定的需要宣布的其他内容；</w:t>
      </w:r>
    </w:p>
    <w:p w14:paraId="6566B148">
      <w:pPr>
        <w:ind w:firstLine="398" w:firstLineChars="166"/>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（5）系统自动生成开标记录表，供应商应在线对开标记录进行签署确认；</w:t>
      </w:r>
    </w:p>
    <w:p w14:paraId="4306859B">
      <w:pPr>
        <w:widowControl/>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（6）开标会结束。</w:t>
      </w:r>
    </w:p>
    <w:p w14:paraId="1354F15F">
      <w:pPr>
        <w:pStyle w:val="6"/>
        <w:numPr>
          <w:ilvl w:val="0"/>
          <w:numId w:val="5"/>
        </w:numPr>
        <w:rPr>
          <w:rFonts w:hint="eastAsia"/>
          <w:color w:val="000000" w:themeColor="text1"/>
          <w14:textFill>
            <w14:solidFill>
              <w14:schemeClr w14:val="tx1"/>
            </w14:solidFill>
          </w14:textFill>
        </w:rPr>
      </w:pPr>
      <w:bookmarkStart w:id="176" w:name="_Toc140132784"/>
      <w:bookmarkStart w:id="177" w:name="_Toc5278"/>
      <w:bookmarkStart w:id="178" w:name="_Toc11732"/>
      <w:r>
        <w:rPr>
          <w:rFonts w:hint="eastAsia"/>
          <w:color w:val="000000" w:themeColor="text1"/>
          <w14:textFill>
            <w14:solidFill>
              <w14:schemeClr w14:val="tx1"/>
            </w14:solidFill>
          </w14:textFill>
        </w:rPr>
        <w:t>开标疑义及回避情形</w:t>
      </w:r>
      <w:bookmarkEnd w:id="176"/>
      <w:bookmarkEnd w:id="177"/>
      <w:bookmarkEnd w:id="178"/>
    </w:p>
    <w:p w14:paraId="1E7C9DF1">
      <w:pPr>
        <w:pStyle w:val="42"/>
        <w:rPr>
          <w:rFonts w:hint="eastAsia"/>
          <w:color w:val="000000" w:themeColor="text1"/>
          <w:lang w:val="en-US"/>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1投标供应商代表对开标过程和开标记录有疑义，以及认为采购人、采购代理机构相关工作人员有需要回避的情形的，应在开标会议中提出询问或者回避申请。采购人、采购代理机构对投标供应商授权代表提出的询问或者回避申请应当及时处理。</w:t>
      </w:r>
      <w:r>
        <w:rPr>
          <w:rFonts w:hint="eastAsia"/>
          <w:color w:val="000000" w:themeColor="text1"/>
          <w:lang w:val="en-US"/>
          <w14:textFill>
            <w14:solidFill>
              <w14:schemeClr w14:val="tx1"/>
            </w14:solidFill>
          </w14:textFill>
        </w:rPr>
        <w:t>采购人、采购人代表依法需要回避的情形在“投标供应商须知前附表”已列举。</w:t>
      </w:r>
    </w:p>
    <w:p w14:paraId="1D69ADE5">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.2投标供应商未参加开标的，视同认可开标结果。</w:t>
      </w:r>
    </w:p>
    <w:p w14:paraId="541C1466">
      <w:pPr>
        <w:pStyle w:val="5"/>
        <w:numPr>
          <w:ilvl w:val="0"/>
          <w:numId w:val="4"/>
        </w:numPr>
        <w:rPr>
          <w:rFonts w:hint="eastAsia" w:asciiTheme="minorHAnsi" w:hAnsiTheme="minorHAnsi"/>
          <w:color w:val="000000" w:themeColor="text1"/>
          <w14:textFill>
            <w14:solidFill>
              <w14:schemeClr w14:val="tx1"/>
            </w14:solidFill>
          </w14:textFill>
        </w:rPr>
      </w:pPr>
      <w:bookmarkStart w:id="179" w:name="_Toc140132785"/>
      <w:bookmarkStart w:id="180" w:name="_Toc20792"/>
      <w:bookmarkStart w:id="181" w:name="_Toc155185877"/>
      <w:r>
        <w:rPr>
          <w:rFonts w:hint="eastAsia" w:asciiTheme="minorHAnsi" w:hAnsiTheme="minorHAnsi"/>
          <w:color w:val="000000" w:themeColor="text1"/>
          <w14:textFill>
            <w14:solidFill>
              <w14:schemeClr w14:val="tx1"/>
            </w14:solidFill>
          </w14:textFill>
        </w:rPr>
        <w:t>资格审查</w:t>
      </w:r>
      <w:bookmarkEnd w:id="179"/>
      <w:bookmarkEnd w:id="180"/>
      <w:bookmarkEnd w:id="181"/>
    </w:p>
    <w:p w14:paraId="114A9968">
      <w:pPr>
        <w:pStyle w:val="6"/>
        <w:numPr>
          <w:ilvl w:val="0"/>
          <w:numId w:val="5"/>
        </w:numPr>
        <w:rPr>
          <w:rFonts w:hint="eastAsia"/>
          <w:color w:val="000000" w:themeColor="text1"/>
          <w14:textFill>
            <w14:solidFill>
              <w14:schemeClr w14:val="tx1"/>
            </w14:solidFill>
          </w14:textFill>
        </w:rPr>
      </w:pPr>
      <w:bookmarkStart w:id="182" w:name="_Toc28993"/>
      <w:bookmarkStart w:id="183" w:name="_Toc16507"/>
      <w:r>
        <w:rPr>
          <w:rFonts w:hint="eastAsia"/>
          <w:color w:val="000000" w:themeColor="text1"/>
          <w14:textFill>
            <w14:solidFill>
              <w14:schemeClr w14:val="tx1"/>
            </w14:solidFill>
          </w14:textFill>
        </w:rPr>
        <w:t>资格审查及审查主体</w:t>
      </w:r>
      <w:bookmarkEnd w:id="182"/>
      <w:bookmarkEnd w:id="183"/>
    </w:p>
    <w:p w14:paraId="2CD4E1F5">
      <w:pPr>
        <w:pStyle w:val="42"/>
        <w:rPr>
          <w:rFonts w:hint="eastAsia"/>
          <w:color w:val="000000" w:themeColor="text1"/>
          <w14:textFill>
            <w14:solidFill>
              <w14:schemeClr w14:val="tx1"/>
            </w14:solidFill>
          </w14:textFill>
        </w:rPr>
      </w:pPr>
      <w:bookmarkStart w:id="184" w:name="_Toc140132786"/>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开标结束后，根据委托代理协议由资格审查的责任主体依据法律法规和本招标文件的规定，依法对</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资格进行审查，以确定</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是否具备投标资格。</w:t>
      </w:r>
      <w:bookmarkEnd w:id="184"/>
    </w:p>
    <w:p w14:paraId="15859D37">
      <w:pPr>
        <w:pStyle w:val="42"/>
        <w:rPr>
          <w:rFonts w:hint="eastAsia"/>
          <w:color w:val="000000" w:themeColor="text1"/>
          <w14:textFill>
            <w14:solidFill>
              <w14:schemeClr w14:val="tx1"/>
            </w14:solidFill>
          </w14:textFill>
        </w:rPr>
      </w:pPr>
      <w:bookmarkStart w:id="185" w:name="_Toc140132787"/>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资格审查</w:t>
      </w:r>
      <w:r>
        <w:rPr>
          <w:rFonts w:hint="eastAsia"/>
          <w:color w:val="000000" w:themeColor="text1"/>
          <w14:textFill>
            <w14:solidFill>
              <w14:schemeClr w14:val="tx1"/>
            </w14:solidFill>
          </w14:textFill>
        </w:rPr>
        <w:t>按第四章“资格审查方法及标准”的规定进行。</w:t>
      </w:r>
      <w:bookmarkEnd w:id="185"/>
    </w:p>
    <w:p w14:paraId="0273D143">
      <w:pPr>
        <w:pStyle w:val="42"/>
        <w:rPr>
          <w:rFonts w:hint="eastAsia"/>
          <w:color w:val="000000" w:themeColor="text1"/>
          <w14:textFill>
            <w14:solidFill>
              <w14:schemeClr w14:val="tx1"/>
            </w14:solidFill>
          </w14:textFill>
        </w:rPr>
      </w:pPr>
      <w:bookmarkStart w:id="186" w:name="_Toc140132788"/>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资格审查结束后，应及时对资格性审查结果进行复核，对资格性审查错误进行及时纠正并记录。</w:t>
      </w:r>
      <w:bookmarkEnd w:id="186"/>
    </w:p>
    <w:p w14:paraId="68F42CA6">
      <w:pPr>
        <w:pStyle w:val="5"/>
        <w:numPr>
          <w:ilvl w:val="0"/>
          <w:numId w:val="4"/>
        </w:numPr>
        <w:rPr>
          <w:rFonts w:hint="eastAsia" w:asciiTheme="minorHAnsi" w:hAnsiTheme="minorHAnsi"/>
          <w:color w:val="000000" w:themeColor="text1"/>
          <w14:textFill>
            <w14:solidFill>
              <w14:schemeClr w14:val="tx1"/>
            </w14:solidFill>
          </w14:textFill>
        </w:rPr>
      </w:pPr>
      <w:bookmarkStart w:id="187" w:name="_Toc155185878"/>
      <w:bookmarkStart w:id="188" w:name="_Toc9320"/>
      <w:bookmarkStart w:id="189" w:name="_Toc140132789"/>
      <w:r>
        <w:rPr>
          <w:rFonts w:hint="eastAsia" w:asciiTheme="minorHAnsi" w:hAnsiTheme="minorHAnsi"/>
          <w:color w:val="000000" w:themeColor="text1"/>
          <w14:textFill>
            <w14:solidFill>
              <w14:schemeClr w14:val="tx1"/>
            </w14:solidFill>
          </w14:textFill>
        </w:rPr>
        <w:t>评标</w:t>
      </w:r>
      <w:bookmarkEnd w:id="187"/>
      <w:bookmarkEnd w:id="188"/>
      <w:bookmarkEnd w:id="189"/>
    </w:p>
    <w:p w14:paraId="669B1ADF">
      <w:pPr>
        <w:pStyle w:val="6"/>
        <w:numPr>
          <w:ilvl w:val="0"/>
          <w:numId w:val="5"/>
        </w:numPr>
        <w:rPr>
          <w:rFonts w:hint="eastAsia"/>
          <w:color w:val="000000" w:themeColor="text1"/>
          <w14:textFill>
            <w14:solidFill>
              <w14:schemeClr w14:val="tx1"/>
            </w14:solidFill>
          </w14:textFill>
        </w:rPr>
      </w:pPr>
      <w:bookmarkStart w:id="190" w:name="_Toc2933"/>
      <w:bookmarkStart w:id="191" w:name="_Toc140132790"/>
      <w:bookmarkStart w:id="192" w:name="_Toc16561"/>
      <w:r>
        <w:rPr>
          <w:rFonts w:hint="eastAsia"/>
          <w:color w:val="000000" w:themeColor="text1"/>
          <w14:textFill>
            <w14:solidFill>
              <w14:schemeClr w14:val="tx1"/>
            </w14:solidFill>
          </w14:textFill>
        </w:rPr>
        <w:t>评标委员会</w:t>
      </w:r>
      <w:bookmarkEnd w:id="190"/>
      <w:bookmarkEnd w:id="191"/>
      <w:bookmarkEnd w:id="192"/>
    </w:p>
    <w:p w14:paraId="6B5115F4">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.1 评标由采购人依法组建的评标委员会负责。评标委员会由采购人代表和评审专家组成。</w:t>
      </w:r>
    </w:p>
    <w:p w14:paraId="0D566120">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.2 评标委员会成员有下列情形之一的，应当回避：</w:t>
      </w:r>
    </w:p>
    <w:p w14:paraId="5F92C76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（1）参加采购活动前3年内与投标供应商存在劳动关系；</w:t>
      </w:r>
    </w:p>
    <w:p w14:paraId="00D162AC">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（2）参加采购活动前3年内担任投标供应商的董事、监事；</w:t>
      </w:r>
    </w:p>
    <w:p w14:paraId="14B04ABC">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（3）参加采购活动前3年内是投标供应商的控股股东或者实际控制人；</w:t>
      </w:r>
    </w:p>
    <w:p w14:paraId="023AD995">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（4）与投标供应商的法定代表人或者负责人有夫妻、直系血亲、三代以内旁系血亲或者近姻亲关系；</w:t>
      </w:r>
    </w:p>
    <w:p w14:paraId="7A28B4A2">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（5）与投标供应商有其他可能影响采购活动公平、公正进行的关系。</w:t>
      </w:r>
    </w:p>
    <w:p w14:paraId="3A6A33A2">
      <w:pPr>
        <w:pStyle w:val="6"/>
        <w:numPr>
          <w:ilvl w:val="0"/>
          <w:numId w:val="5"/>
        </w:numPr>
        <w:rPr>
          <w:rFonts w:hint="eastAsia"/>
          <w:color w:val="000000" w:themeColor="text1"/>
          <w14:textFill>
            <w14:solidFill>
              <w14:schemeClr w14:val="tx1"/>
            </w14:solidFill>
          </w14:textFill>
        </w:rPr>
      </w:pPr>
      <w:bookmarkStart w:id="193" w:name="_Toc15383"/>
      <w:bookmarkStart w:id="194" w:name="_Toc140132791"/>
      <w:bookmarkStart w:id="195" w:name="_Toc19506"/>
      <w:r>
        <w:rPr>
          <w:rFonts w:hint="eastAsia"/>
          <w:color w:val="000000" w:themeColor="text1"/>
          <w14:textFill>
            <w14:solidFill>
              <w14:schemeClr w14:val="tx1"/>
            </w14:solidFill>
          </w14:textFill>
        </w:rPr>
        <w:t>评标</w:t>
      </w:r>
      <w:bookmarkEnd w:id="193"/>
      <w:bookmarkEnd w:id="194"/>
      <w:bookmarkEnd w:id="195"/>
    </w:p>
    <w:p w14:paraId="422D18BE">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29</w:t>
      </w:r>
      <w:r>
        <w:rPr>
          <w:rFonts w:hint="eastAsia"/>
          <w:color w:val="000000" w:themeColor="text1"/>
          <w14:textFill>
            <w14:solidFill>
              <w14:schemeClr w14:val="tx1"/>
            </w14:solidFill>
          </w14:textFill>
        </w:rPr>
        <w:t>.1评标委员会按照第五章“评标方法及标准”规定对投标文件进行评审。“评标办法”没有规定的方法、评审因素和标准，不作为评标依据。</w:t>
      </w:r>
    </w:p>
    <w:p w14:paraId="6A7D998F">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29</w:t>
      </w:r>
      <w:r>
        <w:rPr>
          <w:rFonts w:hint="eastAsia"/>
          <w:color w:val="000000" w:themeColor="text1"/>
          <w14:textFill>
            <w14:solidFill>
              <w14:schemeClr w14:val="tx1"/>
            </w14:solidFill>
          </w14:textFill>
        </w:rPr>
        <w:t>.2评标委员会按“投标供应商须知前附表”规定的中标候选人数量在评标报告中向采购人推荐中标候选人。</w:t>
      </w:r>
    </w:p>
    <w:p w14:paraId="72559AF6">
      <w:pPr>
        <w:pStyle w:val="5"/>
        <w:numPr>
          <w:ilvl w:val="0"/>
          <w:numId w:val="4"/>
        </w:numPr>
        <w:rPr>
          <w:rFonts w:hint="eastAsia" w:asciiTheme="minorHAnsi" w:hAnsiTheme="minorHAnsi"/>
          <w:color w:val="000000" w:themeColor="text1"/>
          <w14:textFill>
            <w14:solidFill>
              <w14:schemeClr w14:val="tx1"/>
            </w14:solidFill>
          </w14:textFill>
        </w:rPr>
      </w:pPr>
      <w:bookmarkStart w:id="196" w:name="_Toc140132792"/>
      <w:bookmarkStart w:id="197" w:name="_Toc8144"/>
      <w:bookmarkStart w:id="198" w:name="_Toc155185879"/>
      <w:r>
        <w:rPr>
          <w:rFonts w:hint="eastAsia" w:asciiTheme="minorHAnsi" w:hAnsiTheme="minorHAnsi"/>
          <w:color w:val="000000" w:themeColor="text1"/>
          <w14:textFill>
            <w14:solidFill>
              <w14:schemeClr w14:val="tx1"/>
            </w14:solidFill>
          </w14:textFill>
        </w:rPr>
        <w:t>中标</w:t>
      </w:r>
      <w:bookmarkEnd w:id="196"/>
      <w:bookmarkEnd w:id="197"/>
      <w:bookmarkEnd w:id="198"/>
    </w:p>
    <w:p w14:paraId="48BCC51F">
      <w:pPr>
        <w:pStyle w:val="6"/>
        <w:numPr>
          <w:ilvl w:val="0"/>
          <w:numId w:val="5"/>
        </w:numPr>
        <w:rPr>
          <w:rFonts w:hint="eastAsia"/>
          <w:color w:val="000000" w:themeColor="text1"/>
          <w14:textFill>
            <w14:solidFill>
              <w14:schemeClr w14:val="tx1"/>
            </w14:solidFill>
          </w14:textFill>
        </w:rPr>
      </w:pPr>
      <w:bookmarkStart w:id="199" w:name="_Toc21815"/>
      <w:bookmarkStart w:id="200" w:name="_Toc24278"/>
      <w:bookmarkStart w:id="201" w:name="_Toc140132793"/>
      <w:r>
        <w:rPr>
          <w:rFonts w:hint="eastAsia"/>
          <w:color w:val="000000" w:themeColor="text1"/>
          <w14:textFill>
            <w14:solidFill>
              <w14:schemeClr w14:val="tx1"/>
            </w14:solidFill>
          </w14:textFill>
        </w:rPr>
        <w:t>确定中标人</w:t>
      </w:r>
      <w:bookmarkEnd w:id="199"/>
      <w:bookmarkEnd w:id="200"/>
      <w:bookmarkEnd w:id="201"/>
    </w:p>
    <w:p w14:paraId="57AC9D17">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.1确定中标人详见“投标供应商须知前附表”。</w:t>
      </w:r>
    </w:p>
    <w:p w14:paraId="2B2B9277">
      <w:pPr>
        <w:pStyle w:val="6"/>
        <w:numPr>
          <w:ilvl w:val="0"/>
          <w:numId w:val="5"/>
        </w:numPr>
        <w:rPr>
          <w:rFonts w:hint="eastAsia"/>
          <w:color w:val="000000" w:themeColor="text1"/>
          <w14:textFill>
            <w14:solidFill>
              <w14:schemeClr w14:val="tx1"/>
            </w14:solidFill>
          </w14:textFill>
        </w:rPr>
      </w:pPr>
      <w:bookmarkStart w:id="202" w:name="_Toc9917"/>
      <w:bookmarkStart w:id="203" w:name="_Toc140132794"/>
      <w:bookmarkStart w:id="204" w:name="_Toc24418"/>
      <w:r>
        <w:rPr>
          <w:rFonts w:hint="eastAsia"/>
          <w:color w:val="000000" w:themeColor="text1"/>
          <w14:textFill>
            <w14:solidFill>
              <w14:schemeClr w14:val="tx1"/>
            </w14:solidFill>
          </w14:textFill>
        </w:rPr>
        <w:t>中标结果公告</w:t>
      </w:r>
      <w:bookmarkEnd w:id="202"/>
      <w:bookmarkEnd w:id="203"/>
      <w:bookmarkEnd w:id="204"/>
    </w:p>
    <w:p w14:paraId="4CAB19AF">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.1采购代理机构应当自中标人确定之日起2个工作日内，发出中标通知书，并在“投标供应商须知前附表”中规定的媒体上发布中标结果公告，招标文件随中标结果同时公告，中标结果公告期限为1个工作日。</w:t>
      </w:r>
    </w:p>
    <w:p w14:paraId="7059C5CF">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项目采购采用最低评标价法的，公告中标结果时同时公告因落实政府采购政策等原因进行价格扣除后中标供应商的评审报价；项目采购采用综合评分法的，公告中标结果时同时公告中标供应商的评审总得分。</w:t>
      </w:r>
    </w:p>
    <w:p w14:paraId="17FC0A24">
      <w:pPr>
        <w:pStyle w:val="6"/>
        <w:numPr>
          <w:ilvl w:val="0"/>
          <w:numId w:val="5"/>
        </w:numPr>
        <w:rPr>
          <w:rFonts w:hint="eastAsia"/>
          <w:color w:val="000000" w:themeColor="text1"/>
          <w14:textFill>
            <w14:solidFill>
              <w14:schemeClr w14:val="tx1"/>
            </w14:solidFill>
          </w14:textFill>
        </w:rPr>
      </w:pPr>
      <w:bookmarkStart w:id="205" w:name="_Toc5513"/>
      <w:bookmarkStart w:id="206" w:name="_Toc28760"/>
      <w:bookmarkStart w:id="207" w:name="_Toc140132795"/>
      <w:r>
        <w:rPr>
          <w:rFonts w:hint="eastAsia"/>
          <w:color w:val="000000" w:themeColor="text1"/>
          <w14:textFill>
            <w14:solidFill>
              <w14:schemeClr w14:val="tx1"/>
            </w14:solidFill>
          </w14:textFill>
        </w:rPr>
        <w:t>中标通知</w:t>
      </w:r>
      <w:bookmarkEnd w:id="205"/>
      <w:bookmarkEnd w:id="206"/>
      <w:bookmarkEnd w:id="207"/>
    </w:p>
    <w:p w14:paraId="6B5F5636">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1采购人和采购代理机构以书面形式向中标人发出中标通知书，同时将招标结果通知未中标的投标供应商。对未通过资格审查的投标供应商，应当告知其未通过的原因；采用综合评分法评审的，还应当告知未中标人本人的评审得分与排序。</w:t>
      </w:r>
    </w:p>
    <w:p w14:paraId="634F98E4">
      <w:pPr>
        <w:pStyle w:val="5"/>
        <w:numPr>
          <w:ilvl w:val="0"/>
          <w:numId w:val="4"/>
        </w:numPr>
        <w:rPr>
          <w:rFonts w:hint="eastAsia" w:asciiTheme="minorHAnsi" w:hAnsiTheme="minorHAnsi"/>
          <w:color w:val="000000" w:themeColor="text1"/>
          <w14:textFill>
            <w14:solidFill>
              <w14:schemeClr w14:val="tx1"/>
            </w14:solidFill>
          </w14:textFill>
        </w:rPr>
      </w:pPr>
      <w:bookmarkStart w:id="208" w:name="_Toc25428"/>
      <w:r>
        <w:rPr>
          <w:rFonts w:hint="eastAsia" w:asciiTheme="minorHAnsi" w:hAnsiTheme="minorHAnsi"/>
          <w:color w:val="000000" w:themeColor="text1"/>
          <w14:textFill>
            <w14:solidFill>
              <w14:schemeClr w14:val="tx1"/>
            </w14:solidFill>
          </w14:textFill>
        </w:rPr>
        <w:t>签订</w:t>
      </w:r>
      <w:bookmarkStart w:id="209" w:name="_Toc155185880"/>
      <w:bookmarkStart w:id="210" w:name="_Toc140132796"/>
      <w:r>
        <w:rPr>
          <w:rFonts w:hint="eastAsia" w:asciiTheme="minorHAnsi" w:hAnsiTheme="minorHAnsi"/>
          <w:color w:val="000000" w:themeColor="text1"/>
          <w14:textFill>
            <w14:solidFill>
              <w14:schemeClr w14:val="tx1"/>
            </w14:solidFill>
          </w14:textFill>
        </w:rPr>
        <w:t>合同</w:t>
      </w:r>
      <w:bookmarkEnd w:id="208"/>
      <w:bookmarkEnd w:id="209"/>
      <w:bookmarkEnd w:id="210"/>
    </w:p>
    <w:p w14:paraId="4BCCC222">
      <w:pPr>
        <w:pStyle w:val="6"/>
        <w:numPr>
          <w:ilvl w:val="0"/>
          <w:numId w:val="5"/>
        </w:numPr>
        <w:rPr>
          <w:rFonts w:hint="eastAsia"/>
          <w:color w:val="000000" w:themeColor="text1"/>
          <w14:textFill>
            <w14:solidFill>
              <w14:schemeClr w14:val="tx1"/>
            </w14:solidFill>
          </w14:textFill>
        </w:rPr>
      </w:pPr>
      <w:bookmarkStart w:id="211" w:name="_Toc140132797"/>
      <w:bookmarkStart w:id="212" w:name="_Toc11078"/>
      <w:bookmarkStart w:id="213" w:name="_Toc16312"/>
      <w:r>
        <w:rPr>
          <w:rFonts w:hint="eastAsia"/>
          <w:color w:val="000000" w:themeColor="text1"/>
          <w14:textFill>
            <w14:solidFill>
              <w14:schemeClr w14:val="tx1"/>
            </w14:solidFill>
          </w14:textFill>
        </w:rPr>
        <w:t>履约保证金</w:t>
      </w:r>
      <w:bookmarkEnd w:id="211"/>
      <w:bookmarkEnd w:id="212"/>
      <w:bookmarkEnd w:id="213"/>
    </w:p>
    <w:p w14:paraId="5BFDBED7">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.1在签订合同前，中标人应按“投标供应商须知前附表”规定的金额、担保形式和采购人认可的履约担保格式向采购人提交履约保证金。</w:t>
      </w:r>
    </w:p>
    <w:p w14:paraId="6CC015B8">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.2中标人不能按本章第</w:t>
      </w:r>
      <w:r>
        <w:rPr>
          <w:color w:val="000000" w:themeColor="text1"/>
          <w14:textFill>
            <w14:solidFill>
              <w14:schemeClr w14:val="tx1"/>
            </w14:solidFill>
          </w14:textFill>
        </w:rPr>
        <w:t>34</w:t>
      </w:r>
      <w:r>
        <w:rPr>
          <w:rFonts w:hint="eastAsia"/>
          <w:color w:val="000000" w:themeColor="text1"/>
          <w14:textFill>
            <w14:solidFill>
              <w14:schemeClr w14:val="tx1"/>
            </w14:solidFill>
          </w14:textFill>
        </w:rPr>
        <w:t>.1项要求提交履约担保的，视为放弃中标，给采购人造成损失的，中标人还应当承担民事责任。</w:t>
      </w:r>
    </w:p>
    <w:p w14:paraId="7D27CA4C">
      <w:pPr>
        <w:pStyle w:val="6"/>
        <w:numPr>
          <w:ilvl w:val="0"/>
          <w:numId w:val="5"/>
        </w:numPr>
        <w:rPr>
          <w:rFonts w:hint="eastAsia"/>
          <w:color w:val="000000" w:themeColor="text1"/>
          <w14:textFill>
            <w14:solidFill>
              <w14:schemeClr w14:val="tx1"/>
            </w14:solidFill>
          </w14:textFill>
        </w:rPr>
      </w:pPr>
      <w:bookmarkStart w:id="214" w:name="_Toc140132798"/>
      <w:bookmarkStart w:id="215" w:name="_Toc21938"/>
      <w:bookmarkStart w:id="216" w:name="_Toc15470"/>
      <w:r>
        <w:rPr>
          <w:rFonts w:hint="eastAsia"/>
          <w:color w:val="000000" w:themeColor="text1"/>
          <w14:textFill>
            <w14:solidFill>
              <w14:schemeClr w14:val="tx1"/>
            </w14:solidFill>
          </w14:textFill>
        </w:rPr>
        <w:t>签订合同</w:t>
      </w:r>
      <w:bookmarkEnd w:id="214"/>
      <w:bookmarkEnd w:id="215"/>
      <w:bookmarkEnd w:id="216"/>
    </w:p>
    <w:p w14:paraId="1788948A">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.1 采购人和中标人应当自中标通知书发出之日起30天内，根据招标文件和中标人的投标文件订立书面合同。采购人因不可抗力原因迟延签订合同的，应当自不可抗力事由消除之日起</w:t>
      </w:r>
      <w:r>
        <w:rPr>
          <w:color w:val="000000" w:themeColor="text1"/>
          <w14:textFill>
            <w14:solidFill>
              <w14:schemeClr w14:val="tx1"/>
            </w14:solidFill>
          </w14:textFill>
        </w:rPr>
        <w:t>7日内完成合同签订事宜。</w:t>
      </w:r>
      <w:r>
        <w:rPr>
          <w:rFonts w:hint="eastAsia"/>
          <w:color w:val="000000" w:themeColor="text1"/>
          <w14:textFill>
            <w14:solidFill>
              <w14:schemeClr w14:val="tx1"/>
            </w14:solidFill>
          </w14:textFill>
        </w:rPr>
        <w:t>所签订的合同不得对招标文件和中标人投标文件作实质性修改。中标人无正当理由拒签合同的，给采购人造成损失的，中标人还应当承担民事责任。</w:t>
      </w:r>
    </w:p>
    <w:p w14:paraId="3E1D64DA">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.2 采购人和中标人不得向对方提出任何不合理的要求，作为签订合同的条件，双方不得私下订立背离合同实质性内容的协议。</w:t>
      </w:r>
    </w:p>
    <w:p w14:paraId="4303B79B">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.3采购合同履行中，采购人需追加与合同标的相同的服务的，在不改变合同其他条款的前提下，可以与中标人协商签订补充合同，但所有补充合同的采购金额不得超过原合同采购金额的百分之十。</w:t>
      </w:r>
    </w:p>
    <w:p w14:paraId="2B7D583A">
      <w:pPr>
        <w:pStyle w:val="5"/>
        <w:numPr>
          <w:ilvl w:val="0"/>
          <w:numId w:val="4"/>
        </w:numPr>
        <w:rPr>
          <w:rFonts w:hint="eastAsia" w:asciiTheme="minorHAnsi" w:hAnsiTheme="minorHAnsi"/>
          <w:color w:val="000000" w:themeColor="text1"/>
          <w14:textFill>
            <w14:solidFill>
              <w14:schemeClr w14:val="tx1"/>
            </w14:solidFill>
          </w14:textFill>
        </w:rPr>
      </w:pPr>
      <w:bookmarkStart w:id="217" w:name="_Toc140132799"/>
      <w:bookmarkStart w:id="218" w:name="_Toc155185881"/>
      <w:bookmarkStart w:id="219" w:name="_Toc28868"/>
      <w:r>
        <w:rPr>
          <w:rFonts w:hint="eastAsia" w:asciiTheme="minorHAnsi" w:hAnsiTheme="minorHAnsi"/>
          <w:color w:val="000000" w:themeColor="text1"/>
          <w14:textFill>
            <w14:solidFill>
              <w14:schemeClr w14:val="tx1"/>
            </w14:solidFill>
          </w14:textFill>
        </w:rPr>
        <w:t>质疑和投诉</w:t>
      </w:r>
      <w:bookmarkEnd w:id="217"/>
      <w:bookmarkEnd w:id="218"/>
      <w:bookmarkEnd w:id="219"/>
    </w:p>
    <w:p w14:paraId="4479B2B1">
      <w:pPr>
        <w:pStyle w:val="6"/>
        <w:numPr>
          <w:ilvl w:val="0"/>
          <w:numId w:val="5"/>
        </w:numPr>
        <w:rPr>
          <w:rFonts w:hint="eastAsia"/>
          <w:color w:val="000000" w:themeColor="text1"/>
          <w14:textFill>
            <w14:solidFill>
              <w14:schemeClr w14:val="tx1"/>
            </w14:solidFill>
          </w14:textFill>
        </w:rPr>
      </w:pPr>
      <w:bookmarkStart w:id="220" w:name="_Toc11579"/>
      <w:bookmarkStart w:id="221" w:name="_Toc140132800"/>
      <w:bookmarkStart w:id="222" w:name="_Toc9806"/>
      <w:r>
        <w:rPr>
          <w:rFonts w:hint="eastAsia"/>
          <w:color w:val="000000" w:themeColor="text1"/>
          <w14:textFill>
            <w14:solidFill>
              <w14:schemeClr w14:val="tx1"/>
            </w14:solidFill>
          </w14:textFill>
        </w:rPr>
        <w:t>质疑</w:t>
      </w:r>
      <w:bookmarkEnd w:id="220"/>
      <w:bookmarkEnd w:id="221"/>
      <w:bookmarkEnd w:id="222"/>
    </w:p>
    <w:p w14:paraId="305F4371">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.1投标供应商认为招标文件、招标过程和中标结果使自己的权益受到损害的，可以在知道或者应知其权益受到损害之日起7个工作日内</w:t>
      </w:r>
      <w:bookmarkStart w:id="223" w:name="_Hlk143534740"/>
      <w:r>
        <w:rPr>
          <w:rFonts w:hint="eastAsia"/>
          <w:color w:val="000000" w:themeColor="text1"/>
          <w14:textFill>
            <w14:solidFill>
              <w14:schemeClr w14:val="tx1"/>
            </w14:solidFill>
          </w14:textFill>
        </w:rPr>
        <w:t>，向采购人或采购代理机构提出质疑</w:t>
      </w:r>
      <w:bookmarkEnd w:id="223"/>
      <w:r>
        <w:rPr>
          <w:rFonts w:hint="eastAsia"/>
          <w:color w:val="000000" w:themeColor="text1"/>
          <w14:textFill>
            <w14:solidFill>
              <w14:schemeClr w14:val="tx1"/>
            </w14:solidFill>
          </w14:textFill>
        </w:rPr>
        <w:t>。质疑函可在供应商客户端中编制、提交。</w:t>
      </w:r>
    </w:p>
    <w:p w14:paraId="60EB68B2">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.2投标供应商</w:t>
      </w:r>
      <w:r>
        <w:rPr>
          <w:color w:val="000000" w:themeColor="text1"/>
          <w14:textFill>
            <w14:solidFill>
              <w14:schemeClr w14:val="tx1"/>
            </w14:solidFill>
          </w14:textFill>
        </w:rPr>
        <w:t>提出质疑应当提交质疑函和必要的证明材料。质疑函应当包括下列内容：</w:t>
      </w:r>
    </w:p>
    <w:p w14:paraId="0A82867C">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质疑人</w:t>
      </w:r>
      <w:r>
        <w:rPr>
          <w:color w:val="000000" w:themeColor="text1"/>
          <w14:textFill>
            <w14:solidFill>
              <w14:schemeClr w14:val="tx1"/>
            </w14:solidFill>
          </w14:textFill>
        </w:rPr>
        <w:t>的姓名或者名称、地址、邮编、联系人及联系电话；</w:t>
      </w:r>
    </w:p>
    <w:p w14:paraId="4D077C27">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（2）质疑项目的名称、编号；</w:t>
      </w:r>
    </w:p>
    <w:p w14:paraId="4FE5469E">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（3）具体、明确的质疑事项和与质疑事项相关的请求；</w:t>
      </w:r>
    </w:p>
    <w:p w14:paraId="230957B2">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（4）事实依据；</w:t>
      </w:r>
    </w:p>
    <w:p w14:paraId="6ED6B699">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（5）必要的法律依据；</w:t>
      </w:r>
    </w:p>
    <w:p w14:paraId="79A62E86">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（6）提出质疑的日期。</w:t>
      </w:r>
    </w:p>
    <w:p w14:paraId="6CE4DC36">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质疑人</w:t>
      </w:r>
      <w:r>
        <w:rPr>
          <w:color w:val="000000" w:themeColor="text1"/>
          <w14:textFill>
            <w14:solidFill>
              <w14:schemeClr w14:val="tx1"/>
            </w14:solidFill>
          </w14:textFill>
        </w:rPr>
        <w:t>为自然人的，应当由本人签字；</w:t>
      </w:r>
      <w:r>
        <w:rPr>
          <w:rFonts w:hint="eastAsia"/>
          <w:color w:val="000000" w:themeColor="text1"/>
          <w14:textFill>
            <w14:solidFill>
              <w14:schemeClr w14:val="tx1"/>
            </w14:solidFill>
          </w14:textFill>
        </w:rPr>
        <w:t>质疑人</w:t>
      </w:r>
      <w:r>
        <w:rPr>
          <w:color w:val="000000" w:themeColor="text1"/>
          <w14:textFill>
            <w14:solidFill>
              <w14:schemeClr w14:val="tx1"/>
            </w14:solidFill>
          </w14:textFill>
        </w:rPr>
        <w:t>为法人或者其他组织的，应当由法定代表人、主要负责人，或者其授权代表签字或者盖章，并加盖公章。</w:t>
      </w:r>
    </w:p>
    <w:p w14:paraId="56A43A43">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通过客户端提出质疑的，</w:t>
      </w:r>
      <w:bookmarkStart w:id="224" w:name="_Hlk143534761"/>
      <w:r>
        <w:rPr>
          <w:rFonts w:hint="eastAsia"/>
          <w:color w:val="000000" w:themeColor="text1"/>
          <w14:textFill>
            <w14:solidFill>
              <w14:schemeClr w14:val="tx1"/>
            </w14:solidFill>
          </w14:textFill>
        </w:rPr>
        <w:t>质疑</w:t>
      </w:r>
      <w:r>
        <w:rPr>
          <w:color w:val="000000" w:themeColor="text1"/>
          <w14:textFill>
            <w14:solidFill>
              <w14:schemeClr w14:val="tx1"/>
            </w14:solidFill>
          </w14:textFill>
        </w:rPr>
        <w:t>人为自然人的，应当</w:t>
      </w:r>
      <w:r>
        <w:rPr>
          <w:rFonts w:hint="eastAsia"/>
          <w:color w:val="000000" w:themeColor="text1"/>
          <w14:textFill>
            <w14:solidFill>
              <w14:schemeClr w14:val="tx1"/>
            </w14:solidFill>
          </w14:textFill>
        </w:rPr>
        <w:t>加盖</w:t>
      </w:r>
      <w:r>
        <w:rPr>
          <w:color w:val="000000" w:themeColor="text1"/>
          <w14:textFill>
            <w14:solidFill>
              <w14:schemeClr w14:val="tx1"/>
            </w14:solidFill>
          </w14:textFill>
        </w:rPr>
        <w:t>本人</w:t>
      </w:r>
      <w:r>
        <w:rPr>
          <w:rFonts w:hint="eastAsia"/>
          <w:color w:val="000000" w:themeColor="text1"/>
          <w14:textFill>
            <w14:solidFill>
              <w14:schemeClr w14:val="tx1"/>
            </w14:solidFill>
          </w14:textFill>
        </w:rPr>
        <w:t>电子印章</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质疑</w:t>
      </w:r>
      <w:r>
        <w:rPr>
          <w:color w:val="000000" w:themeColor="text1"/>
          <w14:textFill>
            <w14:solidFill>
              <w14:schemeClr w14:val="tx1"/>
            </w14:solidFill>
          </w14:textFill>
        </w:rPr>
        <w:t>人为法人或者其他组织的，应当</w:t>
      </w:r>
      <w:r>
        <w:rPr>
          <w:rFonts w:hint="eastAsia"/>
          <w:color w:val="000000" w:themeColor="text1"/>
          <w14:textFill>
            <w14:solidFill>
              <w14:schemeClr w14:val="tx1"/>
            </w14:solidFill>
          </w14:textFill>
        </w:rPr>
        <w:t>加盖单位电子印章</w:t>
      </w:r>
      <w:bookmarkEnd w:id="224"/>
      <w:r>
        <w:rPr>
          <w:rFonts w:hint="eastAsia"/>
          <w:color w:val="000000" w:themeColor="text1"/>
          <w14:textFill>
            <w14:solidFill>
              <w14:schemeClr w14:val="tx1"/>
            </w14:solidFill>
          </w14:textFill>
        </w:rPr>
        <w:t>。</w:t>
      </w:r>
    </w:p>
    <w:p w14:paraId="306CDB12">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36</w:t>
      </w:r>
      <w:r>
        <w:rPr>
          <w:rFonts w:hint="eastAsia"/>
          <w:color w:val="000000" w:themeColor="text1"/>
          <w14:textFill>
            <w14:solidFill>
              <w14:schemeClr w14:val="tx1"/>
            </w14:solidFill>
          </w14:textFill>
        </w:rPr>
        <w:t>.5质疑函不符合上述要求的，采购人或代理机构应书面告知具体事项，质疑人应当按要求进行修改或补充，并在质疑有效期限内提交。</w:t>
      </w:r>
    </w:p>
    <w:p w14:paraId="36BD5962">
      <w:pPr>
        <w:pStyle w:val="6"/>
        <w:numPr>
          <w:ilvl w:val="0"/>
          <w:numId w:val="5"/>
        </w:numPr>
        <w:rPr>
          <w:rFonts w:hint="eastAsia"/>
          <w:color w:val="000000" w:themeColor="text1"/>
          <w14:textFill>
            <w14:solidFill>
              <w14:schemeClr w14:val="tx1"/>
            </w14:solidFill>
          </w14:textFill>
        </w:rPr>
      </w:pPr>
      <w:bookmarkStart w:id="225" w:name="_Toc8387"/>
      <w:bookmarkStart w:id="226" w:name="_Toc140132801"/>
      <w:bookmarkStart w:id="227" w:name="_Toc32246"/>
      <w:r>
        <w:rPr>
          <w:rFonts w:hint="eastAsia"/>
          <w:color w:val="000000" w:themeColor="text1"/>
          <w14:textFill>
            <w14:solidFill>
              <w14:schemeClr w14:val="tx1"/>
            </w14:solidFill>
          </w14:textFill>
        </w:rPr>
        <w:t>质疑答复</w:t>
      </w:r>
      <w:bookmarkEnd w:id="225"/>
      <w:bookmarkEnd w:id="226"/>
      <w:bookmarkEnd w:id="227"/>
    </w:p>
    <w:p w14:paraId="688E89A6">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.1采购人或采购代理机构应当在收到投标供应商的书面质疑后7个工作日内作出答复，并以书面形式通知质疑投标供应商和其他有关投标供应商，但答复的内容不得涉及商业秘密。</w:t>
      </w:r>
    </w:p>
    <w:p w14:paraId="6FD030B8">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.2质疑答复应当包括下列内容：</w:t>
      </w:r>
    </w:p>
    <w:p w14:paraId="720376C8">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（1）质疑人的姓名或者名称；</w:t>
      </w:r>
    </w:p>
    <w:p w14:paraId="7082DBA7">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（2）收到质疑函的日期、质疑项目名称及编号；</w:t>
      </w:r>
    </w:p>
    <w:p w14:paraId="33A03F38">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（3）质疑事项、质疑答复的具体内容、事实依据和法律依据；</w:t>
      </w:r>
    </w:p>
    <w:p w14:paraId="363EA7D2">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（4）告知质疑人依法投诉的权利；</w:t>
      </w:r>
    </w:p>
    <w:p w14:paraId="5D3C5373">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（5）质疑答复人名称；</w:t>
      </w:r>
    </w:p>
    <w:p w14:paraId="0382E6FD">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（6）答复质疑的日期。</w:t>
      </w:r>
    </w:p>
    <w:p w14:paraId="5A4FD1C5">
      <w:pPr>
        <w:pStyle w:val="6"/>
        <w:numPr>
          <w:ilvl w:val="0"/>
          <w:numId w:val="5"/>
        </w:numPr>
        <w:rPr>
          <w:rFonts w:hint="eastAsia"/>
          <w:color w:val="000000" w:themeColor="text1"/>
          <w14:textFill>
            <w14:solidFill>
              <w14:schemeClr w14:val="tx1"/>
            </w14:solidFill>
          </w14:textFill>
        </w:rPr>
      </w:pPr>
      <w:bookmarkStart w:id="228" w:name="_Toc32376"/>
      <w:bookmarkStart w:id="229" w:name="_Toc140132802"/>
      <w:bookmarkStart w:id="230" w:name="_Toc5524"/>
      <w:r>
        <w:rPr>
          <w:rFonts w:hint="eastAsia"/>
          <w:color w:val="000000" w:themeColor="text1"/>
          <w14:textFill>
            <w14:solidFill>
              <w14:schemeClr w14:val="tx1"/>
            </w14:solidFill>
          </w14:textFill>
        </w:rPr>
        <w:t>投诉</w:t>
      </w:r>
      <w:bookmarkEnd w:id="228"/>
      <w:bookmarkEnd w:id="229"/>
      <w:bookmarkEnd w:id="230"/>
    </w:p>
    <w:p w14:paraId="02265311">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1质疑投标供应商对采购人、采购代理机构的答复不满意或者采购人、采购代理机构未在规定的时间内作出答复的，可以在答复期满后15个工作日内向同级政府采购监督管理部门投诉。投标供应商投诉应当有明确的请求和必要的证明材料，且投诉的事项不得超出已质疑事项的范围。</w:t>
      </w:r>
    </w:p>
    <w:p w14:paraId="04354F70">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p w14:paraId="351C5C6E">
      <w:pPr>
        <w:pStyle w:val="5"/>
        <w:numPr>
          <w:ilvl w:val="0"/>
          <w:numId w:val="4"/>
        </w:numPr>
        <w:rPr>
          <w:rFonts w:hint="eastAsia" w:asciiTheme="minorHAnsi" w:hAnsiTheme="minorHAnsi"/>
          <w:color w:val="000000" w:themeColor="text1"/>
          <w14:textFill>
            <w14:solidFill>
              <w14:schemeClr w14:val="tx1"/>
            </w14:solidFill>
          </w14:textFill>
        </w:rPr>
      </w:pPr>
      <w:bookmarkStart w:id="231" w:name="_Toc140132803"/>
      <w:bookmarkStart w:id="232" w:name="_Toc155185882"/>
      <w:bookmarkStart w:id="233" w:name="_Toc10836"/>
      <w:r>
        <w:rPr>
          <w:rFonts w:hint="eastAsia" w:asciiTheme="minorHAnsi" w:hAnsiTheme="minorHAnsi"/>
          <w:color w:val="000000" w:themeColor="text1"/>
          <w14:textFill>
            <w14:solidFill>
              <w14:schemeClr w14:val="tx1"/>
            </w14:solidFill>
          </w14:textFill>
        </w:rPr>
        <w:t>采购代理服务费</w:t>
      </w:r>
      <w:bookmarkEnd w:id="231"/>
      <w:bookmarkEnd w:id="232"/>
      <w:bookmarkEnd w:id="233"/>
    </w:p>
    <w:p w14:paraId="6124A83E">
      <w:pPr>
        <w:pStyle w:val="6"/>
        <w:numPr>
          <w:ilvl w:val="0"/>
          <w:numId w:val="5"/>
        </w:numPr>
        <w:rPr>
          <w:rFonts w:hint="eastAsia"/>
          <w:color w:val="000000" w:themeColor="text1"/>
          <w14:textFill>
            <w14:solidFill>
              <w14:schemeClr w14:val="tx1"/>
            </w14:solidFill>
          </w14:textFill>
        </w:rPr>
      </w:pPr>
      <w:bookmarkStart w:id="234" w:name="_Toc140132804"/>
      <w:bookmarkStart w:id="235" w:name="_Toc24135"/>
      <w:bookmarkStart w:id="236" w:name="_Toc11818"/>
      <w:r>
        <w:rPr>
          <w:rFonts w:hint="eastAsia"/>
          <w:color w:val="000000" w:themeColor="text1"/>
          <w14:textFill>
            <w14:solidFill>
              <w14:schemeClr w14:val="tx1"/>
            </w14:solidFill>
          </w14:textFill>
        </w:rPr>
        <w:t>收取方式和标准</w:t>
      </w:r>
      <w:bookmarkEnd w:id="234"/>
      <w:bookmarkEnd w:id="235"/>
      <w:bookmarkEnd w:id="236"/>
    </w:p>
    <w:p w14:paraId="520D713A">
      <w:pPr>
        <w:pStyle w:val="42"/>
        <w:rPr>
          <w:rFonts w:hint="eastAsia"/>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.1采购代理机构按“投标供应商须知前附表”规定的方式和标准收取采购代理服务费。</w:t>
      </w:r>
    </w:p>
    <w:p w14:paraId="7CD4E5B4">
      <w:pPr>
        <w:pStyle w:val="5"/>
        <w:numPr>
          <w:ilvl w:val="0"/>
          <w:numId w:val="4"/>
        </w:numPr>
        <w:rPr>
          <w:rFonts w:hint="eastAsia" w:asciiTheme="minorHAnsi" w:hAnsiTheme="minorHAnsi"/>
          <w:color w:val="000000" w:themeColor="text1"/>
          <w14:textFill>
            <w14:solidFill>
              <w14:schemeClr w14:val="tx1"/>
            </w14:solidFill>
          </w14:textFill>
        </w:rPr>
      </w:pPr>
      <w:bookmarkStart w:id="237" w:name="_Toc18773"/>
      <w:bookmarkStart w:id="238" w:name="_Toc140132805"/>
      <w:bookmarkStart w:id="239" w:name="_Toc155185883"/>
      <w:r>
        <w:rPr>
          <w:rFonts w:hint="eastAsia" w:asciiTheme="minorHAnsi" w:hAnsiTheme="minorHAnsi"/>
          <w:color w:val="000000" w:themeColor="text1"/>
          <w14:textFill>
            <w14:solidFill>
              <w14:schemeClr w14:val="tx1"/>
            </w14:solidFill>
          </w14:textFill>
        </w:rPr>
        <w:t>无效投标和废标</w:t>
      </w:r>
      <w:bookmarkEnd w:id="237"/>
      <w:bookmarkEnd w:id="238"/>
      <w:bookmarkEnd w:id="239"/>
    </w:p>
    <w:p w14:paraId="0914D008">
      <w:pPr>
        <w:pStyle w:val="6"/>
        <w:numPr>
          <w:ilvl w:val="0"/>
          <w:numId w:val="5"/>
        </w:numPr>
        <w:rPr>
          <w:rFonts w:hint="eastAsia"/>
          <w:color w:val="000000" w:themeColor="text1"/>
          <w14:textFill>
            <w14:solidFill>
              <w14:schemeClr w14:val="tx1"/>
            </w14:solidFill>
          </w14:textFill>
        </w:rPr>
      </w:pPr>
      <w:bookmarkStart w:id="240" w:name="_Toc140132806"/>
      <w:bookmarkStart w:id="241" w:name="_Toc31998"/>
      <w:bookmarkStart w:id="242" w:name="_Toc17867"/>
      <w:r>
        <w:rPr>
          <w:rFonts w:hint="eastAsia"/>
          <w:color w:val="000000" w:themeColor="text1"/>
          <w14:textFill>
            <w14:solidFill>
              <w14:schemeClr w14:val="tx1"/>
            </w14:solidFill>
          </w14:textFill>
        </w:rPr>
        <w:t>无效投标</w:t>
      </w:r>
      <w:bookmarkEnd w:id="240"/>
      <w:bookmarkEnd w:id="241"/>
      <w:bookmarkEnd w:id="242"/>
    </w:p>
    <w:p w14:paraId="154E0279">
      <w:pPr>
        <w:pStyle w:val="42"/>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39</w:t>
      </w:r>
      <w:r>
        <w:rPr>
          <w:rFonts w:hint="eastAsia"/>
          <w:color w:val="000000" w:themeColor="text1"/>
          <w14:textFill>
            <w14:solidFill>
              <w14:schemeClr w14:val="tx1"/>
            </w14:solidFill>
          </w14:textFill>
        </w:rPr>
        <w:t>.1投标文件存在第四章“资格审查方法及标准”、第五章 “评标方法及标准”规定的投标无效情形的，其</w:t>
      </w:r>
      <w:r>
        <w:rPr>
          <w:rFonts w:hint="eastAsia"/>
          <w:b/>
          <w:bCs/>
          <w:color w:val="000000" w:themeColor="text1"/>
          <w14:textFill>
            <w14:solidFill>
              <w14:schemeClr w14:val="tx1"/>
            </w14:solidFill>
          </w14:textFill>
        </w:rPr>
        <w:t>投标无效</w:t>
      </w:r>
      <w:r>
        <w:rPr>
          <w:rFonts w:hint="eastAsia"/>
          <w:color w:val="000000" w:themeColor="text1"/>
          <w14:textFill>
            <w14:solidFill>
              <w14:schemeClr w14:val="tx1"/>
            </w14:solidFill>
          </w14:textFill>
        </w:rPr>
        <w:t>。</w:t>
      </w:r>
    </w:p>
    <w:p w14:paraId="2CD9604A">
      <w:pPr>
        <w:pStyle w:val="6"/>
        <w:numPr>
          <w:ilvl w:val="0"/>
          <w:numId w:val="5"/>
        </w:numPr>
        <w:rPr>
          <w:rFonts w:hint="eastAsia"/>
          <w:color w:val="000000" w:themeColor="text1"/>
          <w14:textFill>
            <w14:solidFill>
              <w14:schemeClr w14:val="tx1"/>
            </w14:solidFill>
          </w14:textFill>
        </w:rPr>
      </w:pPr>
      <w:bookmarkStart w:id="243" w:name="_Toc9972"/>
      <w:bookmarkStart w:id="244" w:name="_Toc140132807"/>
      <w:bookmarkStart w:id="245" w:name="_Toc24321"/>
      <w:r>
        <w:rPr>
          <w:rFonts w:hint="eastAsia"/>
          <w:color w:val="000000" w:themeColor="text1"/>
          <w14:textFill>
            <w14:solidFill>
              <w14:schemeClr w14:val="tx1"/>
            </w14:solidFill>
          </w14:textFill>
        </w:rPr>
        <w:t>废标</w:t>
      </w:r>
      <w:bookmarkEnd w:id="243"/>
      <w:bookmarkEnd w:id="244"/>
      <w:bookmarkEnd w:id="245"/>
    </w:p>
    <w:p w14:paraId="18101949">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.1在招标采购中出现有下列情形之一的，应予以</w:t>
      </w:r>
      <w:r>
        <w:rPr>
          <w:rFonts w:hint="eastAsia"/>
          <w:b/>
          <w:bCs/>
          <w:color w:val="000000" w:themeColor="text1"/>
          <w14:textFill>
            <w14:solidFill>
              <w14:schemeClr w14:val="tx1"/>
            </w14:solidFill>
          </w14:textFill>
        </w:rPr>
        <w:t>废标</w:t>
      </w:r>
      <w:r>
        <w:rPr>
          <w:rFonts w:hint="eastAsia"/>
          <w:color w:val="000000" w:themeColor="text1"/>
          <w14:textFill>
            <w14:solidFill>
              <w14:schemeClr w14:val="tx1"/>
            </w14:solidFill>
          </w14:textFill>
        </w:rPr>
        <w:t>：</w:t>
      </w:r>
    </w:p>
    <w:p w14:paraId="34CB3ED2">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（1）符合专业条件的投标供应商或者对招标文件作实质响应的投标供应商不足三家的；</w:t>
      </w:r>
    </w:p>
    <w:p w14:paraId="18679CE3">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（2）出现影响采购公正的违法、违规行为的；</w:t>
      </w:r>
    </w:p>
    <w:p w14:paraId="3083F51D">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（3）投标供应商的报价均超过了采购预算，采购人不能支付的；</w:t>
      </w:r>
    </w:p>
    <w:p w14:paraId="77BE50D9">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（4）因重大变故，采购任务取消的。</w:t>
      </w:r>
    </w:p>
    <w:p w14:paraId="4695A20E">
      <w:pPr>
        <w:pStyle w:val="5"/>
        <w:numPr>
          <w:ilvl w:val="0"/>
          <w:numId w:val="4"/>
        </w:numPr>
        <w:rPr>
          <w:rFonts w:hint="eastAsia" w:asciiTheme="minorHAnsi" w:hAnsiTheme="minorHAnsi"/>
          <w:color w:val="000000" w:themeColor="text1"/>
          <w14:textFill>
            <w14:solidFill>
              <w14:schemeClr w14:val="tx1"/>
            </w14:solidFill>
          </w14:textFill>
        </w:rPr>
      </w:pPr>
      <w:bookmarkStart w:id="246" w:name="_Toc140132766"/>
      <w:bookmarkStart w:id="247" w:name="_Toc7406"/>
      <w:bookmarkStart w:id="248" w:name="_Toc140132808"/>
      <w:bookmarkStart w:id="249" w:name="_Toc155185884"/>
      <w:r>
        <w:rPr>
          <w:rFonts w:hint="eastAsia" w:asciiTheme="minorHAnsi" w:hAnsiTheme="minorHAnsi"/>
          <w:color w:val="000000" w:themeColor="text1"/>
          <w14:textFill>
            <w14:solidFill>
              <w14:schemeClr w14:val="tx1"/>
            </w14:solidFill>
          </w14:textFill>
        </w:rPr>
        <w:t>落实政府采购政策</w:t>
      </w:r>
      <w:bookmarkEnd w:id="246"/>
      <w:bookmarkEnd w:id="247"/>
    </w:p>
    <w:p w14:paraId="7D5BC789">
      <w:pPr>
        <w:pStyle w:val="6"/>
        <w:numPr>
          <w:ilvl w:val="0"/>
          <w:numId w:val="5"/>
        </w:numPr>
        <w:rPr>
          <w:rFonts w:hint="eastAsia"/>
          <w:color w:val="000000" w:themeColor="text1"/>
          <w14:textFill>
            <w14:solidFill>
              <w14:schemeClr w14:val="tx1"/>
            </w14:solidFill>
          </w14:textFill>
        </w:rPr>
      </w:pPr>
      <w:bookmarkStart w:id="250" w:name="_Toc27146"/>
      <w:bookmarkStart w:id="251" w:name="_Toc22361"/>
      <w:r>
        <w:rPr>
          <w:color w:val="000000" w:themeColor="text1"/>
          <w14:textFill>
            <w14:solidFill>
              <w14:schemeClr w14:val="tx1"/>
            </w14:solidFill>
          </w14:textFill>
        </w:rPr>
        <w:t>支持国产和进口产品审批</w:t>
      </w:r>
      <w:bookmarkEnd w:id="250"/>
      <w:bookmarkEnd w:id="251"/>
    </w:p>
    <w:p w14:paraId="125DA298">
      <w:pPr>
        <w:pStyle w:val="42"/>
        <w:rPr>
          <w:rFonts w:hint="eastAsia"/>
          <w:snapToGrid w:val="0"/>
          <w:color w:val="000000" w:themeColor="text1"/>
          <w14:textFill>
            <w14:solidFill>
              <w14:schemeClr w14:val="tx1"/>
            </w14:solidFill>
          </w14:textFill>
        </w:rPr>
      </w:pPr>
      <w:r>
        <w:rPr>
          <w:snapToGrid w:val="0"/>
          <w:color w:val="000000" w:themeColor="text1"/>
          <w14:textFill>
            <w14:solidFill>
              <w14:schemeClr w14:val="tx1"/>
            </w14:solidFill>
          </w14:textFill>
        </w:rPr>
        <w:t>4</w:t>
      </w:r>
      <w:r>
        <w:rPr>
          <w:rFonts w:hint="eastAsia"/>
          <w:snapToGrid w:val="0"/>
          <w:color w:val="000000" w:themeColor="text1"/>
          <w:lang w:val="en-US" w:eastAsia="zh-CN"/>
          <w14:textFill>
            <w14:solidFill>
              <w14:schemeClr w14:val="tx1"/>
            </w14:solidFill>
          </w14:textFill>
        </w:rPr>
        <w:t>1</w:t>
      </w:r>
      <w:r>
        <w:rPr>
          <w:rFonts w:hint="eastAsia"/>
          <w:snapToGrid w:val="0"/>
          <w:color w:val="000000" w:themeColor="text1"/>
          <w14:textFill>
            <w14:solidFill>
              <w14:schemeClr w14:val="tx1"/>
            </w14:solidFill>
          </w14:textFill>
        </w:rPr>
        <w:t>.1除“投标供应商须知前附表”另有规定外，政府采购应当采购本国产品，确需采购进口产品的，采购人应当按照《关于政府采购进口产品管理有关问题的通知》（财办库〔</w:t>
      </w:r>
      <w:r>
        <w:rPr>
          <w:snapToGrid w:val="0"/>
          <w:color w:val="000000" w:themeColor="text1"/>
          <w14:textFill>
            <w14:solidFill>
              <w14:schemeClr w14:val="tx1"/>
            </w14:solidFill>
          </w14:textFill>
        </w:rPr>
        <w:t>2008〕248号）规定执行（进口产品审批制，科研院所监管部门另有规定的从其规定）。</w:t>
      </w:r>
      <w:r>
        <w:rPr>
          <w:rFonts w:hint="eastAsia"/>
          <w:snapToGrid w:val="0"/>
          <w:color w:val="000000" w:themeColor="text1"/>
          <w14:textFill>
            <w14:solidFill>
              <w14:schemeClr w14:val="tx1"/>
            </w14:solidFill>
          </w14:textFill>
        </w:rPr>
        <w:t>项目若涉及采购进口产品的，具体要求详见“第三章</w:t>
      </w:r>
      <w:r>
        <w:rPr>
          <w:snapToGrid w:val="0"/>
          <w:color w:val="000000" w:themeColor="text1"/>
          <w14:textFill>
            <w14:solidFill>
              <w14:schemeClr w14:val="tx1"/>
            </w14:solidFill>
          </w14:textFill>
        </w:rPr>
        <w:t xml:space="preserve"> 采购需求”</w:t>
      </w:r>
      <w:r>
        <w:rPr>
          <w:rFonts w:hint="eastAsia"/>
          <w:snapToGrid w:val="0"/>
          <w:color w:val="000000" w:themeColor="text1"/>
          <w14:textFill>
            <w14:solidFill>
              <w14:schemeClr w14:val="tx1"/>
            </w14:solidFill>
          </w14:textFill>
        </w:rPr>
        <w:t>。</w:t>
      </w:r>
    </w:p>
    <w:p w14:paraId="1CF3AB01">
      <w:pPr>
        <w:pStyle w:val="6"/>
        <w:numPr>
          <w:ilvl w:val="0"/>
          <w:numId w:val="5"/>
        </w:numPr>
        <w:rPr>
          <w:rFonts w:hint="eastAsia"/>
          <w:color w:val="000000" w:themeColor="text1"/>
          <w14:textFill>
            <w14:solidFill>
              <w14:schemeClr w14:val="tx1"/>
            </w14:solidFill>
          </w14:textFill>
        </w:rPr>
      </w:pPr>
      <w:bookmarkStart w:id="252" w:name="_Toc5737"/>
      <w:bookmarkStart w:id="253" w:name="_Toc11071"/>
      <w:r>
        <w:rPr>
          <w:rFonts w:hint="eastAsia"/>
          <w:color w:val="000000" w:themeColor="text1"/>
          <w14:textFill>
            <w14:solidFill>
              <w14:schemeClr w14:val="tx1"/>
            </w14:solidFill>
          </w14:textFill>
        </w:rPr>
        <w:t>中小企业、监狱企业及残疾人福利性单位</w:t>
      </w:r>
      <w:bookmarkEnd w:id="252"/>
      <w:bookmarkEnd w:id="253"/>
    </w:p>
    <w:p w14:paraId="34010D0C">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为促进中小企业发展，依据《</w:t>
      </w:r>
      <w:r>
        <w:rPr>
          <w:snapToGrid w:val="0"/>
          <w:color w:val="000000" w:themeColor="text1"/>
          <w14:textFill>
            <w14:solidFill>
              <w14:schemeClr w14:val="tx1"/>
            </w14:solidFill>
          </w14:textFill>
        </w:rPr>
        <w:t>关于印发</w:t>
      </w:r>
      <w:r>
        <w:rPr>
          <w:rFonts w:hint="eastAsia"/>
          <w:snapToGrid w:val="0"/>
          <w:color w:val="000000" w:themeColor="text1"/>
          <w14:textFill>
            <w14:solidFill>
              <w14:schemeClr w14:val="tx1"/>
            </w14:solidFill>
          </w14:textFill>
        </w:rPr>
        <w:t>&lt;</w:t>
      </w:r>
      <w:r>
        <w:rPr>
          <w:snapToGrid w:val="0"/>
          <w:color w:val="000000" w:themeColor="text1"/>
          <w14:textFill>
            <w14:solidFill>
              <w14:schemeClr w14:val="tx1"/>
            </w14:solidFill>
          </w14:textFill>
        </w:rPr>
        <w:t>政府采购促进中小企业发展管理办法</w:t>
      </w:r>
      <w:r>
        <w:rPr>
          <w:rFonts w:hint="eastAsia"/>
          <w:snapToGrid w:val="0"/>
          <w:color w:val="000000" w:themeColor="text1"/>
          <w14:textFill>
            <w14:solidFill>
              <w14:schemeClr w14:val="tx1"/>
            </w14:solidFill>
          </w14:textFill>
        </w:rPr>
        <w:t>&gt;</w:t>
      </w:r>
      <w:r>
        <w:rPr>
          <w:snapToGrid w:val="0"/>
          <w:color w:val="000000" w:themeColor="text1"/>
          <w14:textFill>
            <w14:solidFill>
              <w14:schemeClr w14:val="tx1"/>
            </w14:solidFill>
          </w14:textFill>
        </w:rPr>
        <w:t>的通知</w:t>
      </w:r>
      <w:r>
        <w:rPr>
          <w:rFonts w:hint="eastAsia"/>
          <w:snapToGrid w:val="0"/>
          <w:color w:val="000000" w:themeColor="text1"/>
          <w14:textFill>
            <w14:solidFill>
              <w14:schemeClr w14:val="tx1"/>
            </w14:solidFill>
          </w14:textFill>
        </w:rPr>
        <w:t>》（财库〔2020〕46号）、《财政部 司法部关于政府采购支持监狱企业发展有关问题的通知》（财库〔2014〕68号）、《关于促进残疾人就业政府采购政策的通知》（财库〔2017〕141号）</w:t>
      </w:r>
      <w:r>
        <w:rPr>
          <w:rFonts w:hint="eastAsia"/>
          <w:snapToGrid w:val="0"/>
          <w:color w:val="000000" w:themeColor="text1"/>
          <w:lang w:val="en-US"/>
          <w14:textFill>
            <w14:solidFill>
              <w14:schemeClr w14:val="tx1"/>
            </w14:solidFill>
          </w14:textFill>
        </w:rPr>
        <w:t>等文件</w:t>
      </w:r>
      <w:r>
        <w:rPr>
          <w:rFonts w:hint="eastAsia"/>
          <w:snapToGrid w:val="0"/>
          <w:color w:val="000000" w:themeColor="text1"/>
          <w14:textFill>
            <w14:solidFill>
              <w14:schemeClr w14:val="tx1"/>
            </w14:solidFill>
          </w14:textFill>
        </w:rPr>
        <w:t>的规定，本项目投标供应商如符合上述文件规定的，需提供《中小企业声明函》、监狱企业证明文件、</w:t>
      </w:r>
      <w:r>
        <w:rPr>
          <w:snapToGrid w:val="0"/>
          <w:color w:val="000000" w:themeColor="text1"/>
          <w14:textFill>
            <w14:solidFill>
              <w14:schemeClr w14:val="tx1"/>
            </w14:solidFill>
          </w14:textFill>
        </w:rPr>
        <w:t>《残疾人福利性单位声明函》</w:t>
      </w:r>
      <w:r>
        <w:rPr>
          <w:rFonts w:hint="eastAsia"/>
          <w:snapToGrid w:val="0"/>
          <w:color w:val="000000" w:themeColor="text1"/>
          <w14:textFill>
            <w14:solidFill>
              <w14:schemeClr w14:val="tx1"/>
            </w14:solidFill>
          </w14:textFill>
        </w:rPr>
        <w:t>，评审时，评标委员会将依据“投标供应商须知前附表”规定的报价扣除比例，对投标供应商报价进行价格扣除，用扣除后的价格参与评审。</w:t>
      </w:r>
    </w:p>
    <w:p w14:paraId="49A504BA">
      <w:pPr>
        <w:pStyle w:val="6"/>
        <w:numPr>
          <w:ilvl w:val="0"/>
          <w:numId w:val="5"/>
        </w:numPr>
        <w:rPr>
          <w:rFonts w:hint="eastAsia"/>
          <w:color w:val="000000" w:themeColor="text1"/>
          <w14:textFill>
            <w14:solidFill>
              <w14:schemeClr w14:val="tx1"/>
            </w14:solidFill>
          </w14:textFill>
        </w:rPr>
      </w:pPr>
      <w:bookmarkStart w:id="254" w:name="_Toc7448"/>
      <w:bookmarkStart w:id="255" w:name="_Toc23944"/>
      <w:r>
        <w:rPr>
          <w:rFonts w:hint="eastAsia"/>
          <w:color w:val="000000" w:themeColor="text1"/>
          <w14:textFill>
            <w14:solidFill>
              <w14:schemeClr w14:val="tx1"/>
            </w14:solidFill>
          </w14:textFill>
        </w:rPr>
        <w:t>政府采购节能产品、环境标志产品</w:t>
      </w:r>
      <w:bookmarkEnd w:id="254"/>
      <w:bookmarkEnd w:id="255"/>
    </w:p>
    <w:p w14:paraId="26CBC4F9">
      <w:pPr>
        <w:pStyle w:val="42"/>
        <w:rPr>
          <w:rFonts w:hint="eastAsia"/>
          <w:snapToGrid w:val="0"/>
          <w:color w:val="000000" w:themeColor="text1"/>
          <w14:textFill>
            <w14:solidFill>
              <w14:schemeClr w14:val="tx1"/>
            </w14:solidFill>
          </w14:textFill>
        </w:rPr>
      </w:pPr>
      <w:r>
        <w:rPr>
          <w:snapToGrid w:val="0"/>
          <w:color w:val="000000" w:themeColor="text1"/>
          <w14:textFill>
            <w14:solidFill>
              <w14:schemeClr w14:val="tx1"/>
            </w14:solidFill>
          </w14:textFill>
        </w:rPr>
        <w:t>4</w:t>
      </w:r>
      <w:r>
        <w:rPr>
          <w:rFonts w:hint="eastAsia"/>
          <w:snapToGrid w:val="0"/>
          <w:color w:val="000000" w:themeColor="text1"/>
          <w:lang w:val="en-US" w:eastAsia="zh-CN"/>
          <w14:textFill>
            <w14:solidFill>
              <w14:schemeClr w14:val="tx1"/>
            </w14:solidFill>
          </w14:textFill>
        </w:rPr>
        <w:t>3</w:t>
      </w:r>
      <w:r>
        <w:rPr>
          <w:rFonts w:hint="eastAsia"/>
          <w:snapToGrid w:val="0"/>
          <w:color w:val="000000" w:themeColor="text1"/>
          <w14:textFill>
            <w14:solidFill>
              <w14:schemeClr w14:val="tx1"/>
            </w14:solidFill>
          </w14:textFill>
        </w:rPr>
        <w:t>.1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投标供应商所投产品如属于节能产品政府采购品目清单、环境标志产品政府采购品目清单范围的，投标供应商须提供国家确定的认证机构出具的、处于有效期内的节能产品认证证书，认证证书的产品型号与所投产品不一致的，视为未提供。属于政府强制采购产品的，</w:t>
      </w:r>
      <w:r>
        <w:rPr>
          <w:snapToGrid w:val="0"/>
          <w:color w:val="000000" w:themeColor="text1"/>
          <w14:textFill>
            <w14:solidFill>
              <w14:schemeClr w14:val="tx1"/>
            </w14:solidFill>
          </w14:textFill>
        </w:rPr>
        <w:t>已作为投标时强制性要求不再给予价格扣除</w:t>
      </w:r>
      <w:r>
        <w:rPr>
          <w:rFonts w:hint="eastAsia"/>
          <w:snapToGrid w:val="0"/>
          <w:color w:val="000000" w:themeColor="text1"/>
          <w14:textFill>
            <w14:solidFill>
              <w14:schemeClr w14:val="tx1"/>
            </w14:solidFill>
          </w14:textFill>
        </w:rPr>
        <w:t>，未提供认证证书的视为</w:t>
      </w:r>
      <w:r>
        <w:rPr>
          <w:rFonts w:hint="eastAsia"/>
          <w:b/>
          <w:bCs/>
          <w:snapToGrid w:val="0"/>
          <w:color w:val="000000" w:themeColor="text1"/>
          <w14:textFill>
            <w14:solidFill>
              <w14:schemeClr w14:val="tx1"/>
            </w14:solidFill>
          </w14:textFill>
        </w:rPr>
        <w:t>无效响应</w:t>
      </w:r>
      <w:r>
        <w:rPr>
          <w:rFonts w:hint="eastAsia"/>
          <w:snapToGrid w:val="0"/>
          <w:color w:val="000000" w:themeColor="text1"/>
          <w14:textFill>
            <w14:solidFill>
              <w14:schemeClr w14:val="tx1"/>
            </w14:solidFill>
          </w14:textFill>
        </w:rPr>
        <w:t>。属于优先采购范围的，按照“投标供应商须知前附表”中相关规定，对该项产品的价格给予一定比例的扣除，具体扣除比例详见“投标供应商须知前附表”。</w:t>
      </w:r>
    </w:p>
    <w:p w14:paraId="0DE3E410">
      <w:pPr>
        <w:pStyle w:val="5"/>
        <w:numPr>
          <w:ilvl w:val="0"/>
          <w:numId w:val="4"/>
        </w:numPr>
        <w:rPr>
          <w:rFonts w:hint="eastAsia" w:asciiTheme="minorHAnsi" w:hAnsiTheme="minorHAnsi"/>
          <w:color w:val="000000" w:themeColor="text1"/>
          <w14:textFill>
            <w14:solidFill>
              <w14:schemeClr w14:val="tx1"/>
            </w14:solidFill>
          </w14:textFill>
        </w:rPr>
      </w:pPr>
      <w:bookmarkStart w:id="256" w:name="_Toc22126"/>
      <w:r>
        <w:rPr>
          <w:rFonts w:hint="eastAsia" w:asciiTheme="minorHAnsi" w:hAnsiTheme="minorHAnsi"/>
          <w:color w:val="000000" w:themeColor="text1"/>
          <w14:textFill>
            <w14:solidFill>
              <w14:schemeClr w14:val="tx1"/>
            </w14:solidFill>
          </w14:textFill>
        </w:rPr>
        <w:t>政府采购合同融资政策</w:t>
      </w:r>
      <w:bookmarkEnd w:id="248"/>
      <w:bookmarkEnd w:id="249"/>
      <w:bookmarkEnd w:id="256"/>
    </w:p>
    <w:p w14:paraId="51D1E4C0">
      <w:pPr>
        <w:pStyle w:val="6"/>
        <w:numPr>
          <w:ilvl w:val="0"/>
          <w:numId w:val="5"/>
        </w:numPr>
        <w:rPr>
          <w:rFonts w:hint="eastAsia"/>
          <w:color w:val="000000" w:themeColor="text1"/>
          <w14:textFill>
            <w14:solidFill>
              <w14:schemeClr w14:val="tx1"/>
            </w14:solidFill>
          </w14:textFill>
        </w:rPr>
      </w:pPr>
      <w:bookmarkStart w:id="257" w:name="_Toc12140"/>
      <w:bookmarkStart w:id="258" w:name="_Toc16553"/>
      <w:r>
        <w:rPr>
          <w:rFonts w:hint="eastAsia"/>
          <w:color w:val="000000" w:themeColor="text1"/>
          <w14:textFill>
            <w14:solidFill>
              <w14:schemeClr w14:val="tx1"/>
            </w14:solidFill>
          </w14:textFill>
        </w:rPr>
        <w:t>政府采购合同融资政策</w:t>
      </w:r>
      <w:bookmarkEnd w:id="257"/>
      <w:bookmarkEnd w:id="258"/>
    </w:p>
    <w:p w14:paraId="49809D51">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1政府采购合同融资政策：见投标供应商须知前附表。</w:t>
      </w:r>
    </w:p>
    <w:p w14:paraId="39F3DF71">
      <w:pPr>
        <w:pStyle w:val="5"/>
        <w:numPr>
          <w:ilvl w:val="0"/>
          <w:numId w:val="4"/>
        </w:numPr>
        <w:rPr>
          <w:rFonts w:hint="eastAsia" w:asciiTheme="minorHAnsi" w:hAnsiTheme="minorHAnsi"/>
          <w:color w:val="000000" w:themeColor="text1"/>
          <w14:textFill>
            <w14:solidFill>
              <w14:schemeClr w14:val="tx1"/>
            </w14:solidFill>
          </w14:textFill>
        </w:rPr>
      </w:pPr>
      <w:bookmarkStart w:id="259" w:name="_Toc16531"/>
      <w:r>
        <w:rPr>
          <w:rFonts w:hint="eastAsia" w:asciiTheme="minorHAnsi" w:hAnsiTheme="minorHAnsi"/>
          <w:color w:val="000000" w:themeColor="text1"/>
          <w14:textFill>
            <w14:solidFill>
              <w14:schemeClr w14:val="tx1"/>
            </w14:solidFill>
          </w14:textFill>
        </w:rPr>
        <w:t>其他</w:t>
      </w:r>
      <w:bookmarkEnd w:id="259"/>
    </w:p>
    <w:p w14:paraId="6AC40C57">
      <w:pPr>
        <w:pStyle w:val="6"/>
        <w:numPr>
          <w:ilvl w:val="0"/>
          <w:numId w:val="5"/>
        </w:numPr>
        <w:rPr>
          <w:rFonts w:hint="eastAsia"/>
          <w:color w:val="000000" w:themeColor="text1"/>
          <w14:textFill>
            <w14:solidFill>
              <w14:schemeClr w14:val="tx1"/>
            </w14:solidFill>
          </w14:textFill>
        </w:rPr>
      </w:pPr>
      <w:bookmarkStart w:id="260" w:name="_Toc30657"/>
      <w:bookmarkStart w:id="261" w:name="_Toc17197"/>
      <w:r>
        <w:rPr>
          <w:rFonts w:hint="eastAsia"/>
          <w:color w:val="000000" w:themeColor="text1"/>
          <w14:textFill>
            <w14:solidFill>
              <w14:schemeClr w14:val="tx1"/>
            </w14:solidFill>
          </w14:textFill>
        </w:rPr>
        <w:t>需要补充的其他内容</w:t>
      </w:r>
      <w:bookmarkEnd w:id="260"/>
      <w:bookmarkEnd w:id="261"/>
    </w:p>
    <w:p w14:paraId="0B4A7BEB">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需要补充的其他内容：见投标供应商须知前附表。</w:t>
      </w:r>
    </w:p>
    <w:p w14:paraId="73A74CA5">
      <w:pPr>
        <w:pStyle w:val="6"/>
        <w:numPr>
          <w:ilvl w:val="0"/>
          <w:numId w:val="5"/>
        </w:numPr>
        <w:rPr>
          <w:rFonts w:hint="eastAsia"/>
          <w:color w:val="000000" w:themeColor="text1"/>
          <w14:textFill>
            <w14:solidFill>
              <w14:schemeClr w14:val="tx1"/>
            </w14:solidFill>
          </w14:textFill>
        </w:rPr>
      </w:pPr>
      <w:bookmarkStart w:id="262" w:name="_Toc14814"/>
      <w:r>
        <w:rPr>
          <w:rFonts w:hint="eastAsia"/>
          <w:color w:val="000000" w:themeColor="text1"/>
          <w14:textFill>
            <w14:solidFill>
              <w14:schemeClr w14:val="tx1"/>
            </w14:solidFill>
          </w14:textFill>
        </w:rPr>
        <w:t>适用法律</w:t>
      </w:r>
      <w:bookmarkEnd w:id="262"/>
    </w:p>
    <w:p w14:paraId="3F7197CF">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4</w:t>
      </w:r>
      <w:r>
        <w:rPr>
          <w:rFonts w:hint="eastAsia"/>
          <w:snapToGrid w:val="0"/>
          <w:color w:val="000000" w:themeColor="text1"/>
          <w:lang w:val="en-US" w:eastAsia="zh-CN"/>
          <w14:textFill>
            <w14:solidFill>
              <w14:schemeClr w14:val="tx1"/>
            </w14:solidFill>
          </w14:textFill>
        </w:rPr>
        <w:t>6</w:t>
      </w:r>
      <w:r>
        <w:rPr>
          <w:snapToGrid w:val="0"/>
          <w:color w:val="000000" w:themeColor="text1"/>
          <w14:textFill>
            <w14:solidFill>
              <w14:schemeClr w14:val="tx1"/>
            </w14:solidFill>
          </w14:textFill>
        </w:rPr>
        <w:t>.1</w:t>
      </w:r>
      <w:r>
        <w:rPr>
          <w:rFonts w:hint="eastAsia"/>
          <w:snapToGrid w:val="0"/>
          <w:color w:val="000000" w:themeColor="text1"/>
          <w14:textFill>
            <w14:solidFill>
              <w14:schemeClr w14:val="tx1"/>
            </w14:solidFill>
          </w14:textFill>
        </w:rPr>
        <w:t>采购人、采购代理机构及投标供应商的一切采购活动均适用《中华人民共和国政府采购法》、《中华人民共和国政府采购法实施条例》、《政府采购货物和服务招标投标管理办法》（财政部令第87号）及相关法律法规。</w:t>
      </w:r>
    </w:p>
    <w:p w14:paraId="2FD31D2A">
      <w:pPr>
        <w:pStyle w:val="42"/>
        <w:rPr>
          <w:rFonts w:hint="eastAsia"/>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4</w:t>
      </w:r>
      <w:r>
        <w:rPr>
          <w:rFonts w:hint="eastAsia"/>
          <w:snapToGrid w:val="0"/>
          <w:color w:val="000000" w:themeColor="text1"/>
          <w:lang w:val="en-US" w:eastAsia="zh-CN"/>
          <w14:textFill>
            <w14:solidFill>
              <w14:schemeClr w14:val="tx1"/>
            </w14:solidFill>
          </w14:textFill>
        </w:rPr>
        <w:t>6</w:t>
      </w:r>
      <w:r>
        <w:rPr>
          <w:snapToGrid w:val="0"/>
          <w:color w:val="000000" w:themeColor="text1"/>
          <w14:textFill>
            <w14:solidFill>
              <w14:schemeClr w14:val="tx1"/>
            </w14:solidFill>
          </w14:textFill>
        </w:rPr>
        <w:t>.2</w:t>
      </w:r>
      <w:r>
        <w:rPr>
          <w:rFonts w:hint="eastAsia"/>
          <w:snapToGrid w:val="0"/>
          <w:color w:val="000000" w:themeColor="text1"/>
          <w14:textFill>
            <w14:solidFill>
              <w14:schemeClr w14:val="tx1"/>
            </w14:solidFill>
          </w14:textFill>
        </w:rPr>
        <w:t>政府采购合同的履行、违约责任和解决争议的方法等适用《中华人民共和国民法典》。</w:t>
      </w:r>
    </w:p>
    <w:p w14:paraId="6E16EC56">
      <w:pPr>
        <w:pStyle w:val="6"/>
        <w:numPr>
          <w:ilvl w:val="0"/>
          <w:numId w:val="5"/>
        </w:numPr>
        <w:rPr>
          <w:rFonts w:hint="eastAsia"/>
          <w:color w:val="000000" w:themeColor="text1"/>
          <w14:textFill>
            <w14:solidFill>
              <w14:schemeClr w14:val="tx1"/>
            </w14:solidFill>
          </w14:textFill>
        </w:rPr>
      </w:pPr>
      <w:bookmarkStart w:id="263" w:name="_Toc26982"/>
      <w:bookmarkStart w:id="264" w:name="_Toc14397"/>
      <w:bookmarkStart w:id="265" w:name="_Toc155185887"/>
      <w:r>
        <w:rPr>
          <w:rFonts w:hint="eastAsia"/>
          <w:color w:val="000000" w:themeColor="text1"/>
          <w14:textFill>
            <w14:solidFill>
              <w14:schemeClr w14:val="tx1"/>
            </w14:solidFill>
          </w14:textFill>
        </w:rPr>
        <w:t>解释权</w:t>
      </w:r>
      <w:bookmarkEnd w:id="263"/>
      <w:bookmarkEnd w:id="264"/>
      <w:bookmarkEnd w:id="265"/>
    </w:p>
    <w:p w14:paraId="714F6C39">
      <w:pPr>
        <w:pStyle w:val="42"/>
        <w:rPr>
          <w:rFonts w:hint="eastAsia"/>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4</w:t>
      </w:r>
      <w:r>
        <w:rPr>
          <w:rFonts w:hint="eastAsia"/>
          <w:snapToGrid w:val="0"/>
          <w:color w:val="000000" w:themeColor="text1"/>
          <w:lang w:val="en-US" w:eastAsia="zh-CN"/>
          <w14:textFill>
            <w14:solidFill>
              <w14:schemeClr w14:val="tx1"/>
            </w14:solidFill>
          </w14:textFill>
        </w:rPr>
        <w:t>7</w:t>
      </w:r>
      <w:r>
        <w:rPr>
          <w:snapToGrid w:val="0"/>
          <w:color w:val="000000" w:themeColor="text1"/>
          <w14:textFill>
            <w14:solidFill>
              <w14:schemeClr w14:val="tx1"/>
            </w14:solidFill>
          </w14:textFill>
        </w:rPr>
        <w:t>.</w:t>
      </w:r>
      <w:r>
        <w:rPr>
          <w:rFonts w:hint="eastAsia"/>
          <w:snapToGrid w:val="0"/>
          <w:color w:val="000000" w:themeColor="text1"/>
          <w14:textFill>
            <w14:solidFill>
              <w14:schemeClr w14:val="tx1"/>
            </w14:solidFill>
          </w14:textFill>
        </w:rPr>
        <w:t>1本招标文件最终解释权归采购人或采购代理机构所有。</w:t>
      </w:r>
    </w:p>
    <w:p w14:paraId="54E8065C">
      <w:pPr>
        <w:pStyle w:val="42"/>
        <w:ind w:left="0" w:leftChars="0" w:firstLine="0" w:firstLineChars="0"/>
        <w:rPr>
          <w:rFonts w:hint="eastAsia"/>
          <w:color w:val="000000" w:themeColor="text1"/>
          <w14:textFill>
            <w14:solidFill>
              <w14:schemeClr w14:val="tx1"/>
            </w14:solidFill>
          </w14:textFill>
        </w:rPr>
      </w:pPr>
    </w:p>
    <w:p w14:paraId="58484331">
      <w:pPr>
        <w:pStyle w:val="3"/>
        <w:numPr>
          <w:ilvl w:val="0"/>
          <w:numId w:val="2"/>
        </w:numPr>
        <w:rPr>
          <w:rFonts w:hint="eastAsia"/>
          <w:color w:val="000000" w:themeColor="text1"/>
          <w14:textFill>
            <w14:solidFill>
              <w14:schemeClr w14:val="tx1"/>
            </w14:solidFill>
          </w14:textFill>
        </w:rPr>
      </w:pPr>
      <w:bookmarkStart w:id="266" w:name="_Toc15349"/>
      <w:bookmarkStart w:id="267" w:name="_Toc155185888"/>
      <w:bookmarkStart w:id="268" w:name="_Toc155185886"/>
      <w:bookmarkStart w:id="269" w:name="_Toc140132810"/>
      <w:bookmarkStart w:id="270" w:name="_Toc30617"/>
      <w:r>
        <w:rPr>
          <w:rFonts w:hint="eastAsia"/>
          <w:color w:val="000000" w:themeColor="text1"/>
          <w14:textFill>
            <w14:solidFill>
              <w14:schemeClr w14:val="tx1"/>
            </w14:solidFill>
          </w14:textFill>
        </w:rPr>
        <w:t>采购需求</w:t>
      </w:r>
      <w:bookmarkEnd w:id="266"/>
      <w:bookmarkEnd w:id="267"/>
    </w:p>
    <w:p w14:paraId="7BF38DC5">
      <w:pPr>
        <w:pStyle w:val="5"/>
        <w:bidi w:val="0"/>
        <w:rPr>
          <w:rFonts w:hint="eastAsia"/>
          <w:color w:val="000000" w:themeColor="text1"/>
          <w:sz w:val="28"/>
          <w:szCs w:val="28"/>
          <w14:textFill>
            <w14:solidFill>
              <w14:schemeClr w14:val="tx1"/>
            </w14:solidFill>
          </w14:textFill>
        </w:rPr>
      </w:pPr>
      <w:bookmarkStart w:id="271" w:name="_Toc449"/>
      <w:r>
        <w:rPr>
          <w:rFonts w:hint="eastAsia"/>
          <w:color w:val="000000" w:themeColor="text1"/>
          <w:sz w:val="28"/>
          <w:szCs w:val="28"/>
          <w14:textFill>
            <w14:solidFill>
              <w14:schemeClr w14:val="tx1"/>
            </w14:solidFill>
          </w14:textFill>
        </w:rPr>
        <w:t>（一）采购标的需实现的功能或者目标，以及为落实政府采购政策需满足的要求：</w:t>
      </w:r>
      <w:bookmarkEnd w:id="271"/>
    </w:p>
    <w:p w14:paraId="0E2083F5">
      <w:pPr>
        <w:spacing w:line="360" w:lineRule="auto"/>
        <w:ind w:firstLine="480" w:firstLineChars="200"/>
        <w:jc w:val="left"/>
        <w:rPr>
          <w:rFonts w:hint="eastAsia"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1.实现的功能或者目标：保障患者用药安全、提升基层合理用药水平，同时通过资源整合实现药学服务的标准化和同质化。具体建设目的可归纳为以下四个层面：</w:t>
      </w:r>
      <w:r>
        <w:rPr>
          <w:rFonts w:hint="default" w:ascii="Calibri" w:hAnsi="Calibri" w:cs="Calibri"/>
          <w:bCs/>
          <w:color w:val="000000" w:themeColor="text1"/>
          <w:sz w:val="24"/>
          <w:szCs w:val="24"/>
          <w14:textFill>
            <w14:solidFill>
              <w14:schemeClr w14:val="tx1"/>
            </w14:solidFill>
          </w14:textFill>
        </w:rPr>
        <w:t>①</w:t>
      </w:r>
      <w:r>
        <w:rPr>
          <w:rFonts w:hint="eastAsia" w:cs="宋体"/>
          <w:bCs/>
          <w:color w:val="000000" w:themeColor="text1"/>
          <w:sz w:val="24"/>
          <w:szCs w:val="24"/>
          <w14:textFill>
            <w14:solidFill>
              <w14:schemeClr w14:val="tx1"/>
            </w14:solidFill>
          </w14:textFill>
        </w:rPr>
        <w:t xml:space="preserve"> 核心层：实现用药安全的“事前干预”这是最直接的目的。通过“系统智能审核+药师人工复核”的双重模式，在患者取药前就对处方进行拦截审查。</w:t>
      </w:r>
      <w:r>
        <w:rPr>
          <w:rFonts w:hint="default" w:ascii="Calibri" w:hAnsi="Calibri" w:cs="Calibri"/>
          <w:bCs/>
          <w:color w:val="000000" w:themeColor="text1"/>
          <w:sz w:val="24"/>
          <w:szCs w:val="24"/>
          <w14:textFill>
            <w14:solidFill>
              <w14:schemeClr w14:val="tx1"/>
            </w14:solidFill>
          </w14:textFill>
        </w:rPr>
        <w:t>②</w:t>
      </w:r>
      <w:r>
        <w:rPr>
          <w:rFonts w:hint="eastAsia" w:cs="宋体"/>
          <w:bCs/>
          <w:color w:val="000000" w:themeColor="text1"/>
          <w:sz w:val="24"/>
          <w:szCs w:val="24"/>
          <w14:textFill>
            <w14:solidFill>
              <w14:schemeClr w14:val="tx1"/>
            </w14:solidFill>
          </w14:textFill>
        </w:rPr>
        <w:t xml:space="preserve"> 结构层：推进药学服务的“均等化”解决基层医疗机构药师力量薄弱、审核标准不一的痛点。</w:t>
      </w:r>
      <w:r>
        <w:rPr>
          <w:rFonts w:hint="default" w:ascii="Calibri" w:hAnsi="Calibri" w:cs="Calibri"/>
          <w:bCs/>
          <w:color w:val="000000" w:themeColor="text1"/>
          <w:sz w:val="24"/>
          <w:szCs w:val="24"/>
          <w14:textFill>
            <w14:solidFill>
              <w14:schemeClr w14:val="tx1"/>
            </w14:solidFill>
          </w14:textFill>
        </w:rPr>
        <w:t>③</w:t>
      </w:r>
      <w:r>
        <w:rPr>
          <w:rFonts w:hint="eastAsia" w:cs="宋体"/>
          <w:bCs/>
          <w:color w:val="000000" w:themeColor="text1"/>
          <w:sz w:val="24"/>
          <w:szCs w:val="24"/>
          <w14:textFill>
            <w14:solidFill>
              <w14:schemeClr w14:val="tx1"/>
            </w14:solidFill>
          </w14:textFill>
        </w:rPr>
        <w:t>管理数据层：提供精细化监管与决策支持</w:t>
      </w:r>
      <w:r>
        <w:rPr>
          <w:rFonts w:hint="eastAsia" w:cs="宋体"/>
          <w:bCs/>
          <w:color w:val="000000" w:themeColor="text1"/>
          <w:sz w:val="24"/>
          <w:szCs w:val="24"/>
          <w:lang w:eastAsia="zh-CN"/>
          <w14:textFill>
            <w14:solidFill>
              <w14:schemeClr w14:val="tx1"/>
            </w14:solidFill>
          </w14:textFill>
        </w:rPr>
        <w:t>，</w:t>
      </w:r>
      <w:r>
        <w:rPr>
          <w:rFonts w:hint="eastAsia" w:cs="宋体"/>
          <w:bCs/>
          <w:color w:val="000000" w:themeColor="text1"/>
          <w:sz w:val="24"/>
          <w:szCs w:val="24"/>
          <w14:textFill>
            <w14:solidFill>
              <w14:schemeClr w14:val="tx1"/>
            </w14:solidFill>
          </w14:textFill>
        </w:rPr>
        <w:t>强化监管：实现药品“供、用、管”全程可追溯，为抗生素、重点药品监控提供抓手。</w:t>
      </w:r>
      <w:r>
        <w:rPr>
          <w:rFonts w:hint="eastAsia" w:ascii="仿宋" w:hAnsi="仿宋" w:eastAsia="仿宋" w:cs="仿宋"/>
          <w:bCs/>
          <w:color w:val="000000" w:themeColor="text1"/>
          <w:sz w:val="24"/>
          <w:szCs w:val="24"/>
          <w14:textFill>
            <w14:solidFill>
              <w14:schemeClr w14:val="tx1"/>
            </w14:solidFill>
          </w14:textFill>
        </w:rPr>
        <w:t>④</w:t>
      </w:r>
      <w:r>
        <w:rPr>
          <w:rFonts w:hint="eastAsia" w:cs="宋体"/>
          <w:bCs/>
          <w:color w:val="000000" w:themeColor="text1"/>
          <w:sz w:val="24"/>
          <w:szCs w:val="24"/>
          <w14:textFill>
            <w14:solidFill>
              <w14:schemeClr w14:val="tx1"/>
            </w14:solidFill>
          </w14:textFill>
        </w:rPr>
        <w:t>经济层：优化资源配置与降本增效</w:t>
      </w:r>
      <w:r>
        <w:rPr>
          <w:rFonts w:hint="eastAsia" w:cs="宋体"/>
          <w:bCs/>
          <w:color w:val="000000" w:themeColor="text1"/>
          <w:sz w:val="24"/>
          <w:szCs w:val="24"/>
          <w:lang w:eastAsia="zh-CN"/>
          <w14:textFill>
            <w14:solidFill>
              <w14:schemeClr w14:val="tx1"/>
            </w14:solidFill>
          </w14:textFill>
        </w:rPr>
        <w:t>：</w:t>
      </w:r>
      <w:r>
        <w:rPr>
          <w:rFonts w:hint="eastAsia" w:cs="宋体"/>
          <w:bCs/>
          <w:color w:val="000000" w:themeColor="text1"/>
          <w:sz w:val="24"/>
          <w:szCs w:val="24"/>
          <w14:textFill>
            <w14:solidFill>
              <w14:schemeClr w14:val="tx1"/>
            </w14:solidFill>
          </w14:textFill>
        </w:rPr>
        <w:t xml:space="preserve"> 降低费用规范处方行为，有效控制门诊次均药费和不合理用药支出。 减少浪费防止多开药、开贵药，既节约医保资金，也减轻患者负担。</w:t>
      </w:r>
    </w:p>
    <w:p w14:paraId="17FA1613">
      <w:pPr>
        <w:pStyle w:val="11"/>
        <w:spacing w:line="360" w:lineRule="auto"/>
        <w:ind w:firstLine="240" w:firstLineChars="100"/>
        <w:rPr>
          <w:rFonts w:hint="eastAsia"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2.本项目</w:t>
      </w:r>
      <w:r>
        <w:rPr>
          <w:rFonts w:hint="eastAsia" w:cs="宋体"/>
          <w:bCs/>
          <w:color w:val="000000" w:themeColor="text1"/>
          <w:sz w:val="24"/>
          <w:szCs w:val="24"/>
          <w:lang w:val="en-US" w:eastAsia="zh-CN"/>
          <w14:textFill>
            <w14:solidFill>
              <w14:schemeClr w14:val="tx1"/>
            </w14:solidFill>
          </w14:textFill>
        </w:rPr>
        <w:t>非</w:t>
      </w:r>
      <w:r>
        <w:rPr>
          <w:rFonts w:hint="eastAsia" w:cs="宋体"/>
          <w:bCs/>
          <w:color w:val="000000" w:themeColor="text1"/>
          <w:sz w:val="24"/>
          <w:szCs w:val="24"/>
          <w14:textFill>
            <w14:solidFill>
              <w14:schemeClr w14:val="tx1"/>
            </w14:solidFill>
          </w14:textFill>
        </w:rPr>
        <w:t>专门面向中小</w:t>
      </w:r>
      <w:r>
        <w:rPr>
          <w:rFonts w:hint="eastAsia" w:cs="宋体"/>
          <w:bCs/>
          <w:color w:val="000000" w:themeColor="text1"/>
          <w:sz w:val="24"/>
          <w:szCs w:val="24"/>
          <w:lang w:val="en-US" w:eastAsia="zh-CN"/>
          <w14:textFill>
            <w14:solidFill>
              <w14:schemeClr w14:val="tx1"/>
            </w14:solidFill>
          </w14:textFill>
        </w:rPr>
        <w:t>微</w:t>
      </w:r>
      <w:r>
        <w:rPr>
          <w:rFonts w:hint="eastAsia" w:cs="宋体"/>
          <w:bCs/>
          <w:color w:val="000000" w:themeColor="text1"/>
          <w:sz w:val="24"/>
          <w:szCs w:val="24"/>
          <w14:textFill>
            <w14:solidFill>
              <w14:schemeClr w14:val="tx1"/>
            </w14:solidFill>
          </w14:textFill>
        </w:rPr>
        <w:t>企业采购。</w:t>
      </w:r>
    </w:p>
    <w:p w14:paraId="01F47DA9">
      <w:pPr>
        <w:pStyle w:val="5"/>
        <w:bidi w:val="0"/>
        <w:spacing w:line="240" w:lineRule="auto"/>
        <w:rPr>
          <w:rFonts w:hint="eastAsia"/>
          <w:color w:val="000000" w:themeColor="text1"/>
          <w:sz w:val="28"/>
          <w:szCs w:val="28"/>
          <w14:textFill>
            <w14:solidFill>
              <w14:schemeClr w14:val="tx1"/>
            </w14:solidFill>
          </w14:textFill>
        </w:rPr>
      </w:pPr>
      <w:bookmarkStart w:id="272" w:name="_Toc5430"/>
      <w:r>
        <w:rPr>
          <w:rFonts w:hint="eastAsia"/>
          <w:color w:val="000000" w:themeColor="text1"/>
          <w:sz w:val="28"/>
          <w:szCs w:val="28"/>
          <w14:textFill>
            <w14:solidFill>
              <w14:schemeClr w14:val="tx1"/>
            </w14:solidFill>
          </w14:textFill>
        </w:rPr>
        <w:t>（二）采购标的需执行的国家相关标准、行业标准、地方标准或者其他标准、规范:</w:t>
      </w:r>
      <w:bookmarkEnd w:id="272"/>
    </w:p>
    <w:p w14:paraId="7F2F4070">
      <w:pPr>
        <w:ind w:firstLine="480" w:firstLineChars="200"/>
        <w:rPr>
          <w:rFonts w:hint="eastAsia"/>
        </w:rPr>
      </w:pPr>
      <w:r>
        <w:rPr>
          <w:rFonts w:hint="eastAsia" w:ascii="宋体" w:hAnsi="宋体" w:cs="宋体"/>
          <w:bCs/>
          <w:color w:val="000000" w:themeColor="text1"/>
          <w:kern w:val="0"/>
          <w:szCs w:val="21"/>
          <w14:textFill>
            <w14:solidFill>
              <w14:schemeClr w14:val="tx1"/>
            </w14:solidFill>
          </w14:textFill>
        </w:rPr>
        <w:t>软件质量符合国家及行业标准，硬件、软件安全性等符合国家法律、法规等相关要求</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满足采购人要求，</w:t>
      </w:r>
      <w:r>
        <w:rPr>
          <w:rFonts w:hint="eastAsia" w:ascii="宋体" w:hAnsi="宋体" w:cs="宋体"/>
          <w:bCs/>
          <w:color w:val="000000" w:themeColor="text1"/>
          <w:kern w:val="0"/>
          <w:szCs w:val="21"/>
          <w:lang w:val="en-US" w:eastAsia="zh-CN"/>
          <w14:textFill>
            <w14:solidFill>
              <w14:schemeClr w14:val="tx1"/>
            </w14:solidFill>
          </w14:textFill>
        </w:rPr>
        <w:t>确保</w:t>
      </w:r>
      <w:r>
        <w:rPr>
          <w:rFonts w:hint="eastAsia" w:ascii="宋体" w:hAnsi="宋体" w:cs="宋体"/>
          <w:bCs/>
          <w:color w:val="000000" w:themeColor="text1"/>
          <w:kern w:val="0"/>
          <w:szCs w:val="21"/>
          <w14:textFill>
            <w14:solidFill>
              <w14:schemeClr w14:val="tx1"/>
            </w14:solidFill>
          </w14:textFill>
        </w:rPr>
        <w:t>一次性验收合格。</w:t>
      </w:r>
    </w:p>
    <w:p w14:paraId="728F8BFF">
      <w:pPr>
        <w:pStyle w:val="5"/>
        <w:numPr>
          <w:ilvl w:val="0"/>
          <w:numId w:val="7"/>
        </w:numPr>
        <w:bidi w:val="0"/>
        <w:rPr>
          <w:rFonts w:hint="eastAsia" w:ascii="宋体" w:eastAsia="宋体" w:cs="宋体"/>
          <w:b/>
          <w:bCs/>
        </w:rPr>
      </w:pPr>
      <w:bookmarkStart w:id="273" w:name="_Toc25914"/>
      <w:r>
        <w:rPr>
          <w:rFonts w:hint="eastAsia" w:ascii="宋体" w:hAnsi="宋体" w:eastAsia="宋体"/>
          <w:color w:val="000000" w:themeColor="text1"/>
          <w:sz w:val="28"/>
          <w:szCs w:val="28"/>
          <w14:textFill>
            <w14:solidFill>
              <w14:schemeClr w14:val="tx1"/>
            </w14:solidFill>
          </w14:textFill>
        </w:rPr>
        <w:t>采购标的需满</w:t>
      </w:r>
      <w:r>
        <w:rPr>
          <w:rFonts w:hint="eastAsia"/>
          <w:color w:val="000000" w:themeColor="text1"/>
          <w:sz w:val="28"/>
          <w:szCs w:val="28"/>
          <w14:textFill>
            <w14:solidFill>
              <w14:schemeClr w14:val="tx1"/>
            </w14:solidFill>
          </w14:textFill>
        </w:rPr>
        <w:t>足的质量、安全、技术规格、物理特性等要求</w:t>
      </w:r>
      <w:r>
        <w:rPr>
          <w:rFonts w:hint="eastAsia"/>
          <w:color w:val="000000" w:themeColor="text1"/>
          <w:sz w:val="28"/>
          <w:szCs w:val="28"/>
          <w:lang w:eastAsia="zh-CN"/>
          <w14:textFill>
            <w14:solidFill>
              <w14:schemeClr w14:val="tx1"/>
            </w14:solidFill>
          </w14:textFill>
        </w:rPr>
        <w:t>：</w:t>
      </w:r>
      <w:bookmarkEnd w:id="273"/>
    </w:p>
    <w:p w14:paraId="1DE7A1CA">
      <w:pPr>
        <w:numPr>
          <w:ilvl w:val="0"/>
          <w:numId w:val="0"/>
        </w:numPr>
        <w:spacing w:line="360" w:lineRule="auto"/>
        <w:ind w:firstLine="241" w:firstLineChars="100"/>
        <w:jc w:val="left"/>
        <w:outlineLvl w:val="9"/>
        <w:rPr>
          <w:rFonts w:hint="eastAsia" w:ascii="宋体" w:hAnsi="宋体" w:cs="宋体"/>
          <w:b/>
          <w:bCs/>
          <w:sz w:val="24"/>
        </w:rPr>
      </w:pPr>
      <w:r>
        <w:rPr>
          <w:rFonts w:hint="eastAsia" w:ascii="宋体" w:hAnsi="宋体" w:cs="宋体"/>
          <w:b/>
          <w:bCs/>
          <w:sz w:val="24"/>
          <w:lang w:val="en-US" w:eastAsia="zh-CN"/>
        </w:rPr>
        <w:t>一、</w:t>
      </w:r>
      <w:r>
        <w:rPr>
          <w:rFonts w:hint="eastAsia" w:ascii="宋体" w:hAnsi="宋体" w:cs="宋体"/>
          <w:b/>
          <w:bCs/>
          <w:sz w:val="24"/>
        </w:rPr>
        <w:t>区域审方中心</w:t>
      </w:r>
    </w:p>
    <w:p w14:paraId="2C34C2AD">
      <w:pPr>
        <w:spacing w:line="360" w:lineRule="auto"/>
        <w:jc w:val="left"/>
        <w:outlineLvl w:val="9"/>
        <w:rPr>
          <w:rFonts w:hint="eastAsia" w:ascii="宋体" w:hAnsi="宋体" w:cs="宋体"/>
          <w:b/>
          <w:bCs/>
          <w:sz w:val="24"/>
        </w:rPr>
      </w:pPr>
      <w:r>
        <w:rPr>
          <w:rFonts w:hint="eastAsia" w:ascii="宋体" w:hAnsi="宋体" w:cs="宋体"/>
          <w:b/>
          <w:bCs/>
          <w:sz w:val="24"/>
        </w:rPr>
        <w:t>1.1.智能处方审核</w:t>
      </w:r>
    </w:p>
    <w:p w14:paraId="2CE8035C">
      <w:pPr>
        <w:spacing w:line="360" w:lineRule="auto"/>
        <w:ind w:firstLine="480" w:firstLineChars="200"/>
        <w:jc w:val="left"/>
        <w:outlineLvl w:val="9"/>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系统支持</w:t>
      </w:r>
      <w:r>
        <w:rPr>
          <w:rFonts w:hint="eastAsia" w:cs="宋体"/>
          <w:color w:val="000000" w:themeColor="text1"/>
          <w:sz w:val="24"/>
          <w:lang w:val="en-US" w:eastAsia="zh-CN"/>
          <w14:textFill>
            <w14:solidFill>
              <w14:schemeClr w14:val="tx1"/>
            </w14:solidFill>
          </w14:textFill>
        </w:rPr>
        <w:t>多</w:t>
      </w:r>
      <w:r>
        <w:rPr>
          <w:rFonts w:hint="eastAsia" w:ascii="宋体" w:hAnsi="宋体" w:cs="宋体"/>
          <w:color w:val="000000" w:themeColor="text1"/>
          <w:sz w:val="24"/>
          <w14:textFill>
            <w14:solidFill>
              <w14:schemeClr w14:val="tx1"/>
            </w14:solidFill>
          </w14:textFill>
        </w:rPr>
        <w:t>个维度的处方智能审核（相互作用审核、多药物配伍禁忌审核、药物过敏审核、老人/成人/儿童用药审查、妊娠期妇女用药审查、哺乳期妇女用药安全审查、给药途径审核、剂量审核、禁忌症审核、适应症审核、重复用药审核、越权用药审核、中药饮片审核、超多日用量审核、多处方联合审核、出院带药审核、性别用药审核、粉针剂溶媒审核、检验值审核、浓度审核、药品限定用量审核、超适应症审核、肝功能异常审核、肾功能异常审核、高警示药品审核、体外配伍审核、用药天数审核、规范性审核、中药饮片规范审核</w:t>
      </w:r>
      <w:r>
        <w:rPr>
          <w:rFonts w:hint="eastAsia" w:cs="宋体"/>
          <w:color w:val="000000" w:themeColor="text1"/>
          <w:sz w:val="24"/>
          <w:lang w:eastAsia="zh-CN"/>
          <w14:textFill>
            <w14:solidFill>
              <w14:schemeClr w14:val="tx1"/>
            </w14:solidFill>
          </w14:textFill>
        </w:rPr>
        <w:t>、</w:t>
      </w:r>
      <w:r>
        <w:rPr>
          <w:rFonts w:hint="eastAsia" w:cs="宋体"/>
          <w:color w:val="000000" w:themeColor="text1"/>
          <w:sz w:val="24"/>
          <w:lang w:val="en-US" w:eastAsia="zh-CN"/>
          <w14:textFill>
            <w14:solidFill>
              <w14:schemeClr w14:val="tx1"/>
            </w14:solidFill>
          </w14:textFill>
        </w:rPr>
        <w:t>医保审核、集采审核、红黄标提示</w:t>
      </w:r>
      <w:r>
        <w:rPr>
          <w:rFonts w:hint="eastAsia" w:ascii="宋体" w:hAnsi="宋体" w:cs="宋体"/>
          <w:color w:val="000000" w:themeColor="text1"/>
          <w:sz w:val="24"/>
          <w14:textFill>
            <w14:solidFill>
              <w14:schemeClr w14:val="tx1"/>
            </w14:solidFill>
          </w14:textFill>
        </w:rPr>
        <w:t>），并通过不同干预级别“禁用，慎用，提醒”警示医生。</w:t>
      </w:r>
    </w:p>
    <w:p w14:paraId="4D01BD87">
      <w:pPr>
        <w:numPr>
          <w:ilvl w:val="2"/>
          <w:numId w:val="8"/>
        </w:numPr>
        <w:spacing w:line="360" w:lineRule="auto"/>
        <w:outlineLvl w:val="9"/>
        <w:rPr>
          <w:rFonts w:hint="eastAsia" w:ascii="宋体" w:hAnsi="宋体" w:cs="宋体"/>
          <w:color w:val="000000" w:themeColor="text1"/>
          <w:sz w:val="24"/>
          <w:szCs w:val="24"/>
          <w14:textFill>
            <w14:solidFill>
              <w14:schemeClr w14:val="tx1"/>
            </w14:solidFill>
          </w14:textFill>
        </w:rPr>
      </w:pPr>
      <w:bookmarkStart w:id="274" w:name="_Toc132466424"/>
      <w:r>
        <w:rPr>
          <w:rFonts w:hint="eastAsia" w:ascii="宋体" w:hAnsi="宋体" w:cs="宋体"/>
          <w:color w:val="000000" w:themeColor="text1"/>
          <w:sz w:val="24"/>
          <w:szCs w:val="24"/>
          <w14:textFill>
            <w14:solidFill>
              <w14:schemeClr w14:val="tx1"/>
            </w14:solidFill>
          </w14:textFill>
        </w:rPr>
        <w:t>相互作用审核</w:t>
      </w:r>
      <w:bookmarkEnd w:id="274"/>
    </w:p>
    <w:p w14:paraId="2058FD1C">
      <w:pPr>
        <w:spacing w:line="360" w:lineRule="auto"/>
        <w:ind w:firstLine="480" w:firstLineChars="200"/>
        <w:outlineLvl w:val="9"/>
        <w:rPr>
          <w:rFonts w:hint="eastAsia" w:ascii="宋体" w:hAnsi="宋体" w:cs="宋体"/>
          <w:b w:val="0"/>
          <w:bCs w:val="0"/>
          <w:color w:val="000000" w:themeColor="text1"/>
          <w:sz w:val="24"/>
          <w:szCs w:val="24"/>
          <w14:textFill>
            <w14:solidFill>
              <w14:schemeClr w14:val="tx1"/>
            </w14:solidFill>
          </w14:textFill>
        </w:rPr>
      </w:pPr>
      <w:r>
        <w:rPr>
          <w:rFonts w:hint="eastAsia" w:ascii="宋体" w:hAnsi="宋体" w:cs="宋体"/>
          <w:b w:val="0"/>
          <w:bCs w:val="0"/>
          <w:color w:val="000000" w:themeColor="text1"/>
          <w:sz w:val="24"/>
          <w:szCs w:val="24"/>
          <w14:textFill>
            <w14:solidFill>
              <w14:schemeClr w14:val="tx1"/>
            </w14:solidFill>
          </w14:textFill>
        </w:rPr>
        <w:t>药物相互作用审查：系统支持审核两两药品合用时可能产生的不良相互作用。当系统发现处方中存在具有不良相互作用的药品，则系统立即弹窗警示提醒医生可能 需要调整患者的处方药品或更改患者的药品治疗方案。</w:t>
      </w:r>
    </w:p>
    <w:p w14:paraId="6A6F0FC1">
      <w:pPr>
        <w:pStyle w:val="2"/>
        <w:spacing w:line="360" w:lineRule="auto"/>
        <w:ind w:firstLine="480" w:firstLineChars="200"/>
        <w:outlineLvl w:val="9"/>
        <w:rPr>
          <w:rFonts w:hint="eastAsia" w:ascii="宋体" w:hAnsi="宋体" w:eastAsia="宋体" w:cs="宋体"/>
          <w:color w:val="000000" w:themeColor="text1"/>
          <w:kern w:val="2"/>
          <w:sz w:val="24"/>
          <w:szCs w:val="24"/>
          <w:lang w:eastAsia="zh-CN"/>
          <w14:textFill>
            <w14:solidFill>
              <w14:schemeClr w14:val="tx1"/>
            </w14:solidFill>
          </w14:textFill>
        </w:rPr>
      </w:pPr>
      <w:r>
        <w:rPr>
          <w:rFonts w:hint="eastAsia" w:ascii="宋体" w:hAnsi="宋体" w:eastAsia="宋体" w:cs="宋体"/>
          <w:color w:val="000000" w:themeColor="text1"/>
          <w:kern w:val="2"/>
          <w:sz w:val="24"/>
          <w:szCs w:val="24"/>
          <w:lang w:eastAsia="zh-CN"/>
          <w14:textFill>
            <w14:solidFill>
              <w14:schemeClr w14:val="tx1"/>
            </w14:solidFill>
          </w14:textFill>
        </w:rPr>
        <w:t>系统能自动审查当前处方/医嘱潜在的由于产生药物相互作用而引起的不合理用药问题。如药物联用存在相互作用问题系统会依据药品说明书给出自动提示，提示内容包括结果、严重程度、参考来源等信息。“系统”数据库中包含“药物-药物相互作用”。</w:t>
      </w:r>
    </w:p>
    <w:p w14:paraId="0588C30F">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75" w:name="_Toc132466425"/>
      <w:r>
        <w:rPr>
          <w:rFonts w:hint="eastAsia" w:ascii="宋体" w:hAnsi="宋体" w:cs="宋体"/>
          <w:color w:val="000000" w:themeColor="text1"/>
          <w:sz w:val="24"/>
          <w:szCs w:val="24"/>
          <w14:textFill>
            <w14:solidFill>
              <w14:schemeClr w14:val="tx1"/>
            </w14:solidFill>
          </w14:textFill>
        </w:rPr>
        <w:t>1.1.2.多药物配伍禁忌审核</w:t>
      </w:r>
      <w:bookmarkEnd w:id="275"/>
    </w:p>
    <w:p w14:paraId="1BDA6CDE">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系统支持审核药物的配伍禁忌时，必须满足多药物的联合使用，单独使用系统会通过弹框提醒医生并警示提醒医生。</w:t>
      </w:r>
    </w:p>
    <w:p w14:paraId="01CAD1F3">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76" w:name="_Toc132466426"/>
      <w:r>
        <w:rPr>
          <w:rFonts w:hint="eastAsia" w:ascii="宋体" w:hAnsi="宋体" w:cs="宋体"/>
          <w:color w:val="000000" w:themeColor="text1"/>
          <w:sz w:val="24"/>
          <w:szCs w:val="24"/>
          <w14:textFill>
            <w14:solidFill>
              <w14:schemeClr w14:val="tx1"/>
            </w14:solidFill>
          </w14:textFill>
        </w:rPr>
        <w:t>1.1.3.药物过敏审</w:t>
      </w:r>
      <w:bookmarkEnd w:id="276"/>
      <w:r>
        <w:rPr>
          <w:rFonts w:hint="eastAsia" w:ascii="宋体" w:hAnsi="宋体" w:cs="宋体"/>
          <w:color w:val="000000" w:themeColor="text1"/>
          <w:sz w:val="24"/>
          <w:szCs w:val="24"/>
          <w14:textFill>
            <w14:solidFill>
              <w14:schemeClr w14:val="tx1"/>
            </w14:solidFill>
          </w14:textFill>
        </w:rPr>
        <w:t>核</w:t>
      </w:r>
    </w:p>
    <w:p w14:paraId="7C6E2BDB">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药物过敏审查：系统能在获取当前病人药物过敏史的基础上对于处方/医嘱中潜在的药物过敏、交叉过敏进行审查。</w:t>
      </w:r>
    </w:p>
    <w:p w14:paraId="09C143E5">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系统根据患者处方诊断、医生备注、过敏药物等信息获取患者既往过敏原或过敏类信息，审核患者处方中是否存在与患者既往过敏原相关、可能导致类似过敏反应的药品。</w:t>
      </w:r>
    </w:p>
    <w:p w14:paraId="791B079E">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77" w:name="_Toc132466427"/>
      <w:r>
        <w:rPr>
          <w:rFonts w:hint="eastAsia" w:ascii="宋体" w:hAnsi="宋体" w:cs="宋体"/>
          <w:color w:val="000000" w:themeColor="text1"/>
          <w:sz w:val="24"/>
          <w:szCs w:val="24"/>
          <w14:textFill>
            <w14:solidFill>
              <w14:schemeClr w14:val="tx1"/>
            </w14:solidFill>
          </w14:textFill>
        </w:rPr>
        <w:t>1.1.4.老人/成人/儿童用药审</w:t>
      </w:r>
      <w:bookmarkEnd w:id="277"/>
      <w:r>
        <w:rPr>
          <w:rFonts w:hint="eastAsia" w:ascii="宋体" w:hAnsi="宋体" w:cs="宋体"/>
          <w:color w:val="000000" w:themeColor="text1"/>
          <w:sz w:val="24"/>
          <w:szCs w:val="24"/>
          <w14:textFill>
            <w14:solidFill>
              <w14:schemeClr w14:val="tx1"/>
            </w14:solidFill>
          </w14:textFill>
        </w:rPr>
        <w:t>核</w:t>
      </w:r>
    </w:p>
    <w:p w14:paraId="495C48FC">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老人/成人/儿童用药审查：系统支持审核老年人患者处方中是否存在不适于老年人使用的药品。如老年人用药的剂量和疗程，以及注意事项和禁忌症等的审核。</w:t>
      </w:r>
    </w:p>
    <w:p w14:paraId="4ECF7C0D">
      <w:pPr>
        <w:spacing w:line="360" w:lineRule="auto"/>
        <w:ind w:firstLine="480" w:firstLineChars="200"/>
        <w:outlineLvl w:val="9"/>
        <w:rPr>
          <w:rFonts w:hint="eastAsia" w:ascii="宋体" w:hAnsi="宋体" w:cs="宋体"/>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系统能依据药品说明书对老年人/成人/儿童用药禁忌进行审查，系统提供“老年人年龄范围”“成人年龄范围”“儿童年龄范围”设置，使得审查结果更加贴近临床实际情况。</w:t>
      </w:r>
    </w:p>
    <w:p w14:paraId="5D1054AE">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78" w:name="_Toc132466428"/>
      <w:r>
        <w:rPr>
          <w:rFonts w:hint="eastAsia" w:ascii="宋体" w:hAnsi="宋体" w:cs="宋体"/>
          <w:color w:val="000000" w:themeColor="text1"/>
          <w:sz w:val="24"/>
          <w:szCs w:val="24"/>
          <w14:textFill>
            <w14:solidFill>
              <w14:schemeClr w14:val="tx1"/>
            </w14:solidFill>
          </w14:textFill>
        </w:rPr>
        <w:t>1.1.5.妊娠期妇女用药审</w:t>
      </w:r>
      <w:bookmarkEnd w:id="278"/>
      <w:r>
        <w:rPr>
          <w:rFonts w:hint="eastAsia" w:ascii="宋体" w:hAnsi="宋体" w:cs="宋体"/>
          <w:color w:val="000000" w:themeColor="text1"/>
          <w:sz w:val="24"/>
          <w:szCs w:val="24"/>
          <w14:textFill>
            <w14:solidFill>
              <w14:schemeClr w14:val="tx1"/>
            </w14:solidFill>
          </w14:textFill>
        </w:rPr>
        <w:t>核</w:t>
      </w:r>
    </w:p>
    <w:p w14:paraId="3A643722">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系统支持审核妊娠患者处方中是否存在不适于妊娠期使用的药品，同时可根据孕周数精细化审核，同时可以对同用药品之间相互作用进行审核和拦截。</w:t>
      </w:r>
    </w:p>
    <w:p w14:paraId="154DF77A">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系统能对妊娠期妇女用药禁忌进行审查，主要依据药品说明书及FDA妊娠分级给出审查结果。</w:t>
      </w:r>
    </w:p>
    <w:p w14:paraId="02905B71">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79" w:name="_Toc132466429"/>
      <w:r>
        <w:rPr>
          <w:rFonts w:hint="eastAsia" w:ascii="宋体" w:hAnsi="宋体" w:cs="宋体"/>
          <w:color w:val="000000" w:themeColor="text1"/>
          <w:sz w:val="24"/>
          <w:szCs w:val="24"/>
          <w14:textFill>
            <w14:solidFill>
              <w14:schemeClr w14:val="tx1"/>
            </w14:solidFill>
          </w14:textFill>
        </w:rPr>
        <w:t>1.1.6.哺乳期妇女用药安全审</w:t>
      </w:r>
      <w:bookmarkEnd w:id="279"/>
      <w:r>
        <w:rPr>
          <w:rFonts w:hint="eastAsia" w:ascii="宋体" w:hAnsi="宋体" w:cs="宋体"/>
          <w:color w:val="000000" w:themeColor="text1"/>
          <w:sz w:val="24"/>
          <w:szCs w:val="24"/>
          <w14:textFill>
            <w14:solidFill>
              <w14:schemeClr w14:val="tx1"/>
            </w14:solidFill>
          </w14:textFill>
        </w:rPr>
        <w:t>核</w:t>
      </w:r>
    </w:p>
    <w:p w14:paraId="2FD49E57">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系统支持审核哺乳患者处方中是否存在不适于哺乳期使用的药品。</w:t>
      </w:r>
    </w:p>
    <w:p w14:paraId="23C69E86">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系统能对哺乳期妇女用药禁忌进行审查，主要依据药品说明书给出审查结果。</w:t>
      </w:r>
    </w:p>
    <w:p w14:paraId="5FEDFC13">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0" w:name="_Toc132466430"/>
      <w:r>
        <w:rPr>
          <w:rFonts w:hint="eastAsia" w:ascii="宋体" w:hAnsi="宋体" w:cs="宋体"/>
          <w:color w:val="000000" w:themeColor="text1"/>
          <w:sz w:val="24"/>
          <w:szCs w:val="24"/>
          <w14:textFill>
            <w14:solidFill>
              <w14:schemeClr w14:val="tx1"/>
            </w14:solidFill>
          </w14:textFill>
        </w:rPr>
        <w:t>1.1.7.给药途径审核</w:t>
      </w:r>
      <w:bookmarkEnd w:id="280"/>
    </w:p>
    <w:p w14:paraId="53C7E761">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系统支持审核医生开具的处方中是否存在药品剂型与给药途径不相 符，如片剂丸剂不可注射、胰岛素注射液不能用于口服、氯化钾注射液不能 用于静推。如发现存在给药途径不规范的情况，系统予以警示提醒。</w:t>
      </w:r>
    </w:p>
    <w:p w14:paraId="1894B401">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系统能对当前处方/医嘱中潜在的药品与给药途径不相符导致的不合理用药问题进行审查。</w:t>
      </w:r>
    </w:p>
    <w:p w14:paraId="6A36796F">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1" w:name="_Toc132466431"/>
      <w:r>
        <w:rPr>
          <w:rFonts w:hint="eastAsia" w:ascii="宋体" w:hAnsi="宋体" w:cs="宋体"/>
          <w:color w:val="000000" w:themeColor="text1"/>
          <w:sz w:val="24"/>
          <w:szCs w:val="24"/>
          <w14:textFill>
            <w14:solidFill>
              <w14:schemeClr w14:val="tx1"/>
            </w14:solidFill>
          </w14:textFill>
        </w:rPr>
        <w:t>1.1.8.剂量审核</w:t>
      </w:r>
      <w:bookmarkEnd w:id="281"/>
    </w:p>
    <w:p w14:paraId="00FA0676">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系统支持根据患者年龄、性别、体重、体表面积、孕产、特殊人群、 诊断、各项检验指标，结合药品的给药途径等多重信息对药品剂量、药品 给药频率、给药时机进行审核。</w:t>
      </w:r>
    </w:p>
    <w:p w14:paraId="652D10CC">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能对当前处方/医嘱中存在药物剂量不合理问题进行自动审查，审查内容包括超过药物最大量（每次最大量、每日最大量）、最小量、常规量、极量（每次极量、每日极量）、用药频次（最大频次、最小频次、常规频次）、持续用药时间等审查点。系统药品剂量审查数据库要求所有审查数据必须精确到规格剂型及生产厂家。且基础数据包含在院药品。系统药品剂量审查规则要求必须按照厂家说明书对不同的给药途径、病人年龄、剂量换算方法（含按体表面积、按体重等）给出不同的审查结果。</w:t>
      </w:r>
    </w:p>
    <w:p w14:paraId="3B139793">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（1）同药品不同医嘱累积审查：系统可对同天相同药品的不同医嘱进行频次和当日累积量审查。</w:t>
      </w:r>
    </w:p>
    <w:p w14:paraId="2892E348">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（2）肝、肾损害剂量专项审查：系统可利用检验指标或诊断、病人状态等情况对特殊药品进行肝、肾损害剂量进行专项审查。</w:t>
      </w:r>
    </w:p>
    <w:p w14:paraId="35ED5686">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2" w:name="_Toc132466432"/>
      <w:r>
        <w:rPr>
          <w:rFonts w:hint="eastAsia" w:ascii="宋体" w:hAnsi="宋体" w:cs="宋体"/>
          <w:color w:val="000000" w:themeColor="text1"/>
          <w:sz w:val="24"/>
          <w:szCs w:val="24"/>
          <w14:textFill>
            <w14:solidFill>
              <w14:schemeClr w14:val="tx1"/>
            </w14:solidFill>
          </w14:textFill>
        </w:rPr>
        <w:t>1.1.9.禁忌症审核</w:t>
      </w:r>
      <w:bookmarkEnd w:id="282"/>
    </w:p>
    <w:p w14:paraId="1A18A429">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系统支持审核患者的疾病情况与药品禁忌症是否存在冲突，当发现处 方中的药品禁忌症与患者疾病情况相关时，则系统立即弹窗警示提醒医生 可能需要调整患者的处方药品或更改患者的药品治疗方案。</w:t>
      </w:r>
    </w:p>
    <w:p w14:paraId="393726B7">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患者所患疾病与当前用药存在药物禁忌，系统能综合病人诊断及用药信息依据药品说明书对此类潜在不合理用药问题进行自动审查。</w:t>
      </w:r>
    </w:p>
    <w:p w14:paraId="1081856D">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3" w:name="_Toc132466433"/>
      <w:r>
        <w:rPr>
          <w:rFonts w:hint="eastAsia" w:ascii="宋体" w:hAnsi="宋体" w:cs="宋体"/>
          <w:color w:val="000000" w:themeColor="text1"/>
          <w:sz w:val="24"/>
          <w:szCs w:val="24"/>
          <w14:textFill>
            <w14:solidFill>
              <w14:schemeClr w14:val="tx1"/>
            </w14:solidFill>
          </w14:textFill>
        </w:rPr>
        <w:t>1.1.10.适应症审核</w:t>
      </w:r>
      <w:bookmarkEnd w:id="283"/>
    </w:p>
    <w:p w14:paraId="23A8F4AC">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可依据药品说明书自动审查当前处方/医嘱中潜在的超说明书用药问题，系统能综合病人诊断及用药信息依据药品说明书对此类潜在不合理用药问题进行自动审查。在药品-疾病适应症审查的基础上还可以进行药品-药品的适应症审查，满足对于辅助用药的审查要求。</w:t>
      </w:r>
    </w:p>
    <w:p w14:paraId="0998546B">
      <w:pPr>
        <w:spacing w:line="360" w:lineRule="auto"/>
        <w:ind w:firstLine="480" w:firstLineChars="200"/>
        <w:outlineLvl w:val="9"/>
        <w:rPr>
          <w:rFonts w:hint="eastAsia" w:ascii="宋体" w:hAnsi="宋体" w:cs="宋体"/>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基于ICD-10标准诊断的适应症识别和审核，同时支持对医院的个性化诊断进行识别包括诊断简写、缩写等，系统能实时审核患者的疾病情况是否与处方中的药品存在不相符，若存在用药不适宜的情况，系统则弹窗警示提醒医生可能需要调整患者的处方药品或更改患者的药品治疗方案。</w:t>
      </w:r>
    </w:p>
    <w:p w14:paraId="6ABF09C8">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4" w:name="_Toc132466434"/>
      <w:r>
        <w:rPr>
          <w:rFonts w:hint="eastAsia" w:ascii="宋体" w:hAnsi="宋体" w:cs="宋体"/>
          <w:color w:val="000000" w:themeColor="text1"/>
          <w:sz w:val="24"/>
          <w:szCs w:val="24"/>
          <w14:textFill>
            <w14:solidFill>
              <w14:schemeClr w14:val="tx1"/>
            </w14:solidFill>
          </w14:textFill>
        </w:rPr>
        <w:t>1.1.11.重复用药审核</w:t>
      </w:r>
      <w:bookmarkEnd w:id="284"/>
    </w:p>
    <w:p w14:paraId="1449C618">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系统支持审核医生开具的处方中两个或多个药品是否存在相同的药物成分，可能导致重复用药问题。</w:t>
      </w:r>
    </w:p>
    <w:p w14:paraId="18EF61F6">
      <w:pPr>
        <w:spacing w:line="360" w:lineRule="auto"/>
        <w:ind w:firstLine="480" w:firstLineChars="200"/>
        <w:outlineLvl w:val="9"/>
        <w:rPr>
          <w:rFonts w:hint="eastAsia" w:ascii="宋体" w:hAnsi="宋体" w:cs="宋体"/>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审核某一时间段内不同医生为同一患者开具的处方药品是否同属某个药物治疗分类（即具有同一种治疗目的），可能导致重复用药问题。特别是对毒、麻、精、放、妊娠、高警示等特殊药品重复使用进行审核。</w:t>
      </w:r>
    </w:p>
    <w:p w14:paraId="4941F645">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5" w:name="_Toc132466435"/>
      <w:r>
        <w:rPr>
          <w:rFonts w:hint="eastAsia" w:ascii="宋体" w:hAnsi="宋体" w:cs="宋体"/>
          <w:color w:val="000000" w:themeColor="text1"/>
          <w:sz w:val="24"/>
          <w:szCs w:val="24"/>
          <w14:textFill>
            <w14:solidFill>
              <w14:schemeClr w14:val="tx1"/>
            </w14:solidFill>
          </w14:textFill>
        </w:rPr>
        <w:t>1.1.12.越权用药审核</w:t>
      </w:r>
      <w:bookmarkEnd w:id="285"/>
    </w:p>
    <w:p w14:paraId="72A061F9">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系统支持根据医院规定的医生处方权限类别和对应的药品清单，审核医生开 具的处方药品是否在其可以使用的权限范围内，对存在的越权用药行为进行警示 提醒，监管医生越级使用抗菌药物、麻醉药品、精一精二等特殊药品。每年根据医院人事系统或者医院最新花名册，根据医院授权文件进行调整医师处方权限。</w:t>
      </w:r>
    </w:p>
    <w:p w14:paraId="195AB3A0">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6" w:name="_Toc132466437"/>
      <w:r>
        <w:rPr>
          <w:rFonts w:hint="eastAsia" w:ascii="宋体" w:hAnsi="宋体" w:cs="宋体"/>
          <w:color w:val="000000" w:themeColor="text1"/>
          <w:sz w:val="24"/>
          <w:szCs w:val="24"/>
          <w14:textFill>
            <w14:solidFill>
              <w14:schemeClr w14:val="tx1"/>
            </w14:solidFill>
          </w14:textFill>
        </w:rPr>
        <w:t>1.1.13.中药处方审</w:t>
      </w:r>
      <w:bookmarkEnd w:id="286"/>
      <w:r>
        <w:rPr>
          <w:rFonts w:hint="eastAsia" w:ascii="宋体" w:hAnsi="宋体" w:cs="宋体"/>
          <w:color w:val="000000" w:themeColor="text1"/>
          <w:sz w:val="24"/>
          <w:szCs w:val="24"/>
          <w14:textFill>
            <w14:solidFill>
              <w14:schemeClr w14:val="tx1"/>
            </w14:solidFill>
          </w14:textFill>
        </w:rPr>
        <w:t>核</w:t>
      </w:r>
    </w:p>
    <w:p w14:paraId="4798E93F">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系统可对中药材根据十八反十九畏进行相互作用审查，并可对中药材剂量进行审查。</w:t>
      </w:r>
    </w:p>
    <w:p w14:paraId="01A35C29">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7" w:name="_Toc132466438"/>
      <w:r>
        <w:rPr>
          <w:rFonts w:hint="eastAsia" w:ascii="宋体" w:hAnsi="宋体" w:cs="宋体"/>
          <w:color w:val="000000" w:themeColor="text1"/>
          <w:sz w:val="24"/>
          <w:szCs w:val="24"/>
          <w14:textFill>
            <w14:solidFill>
              <w14:schemeClr w14:val="tx1"/>
            </w14:solidFill>
          </w14:textFill>
        </w:rPr>
        <w:t>1.1.14.超多日用量审核</w:t>
      </w:r>
      <w:bookmarkEnd w:id="287"/>
    </w:p>
    <w:p w14:paraId="31374DD6">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系统审核处方药品用量是否符合国家《处方管理办法》中处方用量等相关规 定，如门急诊处方药品、急诊处方药品、麻醉药品、精神类药品、慢性病患者处 方药品和云南省规定的长处方管理药品的用量超出规定范围，则系统发出警示 提醒医生可能需要调整患者的处方药品用量。</w:t>
      </w:r>
    </w:p>
    <w:p w14:paraId="3551B311">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8" w:name="_Toc132466439"/>
      <w:r>
        <w:rPr>
          <w:rFonts w:hint="eastAsia" w:ascii="宋体" w:hAnsi="宋体" w:cs="宋体"/>
          <w:color w:val="000000" w:themeColor="text1"/>
          <w:sz w:val="24"/>
          <w:szCs w:val="24"/>
          <w14:textFill>
            <w14:solidFill>
              <w14:schemeClr w14:val="tx1"/>
            </w14:solidFill>
          </w14:textFill>
        </w:rPr>
        <w:t>1.1.15.多处方联合审</w:t>
      </w:r>
      <w:bookmarkEnd w:id="288"/>
      <w:r>
        <w:rPr>
          <w:rFonts w:hint="eastAsia" w:ascii="宋体" w:hAnsi="宋体" w:cs="宋体"/>
          <w:color w:val="000000" w:themeColor="text1"/>
          <w:sz w:val="24"/>
          <w:szCs w:val="24"/>
          <w14:textFill>
            <w14:solidFill>
              <w14:schemeClr w14:val="tx1"/>
            </w14:solidFill>
          </w14:textFill>
        </w:rPr>
        <w:t>核</w:t>
      </w:r>
    </w:p>
    <w:p w14:paraId="03A62EA7">
      <w:pPr>
        <w:pStyle w:val="2"/>
        <w:spacing w:line="360" w:lineRule="auto"/>
        <w:ind w:firstLine="480" w:firstLineChars="200"/>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kern w:val="2"/>
          <w:sz w:val="24"/>
          <w:szCs w:val="24"/>
          <w:lang w:eastAsia="zh-CN"/>
          <w14:textFill>
            <w14:solidFill>
              <w14:schemeClr w14:val="tx1"/>
            </w14:solidFill>
          </w14:textFill>
        </w:rPr>
        <w:t>针对同一患者不同次就诊或同次就诊不同处方进行联合用药审查，审查项目包括：相互作用、重复用药、剂量审查。</w:t>
      </w:r>
    </w:p>
    <w:p w14:paraId="15B7C088">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89" w:name="_Toc132466440"/>
      <w:r>
        <w:rPr>
          <w:rFonts w:hint="eastAsia" w:ascii="宋体" w:hAnsi="宋体" w:cs="宋体"/>
          <w:color w:val="000000" w:themeColor="text1"/>
          <w:sz w:val="24"/>
          <w:szCs w:val="24"/>
          <w14:textFill>
            <w14:solidFill>
              <w14:schemeClr w14:val="tx1"/>
            </w14:solidFill>
          </w14:textFill>
        </w:rPr>
        <w:t>1.1.16.出院带药审</w:t>
      </w:r>
      <w:bookmarkEnd w:id="289"/>
      <w:r>
        <w:rPr>
          <w:rFonts w:hint="eastAsia" w:ascii="宋体" w:hAnsi="宋体" w:cs="宋体"/>
          <w:color w:val="000000" w:themeColor="text1"/>
          <w:sz w:val="24"/>
          <w:szCs w:val="24"/>
          <w14:textFill>
            <w14:solidFill>
              <w14:schemeClr w14:val="tx1"/>
            </w14:solidFill>
          </w14:textFill>
        </w:rPr>
        <w:t>核</w:t>
      </w:r>
    </w:p>
    <w:p w14:paraId="5B2D9806">
      <w:pPr>
        <w:pStyle w:val="2"/>
        <w:spacing w:line="360" w:lineRule="auto"/>
        <w:ind w:firstLine="480" w:firstLineChars="200"/>
        <w:outlineLvl w:val="9"/>
        <w:rPr>
          <w:rFonts w:hint="eastAsia" w:ascii="宋体" w:hAnsi="宋体" w:eastAsia="宋体" w:cs="宋体"/>
          <w:color w:val="000000" w:themeColor="text1"/>
          <w:kern w:val="2"/>
          <w:sz w:val="24"/>
          <w:szCs w:val="24"/>
          <w:lang w:eastAsia="zh-CN"/>
          <w14:textFill>
            <w14:solidFill>
              <w14:schemeClr w14:val="tx1"/>
            </w14:solidFill>
          </w14:textFill>
        </w:rPr>
      </w:pPr>
      <w:r>
        <w:rPr>
          <w:rFonts w:hint="eastAsia" w:ascii="宋体" w:hAnsi="宋体" w:eastAsia="宋体" w:cs="宋体"/>
          <w:color w:val="000000" w:themeColor="text1"/>
          <w:kern w:val="2"/>
          <w:sz w:val="24"/>
          <w:szCs w:val="24"/>
          <w:lang w:eastAsia="zh-CN"/>
          <w14:textFill>
            <w14:solidFill>
              <w14:schemeClr w14:val="tx1"/>
            </w14:solidFill>
          </w14:textFill>
        </w:rPr>
        <w:t>出院带药审查：系统能审查住院出院带药的天数或总量审查。</w:t>
      </w:r>
    </w:p>
    <w:p w14:paraId="2A0E433E">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90" w:name="_Toc132466441"/>
      <w:r>
        <w:rPr>
          <w:rFonts w:hint="eastAsia" w:ascii="宋体" w:hAnsi="宋体" w:cs="宋体"/>
          <w:color w:val="000000" w:themeColor="text1"/>
          <w:sz w:val="24"/>
          <w:szCs w:val="24"/>
          <w14:textFill>
            <w14:solidFill>
              <w14:schemeClr w14:val="tx1"/>
            </w14:solidFill>
          </w14:textFill>
        </w:rPr>
        <w:t>1.1.17.性别用药审核</w:t>
      </w:r>
      <w:bookmarkEnd w:id="290"/>
    </w:p>
    <w:p w14:paraId="05D6A859">
      <w:pPr>
        <w:pStyle w:val="2"/>
        <w:spacing w:line="360" w:lineRule="auto"/>
        <w:ind w:firstLine="480" w:firstLineChars="200"/>
        <w:outlineLvl w:val="9"/>
        <w:rPr>
          <w:rFonts w:hint="eastAsia" w:ascii="宋体" w:hAnsi="宋体" w:eastAsia="宋体" w:cs="宋体"/>
          <w:color w:val="000000" w:themeColor="text1"/>
          <w:kern w:val="2"/>
          <w:sz w:val="24"/>
          <w:szCs w:val="24"/>
          <w:lang w:eastAsia="zh-CN"/>
          <w14:textFill>
            <w14:solidFill>
              <w14:schemeClr w14:val="tx1"/>
            </w14:solidFill>
          </w14:textFill>
        </w:rPr>
      </w:pPr>
      <w:r>
        <w:rPr>
          <w:rFonts w:hint="eastAsia" w:ascii="宋体" w:hAnsi="宋体" w:eastAsia="宋体" w:cs="宋体"/>
          <w:color w:val="000000" w:themeColor="text1"/>
          <w:kern w:val="2"/>
          <w:sz w:val="24"/>
          <w:szCs w:val="24"/>
          <w:lang w:eastAsia="zh-CN"/>
          <w14:textFill>
            <w14:solidFill>
              <w14:schemeClr w14:val="tx1"/>
            </w14:solidFill>
          </w14:textFill>
        </w:rPr>
        <w:t>系统支持审核患者处方中是否存在不适于该患者性别的药品。</w:t>
      </w:r>
    </w:p>
    <w:p w14:paraId="6B0EA29D">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91" w:name="_Toc132466442"/>
      <w:r>
        <w:rPr>
          <w:rFonts w:hint="eastAsia" w:ascii="宋体" w:hAnsi="宋体" w:cs="宋体"/>
          <w:color w:val="000000" w:themeColor="text1"/>
          <w:sz w:val="24"/>
          <w:szCs w:val="24"/>
          <w14:textFill>
            <w14:solidFill>
              <w14:schemeClr w14:val="tx1"/>
            </w14:solidFill>
          </w14:textFill>
        </w:rPr>
        <w:t>1.1.18.粉针剂溶媒审</w:t>
      </w:r>
      <w:bookmarkEnd w:id="291"/>
      <w:r>
        <w:rPr>
          <w:rFonts w:hint="eastAsia" w:ascii="宋体" w:hAnsi="宋体" w:cs="宋体"/>
          <w:color w:val="000000" w:themeColor="text1"/>
          <w:sz w:val="24"/>
          <w:szCs w:val="24"/>
          <w14:textFill>
            <w14:solidFill>
              <w14:schemeClr w14:val="tx1"/>
            </w14:solidFill>
          </w14:textFill>
        </w:rPr>
        <w:t>核</w:t>
      </w:r>
    </w:p>
    <w:p w14:paraId="1F51D833">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系统支持对药品包装中未配液的粉针剂型药品进行是否开具溶媒审查。</w:t>
      </w:r>
    </w:p>
    <w:p w14:paraId="2D06B8E7">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92" w:name="_Toc132466443"/>
      <w:r>
        <w:rPr>
          <w:rFonts w:hint="eastAsia" w:ascii="宋体" w:hAnsi="宋体" w:cs="宋体"/>
          <w:color w:val="000000" w:themeColor="text1"/>
          <w:sz w:val="24"/>
          <w:szCs w:val="24"/>
          <w14:textFill>
            <w14:solidFill>
              <w14:schemeClr w14:val="tx1"/>
            </w14:solidFill>
          </w14:textFill>
        </w:rPr>
        <w:t>1.1.19.检验值审</w:t>
      </w:r>
      <w:bookmarkEnd w:id="292"/>
      <w:r>
        <w:rPr>
          <w:rFonts w:hint="eastAsia" w:ascii="宋体" w:hAnsi="宋体" w:cs="宋体"/>
          <w:color w:val="000000" w:themeColor="text1"/>
          <w:sz w:val="24"/>
          <w:szCs w:val="24"/>
          <w14:textFill>
            <w14:solidFill>
              <w14:schemeClr w14:val="tx1"/>
            </w14:solidFill>
          </w14:textFill>
        </w:rPr>
        <w:t>核</w:t>
      </w:r>
    </w:p>
    <w:p w14:paraId="27FD2807">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检验值审查：系统支持通过病人就诊的检验报告结果进行自动抓取并与用药情况进行关联审查其用药是否合理。</w:t>
      </w:r>
    </w:p>
    <w:p w14:paraId="31ECEEEB">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93" w:name="_Toc132466444"/>
      <w:r>
        <w:rPr>
          <w:rFonts w:hint="eastAsia" w:ascii="宋体" w:hAnsi="宋体" w:cs="宋体"/>
          <w:color w:val="000000" w:themeColor="text1"/>
          <w:sz w:val="24"/>
          <w:szCs w:val="24"/>
          <w14:textFill>
            <w14:solidFill>
              <w14:schemeClr w14:val="tx1"/>
            </w14:solidFill>
          </w14:textFill>
        </w:rPr>
        <w:t>1.1.20.浓度审</w:t>
      </w:r>
      <w:bookmarkEnd w:id="293"/>
      <w:r>
        <w:rPr>
          <w:rFonts w:hint="eastAsia" w:ascii="宋体" w:hAnsi="宋体" w:cs="宋体"/>
          <w:color w:val="000000" w:themeColor="text1"/>
          <w:sz w:val="24"/>
          <w:szCs w:val="24"/>
          <w14:textFill>
            <w14:solidFill>
              <w14:schemeClr w14:val="tx1"/>
            </w14:solidFill>
          </w14:textFill>
        </w:rPr>
        <w:t>核</w:t>
      </w:r>
    </w:p>
    <w:p w14:paraId="1C50A239">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浓度审查：系统能审查有特定配液浓度要求的药品成组医嘱浓度是否合理。</w:t>
      </w:r>
    </w:p>
    <w:p w14:paraId="6A2824B0">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94" w:name="_Toc132466446"/>
      <w:r>
        <w:rPr>
          <w:rFonts w:hint="eastAsia" w:ascii="宋体" w:hAnsi="宋体" w:cs="宋体"/>
          <w:color w:val="000000" w:themeColor="text1"/>
          <w:sz w:val="24"/>
          <w:szCs w:val="24"/>
          <w14:textFill>
            <w14:solidFill>
              <w14:schemeClr w14:val="tx1"/>
            </w14:solidFill>
          </w14:textFill>
        </w:rPr>
        <w:t>1.1.2</w:t>
      </w:r>
      <w:r>
        <w:rPr>
          <w:rFonts w:hint="eastAsia" w:cs="宋体"/>
          <w:color w:val="000000" w:themeColor="text1"/>
          <w:sz w:val="24"/>
          <w:szCs w:val="24"/>
          <w:lang w:val="en-US" w:eastAsia="zh-CN"/>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.药品限定用量审</w:t>
      </w:r>
      <w:bookmarkEnd w:id="294"/>
      <w:r>
        <w:rPr>
          <w:rFonts w:hint="eastAsia" w:ascii="宋体" w:hAnsi="宋体" w:cs="宋体"/>
          <w:color w:val="000000" w:themeColor="text1"/>
          <w:sz w:val="24"/>
          <w:szCs w:val="24"/>
          <w14:textFill>
            <w14:solidFill>
              <w14:schemeClr w14:val="tx1"/>
            </w14:solidFill>
          </w14:textFill>
        </w:rPr>
        <w:t>核</w:t>
      </w:r>
    </w:p>
    <w:p w14:paraId="17FB8A2F">
      <w:pPr>
        <w:spacing w:line="360" w:lineRule="auto"/>
        <w:ind w:firstLine="480" w:firstLineChars="200"/>
        <w:outlineLvl w:val="9"/>
        <w:rPr>
          <w:rFonts w:hint="eastAsia" w:ascii="宋体" w:hAnsi="宋体" w:cs="宋体"/>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药品限定用量审查：系统能依据特定药品的历史周期内的使用情况对已经超出规定用量的药品进行限定用药审查。</w:t>
      </w:r>
    </w:p>
    <w:p w14:paraId="61AD61CE">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95" w:name="_Toc132466449"/>
      <w:r>
        <w:rPr>
          <w:rFonts w:hint="eastAsia" w:ascii="宋体" w:hAnsi="宋体" w:cs="宋体"/>
          <w:color w:val="000000" w:themeColor="text1"/>
          <w:sz w:val="24"/>
          <w:szCs w:val="24"/>
          <w14:textFill>
            <w14:solidFill>
              <w14:schemeClr w14:val="tx1"/>
            </w14:solidFill>
          </w14:textFill>
        </w:rPr>
        <w:t>1.1.2</w:t>
      </w:r>
      <w:r>
        <w:rPr>
          <w:rFonts w:hint="eastAsia"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.超适应症审核</w:t>
      </w:r>
      <w:bookmarkEnd w:id="295"/>
    </w:p>
    <w:p w14:paraId="4E0672C0">
      <w:pPr>
        <w:spacing w:line="360" w:lineRule="auto"/>
        <w:ind w:firstLine="480" w:firstLineChars="200"/>
        <w:outlineLvl w:val="9"/>
        <w:rPr>
          <w:rFonts w:hint="eastAsia"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系统支持审核医生开具的处方中的药品是否存在超适应用药，当患者存在超适应症用药的情况，系统会将处方标注备案，同时系统立即弹窗警示提醒医生可能需要调整患者的处方药品或更改患者的药品治疗方案。</w:t>
      </w:r>
    </w:p>
    <w:p w14:paraId="1D4D8281">
      <w:pPr>
        <w:spacing w:line="360" w:lineRule="auto"/>
        <w:outlineLvl w:val="9"/>
        <w:rPr>
          <w:rFonts w:hint="eastAsia" w:ascii="宋体" w:hAnsi="宋体" w:cs="宋体"/>
          <w:color w:val="000000" w:themeColor="text1"/>
          <w:sz w:val="24"/>
          <w:szCs w:val="24"/>
          <w14:textFill>
            <w14:solidFill>
              <w14:schemeClr w14:val="tx1"/>
            </w14:solidFill>
          </w14:textFill>
        </w:rPr>
      </w:pPr>
      <w:bookmarkStart w:id="296" w:name="_Toc132466450"/>
      <w:r>
        <w:rPr>
          <w:rFonts w:hint="eastAsia" w:ascii="宋体" w:hAnsi="宋体" w:cs="宋体"/>
          <w:color w:val="000000" w:themeColor="text1"/>
          <w:sz w:val="24"/>
          <w:szCs w:val="24"/>
          <w14:textFill>
            <w14:solidFill>
              <w14:schemeClr w14:val="tx1"/>
            </w14:solidFill>
          </w14:textFill>
        </w:rPr>
        <w:t>1.1.2</w:t>
      </w:r>
      <w:r>
        <w:rPr>
          <w:rFonts w:hint="eastAsia" w:cs="宋体"/>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.肝功能异常审核</w:t>
      </w:r>
      <w:bookmarkEnd w:id="296"/>
    </w:p>
    <w:p w14:paraId="3163F841">
      <w:pPr>
        <w:spacing w:line="360" w:lineRule="auto"/>
        <w:ind w:firstLine="480" w:firstLineChars="200"/>
        <w:outlineLvl w:val="9"/>
        <w:rPr>
          <w:rFonts w:hint="eastAsia" w:ascii="宋体" w:hAnsi="宋体" w:cs="宋体"/>
          <w:sz w:val="24"/>
        </w:rPr>
      </w:pPr>
      <w:r>
        <w:rPr>
          <w:rFonts w:hint="eastAsia" w:ascii="宋体" w:hAnsi="宋体" w:cs="宋体"/>
          <w:snapToGrid w:val="0"/>
          <w:color w:val="000000" w:themeColor="text1"/>
          <w:sz w:val="24"/>
          <w14:textFill>
            <w14:solidFill>
              <w14:schemeClr w14:val="tx1"/>
            </w14:solidFill>
          </w14:textFill>
        </w:rPr>
        <w:t>患者存在肝功能异常时肌体对药物的吸收、代谢、排泄等均受到影响，其药 品用量与常规剂量存在一定差异，因此系统审核发现处方开具用量不在药</w:t>
      </w:r>
      <w:r>
        <w:rPr>
          <w:rFonts w:hint="eastAsia" w:ascii="宋体" w:hAnsi="宋体" w:cs="宋体"/>
          <w:snapToGrid w:val="0"/>
          <w:color w:val="000000"/>
          <w:sz w:val="24"/>
        </w:rPr>
        <w:t>品说明 书推荐的范围内时，则系统发出警示提醒医生可能需要调整病人的药品剂量。</w:t>
      </w:r>
    </w:p>
    <w:p w14:paraId="70591D70">
      <w:pPr>
        <w:spacing w:line="360" w:lineRule="auto"/>
        <w:outlineLvl w:val="9"/>
        <w:rPr>
          <w:rFonts w:hint="eastAsia" w:ascii="宋体" w:hAnsi="宋体" w:cs="宋体"/>
          <w:sz w:val="24"/>
          <w:szCs w:val="24"/>
        </w:rPr>
      </w:pPr>
      <w:bookmarkStart w:id="297" w:name="_Toc132466451"/>
      <w:r>
        <w:rPr>
          <w:rFonts w:hint="eastAsia" w:ascii="宋体" w:hAnsi="宋体" w:cs="宋体"/>
          <w:sz w:val="24"/>
          <w:szCs w:val="24"/>
        </w:rPr>
        <w:t>1.1.2</w:t>
      </w:r>
      <w:r>
        <w:rPr>
          <w:rFonts w:hint="eastAsia" w:cs="宋体"/>
          <w:sz w:val="24"/>
          <w:szCs w:val="24"/>
          <w:lang w:val="en-US" w:eastAsia="zh-CN"/>
        </w:rPr>
        <w:t>4</w:t>
      </w:r>
      <w:r>
        <w:rPr>
          <w:rFonts w:hint="eastAsia" w:ascii="宋体" w:hAnsi="宋体" w:cs="宋体"/>
          <w:sz w:val="24"/>
          <w:szCs w:val="24"/>
        </w:rPr>
        <w:t>.肾功能异常审核</w:t>
      </w:r>
      <w:bookmarkEnd w:id="297"/>
    </w:p>
    <w:p w14:paraId="46EF62F7">
      <w:pPr>
        <w:spacing w:line="360" w:lineRule="auto"/>
        <w:ind w:firstLine="480" w:firstLineChars="200"/>
        <w:outlineLvl w:val="9"/>
        <w:rPr>
          <w:rFonts w:hint="eastAsia" w:ascii="宋体" w:hAnsi="宋体" w:eastAsia="宋体" w:cs="宋体"/>
          <w:snapToGrid w:val="0"/>
          <w:color w:val="000000"/>
          <w:sz w:val="24"/>
          <w:lang w:eastAsia="zh-CN"/>
        </w:rPr>
      </w:pPr>
      <w:r>
        <w:rPr>
          <w:rFonts w:hint="eastAsia" w:ascii="宋体" w:hAnsi="宋体" w:cs="宋体"/>
          <w:snapToGrid w:val="0"/>
          <w:color w:val="000000"/>
          <w:sz w:val="24"/>
        </w:rPr>
        <w:t>患者存在肾功能异常时肾的排泄和调节功能将会降低或减弱，其药品用量与常规剂量存在一定差异，因此系统审核发现处方开具用量</w:t>
      </w:r>
      <w:r>
        <w:rPr>
          <w:rFonts w:hint="eastAsia" w:cs="宋体"/>
          <w:snapToGrid w:val="0"/>
          <w:color w:val="000000"/>
          <w:sz w:val="24"/>
          <w:lang w:eastAsia="zh-CN"/>
        </w:rPr>
        <w:t>。</w:t>
      </w:r>
    </w:p>
    <w:p w14:paraId="44426E03">
      <w:pPr>
        <w:spacing w:line="360" w:lineRule="auto"/>
        <w:ind w:firstLine="480" w:firstLineChars="200"/>
        <w:outlineLvl w:val="9"/>
        <w:rPr>
          <w:rFonts w:hint="eastAsia" w:ascii="宋体" w:hAnsi="宋体" w:cs="宋体"/>
          <w:snapToGrid w:val="0"/>
          <w:color w:val="000000"/>
          <w:sz w:val="24"/>
        </w:rPr>
      </w:pPr>
      <w:r>
        <w:rPr>
          <w:rFonts w:hint="eastAsia" w:ascii="宋体" w:hAnsi="宋体" w:cs="宋体"/>
          <w:snapToGrid w:val="0"/>
          <w:color w:val="000000"/>
          <w:sz w:val="24"/>
        </w:rPr>
        <w:t>不在药品说明书推荐的范围内时，则系统发出警示提醒医生可能需要调整病人的药品剂量。</w:t>
      </w:r>
    </w:p>
    <w:p w14:paraId="48288494">
      <w:pPr>
        <w:spacing w:line="360" w:lineRule="auto"/>
        <w:outlineLvl w:val="9"/>
        <w:rPr>
          <w:rFonts w:hint="eastAsia" w:ascii="宋体" w:hAnsi="宋体" w:cs="宋体"/>
          <w:sz w:val="24"/>
          <w:szCs w:val="24"/>
        </w:rPr>
      </w:pPr>
      <w:bookmarkStart w:id="298" w:name="_Toc132466452"/>
      <w:r>
        <w:rPr>
          <w:rFonts w:hint="eastAsia" w:ascii="宋体" w:hAnsi="宋体" w:cs="宋体"/>
          <w:sz w:val="24"/>
          <w:szCs w:val="24"/>
        </w:rPr>
        <w:t>1.1.2</w:t>
      </w:r>
      <w:r>
        <w:rPr>
          <w:rFonts w:hint="eastAsia" w:cs="宋体"/>
          <w:sz w:val="24"/>
          <w:szCs w:val="24"/>
          <w:lang w:val="en-US" w:eastAsia="zh-CN"/>
        </w:rPr>
        <w:t>5</w:t>
      </w:r>
      <w:r>
        <w:rPr>
          <w:rFonts w:hint="eastAsia" w:ascii="宋体" w:hAnsi="宋体" w:cs="宋体"/>
          <w:sz w:val="24"/>
          <w:szCs w:val="24"/>
        </w:rPr>
        <w:t>.高警示药品审核</w:t>
      </w:r>
      <w:bookmarkEnd w:id="298"/>
    </w:p>
    <w:p w14:paraId="2EF7CE23">
      <w:pPr>
        <w:spacing w:line="360" w:lineRule="auto"/>
        <w:ind w:firstLine="480" w:firstLineChars="200"/>
        <w:outlineLvl w:val="9"/>
        <w:rPr>
          <w:rFonts w:hint="eastAsia" w:ascii="宋体" w:hAnsi="宋体" w:cs="宋体"/>
          <w:snapToGrid w:val="0"/>
          <w:color w:val="000000"/>
          <w:sz w:val="24"/>
        </w:rPr>
      </w:pPr>
      <w:r>
        <w:rPr>
          <w:rFonts w:hint="eastAsia" w:ascii="宋体" w:hAnsi="宋体" w:cs="宋体"/>
          <w:snapToGrid w:val="0"/>
          <w:color w:val="000000"/>
          <w:sz w:val="24"/>
        </w:rPr>
        <w:t>系统支持对毒、麻、精、放等高警示药品处方的审核，并警示提醒医生是否超剂量，用法用量是否适宜，系统通过弹框提醒医生并警示提醒医生。</w:t>
      </w:r>
    </w:p>
    <w:p w14:paraId="0AB649C8">
      <w:pPr>
        <w:spacing w:line="360" w:lineRule="auto"/>
        <w:outlineLvl w:val="9"/>
        <w:rPr>
          <w:rFonts w:hint="eastAsia" w:ascii="宋体" w:hAnsi="宋体" w:cs="宋体"/>
          <w:sz w:val="24"/>
          <w:szCs w:val="24"/>
        </w:rPr>
      </w:pPr>
      <w:r>
        <w:rPr>
          <w:rFonts w:hint="eastAsia" w:ascii="宋体" w:hAnsi="宋体" w:cs="宋体"/>
          <w:sz w:val="24"/>
          <w:szCs w:val="24"/>
        </w:rPr>
        <w:t>1.1.2</w:t>
      </w:r>
      <w:r>
        <w:rPr>
          <w:rFonts w:hint="eastAsia" w:cs="宋体"/>
          <w:sz w:val="24"/>
          <w:szCs w:val="24"/>
          <w:lang w:val="en-US" w:eastAsia="zh-CN"/>
        </w:rPr>
        <w:t>6</w:t>
      </w:r>
      <w:r>
        <w:rPr>
          <w:rFonts w:hint="eastAsia" w:ascii="宋体" w:hAnsi="宋体" w:cs="宋体"/>
          <w:sz w:val="24"/>
          <w:szCs w:val="24"/>
        </w:rPr>
        <w:t>.体外配伍审核</w:t>
      </w:r>
    </w:p>
    <w:p w14:paraId="7AE75CC3">
      <w:pPr>
        <w:spacing w:line="360" w:lineRule="auto"/>
        <w:ind w:firstLine="480" w:firstLineChars="200"/>
        <w:outlineLvl w:val="9"/>
        <w:rPr>
          <w:rFonts w:hint="eastAsia" w:ascii="宋体" w:hAnsi="宋体" w:cs="宋体"/>
          <w:sz w:val="24"/>
        </w:rPr>
      </w:pPr>
      <w:r>
        <w:rPr>
          <w:rFonts w:hint="eastAsia" w:ascii="宋体" w:hAnsi="宋体" w:cs="宋体"/>
          <w:snapToGrid w:val="0"/>
          <w:color w:val="000000"/>
          <w:sz w:val="24"/>
        </w:rPr>
        <w:t>系统支持块依据注射剂配伍的文献资料，提示在同时进行输注的处方药品间可能存在的体外配伍问题。本模块包含了注射药品之间、注射药品与溶媒之间的审查。</w:t>
      </w:r>
    </w:p>
    <w:p w14:paraId="539CDE97">
      <w:pPr>
        <w:spacing w:line="360" w:lineRule="auto"/>
        <w:outlineLvl w:val="9"/>
        <w:rPr>
          <w:rFonts w:hint="eastAsia" w:ascii="宋体" w:hAnsi="宋体" w:cs="宋体"/>
          <w:sz w:val="24"/>
          <w:szCs w:val="24"/>
        </w:rPr>
      </w:pPr>
      <w:r>
        <w:rPr>
          <w:rFonts w:hint="eastAsia" w:ascii="宋体" w:hAnsi="宋体" w:cs="宋体"/>
          <w:sz w:val="24"/>
          <w:szCs w:val="24"/>
        </w:rPr>
        <w:t>1.1.2</w:t>
      </w:r>
      <w:r>
        <w:rPr>
          <w:rFonts w:hint="eastAsia" w:cs="宋体"/>
          <w:sz w:val="24"/>
          <w:szCs w:val="24"/>
          <w:lang w:val="en-US" w:eastAsia="zh-CN"/>
        </w:rPr>
        <w:t>7</w:t>
      </w:r>
      <w:r>
        <w:rPr>
          <w:rFonts w:hint="eastAsia" w:ascii="宋体" w:hAnsi="宋体" w:cs="宋体"/>
          <w:sz w:val="24"/>
          <w:szCs w:val="24"/>
        </w:rPr>
        <w:t>.用药天数审核</w:t>
      </w:r>
    </w:p>
    <w:p w14:paraId="6F78D5E5">
      <w:pPr>
        <w:spacing w:line="360" w:lineRule="auto"/>
        <w:ind w:firstLine="480" w:firstLineChars="200"/>
        <w:outlineLvl w:val="9"/>
        <w:rPr>
          <w:rFonts w:hint="eastAsia" w:ascii="宋体" w:hAnsi="宋体" w:cs="宋体"/>
          <w:snapToGrid w:val="0"/>
          <w:color w:val="000000"/>
          <w:sz w:val="24"/>
        </w:rPr>
      </w:pPr>
      <w:r>
        <w:rPr>
          <w:rFonts w:hint="eastAsia" w:ascii="宋体" w:hAnsi="宋体" w:cs="宋体"/>
          <w:snapToGrid w:val="0"/>
          <w:color w:val="000000"/>
          <w:sz w:val="24"/>
        </w:rPr>
        <w:t>系统支持对医生使用的用药天数进行审核，对于医生开处方时使用了超过药品限制疗程的用药天数，系统通过弹框提醒医生并警示提醒医生。</w:t>
      </w:r>
    </w:p>
    <w:p w14:paraId="6145B773">
      <w:pPr>
        <w:spacing w:line="360" w:lineRule="auto"/>
        <w:outlineLvl w:val="9"/>
        <w:rPr>
          <w:rFonts w:hint="eastAsia" w:ascii="宋体" w:hAnsi="宋体" w:cs="宋体"/>
          <w:sz w:val="24"/>
          <w:szCs w:val="24"/>
        </w:rPr>
      </w:pPr>
      <w:r>
        <w:rPr>
          <w:rFonts w:hint="eastAsia" w:ascii="宋体" w:hAnsi="宋体" w:cs="宋体"/>
          <w:sz w:val="24"/>
          <w:szCs w:val="24"/>
        </w:rPr>
        <w:t>1.1.2</w:t>
      </w:r>
      <w:r>
        <w:rPr>
          <w:rFonts w:hint="eastAsia" w:cs="宋体"/>
          <w:sz w:val="24"/>
          <w:szCs w:val="24"/>
          <w:lang w:val="en-US" w:eastAsia="zh-CN"/>
        </w:rPr>
        <w:t>8</w:t>
      </w:r>
      <w:r>
        <w:rPr>
          <w:rFonts w:hint="eastAsia" w:ascii="宋体" w:hAnsi="宋体" w:cs="宋体"/>
          <w:sz w:val="24"/>
          <w:szCs w:val="24"/>
        </w:rPr>
        <w:t>.规范性审核</w:t>
      </w:r>
    </w:p>
    <w:p w14:paraId="72C2BFDC">
      <w:pPr>
        <w:spacing w:line="360" w:lineRule="auto"/>
        <w:ind w:firstLine="480" w:firstLineChars="200"/>
        <w:outlineLvl w:val="9"/>
        <w:rPr>
          <w:rFonts w:hint="eastAsia" w:ascii="宋体" w:hAnsi="宋体" w:cs="宋体"/>
          <w:sz w:val="24"/>
        </w:rPr>
      </w:pPr>
      <w:r>
        <w:rPr>
          <w:rFonts w:hint="eastAsia" w:ascii="宋体" w:hAnsi="宋体" w:cs="宋体"/>
          <w:snapToGrid w:val="0"/>
          <w:color w:val="000000"/>
          <w:sz w:val="24"/>
        </w:rPr>
        <w:t>系统支持对同一张处方药品数量不超过5种，用药剂量不得大于开药数量等处方管理规范相关的问题进行审核，系统通过弹框提醒医生并警示提醒医生。</w:t>
      </w:r>
    </w:p>
    <w:p w14:paraId="566E3CD0">
      <w:pPr>
        <w:spacing w:line="360" w:lineRule="auto"/>
        <w:outlineLvl w:val="9"/>
        <w:rPr>
          <w:rFonts w:hint="eastAsia" w:ascii="宋体" w:hAnsi="宋体" w:cs="宋体"/>
          <w:sz w:val="24"/>
          <w:szCs w:val="24"/>
        </w:rPr>
      </w:pPr>
      <w:r>
        <w:rPr>
          <w:rFonts w:hint="eastAsia" w:ascii="宋体" w:hAnsi="宋体" w:cs="宋体"/>
          <w:sz w:val="24"/>
          <w:szCs w:val="24"/>
        </w:rPr>
        <w:t>1.1.</w:t>
      </w:r>
      <w:r>
        <w:rPr>
          <w:rFonts w:hint="eastAsia" w:cs="宋体"/>
          <w:sz w:val="24"/>
          <w:szCs w:val="24"/>
          <w:lang w:val="en-US" w:eastAsia="zh-CN"/>
        </w:rPr>
        <w:t>29</w:t>
      </w:r>
      <w:r>
        <w:rPr>
          <w:rFonts w:hint="eastAsia" w:ascii="宋体" w:hAnsi="宋体" w:cs="宋体"/>
          <w:sz w:val="24"/>
          <w:szCs w:val="24"/>
        </w:rPr>
        <w:t>.中药饮片规范审核</w:t>
      </w:r>
    </w:p>
    <w:p w14:paraId="6255CDA3">
      <w:pPr>
        <w:spacing w:line="360" w:lineRule="auto"/>
        <w:ind w:firstLine="480" w:firstLineChars="200"/>
        <w:outlineLvl w:val="9"/>
        <w:rPr>
          <w:rFonts w:hint="eastAsia" w:ascii="宋体" w:hAnsi="宋体" w:cs="宋体"/>
          <w:snapToGrid w:val="0"/>
          <w:color w:val="000000"/>
          <w:sz w:val="24"/>
        </w:rPr>
      </w:pPr>
      <w:r>
        <w:rPr>
          <w:rFonts w:hint="eastAsia" w:ascii="宋体" w:hAnsi="宋体" w:cs="宋体"/>
          <w:snapToGrid w:val="0"/>
          <w:color w:val="000000"/>
          <w:sz w:val="24"/>
        </w:rPr>
        <w:t>系统支持对中药饮片处方不超过18味，处方金额不超过500等中药饮片处方管理规范相关的问题进行审核，系统通过弹框提醒医生并警示提醒医生。</w:t>
      </w:r>
    </w:p>
    <w:p w14:paraId="6033951B">
      <w:pPr>
        <w:spacing w:line="360" w:lineRule="auto"/>
        <w:jc w:val="left"/>
        <w:outlineLvl w:val="9"/>
        <w:rPr>
          <w:rFonts w:hint="eastAsia" w:ascii="宋体" w:hAnsi="宋体" w:cs="宋体"/>
          <w:b/>
          <w:bCs/>
          <w:sz w:val="24"/>
        </w:rPr>
      </w:pPr>
      <w:r>
        <w:rPr>
          <w:rFonts w:hint="eastAsia" w:ascii="宋体" w:hAnsi="宋体" w:cs="宋体"/>
          <w:b/>
          <w:bCs/>
          <w:sz w:val="24"/>
        </w:rPr>
        <w:t>1.2.智能审方策略</w:t>
      </w:r>
    </w:p>
    <w:p w14:paraId="2BC95721">
      <w:pPr>
        <w:spacing w:line="360" w:lineRule="auto"/>
        <w:jc w:val="left"/>
        <w:outlineLvl w:val="9"/>
        <w:rPr>
          <w:rFonts w:hint="eastAsia" w:ascii="宋体" w:hAnsi="宋体" w:cs="宋体"/>
          <w:b/>
          <w:bCs/>
          <w:sz w:val="24"/>
        </w:rPr>
      </w:pPr>
      <w:r>
        <w:rPr>
          <w:rFonts w:hint="eastAsia" w:ascii="宋体" w:hAnsi="宋体" w:cs="宋体"/>
          <w:sz w:val="24"/>
        </w:rPr>
        <w:t>1.2.1.系统支持区域内的所有医院使用同一标准的智能审核规则。</w:t>
      </w:r>
    </w:p>
    <w:p w14:paraId="3EF42A37">
      <w:pPr>
        <w:spacing w:line="360" w:lineRule="auto"/>
        <w:jc w:val="left"/>
        <w:outlineLvl w:val="9"/>
        <w:rPr>
          <w:rFonts w:hint="eastAsia" w:ascii="宋体" w:hAnsi="宋体" w:cs="宋体"/>
          <w:b/>
          <w:bCs/>
          <w:color w:val="000000" w:themeColor="text1"/>
          <w:sz w:val="24"/>
          <w14:textFill>
            <w14:solidFill>
              <w14:schemeClr w14:val="tx1"/>
            </w14:solidFill>
          </w14:textFill>
        </w:rPr>
      </w:pPr>
      <w:r>
        <w:rPr>
          <w:rFonts w:hint="eastAsia" w:ascii="宋体" w:hAnsi="宋体" w:cs="宋体"/>
          <w:sz w:val="24"/>
        </w:rPr>
        <w:t>1.2.2.</w:t>
      </w:r>
      <w:r>
        <w:rPr>
          <w:rFonts w:hint="eastAsia" w:ascii="宋体" w:hAnsi="宋体" w:cs="宋体"/>
          <w:color w:val="000000" w:themeColor="text1"/>
          <w:sz w:val="24"/>
          <w14:textFill>
            <w14:solidFill>
              <w14:schemeClr w14:val="tx1"/>
            </w14:solidFill>
          </w14:textFill>
        </w:rPr>
        <w:t>系统同时支持针对不同医院、科室设置特殊审方规则，限制医生的药品使用权限。</w:t>
      </w:r>
    </w:p>
    <w:p w14:paraId="18674EDD">
      <w:pPr>
        <w:spacing w:line="360" w:lineRule="auto"/>
        <w:jc w:val="left"/>
        <w:outlineLvl w:val="9"/>
        <w:rPr>
          <w:rFonts w:hint="eastAsia" w:ascii="宋体" w:hAnsi="宋体" w:cs="宋体"/>
          <w:sz w:val="24"/>
        </w:rPr>
      </w:pPr>
      <w:r>
        <w:rPr>
          <w:rFonts w:hint="eastAsia" w:ascii="宋体" w:hAnsi="宋体" w:cs="宋体"/>
          <w:sz w:val="24"/>
        </w:rPr>
        <w:t>1.2.3.系统支持灵活配置医院之间的成员关系，主机构能够代其子机构进行处方审核，实现高效的集中审核。</w:t>
      </w:r>
    </w:p>
    <w:p w14:paraId="3C38B0FD">
      <w:pPr>
        <w:spacing w:line="360" w:lineRule="auto"/>
        <w:jc w:val="left"/>
        <w:outlineLvl w:val="9"/>
        <w:rPr>
          <w:rFonts w:hint="eastAsia" w:ascii="宋体" w:hAnsi="宋体" w:cs="宋体"/>
          <w:sz w:val="24"/>
        </w:rPr>
      </w:pPr>
      <w:r>
        <w:rPr>
          <w:rFonts w:hint="eastAsia" w:ascii="宋体" w:hAnsi="宋体" w:cs="宋体"/>
          <w:sz w:val="24"/>
        </w:rPr>
        <w:t>1.2.4.系统支持灵活配置医院之间的成员关系，子机构能独立审核自身处方，主机构对其子机构具有审核结果的查阅功能。</w:t>
      </w:r>
    </w:p>
    <w:p w14:paraId="3B3AE644">
      <w:pPr>
        <w:spacing w:line="360" w:lineRule="auto"/>
        <w:jc w:val="left"/>
        <w:outlineLvl w:val="9"/>
        <w:rPr>
          <w:rFonts w:hint="eastAsia" w:ascii="宋体" w:hAnsi="宋体" w:cs="宋体"/>
          <w:b/>
          <w:bCs/>
          <w:sz w:val="24"/>
        </w:rPr>
      </w:pPr>
      <w:r>
        <w:rPr>
          <w:rFonts w:hint="eastAsia" w:ascii="宋体" w:hAnsi="宋体" w:cs="宋体"/>
          <w:b/>
          <w:bCs/>
          <w:sz w:val="24"/>
        </w:rPr>
        <w:t>1.3.医生用药支持</w:t>
      </w:r>
    </w:p>
    <w:p w14:paraId="75C7B0EA">
      <w:pPr>
        <w:spacing w:line="360" w:lineRule="auto"/>
        <w:jc w:val="left"/>
        <w:outlineLvl w:val="9"/>
        <w:rPr>
          <w:rFonts w:hint="eastAsia" w:ascii="宋体" w:hAnsi="宋体" w:cs="宋体"/>
          <w:b/>
          <w:bCs/>
          <w:sz w:val="24"/>
        </w:rPr>
      </w:pPr>
      <w:r>
        <w:rPr>
          <w:rFonts w:hint="eastAsia" w:ascii="宋体" w:hAnsi="宋体" w:cs="宋体"/>
          <w:sz w:val="24"/>
        </w:rPr>
        <w:t>1.3.1.系统支持医生的用药支持，在HIS系统内可以实时调用查看最新药品说明书。</w:t>
      </w:r>
    </w:p>
    <w:p w14:paraId="63AE1006">
      <w:pPr>
        <w:spacing w:line="360" w:lineRule="auto"/>
        <w:jc w:val="left"/>
        <w:outlineLvl w:val="9"/>
        <w:rPr>
          <w:rFonts w:hint="eastAsia" w:ascii="宋体" w:hAnsi="宋体" w:cs="宋体"/>
          <w:sz w:val="24"/>
        </w:rPr>
      </w:pPr>
      <w:r>
        <w:rPr>
          <w:rFonts w:hint="eastAsia" w:ascii="宋体" w:hAnsi="宋体" w:cs="宋体"/>
          <w:sz w:val="24"/>
        </w:rPr>
        <w:t>1.3.2.系统支持医生查看说明书时，能通过导航快速定位到禁忌症、配伍禁忌、用法用量等重点关注的内容。</w:t>
      </w:r>
    </w:p>
    <w:p w14:paraId="54644AE7">
      <w:pPr>
        <w:numPr>
          <w:ilvl w:val="0"/>
          <w:numId w:val="0"/>
        </w:numPr>
        <w:spacing w:line="360" w:lineRule="auto"/>
        <w:jc w:val="left"/>
        <w:outlineLvl w:val="9"/>
        <w:rPr>
          <w:rFonts w:hint="eastAsia" w:ascii="宋体" w:hAnsi="宋体" w:cs="宋体"/>
          <w:b/>
          <w:bCs/>
          <w:sz w:val="24"/>
        </w:rPr>
      </w:pPr>
      <w:r>
        <w:rPr>
          <w:rFonts w:hint="eastAsia" w:ascii="宋体" w:hAnsi="宋体" w:cs="宋体"/>
          <w:b/>
          <w:bCs/>
          <w:kern w:val="0"/>
          <w:sz w:val="24"/>
          <w:lang w:val="en-US" w:eastAsia="zh-CN"/>
        </w:rPr>
        <w:t>二、</w:t>
      </w:r>
      <w:r>
        <w:rPr>
          <w:rFonts w:hint="eastAsia" w:ascii="宋体" w:hAnsi="宋体" w:cs="宋体"/>
          <w:b/>
          <w:bCs/>
          <w:kern w:val="0"/>
          <w:sz w:val="24"/>
        </w:rPr>
        <w:t>药师实时审方管理</w:t>
      </w:r>
    </w:p>
    <w:p w14:paraId="3DA885DD">
      <w:pPr>
        <w:spacing w:line="360" w:lineRule="auto"/>
        <w:jc w:val="left"/>
        <w:outlineLvl w:val="9"/>
        <w:rPr>
          <w:rFonts w:hint="eastAsia" w:ascii="宋体" w:hAnsi="宋体" w:cs="宋体"/>
          <w:b/>
          <w:bCs/>
          <w:sz w:val="24"/>
        </w:rPr>
      </w:pPr>
      <w:r>
        <w:rPr>
          <w:rFonts w:hint="eastAsia" w:ascii="宋体" w:hAnsi="宋体" w:cs="宋体"/>
          <w:b/>
          <w:bCs/>
          <w:sz w:val="24"/>
        </w:rPr>
        <w:t>2.1.药师审方工作站</w:t>
      </w:r>
    </w:p>
    <w:p w14:paraId="41BB28DA">
      <w:pPr>
        <w:spacing w:line="360" w:lineRule="auto"/>
        <w:jc w:val="left"/>
        <w:outlineLvl w:val="9"/>
        <w:rPr>
          <w:rFonts w:hint="eastAsia" w:ascii="宋体" w:hAnsi="宋体" w:cs="宋体"/>
          <w:sz w:val="24"/>
        </w:rPr>
      </w:pPr>
      <w:r>
        <w:rPr>
          <w:rFonts w:hint="eastAsia" w:ascii="宋体" w:hAnsi="宋体" w:cs="宋体"/>
          <w:sz w:val="24"/>
        </w:rPr>
        <w:t>2.1.1.药师离岗在岗模式选择：药师可以切换离岗和在岗两种模式，实现药师审方的灵活性和可控性。</w:t>
      </w:r>
    </w:p>
    <w:p w14:paraId="3F8DA1BF">
      <w:pPr>
        <w:spacing w:line="360" w:lineRule="auto"/>
        <w:jc w:val="left"/>
        <w:outlineLvl w:val="9"/>
        <w:rPr>
          <w:rFonts w:hint="eastAsia" w:ascii="宋体" w:hAnsi="宋体" w:cs="宋体"/>
          <w:sz w:val="24"/>
        </w:rPr>
      </w:pPr>
      <w:r>
        <w:rPr>
          <w:rFonts w:hint="eastAsia" w:ascii="宋体" w:hAnsi="宋体" w:cs="宋体"/>
          <w:sz w:val="24"/>
        </w:rPr>
        <w:t>2.1.2.药师审方：审方药师上线，可实时接收到医生发送的不合理处方，判断其合理性，并将结果反馈给医生。</w:t>
      </w:r>
    </w:p>
    <w:p w14:paraId="3F7F9C48">
      <w:pPr>
        <w:spacing w:line="360" w:lineRule="auto"/>
        <w:jc w:val="left"/>
        <w:outlineLvl w:val="9"/>
        <w:rPr>
          <w:rFonts w:hint="eastAsia" w:ascii="宋体" w:hAnsi="宋体" w:cs="宋体"/>
          <w:sz w:val="24"/>
        </w:rPr>
      </w:pPr>
      <w:r>
        <w:rPr>
          <w:rFonts w:hint="eastAsia" w:ascii="宋体" w:hAnsi="宋体" w:cs="宋体"/>
          <w:sz w:val="24"/>
        </w:rPr>
        <w:t>2.1.3.医生反馈：医生可以针对当前处方系统给出的不合理提示申诉给药师，或者主动修改处方。</w:t>
      </w:r>
    </w:p>
    <w:p w14:paraId="79BAB0AE">
      <w:pPr>
        <w:spacing w:line="360" w:lineRule="auto"/>
        <w:jc w:val="left"/>
        <w:outlineLvl w:val="9"/>
        <w:rPr>
          <w:rFonts w:hint="eastAsia" w:ascii="宋体" w:hAnsi="宋体" w:cs="宋体"/>
          <w:sz w:val="24"/>
        </w:rPr>
      </w:pPr>
      <w:r>
        <w:rPr>
          <w:rFonts w:hint="eastAsia" w:ascii="宋体" w:hAnsi="宋体" w:cs="宋体"/>
          <w:sz w:val="24"/>
        </w:rPr>
        <w:t>2.1.4.线上沟通：医生和药师可通过系统进行线上沟通，反馈各自处理意见。</w:t>
      </w:r>
    </w:p>
    <w:p w14:paraId="486695C3">
      <w:pPr>
        <w:spacing w:line="360" w:lineRule="auto"/>
        <w:jc w:val="left"/>
        <w:outlineLvl w:val="9"/>
        <w:rPr>
          <w:rFonts w:hint="eastAsia" w:ascii="宋体" w:hAnsi="宋体" w:cs="宋体"/>
          <w:sz w:val="24"/>
        </w:rPr>
      </w:pPr>
      <w:r>
        <w:rPr>
          <w:rFonts w:hint="eastAsia" w:ascii="宋体" w:hAnsi="宋体" w:cs="宋体"/>
          <w:sz w:val="24"/>
        </w:rPr>
        <w:t>2.1.5.审核结果查看：医生可以在系统中查看当日的处方审核结果以及历史处方审核结果。</w:t>
      </w:r>
    </w:p>
    <w:p w14:paraId="517001DC">
      <w:pPr>
        <w:spacing w:line="360" w:lineRule="auto"/>
        <w:jc w:val="left"/>
        <w:outlineLvl w:val="9"/>
        <w:rPr>
          <w:rFonts w:hint="eastAsia" w:ascii="宋体" w:hAnsi="宋体" w:cs="宋体"/>
          <w:sz w:val="24"/>
        </w:rPr>
      </w:pPr>
      <w:r>
        <w:rPr>
          <w:rFonts w:hint="eastAsia" w:ascii="宋体" w:hAnsi="宋体" w:cs="宋体"/>
          <w:sz w:val="24"/>
        </w:rPr>
        <w:t>2.1.6.药师反馈：药师针对医生发送的当前不合理处方进行审核，并实时反馈给医生。</w:t>
      </w:r>
    </w:p>
    <w:p w14:paraId="3753AD2E">
      <w:pPr>
        <w:spacing w:line="360" w:lineRule="auto"/>
        <w:jc w:val="left"/>
        <w:outlineLvl w:val="9"/>
        <w:rPr>
          <w:rFonts w:hint="eastAsia" w:ascii="宋体" w:hAnsi="宋体" w:cs="宋体"/>
          <w:sz w:val="24"/>
        </w:rPr>
      </w:pPr>
      <w:r>
        <w:rPr>
          <w:rFonts w:hint="eastAsia" w:ascii="宋体" w:hAnsi="宋体" w:cs="宋体"/>
          <w:sz w:val="24"/>
        </w:rPr>
        <w:t>2.1.7.当有待审核处方时，系统会以声音、弹窗等多种方式提醒药师有新的待审核处方或医嘱。系统支持审方药师在审核处方/医嘱时，展现审方结果信息和医生申诉理由，并支持填写回复意见和用药建议。</w:t>
      </w:r>
    </w:p>
    <w:p w14:paraId="4DAFD6A8">
      <w:pPr>
        <w:spacing w:line="360" w:lineRule="auto"/>
        <w:jc w:val="left"/>
        <w:outlineLvl w:val="9"/>
        <w:rPr>
          <w:rFonts w:hint="eastAsia" w:ascii="宋体" w:hAnsi="宋体" w:cs="宋体"/>
          <w:sz w:val="24"/>
        </w:rPr>
      </w:pPr>
      <w:r>
        <w:rPr>
          <w:rFonts w:hint="eastAsia" w:ascii="宋体" w:hAnsi="宋体" w:cs="宋体"/>
          <w:sz w:val="24"/>
        </w:rPr>
        <w:t>2.1.8.支持药师自定义审核意见通用回复模板，便于药师在审核时一键引用，快速回复，审核意见及时发送至开方医生。</w:t>
      </w:r>
    </w:p>
    <w:p w14:paraId="481D6AB1">
      <w:pPr>
        <w:spacing w:line="360" w:lineRule="auto"/>
        <w:jc w:val="left"/>
        <w:outlineLvl w:val="9"/>
        <w:rPr>
          <w:rFonts w:hint="eastAsia" w:ascii="宋体" w:hAnsi="宋体" w:cs="宋体"/>
          <w:b/>
          <w:bCs/>
          <w:sz w:val="24"/>
        </w:rPr>
      </w:pPr>
      <w:r>
        <w:rPr>
          <w:rFonts w:hint="eastAsia" w:ascii="宋体" w:hAnsi="宋体" w:cs="宋体"/>
          <w:b/>
          <w:bCs/>
          <w:sz w:val="24"/>
        </w:rPr>
        <w:t>2.2.审方信息查询</w:t>
      </w:r>
    </w:p>
    <w:p w14:paraId="794AA539">
      <w:pPr>
        <w:spacing w:line="360" w:lineRule="auto"/>
        <w:jc w:val="left"/>
        <w:outlineLvl w:val="9"/>
        <w:rPr>
          <w:rFonts w:hint="eastAsia" w:ascii="宋体" w:hAnsi="宋体" w:cs="宋体"/>
          <w:sz w:val="24"/>
        </w:rPr>
      </w:pPr>
      <w:r>
        <w:rPr>
          <w:rFonts w:hint="eastAsia" w:ascii="宋体" w:hAnsi="宋体" w:cs="宋体"/>
          <w:sz w:val="24"/>
        </w:rPr>
        <w:t>2.2.1.系统支持药师查看历史审核处方（医嘱），支持按患者就诊号、处方号、开始时间、结束时间、审方状态（审核通过、审核未通过、超时自动过审、双签通过）、审核问题警示级别、审核问题类型等多重条件筛选处方。</w:t>
      </w:r>
    </w:p>
    <w:p w14:paraId="6A56C89E">
      <w:pPr>
        <w:spacing w:line="360" w:lineRule="auto"/>
        <w:jc w:val="left"/>
        <w:outlineLvl w:val="9"/>
        <w:rPr>
          <w:rFonts w:hint="eastAsia" w:ascii="宋体" w:hAnsi="宋体" w:cs="宋体"/>
          <w:sz w:val="24"/>
        </w:rPr>
      </w:pPr>
      <w:r>
        <w:rPr>
          <w:rFonts w:hint="eastAsia" w:ascii="宋体" w:hAnsi="宋体" w:cs="宋体"/>
          <w:sz w:val="24"/>
        </w:rPr>
        <w:t>2.2.2.系统支持对不同警示级别的处方，用不同颜色加以标识区分。</w:t>
      </w:r>
    </w:p>
    <w:p w14:paraId="7929EB7D">
      <w:pPr>
        <w:spacing w:line="360" w:lineRule="auto"/>
        <w:jc w:val="left"/>
        <w:outlineLvl w:val="9"/>
        <w:rPr>
          <w:rFonts w:hint="eastAsia" w:ascii="宋体" w:hAnsi="宋体" w:cs="宋体"/>
          <w:sz w:val="24"/>
        </w:rPr>
      </w:pPr>
      <w:r>
        <w:rPr>
          <w:rFonts w:hint="eastAsia" w:ascii="宋体" w:hAnsi="宋体" w:cs="宋体"/>
          <w:sz w:val="24"/>
        </w:rPr>
        <w:t>2.2.3.处方详情中药师可查看药品说明书、药品审方规则，系统同时记录审核历史，通过列表显示处方的审核记录，包括审核时间、审核意见、审核状态、审核人等。</w:t>
      </w:r>
    </w:p>
    <w:p w14:paraId="32F68D3D">
      <w:pPr>
        <w:spacing w:line="360" w:lineRule="auto"/>
        <w:jc w:val="left"/>
        <w:outlineLvl w:val="9"/>
        <w:rPr>
          <w:rFonts w:hint="eastAsia" w:ascii="宋体" w:hAnsi="宋体" w:cs="宋体"/>
          <w:sz w:val="24"/>
        </w:rPr>
      </w:pPr>
      <w:r>
        <w:rPr>
          <w:rFonts w:hint="eastAsia" w:ascii="宋体" w:hAnsi="宋体" w:cs="宋体"/>
          <w:sz w:val="24"/>
        </w:rPr>
        <w:t>2.2.4.系统支持药师快速查询电子病历，检验检查，近期医嘱等信息。</w:t>
      </w:r>
    </w:p>
    <w:p w14:paraId="6AD38A5C">
      <w:pPr>
        <w:spacing w:line="360" w:lineRule="auto"/>
        <w:jc w:val="left"/>
        <w:outlineLvl w:val="9"/>
        <w:rPr>
          <w:rFonts w:hint="eastAsia" w:ascii="宋体" w:hAnsi="宋体" w:cs="宋体"/>
          <w:sz w:val="24"/>
        </w:rPr>
      </w:pPr>
      <w:r>
        <w:rPr>
          <w:rFonts w:hint="eastAsia" w:ascii="宋体" w:hAnsi="宋体" w:cs="宋体"/>
          <w:sz w:val="24"/>
        </w:rPr>
        <w:t>2.2.5.药品说明书查询：系统可以根据医生开具的处方，展示对应的药品说明书。</w:t>
      </w:r>
    </w:p>
    <w:p w14:paraId="79C7594A">
      <w:pPr>
        <w:spacing w:line="360" w:lineRule="auto"/>
        <w:jc w:val="left"/>
        <w:outlineLvl w:val="9"/>
        <w:rPr>
          <w:rFonts w:hint="eastAsia" w:ascii="宋体" w:eastAsia="宋体" w:cs="宋体"/>
          <w:b/>
          <w:bCs/>
        </w:rPr>
      </w:pPr>
      <w:r>
        <w:rPr>
          <w:rFonts w:hint="eastAsia" w:ascii="宋体" w:hAnsi="宋体" w:eastAsia="宋体" w:cs="宋体"/>
          <w:sz w:val="24"/>
          <w:lang w:val="en-US" w:eastAsia="zh-CN"/>
        </w:rPr>
        <w:t>三、</w:t>
      </w:r>
      <w:r>
        <w:rPr>
          <w:rFonts w:hint="eastAsia" w:ascii="宋体" w:eastAsia="宋体" w:cs="宋体"/>
          <w:b/>
          <w:bCs/>
        </w:rPr>
        <w:t>审方中心管理</w:t>
      </w:r>
    </w:p>
    <w:p w14:paraId="1A5B2548">
      <w:pPr>
        <w:spacing w:line="360" w:lineRule="auto"/>
        <w:jc w:val="left"/>
        <w:outlineLvl w:val="9"/>
        <w:rPr>
          <w:rFonts w:hint="eastAsia" w:ascii="宋体" w:hAnsi="宋体" w:cs="宋体"/>
          <w:b/>
          <w:bCs/>
          <w:sz w:val="24"/>
        </w:rPr>
      </w:pPr>
      <w:r>
        <w:rPr>
          <w:rFonts w:hint="eastAsia" w:ascii="宋体" w:hAnsi="宋体" w:cs="宋体"/>
          <w:b/>
          <w:bCs/>
          <w:sz w:val="24"/>
        </w:rPr>
        <w:t>3.1.机构成员管理</w:t>
      </w:r>
    </w:p>
    <w:p w14:paraId="6458344C">
      <w:pPr>
        <w:spacing w:line="360" w:lineRule="auto"/>
        <w:jc w:val="left"/>
        <w:outlineLvl w:val="9"/>
        <w:rPr>
          <w:rFonts w:hint="eastAsia" w:ascii="宋体" w:hAnsi="宋体" w:cs="宋体"/>
          <w:sz w:val="24"/>
        </w:rPr>
      </w:pPr>
      <w:r>
        <w:rPr>
          <w:rFonts w:hint="eastAsia" w:ascii="宋体" w:hAnsi="宋体" w:cs="宋体"/>
          <w:sz w:val="24"/>
        </w:rPr>
        <w:t>3.1.1.系统支持对全区医疗机构，子机构做管理。创建机构，分配菜单权限及管理员账号，设置管理机构并分配其子机构的审方权限。</w:t>
      </w:r>
    </w:p>
    <w:p w14:paraId="2AF0CFFD">
      <w:pPr>
        <w:spacing w:line="360" w:lineRule="auto"/>
        <w:jc w:val="left"/>
        <w:outlineLvl w:val="9"/>
        <w:rPr>
          <w:rFonts w:hint="eastAsia" w:ascii="宋体" w:hAnsi="宋体" w:cs="宋体"/>
          <w:sz w:val="24"/>
        </w:rPr>
      </w:pPr>
      <w:r>
        <w:rPr>
          <w:rFonts w:hint="eastAsia" w:ascii="宋体" w:hAnsi="宋体" w:cs="宋体"/>
          <w:sz w:val="24"/>
        </w:rPr>
        <w:t>3.1.2.系统支持创建审方药师，临床药师，数据专员的业务角色，分配对应菜单权限。</w:t>
      </w:r>
    </w:p>
    <w:p w14:paraId="5CF6F158">
      <w:pPr>
        <w:spacing w:line="360" w:lineRule="auto"/>
        <w:jc w:val="left"/>
        <w:outlineLvl w:val="9"/>
        <w:rPr>
          <w:rFonts w:hint="eastAsia" w:ascii="宋体" w:hAnsi="宋体" w:eastAsia="宋体" w:cs="宋体"/>
          <w:sz w:val="24"/>
          <w:lang w:eastAsia="zh-CN"/>
        </w:rPr>
      </w:pPr>
      <w:r>
        <w:rPr>
          <w:rFonts w:hint="eastAsia" w:ascii="宋体" w:hAnsi="宋体" w:cs="宋体"/>
          <w:sz w:val="24"/>
        </w:rPr>
        <w:t>3.1.3.系统支持为药师分配审核范围，可按医院、科室、药房、门急诊、住院设置审核权限，药师只可查询自己被分配的处方</w:t>
      </w:r>
      <w:r>
        <w:rPr>
          <w:rFonts w:hint="eastAsia" w:cs="宋体"/>
          <w:sz w:val="24"/>
          <w:lang w:eastAsia="zh-CN"/>
        </w:rPr>
        <w:t>。</w:t>
      </w:r>
    </w:p>
    <w:p w14:paraId="002C7A71">
      <w:pPr>
        <w:spacing w:line="360" w:lineRule="auto"/>
        <w:jc w:val="left"/>
        <w:outlineLvl w:val="9"/>
        <w:rPr>
          <w:rFonts w:hint="eastAsia" w:ascii="宋体" w:hAnsi="宋体" w:cs="宋体"/>
          <w:b/>
          <w:bCs/>
          <w:sz w:val="24"/>
        </w:rPr>
      </w:pPr>
      <w:r>
        <w:rPr>
          <w:rFonts w:hint="eastAsia" w:ascii="宋体" w:hAnsi="宋体" w:cs="宋体"/>
          <w:b/>
          <w:bCs/>
          <w:sz w:val="24"/>
        </w:rPr>
        <w:t>3.2.审核模式设置</w:t>
      </w:r>
    </w:p>
    <w:p w14:paraId="16D6D102">
      <w:pPr>
        <w:spacing w:line="360" w:lineRule="auto"/>
        <w:jc w:val="left"/>
        <w:outlineLvl w:val="9"/>
        <w:rPr>
          <w:rFonts w:hint="eastAsia" w:ascii="宋体" w:hAnsi="宋体" w:cs="宋体"/>
          <w:sz w:val="24"/>
        </w:rPr>
      </w:pPr>
      <w:r>
        <w:rPr>
          <w:rFonts w:hint="eastAsia" w:ascii="宋体" w:hAnsi="宋体" w:cs="宋体"/>
          <w:sz w:val="24"/>
        </w:rPr>
        <w:t>3.2.1.系统支持审方模式设置，包括默认必审，超时过审两种方式，并且可自定义超时过审的等待时长。</w:t>
      </w:r>
    </w:p>
    <w:p w14:paraId="797F052E">
      <w:pPr>
        <w:spacing w:line="360" w:lineRule="auto"/>
        <w:jc w:val="left"/>
        <w:outlineLvl w:val="9"/>
        <w:rPr>
          <w:rFonts w:hint="eastAsia" w:ascii="宋体" w:hAnsi="宋体" w:cs="宋体"/>
          <w:sz w:val="24"/>
        </w:rPr>
      </w:pPr>
      <w:r>
        <w:rPr>
          <w:rFonts w:hint="eastAsia" w:ascii="宋体" w:hAnsi="宋体" w:cs="宋体"/>
          <w:sz w:val="24"/>
        </w:rPr>
        <w:t>3.2.2.系统支持“是否开启医生审方弹窗”，可按全院、科室、适应症、禁忌症、规则级别单独设置。</w:t>
      </w:r>
    </w:p>
    <w:p w14:paraId="268C68F1">
      <w:pPr>
        <w:spacing w:line="360" w:lineRule="auto"/>
        <w:jc w:val="left"/>
        <w:outlineLvl w:val="9"/>
        <w:rPr>
          <w:rFonts w:hint="eastAsia" w:ascii="宋体" w:hAnsi="宋体" w:cs="宋体"/>
          <w:sz w:val="24"/>
        </w:rPr>
      </w:pPr>
      <w:r>
        <w:rPr>
          <w:rFonts w:hint="eastAsia" w:ascii="宋体" w:hAnsi="宋体" w:cs="宋体"/>
          <w:sz w:val="24"/>
        </w:rPr>
        <w:t>3.2.3.系统支持设置审方药师的工作时间。</w:t>
      </w:r>
    </w:p>
    <w:p w14:paraId="005BD3D4">
      <w:pPr>
        <w:spacing w:line="360" w:lineRule="auto"/>
        <w:jc w:val="left"/>
        <w:outlineLvl w:val="9"/>
        <w:rPr>
          <w:rFonts w:hint="eastAsia" w:ascii="宋体" w:hAnsi="宋体" w:cs="宋体"/>
          <w:sz w:val="24"/>
        </w:rPr>
      </w:pPr>
      <w:r>
        <w:rPr>
          <w:rFonts w:hint="eastAsia" w:ascii="宋体" w:hAnsi="宋体" w:cs="宋体"/>
          <w:sz w:val="24"/>
        </w:rPr>
        <w:t>3.2.4.当处于药师非工作时间或药师不在线时，系统将开启超时自动过审功能，当超过一定时间，系统自动通过处方，超时过审时间可由用户自定义。</w:t>
      </w:r>
    </w:p>
    <w:p w14:paraId="6B8E10DF">
      <w:pPr>
        <w:numPr>
          <w:ilvl w:val="0"/>
          <w:numId w:val="0"/>
        </w:numPr>
        <w:spacing w:line="360" w:lineRule="auto"/>
        <w:jc w:val="left"/>
        <w:outlineLvl w:val="9"/>
        <w:rPr>
          <w:rFonts w:hint="eastAsia" w:ascii="宋体" w:hAnsi="宋体" w:cs="宋体"/>
          <w:b/>
          <w:bCs/>
          <w:sz w:val="24"/>
        </w:rPr>
      </w:pPr>
      <w:bookmarkStart w:id="299" w:name="_Toc339"/>
      <w:r>
        <w:rPr>
          <w:rFonts w:hint="eastAsia" w:ascii="宋体" w:hAnsi="宋体" w:cs="宋体"/>
          <w:b/>
          <w:bCs/>
          <w:sz w:val="24"/>
          <w:lang w:val="en-US" w:eastAsia="zh-CN"/>
        </w:rPr>
        <w:t>四、</w:t>
      </w:r>
      <w:r>
        <w:rPr>
          <w:rFonts w:hint="eastAsia" w:ascii="宋体" w:hAnsi="宋体" w:cs="宋体"/>
          <w:b/>
          <w:bCs/>
          <w:sz w:val="24"/>
        </w:rPr>
        <w:t>审方中心规则库</w:t>
      </w:r>
      <w:bookmarkEnd w:id="299"/>
      <w:r>
        <w:rPr>
          <w:rFonts w:hint="eastAsia" w:ascii="宋体" w:hAnsi="宋体" w:cs="宋体"/>
          <w:b/>
          <w:bCs/>
          <w:sz w:val="24"/>
        </w:rPr>
        <w:t>管理</w:t>
      </w:r>
    </w:p>
    <w:p w14:paraId="07029DBA">
      <w:pPr>
        <w:spacing w:line="360" w:lineRule="auto"/>
        <w:jc w:val="left"/>
        <w:outlineLvl w:val="9"/>
        <w:rPr>
          <w:rFonts w:hint="eastAsia" w:ascii="宋体" w:hAnsi="宋体" w:cs="宋体"/>
          <w:b/>
          <w:bCs/>
          <w:sz w:val="24"/>
        </w:rPr>
      </w:pPr>
      <w:r>
        <w:rPr>
          <w:rFonts w:hint="eastAsia" w:ascii="宋体" w:hAnsi="宋体" w:cs="宋体"/>
          <w:b/>
          <w:bCs/>
          <w:sz w:val="24"/>
        </w:rPr>
        <w:t>4.1.标准规则库</w:t>
      </w:r>
    </w:p>
    <w:p w14:paraId="14F8BA0A">
      <w:pPr>
        <w:spacing w:line="360" w:lineRule="auto"/>
        <w:jc w:val="left"/>
        <w:outlineLvl w:val="9"/>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4.1.1.系统审核规则库内容可视，所有规则直观展示、通俗易懂，并支持药师随时对审方规则进行验证。</w:t>
      </w:r>
    </w:p>
    <w:p w14:paraId="05E774E5">
      <w:pPr>
        <w:spacing w:line="360" w:lineRule="auto"/>
        <w:jc w:val="left"/>
        <w:outlineLvl w:val="9"/>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4.1.2.系统对医院药品均提供标准规则，并已定义规则警示类型、警示级别、提醒内容、规则来源，药师可随时查询药品说明书、临床指南等文献。</w:t>
      </w:r>
    </w:p>
    <w:p w14:paraId="79E42A8D">
      <w:pPr>
        <w:spacing w:line="360" w:lineRule="auto"/>
        <w:jc w:val="left"/>
        <w:outlineLvl w:val="9"/>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4.1.3.系统对规则进行唯一编码，更新规则都前后变化都有记录留痕。</w:t>
      </w:r>
    </w:p>
    <w:p w14:paraId="0A86BB8B">
      <w:pPr>
        <w:spacing w:line="360" w:lineRule="auto"/>
        <w:jc w:val="left"/>
        <w:outlineLvl w:val="9"/>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4.1.4.审方规则库</w:t>
      </w:r>
      <w:r>
        <w:rPr>
          <w:rFonts w:hint="eastAsia" w:cs="宋体"/>
          <w:color w:val="000000" w:themeColor="text1"/>
          <w:sz w:val="24"/>
          <w:lang w:val="en-US" w:eastAsia="zh-CN"/>
          <w14:textFill>
            <w14:solidFill>
              <w14:schemeClr w14:val="tx1"/>
            </w14:solidFill>
          </w14:textFill>
        </w:rPr>
        <w:t>每季度</w:t>
      </w:r>
      <w:r>
        <w:rPr>
          <w:rFonts w:hint="eastAsia" w:ascii="宋体" w:hAnsi="宋体" w:cs="宋体"/>
          <w:color w:val="000000" w:themeColor="text1"/>
          <w:sz w:val="24"/>
          <w14:textFill>
            <w14:solidFill>
              <w14:schemeClr w14:val="tx1"/>
            </w14:solidFill>
          </w14:textFill>
        </w:rPr>
        <w:t>更新升级，并向用户提供详细的更新明细。</w:t>
      </w:r>
    </w:p>
    <w:p w14:paraId="65E33549">
      <w:pPr>
        <w:spacing w:line="360" w:lineRule="auto"/>
        <w:jc w:val="left"/>
        <w:outlineLvl w:val="9"/>
        <w:rPr>
          <w:rFonts w:hint="eastAsia" w:ascii="宋体" w:hAnsi="宋体" w:cs="宋体"/>
          <w:b/>
          <w:bCs/>
          <w:sz w:val="24"/>
        </w:rPr>
      </w:pPr>
      <w:r>
        <w:rPr>
          <w:rFonts w:hint="eastAsia" w:ascii="宋体" w:hAnsi="宋体" w:cs="宋体"/>
          <w:b/>
          <w:bCs/>
          <w:sz w:val="24"/>
        </w:rPr>
        <w:t xml:space="preserve">4.2.特殊规则库 </w:t>
      </w:r>
    </w:p>
    <w:p w14:paraId="115B98CA">
      <w:pPr>
        <w:spacing w:line="360" w:lineRule="auto"/>
        <w:jc w:val="left"/>
        <w:outlineLvl w:val="9"/>
        <w:rPr>
          <w:rFonts w:hint="eastAsia" w:ascii="宋体" w:hAnsi="宋体" w:cs="宋体"/>
          <w:sz w:val="24"/>
        </w:rPr>
      </w:pPr>
      <w:r>
        <w:rPr>
          <w:rFonts w:hint="eastAsia" w:ascii="宋体" w:hAnsi="宋体" w:cs="宋体"/>
          <w:sz w:val="24"/>
        </w:rPr>
        <w:t>4.2.1.系统支持药师单独设置科室的用药规则，使药品规则更符合科室用药实际。</w:t>
      </w:r>
    </w:p>
    <w:p w14:paraId="687D491A">
      <w:pPr>
        <w:spacing w:line="360" w:lineRule="auto"/>
        <w:jc w:val="left"/>
        <w:outlineLvl w:val="9"/>
        <w:rPr>
          <w:rFonts w:hint="eastAsia" w:ascii="宋体" w:hAnsi="宋体" w:cs="宋体"/>
          <w:sz w:val="24"/>
        </w:rPr>
      </w:pPr>
      <w:r>
        <w:rPr>
          <w:rFonts w:hint="eastAsia" w:ascii="宋体" w:hAnsi="宋体" w:cs="宋体"/>
          <w:sz w:val="24"/>
        </w:rPr>
        <w:t>4.2.2.系统支持药师单独设置医院、科室的特殊规则，特殊规则优先于标准规则，若处方满足触发特殊规则，不会再触发标准规则。</w:t>
      </w:r>
    </w:p>
    <w:p w14:paraId="28BF5421">
      <w:pPr>
        <w:spacing w:line="360" w:lineRule="auto"/>
        <w:jc w:val="left"/>
        <w:outlineLvl w:val="9"/>
        <w:rPr>
          <w:rFonts w:hint="eastAsia" w:ascii="宋体" w:hAnsi="宋体" w:cs="宋体"/>
          <w:b/>
          <w:bCs/>
          <w:sz w:val="24"/>
        </w:rPr>
      </w:pPr>
      <w:r>
        <w:rPr>
          <w:rFonts w:hint="eastAsia" w:ascii="宋体" w:hAnsi="宋体" w:cs="宋体"/>
          <w:b/>
          <w:bCs/>
          <w:sz w:val="24"/>
        </w:rPr>
        <w:t>4.3.自定义规则设置</w:t>
      </w:r>
    </w:p>
    <w:p w14:paraId="3B21C8D9">
      <w:pPr>
        <w:spacing w:line="360" w:lineRule="auto"/>
        <w:jc w:val="left"/>
        <w:outlineLvl w:val="9"/>
        <w:rPr>
          <w:rFonts w:hint="eastAsia" w:ascii="宋体" w:hAnsi="宋体" w:cs="宋体"/>
          <w:sz w:val="24"/>
        </w:rPr>
      </w:pPr>
      <w:r>
        <w:rPr>
          <w:rFonts w:hint="eastAsia" w:ascii="宋体" w:hAnsi="宋体" w:cs="宋体"/>
          <w:sz w:val="24"/>
        </w:rPr>
        <w:t>4.3.1.系统支持药师自定义药品规则，对所有使用规则进行新增、编辑、删除，可实现多重条件（给药途径、用法用量、相互作用、年龄、体重等）下的复杂逻辑判断，使药品的使用更加符合医院的实际用药情况，且所有的规则均可自定义警示类型、等级及提醒内容。</w:t>
      </w:r>
    </w:p>
    <w:p w14:paraId="41E4BFEE">
      <w:pPr>
        <w:spacing w:line="360" w:lineRule="auto"/>
        <w:jc w:val="left"/>
        <w:outlineLvl w:val="9"/>
        <w:rPr>
          <w:rFonts w:hint="eastAsia" w:ascii="宋体" w:hAnsi="宋体" w:cs="宋体"/>
          <w:sz w:val="24"/>
        </w:rPr>
      </w:pPr>
      <w:r>
        <w:rPr>
          <w:rFonts w:hint="eastAsia" w:ascii="宋体" w:hAnsi="宋体" w:cs="宋体"/>
          <w:sz w:val="24"/>
        </w:rPr>
        <w:t>4.3.2.系统支持药师查询单个药品规则，支持药师复制规则应用到其他药品。</w:t>
      </w:r>
    </w:p>
    <w:p w14:paraId="65708A4B">
      <w:pPr>
        <w:spacing w:line="360" w:lineRule="auto"/>
        <w:jc w:val="left"/>
        <w:outlineLvl w:val="9"/>
        <w:rPr>
          <w:rFonts w:hint="eastAsia" w:ascii="宋体" w:hAnsi="宋体" w:cs="宋体"/>
          <w:sz w:val="24"/>
        </w:rPr>
      </w:pPr>
      <w:r>
        <w:rPr>
          <w:rFonts w:hint="eastAsia" w:ascii="宋体" w:hAnsi="宋体" w:cs="宋体"/>
          <w:sz w:val="24"/>
        </w:rPr>
        <w:t>4.3.3.系统支持药师自定义规则时，可灵活设置科室、医生处方权管理。</w:t>
      </w:r>
    </w:p>
    <w:p w14:paraId="2B5948B5">
      <w:pPr>
        <w:spacing w:line="360" w:lineRule="auto"/>
        <w:jc w:val="left"/>
        <w:outlineLvl w:val="9"/>
        <w:rPr>
          <w:rFonts w:hint="eastAsia" w:ascii="宋体" w:hAnsi="宋体" w:cs="宋体"/>
          <w:b/>
          <w:bCs/>
          <w:sz w:val="24"/>
        </w:rPr>
      </w:pPr>
      <w:r>
        <w:rPr>
          <w:rFonts w:hint="eastAsia" w:ascii="宋体" w:hAnsi="宋体" w:cs="宋体"/>
          <w:b/>
          <w:bCs/>
          <w:sz w:val="24"/>
        </w:rPr>
        <w:t>4.4.规则变更记录</w:t>
      </w:r>
    </w:p>
    <w:p w14:paraId="56D85884">
      <w:pPr>
        <w:spacing w:line="360" w:lineRule="auto"/>
        <w:jc w:val="left"/>
        <w:outlineLvl w:val="9"/>
        <w:rPr>
          <w:rFonts w:hint="eastAsia" w:ascii="宋体" w:hAnsi="宋体" w:cs="宋体"/>
          <w:sz w:val="24"/>
        </w:rPr>
      </w:pPr>
      <w:r>
        <w:rPr>
          <w:rFonts w:hint="eastAsia" w:ascii="宋体" w:hAnsi="宋体" w:cs="宋体"/>
          <w:sz w:val="24"/>
        </w:rPr>
        <w:t>4.4.1.系统支持对用户自定义设置规则的工作量进行日志记录并导出。</w:t>
      </w:r>
    </w:p>
    <w:p w14:paraId="56631E6E">
      <w:pPr>
        <w:spacing w:line="360" w:lineRule="auto"/>
        <w:jc w:val="left"/>
        <w:outlineLvl w:val="9"/>
        <w:rPr>
          <w:rFonts w:hint="eastAsia" w:ascii="宋体" w:hAnsi="宋体" w:cs="宋体"/>
          <w:sz w:val="24"/>
        </w:rPr>
      </w:pPr>
      <w:r>
        <w:rPr>
          <w:rFonts w:hint="eastAsia" w:ascii="宋体" w:hAnsi="宋体" w:cs="宋体"/>
          <w:sz w:val="24"/>
        </w:rPr>
        <w:t>4.4.2.系统支持按时间段、规则类型、操作人、操作方式、药品通用名等方式查询记录。</w:t>
      </w:r>
    </w:p>
    <w:p w14:paraId="2144F129">
      <w:pPr>
        <w:spacing w:line="360" w:lineRule="auto"/>
        <w:jc w:val="left"/>
        <w:outlineLvl w:val="9"/>
        <w:rPr>
          <w:rFonts w:hint="eastAsia" w:ascii="宋体" w:hAnsi="宋体" w:cs="宋体"/>
          <w:b/>
          <w:bCs/>
          <w:sz w:val="24"/>
        </w:rPr>
      </w:pPr>
      <w:r>
        <w:rPr>
          <w:rFonts w:hint="eastAsia" w:ascii="宋体" w:hAnsi="宋体" w:cs="宋体"/>
          <w:b/>
          <w:bCs/>
          <w:sz w:val="24"/>
        </w:rPr>
        <w:t>4.5.忽略规则设置</w:t>
      </w:r>
    </w:p>
    <w:p w14:paraId="61A135BA">
      <w:pPr>
        <w:spacing w:line="360" w:lineRule="auto"/>
        <w:jc w:val="left"/>
        <w:outlineLvl w:val="9"/>
        <w:rPr>
          <w:rFonts w:hint="eastAsia" w:ascii="宋体" w:hAnsi="宋体" w:cs="宋体"/>
          <w:sz w:val="24"/>
        </w:rPr>
      </w:pPr>
      <w:r>
        <w:rPr>
          <w:rFonts w:hint="eastAsia" w:ascii="宋体" w:hAnsi="宋体" w:cs="宋体"/>
          <w:sz w:val="24"/>
        </w:rPr>
        <w:t>4.5.1.系统支持设置忽略溶媒的配伍禁忌等问题。</w:t>
      </w:r>
    </w:p>
    <w:p w14:paraId="6EA3B421">
      <w:pPr>
        <w:spacing w:line="360" w:lineRule="auto"/>
        <w:jc w:val="left"/>
        <w:outlineLvl w:val="9"/>
        <w:rPr>
          <w:rFonts w:hint="eastAsia" w:ascii="宋体" w:hAnsi="宋体" w:cs="宋体"/>
          <w:sz w:val="24"/>
        </w:rPr>
      </w:pPr>
      <w:r>
        <w:rPr>
          <w:rFonts w:hint="eastAsia" w:ascii="宋体" w:hAnsi="宋体" w:cs="宋体"/>
          <w:sz w:val="24"/>
        </w:rPr>
        <w:t>4.5.2.系统支持设置忽略出院带药的用药天数等问题。</w:t>
      </w:r>
    </w:p>
    <w:p w14:paraId="6C60ACCC">
      <w:pPr>
        <w:spacing w:line="360" w:lineRule="auto"/>
        <w:jc w:val="left"/>
        <w:outlineLvl w:val="9"/>
        <w:rPr>
          <w:rFonts w:hint="eastAsia" w:ascii="宋体" w:hAnsi="宋体" w:cs="宋体"/>
          <w:sz w:val="24"/>
        </w:rPr>
      </w:pPr>
      <w:r>
        <w:rPr>
          <w:rFonts w:hint="eastAsia" w:ascii="宋体" w:hAnsi="宋体" w:cs="宋体"/>
          <w:sz w:val="24"/>
        </w:rPr>
        <w:t>4.5.3.系统支持设置忽略皮试等问题。</w:t>
      </w:r>
    </w:p>
    <w:p w14:paraId="1477B949">
      <w:pPr>
        <w:spacing w:line="360" w:lineRule="auto"/>
        <w:jc w:val="left"/>
        <w:outlineLvl w:val="9"/>
        <w:rPr>
          <w:rFonts w:hint="eastAsia" w:ascii="宋体" w:hAnsi="宋体" w:cs="宋体"/>
          <w:sz w:val="24"/>
        </w:rPr>
      </w:pPr>
      <w:r>
        <w:rPr>
          <w:rFonts w:hint="eastAsia" w:ascii="宋体" w:hAnsi="宋体" w:cs="宋体"/>
          <w:sz w:val="24"/>
        </w:rPr>
        <w:t>4.5.4.系统支持药师自定义设置各类忽略规则，可对门（急）诊、住院、长嘱、临嘱、出院带药结合给药途径、诊断等忽略药品等各类规则。</w:t>
      </w:r>
    </w:p>
    <w:p w14:paraId="487C6CE1">
      <w:pPr>
        <w:spacing w:line="360" w:lineRule="auto"/>
        <w:jc w:val="left"/>
        <w:outlineLvl w:val="9"/>
        <w:rPr>
          <w:rFonts w:hint="eastAsia" w:ascii="宋体" w:hAnsi="宋体" w:cs="宋体"/>
          <w:b/>
          <w:bCs/>
          <w:sz w:val="24"/>
        </w:rPr>
      </w:pPr>
      <w:r>
        <w:rPr>
          <w:rFonts w:hint="eastAsia" w:ascii="宋体" w:hAnsi="宋体" w:cs="宋体"/>
          <w:b/>
          <w:bCs/>
          <w:sz w:val="24"/>
        </w:rPr>
        <w:t>五、区域处方点评</w:t>
      </w:r>
    </w:p>
    <w:p w14:paraId="6550F7C6">
      <w:pPr>
        <w:spacing w:line="360" w:lineRule="auto"/>
        <w:jc w:val="left"/>
        <w:outlineLvl w:val="9"/>
        <w:rPr>
          <w:rFonts w:hint="eastAsia" w:ascii="宋体" w:hAnsi="宋体" w:cs="宋体"/>
          <w:b/>
          <w:bCs/>
          <w:sz w:val="24"/>
        </w:rPr>
      </w:pPr>
      <w:r>
        <w:rPr>
          <w:rFonts w:hint="eastAsia" w:ascii="宋体" w:hAnsi="宋体" w:cs="宋体"/>
          <w:b/>
          <w:bCs/>
          <w:sz w:val="24"/>
        </w:rPr>
        <w:t>5.1.点评工作台</w:t>
      </w:r>
    </w:p>
    <w:p w14:paraId="2AD3D8DD">
      <w:pPr>
        <w:spacing w:line="360" w:lineRule="auto"/>
        <w:jc w:val="left"/>
        <w:outlineLvl w:val="9"/>
        <w:rPr>
          <w:rFonts w:hint="eastAsia" w:ascii="宋体" w:hAnsi="宋体" w:cs="宋体"/>
          <w:sz w:val="24"/>
        </w:rPr>
      </w:pPr>
      <w:r>
        <w:rPr>
          <w:rFonts w:hint="eastAsia" w:ascii="宋体" w:hAnsi="宋体" w:cs="宋体"/>
          <w:sz w:val="24"/>
        </w:rPr>
        <w:t>5.1.1.系统支持抽样点评，</w:t>
      </w:r>
      <w:r>
        <w:rPr>
          <w:rFonts w:hint="eastAsia" w:cs="宋体"/>
          <w:sz w:val="24"/>
          <w:lang w:val="en-US" w:eastAsia="zh-CN"/>
        </w:rPr>
        <w:t>预设不少于</w:t>
      </w:r>
      <w:r>
        <w:rPr>
          <w:rFonts w:hint="eastAsia" w:ascii="宋体" w:hAnsi="宋体" w:cs="宋体"/>
          <w:sz w:val="24"/>
        </w:rPr>
        <w:t>30个专项点评模块，提高药师点评基础工作效率。</w:t>
      </w:r>
    </w:p>
    <w:p w14:paraId="2ABDFCCA">
      <w:pPr>
        <w:spacing w:line="360" w:lineRule="auto"/>
        <w:jc w:val="left"/>
        <w:outlineLvl w:val="9"/>
        <w:rPr>
          <w:rFonts w:hint="eastAsia" w:ascii="宋体" w:hAnsi="宋体" w:cs="宋体"/>
          <w:sz w:val="24"/>
        </w:rPr>
      </w:pPr>
      <w:r>
        <w:rPr>
          <w:rFonts w:hint="eastAsia" w:ascii="宋体" w:hAnsi="宋体" w:cs="宋体"/>
          <w:sz w:val="24"/>
        </w:rPr>
        <w:t>5.1.2.专项点评模块：门(急)诊抗菌药物专项点评、住院抗菌药物专项点评、门(急)诊基本药物专项点评、住院基本药物专项点评、门(急)诊血液制品用药专项点评、住院血液制品用药专项点评、门(急)诊糖皮质激素类药物处方专项点评、住院糖皮质激素类药物处方专项点评、门(急)诊辅助用药专项点评、住院辅助用药专项点评、门(急)诊中成药专项点评、门(急)诊中药饮片专项点评、住院中药饮片专项点评、门(急)诊中药注射剂处方专项点评、住院中药注射剂处方专项点评、门(急)诊质子泵抑制剂专项点评、住院质子泵抑制剂专项点评、门(急)诊高危药品处方专项点评、住院高危药品处方专项点评、门(急)诊妊娠患者处方专项点评、住院妊娠患者处方专项点评、门(急)诊麻醉、精一药品专项点评、门(急)诊二类精神类药品专项点、门(急)诊静脉输液类药物处方专项点评、住院静脉输液类药物处方专项点评、门(急)诊抗肿瘤药物处方专项点评、住院抗肿瘤药物处方专项点评、住院碳青霉烯类专项点评、住院特殊抗菌药物(万古霉素等)病历专项点评、住院抗菌药物围术期用药专项点评。</w:t>
      </w:r>
    </w:p>
    <w:p w14:paraId="2F1C587C">
      <w:pPr>
        <w:spacing w:line="360" w:lineRule="auto"/>
        <w:jc w:val="left"/>
        <w:outlineLvl w:val="9"/>
        <w:rPr>
          <w:rFonts w:hint="eastAsia" w:ascii="宋体" w:hAnsi="宋体" w:cs="宋体"/>
          <w:sz w:val="24"/>
        </w:rPr>
      </w:pPr>
      <w:r>
        <w:rPr>
          <w:rFonts w:hint="eastAsia" w:ascii="宋体" w:hAnsi="宋体" w:cs="宋体"/>
          <w:sz w:val="24"/>
        </w:rPr>
        <w:t>5.1.3.常用点评模块：系统支持对药师常用点评模块进行优先排列，推荐给药师快捷使用。</w:t>
      </w:r>
    </w:p>
    <w:p w14:paraId="27AF6EE5">
      <w:pPr>
        <w:spacing w:line="360" w:lineRule="auto"/>
        <w:jc w:val="left"/>
        <w:outlineLvl w:val="9"/>
        <w:rPr>
          <w:rFonts w:hint="eastAsia" w:ascii="宋体" w:hAnsi="宋体" w:cs="宋体"/>
          <w:sz w:val="24"/>
        </w:rPr>
      </w:pPr>
      <w:r>
        <w:rPr>
          <w:rFonts w:hint="eastAsia" w:ascii="宋体" w:hAnsi="宋体" w:cs="宋体"/>
          <w:sz w:val="24"/>
        </w:rPr>
        <w:t>5.1.4. ▲待点评任务：系统支持单独展示待办事项，并提醒药师待完成的点评任务。</w:t>
      </w:r>
    </w:p>
    <w:p w14:paraId="7C075527">
      <w:pPr>
        <w:spacing w:line="360" w:lineRule="auto"/>
        <w:jc w:val="left"/>
        <w:outlineLvl w:val="9"/>
        <w:rPr>
          <w:rFonts w:hint="eastAsia" w:ascii="宋体" w:hAnsi="宋体" w:cs="宋体"/>
          <w:sz w:val="24"/>
        </w:rPr>
      </w:pPr>
      <w:r>
        <w:rPr>
          <w:rFonts w:hint="eastAsia" w:ascii="宋体" w:hAnsi="宋体" w:cs="宋体"/>
          <w:sz w:val="24"/>
        </w:rPr>
        <w:t>5.1.5.继续点评：系统支持药师一键跳转到最近点评的任务中继续点评。</w:t>
      </w:r>
    </w:p>
    <w:p w14:paraId="4D6711F1">
      <w:pPr>
        <w:spacing w:line="360" w:lineRule="auto"/>
        <w:jc w:val="left"/>
        <w:outlineLvl w:val="9"/>
        <w:rPr>
          <w:rFonts w:hint="eastAsia" w:ascii="宋体" w:hAnsi="宋体" w:cs="宋体"/>
          <w:sz w:val="24"/>
        </w:rPr>
      </w:pPr>
      <w:r>
        <w:rPr>
          <w:rFonts w:hint="eastAsia" w:ascii="宋体" w:hAnsi="宋体" w:cs="宋体"/>
          <w:b/>
          <w:bCs/>
          <w:sz w:val="24"/>
        </w:rPr>
        <w:t>5.2.分配点评任务</w:t>
      </w:r>
    </w:p>
    <w:p w14:paraId="1DFC7E58">
      <w:pPr>
        <w:spacing w:line="360" w:lineRule="auto"/>
        <w:jc w:val="left"/>
        <w:outlineLvl w:val="9"/>
        <w:rPr>
          <w:rFonts w:hint="eastAsia" w:ascii="宋体" w:hAnsi="宋体" w:cs="宋体"/>
          <w:sz w:val="24"/>
        </w:rPr>
      </w:pPr>
      <w:r>
        <w:rPr>
          <w:rFonts w:hint="eastAsia" w:ascii="宋体" w:hAnsi="宋体" w:cs="宋体"/>
          <w:sz w:val="24"/>
        </w:rPr>
        <w:t>5.2.1.系统支持将处方分配给多个药师进行点评。</w:t>
      </w:r>
    </w:p>
    <w:p w14:paraId="5DFFFBB6">
      <w:pPr>
        <w:spacing w:line="360" w:lineRule="auto"/>
        <w:jc w:val="left"/>
        <w:outlineLvl w:val="9"/>
        <w:rPr>
          <w:rFonts w:hint="eastAsia" w:ascii="宋体" w:hAnsi="宋体" w:cs="宋体"/>
          <w:sz w:val="24"/>
        </w:rPr>
      </w:pPr>
      <w:r>
        <w:rPr>
          <w:rFonts w:hint="eastAsia" w:ascii="宋体" w:hAnsi="宋体" w:cs="宋体"/>
          <w:sz w:val="24"/>
        </w:rPr>
        <w:t>5.2.2.系统支持将设定可分配的人选。</w:t>
      </w:r>
    </w:p>
    <w:p w14:paraId="52C527BB">
      <w:pPr>
        <w:spacing w:line="360" w:lineRule="auto"/>
        <w:jc w:val="left"/>
        <w:outlineLvl w:val="9"/>
        <w:rPr>
          <w:rFonts w:hint="eastAsia" w:ascii="宋体" w:hAnsi="宋体" w:cs="宋体"/>
          <w:sz w:val="24"/>
        </w:rPr>
      </w:pPr>
      <w:r>
        <w:rPr>
          <w:rFonts w:hint="eastAsia" w:ascii="宋体" w:hAnsi="宋体" w:cs="宋体"/>
          <w:sz w:val="24"/>
        </w:rPr>
        <w:t>5.2.3.系统支持分配任务后，查看每位药师点评的工作量和完成进度。</w:t>
      </w:r>
    </w:p>
    <w:p w14:paraId="2C0D258F">
      <w:pPr>
        <w:spacing w:line="360" w:lineRule="auto"/>
        <w:jc w:val="left"/>
        <w:outlineLvl w:val="9"/>
        <w:rPr>
          <w:rFonts w:hint="eastAsia" w:ascii="宋体" w:hAnsi="宋体" w:cs="宋体"/>
          <w:sz w:val="24"/>
        </w:rPr>
      </w:pPr>
      <w:r>
        <w:rPr>
          <w:rFonts w:hint="eastAsia" w:ascii="宋体" w:hAnsi="宋体" w:cs="宋体"/>
          <w:sz w:val="24"/>
        </w:rPr>
        <w:t>5.2.4.系统支持被分配任务的药师能快速查看待点评的任务和点评数量。</w:t>
      </w:r>
    </w:p>
    <w:p w14:paraId="79B920BD">
      <w:pPr>
        <w:spacing w:line="360" w:lineRule="auto"/>
        <w:jc w:val="left"/>
        <w:outlineLvl w:val="9"/>
        <w:rPr>
          <w:rFonts w:hint="eastAsia" w:ascii="宋体" w:hAnsi="宋体" w:cs="宋体"/>
          <w:b/>
          <w:bCs/>
          <w:sz w:val="24"/>
        </w:rPr>
      </w:pPr>
      <w:r>
        <w:rPr>
          <w:rFonts w:hint="eastAsia" w:ascii="宋体" w:hAnsi="宋体" w:cs="宋体"/>
          <w:b/>
          <w:bCs/>
          <w:sz w:val="24"/>
        </w:rPr>
        <w:t>5.3.处方预点评</w:t>
      </w:r>
    </w:p>
    <w:p w14:paraId="2D51AAE9">
      <w:pPr>
        <w:spacing w:line="360" w:lineRule="auto"/>
        <w:jc w:val="left"/>
        <w:outlineLvl w:val="9"/>
        <w:rPr>
          <w:rFonts w:hint="eastAsia" w:ascii="宋体" w:hAnsi="宋体" w:cs="宋体"/>
          <w:sz w:val="24"/>
        </w:rPr>
      </w:pPr>
      <w:r>
        <w:rPr>
          <w:rFonts w:hint="eastAsia" w:ascii="宋体" w:hAnsi="宋体" w:cs="宋体"/>
          <w:sz w:val="24"/>
        </w:rPr>
        <w:t>5.3.1.系统支持对抽样的处方进行系统智能预点评。</w:t>
      </w:r>
    </w:p>
    <w:p w14:paraId="180F7A47">
      <w:pPr>
        <w:spacing w:line="360" w:lineRule="auto"/>
        <w:jc w:val="left"/>
        <w:outlineLvl w:val="9"/>
        <w:rPr>
          <w:rFonts w:hint="eastAsia" w:ascii="宋体" w:hAnsi="宋体" w:cs="宋体"/>
          <w:sz w:val="24"/>
        </w:rPr>
      </w:pPr>
      <w:r>
        <w:rPr>
          <w:rFonts w:hint="eastAsia" w:ascii="宋体" w:hAnsi="宋体" w:cs="宋体"/>
          <w:sz w:val="24"/>
        </w:rPr>
        <w:t>5.3.2.系统支持药师逐条或批量对处方预点评的结果进行审核的功能。</w:t>
      </w:r>
    </w:p>
    <w:p w14:paraId="45910D02">
      <w:pPr>
        <w:spacing w:line="360" w:lineRule="auto"/>
        <w:jc w:val="left"/>
        <w:outlineLvl w:val="9"/>
        <w:rPr>
          <w:rFonts w:hint="eastAsia" w:ascii="宋体" w:hAnsi="宋体" w:cs="宋体"/>
          <w:sz w:val="24"/>
        </w:rPr>
      </w:pPr>
      <w:r>
        <w:rPr>
          <w:rFonts w:hint="eastAsia" w:ascii="宋体" w:hAnsi="宋体" w:cs="宋体"/>
          <w:sz w:val="24"/>
        </w:rPr>
        <w:t>5.3.3.系统支持将药师审核不通过的处方预点评结果打回重新点评的功能，并可修改点评结果的功能。</w:t>
      </w:r>
    </w:p>
    <w:p w14:paraId="7AD3FED3">
      <w:pPr>
        <w:spacing w:line="360" w:lineRule="auto"/>
        <w:jc w:val="left"/>
        <w:outlineLvl w:val="9"/>
        <w:rPr>
          <w:rFonts w:hint="eastAsia" w:ascii="宋体" w:hAnsi="宋体" w:cs="宋体"/>
          <w:b/>
          <w:bCs/>
          <w:sz w:val="24"/>
        </w:rPr>
      </w:pPr>
      <w:r>
        <w:rPr>
          <w:rFonts w:hint="eastAsia" w:ascii="宋体" w:hAnsi="宋体" w:cs="宋体"/>
          <w:b/>
          <w:bCs/>
          <w:sz w:val="24"/>
        </w:rPr>
        <w:t>5.4.点评任务管理</w:t>
      </w:r>
    </w:p>
    <w:p w14:paraId="740741E0">
      <w:pPr>
        <w:spacing w:line="360" w:lineRule="auto"/>
        <w:jc w:val="left"/>
        <w:outlineLvl w:val="9"/>
        <w:rPr>
          <w:rFonts w:hint="eastAsia" w:ascii="宋体" w:hAnsi="宋体" w:cs="宋体"/>
          <w:sz w:val="24"/>
        </w:rPr>
      </w:pPr>
      <w:r>
        <w:rPr>
          <w:rFonts w:hint="eastAsia" w:ascii="宋体" w:hAnsi="宋体" w:cs="宋体"/>
          <w:sz w:val="24"/>
        </w:rPr>
        <w:t>5.4.1.系统支持对各点评模块中点评任务进行记录。</w:t>
      </w:r>
    </w:p>
    <w:p w14:paraId="282F76BF">
      <w:pPr>
        <w:spacing w:line="360" w:lineRule="auto"/>
        <w:jc w:val="left"/>
        <w:outlineLvl w:val="9"/>
        <w:rPr>
          <w:rFonts w:hint="eastAsia" w:ascii="宋体" w:hAnsi="宋体" w:cs="宋体"/>
          <w:sz w:val="24"/>
        </w:rPr>
      </w:pPr>
      <w:r>
        <w:rPr>
          <w:rFonts w:hint="eastAsia" w:ascii="宋体" w:hAnsi="宋体" w:cs="宋体"/>
          <w:sz w:val="24"/>
        </w:rPr>
        <w:t>5.4.2.系统支持查看各点评模块中点评任务分配人、被分配人、人工点评率、点评合格率，以及各被分配人的完成进度。</w:t>
      </w:r>
    </w:p>
    <w:p w14:paraId="3B5383FB">
      <w:pPr>
        <w:spacing w:line="360" w:lineRule="auto"/>
        <w:jc w:val="left"/>
        <w:outlineLvl w:val="9"/>
        <w:rPr>
          <w:rFonts w:hint="eastAsia" w:ascii="宋体" w:hAnsi="宋体" w:cs="宋体"/>
          <w:sz w:val="24"/>
        </w:rPr>
      </w:pPr>
      <w:r>
        <w:rPr>
          <w:rFonts w:hint="eastAsia" w:ascii="宋体" w:hAnsi="宋体" w:cs="宋体"/>
          <w:sz w:val="24"/>
        </w:rPr>
        <w:t>5.4.3.系统支持针对人工点评完成的任务，可发送不合理点评处方给上级审批，最终发送给医生审核。</w:t>
      </w:r>
    </w:p>
    <w:p w14:paraId="4FA869AF">
      <w:pPr>
        <w:spacing w:line="360" w:lineRule="auto"/>
        <w:jc w:val="left"/>
        <w:outlineLvl w:val="9"/>
        <w:rPr>
          <w:rFonts w:hint="eastAsia" w:ascii="宋体" w:hAnsi="宋体" w:cs="宋体"/>
          <w:sz w:val="24"/>
        </w:rPr>
      </w:pPr>
      <w:r>
        <w:rPr>
          <w:rFonts w:hint="eastAsia" w:ascii="宋体" w:hAnsi="宋体" w:cs="宋体"/>
          <w:b/>
          <w:bCs/>
          <w:sz w:val="24"/>
        </w:rPr>
        <w:t>5.5.点评结果审批</w:t>
      </w:r>
    </w:p>
    <w:p w14:paraId="68816FC5">
      <w:pPr>
        <w:spacing w:line="360" w:lineRule="auto"/>
        <w:jc w:val="left"/>
        <w:outlineLvl w:val="9"/>
        <w:rPr>
          <w:rFonts w:hint="eastAsia" w:ascii="宋体" w:hAnsi="宋体" w:cs="宋体"/>
          <w:sz w:val="24"/>
        </w:rPr>
      </w:pPr>
      <w:r>
        <w:rPr>
          <w:rFonts w:hint="eastAsia" w:ascii="宋体" w:hAnsi="宋体" w:cs="宋体"/>
          <w:sz w:val="24"/>
        </w:rPr>
        <w:t>5.5.1. ▲系统实现“组长分配任务→系统智能点评→药师人工点评→发送上级审批→发送门办/医务科审批→发送医生审核→发送药师复核→发送上级确认→全员抄送结果”的处方点评全流程。</w:t>
      </w:r>
    </w:p>
    <w:p w14:paraId="15BA041D">
      <w:pPr>
        <w:spacing w:line="360" w:lineRule="auto"/>
        <w:jc w:val="left"/>
        <w:outlineLvl w:val="9"/>
        <w:rPr>
          <w:rFonts w:hint="eastAsia" w:ascii="宋体" w:hAnsi="宋体" w:cs="宋体"/>
          <w:sz w:val="24"/>
        </w:rPr>
      </w:pPr>
      <w:r>
        <w:rPr>
          <w:rFonts w:hint="eastAsia" w:ascii="宋体" w:hAnsi="宋体" w:cs="宋体"/>
          <w:sz w:val="24"/>
        </w:rPr>
        <w:t>5.5.2.系统支持药学部主任、医务科负责人、门办负责人登录系统，查看管理科室、医生的处方（医嘱）点评结果。</w:t>
      </w:r>
    </w:p>
    <w:p w14:paraId="202E1864">
      <w:pPr>
        <w:spacing w:line="360" w:lineRule="auto"/>
        <w:jc w:val="left"/>
        <w:outlineLvl w:val="9"/>
        <w:rPr>
          <w:rFonts w:hint="eastAsia" w:ascii="宋体" w:hAnsi="宋体" w:cs="宋体"/>
          <w:sz w:val="24"/>
        </w:rPr>
      </w:pPr>
      <w:r>
        <w:rPr>
          <w:rFonts w:hint="eastAsia" w:ascii="宋体" w:hAnsi="宋体" w:cs="宋体"/>
          <w:sz w:val="24"/>
        </w:rPr>
        <w:t>5.5.3.系统支持医生登入系统查看本人的不合理处方（医嘱），并可对点评结果进行申诉。</w:t>
      </w:r>
    </w:p>
    <w:p w14:paraId="06850CC3">
      <w:pPr>
        <w:spacing w:line="360" w:lineRule="auto"/>
        <w:jc w:val="left"/>
        <w:outlineLvl w:val="9"/>
        <w:rPr>
          <w:rFonts w:hint="eastAsia" w:ascii="宋体" w:hAnsi="宋体" w:cs="宋体"/>
          <w:sz w:val="24"/>
        </w:rPr>
      </w:pPr>
      <w:r>
        <w:rPr>
          <w:rFonts w:hint="eastAsia" w:ascii="宋体" w:hAnsi="宋体" w:cs="宋体"/>
          <w:sz w:val="24"/>
        </w:rPr>
        <w:t>5.5.4.系统支持药师登录系统查看待复核的处方和审批中的进度。</w:t>
      </w:r>
    </w:p>
    <w:p w14:paraId="2A0D8296">
      <w:pPr>
        <w:spacing w:line="360" w:lineRule="auto"/>
        <w:jc w:val="left"/>
        <w:outlineLvl w:val="9"/>
        <w:rPr>
          <w:rFonts w:hint="eastAsia" w:ascii="宋体" w:hAnsi="宋体" w:cs="宋体"/>
          <w:b/>
          <w:bCs/>
          <w:sz w:val="24"/>
        </w:rPr>
      </w:pPr>
      <w:bookmarkStart w:id="300" w:name="_Toc151975414"/>
      <w:bookmarkStart w:id="301" w:name="_Toc164332597"/>
      <w:r>
        <w:rPr>
          <w:rFonts w:hint="eastAsia" w:ascii="宋体" w:hAnsi="宋体" w:cs="宋体"/>
          <w:b/>
          <w:bCs/>
          <w:sz w:val="24"/>
        </w:rPr>
        <w:t>5.6.点评报表</w:t>
      </w:r>
      <w:bookmarkEnd w:id="300"/>
      <w:bookmarkEnd w:id="301"/>
      <w:r>
        <w:rPr>
          <w:rFonts w:hint="eastAsia" w:ascii="宋体" w:hAnsi="宋体" w:cs="宋体"/>
          <w:b/>
          <w:bCs/>
          <w:sz w:val="24"/>
        </w:rPr>
        <w:t>管理</w:t>
      </w:r>
    </w:p>
    <w:p w14:paraId="7C35CFB6">
      <w:pPr>
        <w:spacing w:line="360" w:lineRule="auto"/>
        <w:jc w:val="left"/>
        <w:outlineLvl w:val="9"/>
        <w:rPr>
          <w:rFonts w:hint="eastAsia" w:ascii="宋体" w:hAnsi="宋体" w:cs="宋体"/>
          <w:sz w:val="24"/>
        </w:rPr>
      </w:pPr>
      <w:r>
        <w:rPr>
          <w:rFonts w:hint="eastAsia" w:ascii="宋体" w:hAnsi="宋体" w:cs="宋体"/>
          <w:sz w:val="24"/>
        </w:rPr>
        <w:t>5.6.1.系统支持按本次抽样处方生成医院点评统计表，按医院统计处方点评合理数、点评合理率、不合理数、不合理率。并支持下钻查看数据明细。</w:t>
      </w:r>
    </w:p>
    <w:p w14:paraId="334DD127">
      <w:pPr>
        <w:spacing w:line="360" w:lineRule="auto"/>
        <w:jc w:val="left"/>
        <w:outlineLvl w:val="9"/>
        <w:rPr>
          <w:rFonts w:hint="eastAsia" w:ascii="宋体" w:hAnsi="宋体" w:cs="宋体"/>
          <w:sz w:val="24"/>
        </w:rPr>
      </w:pPr>
      <w:r>
        <w:rPr>
          <w:rFonts w:hint="eastAsia" w:ascii="宋体" w:hAnsi="宋体" w:cs="宋体"/>
          <w:sz w:val="24"/>
        </w:rPr>
        <w:t>5.6.2.系统支持按本次抽样处方生成科室点评统计表，按科室统计处方点评合理数、点评合理率、不合理数、不合理率、各类点评问题和数量。并支持下钻查看数据明细。</w:t>
      </w:r>
    </w:p>
    <w:p w14:paraId="356BA1B3">
      <w:pPr>
        <w:spacing w:line="360" w:lineRule="auto"/>
        <w:jc w:val="left"/>
        <w:outlineLvl w:val="9"/>
        <w:rPr>
          <w:rFonts w:hint="eastAsia" w:ascii="宋体" w:hAnsi="宋体" w:cs="宋体"/>
          <w:sz w:val="24"/>
        </w:rPr>
      </w:pPr>
      <w:r>
        <w:rPr>
          <w:rFonts w:hint="eastAsia" w:ascii="宋体" w:hAnsi="宋体" w:cs="宋体"/>
          <w:sz w:val="24"/>
        </w:rPr>
        <w:t>5.6.3.系统支持处方点评结束后，可选择生成药师点评工作表，并可将点评工作表及处方（医嘱）样本数据导出为excel文件。</w:t>
      </w:r>
    </w:p>
    <w:p w14:paraId="74C01BF4">
      <w:pPr>
        <w:spacing w:line="360" w:lineRule="auto"/>
        <w:jc w:val="left"/>
        <w:outlineLvl w:val="9"/>
        <w:rPr>
          <w:rFonts w:hint="eastAsia" w:ascii="宋体" w:hAnsi="宋体" w:cs="宋体"/>
          <w:sz w:val="24"/>
        </w:rPr>
      </w:pPr>
      <w:r>
        <w:rPr>
          <w:rFonts w:hint="eastAsia" w:ascii="宋体" w:hAnsi="宋体" w:cs="宋体"/>
          <w:sz w:val="24"/>
        </w:rPr>
        <w:t>5.6.4.系统支持用户自定义设置编辑工作表及处方（医嘱）样本数据的导出字段，满足用户的个性化导出要求。</w:t>
      </w:r>
    </w:p>
    <w:p w14:paraId="14FCE300">
      <w:pPr>
        <w:spacing w:line="360" w:lineRule="auto"/>
        <w:jc w:val="left"/>
        <w:outlineLvl w:val="9"/>
        <w:rPr>
          <w:rFonts w:hint="eastAsia" w:ascii="宋体" w:hAnsi="宋体" w:cs="宋体"/>
          <w:sz w:val="24"/>
        </w:rPr>
      </w:pPr>
      <w:r>
        <w:rPr>
          <w:rFonts w:hint="eastAsia" w:ascii="宋体" w:hAnsi="宋体" w:cs="宋体"/>
          <w:b/>
          <w:bCs/>
          <w:sz w:val="24"/>
        </w:rPr>
        <w:t>5.7.点评工作量统计</w:t>
      </w:r>
    </w:p>
    <w:p w14:paraId="76045DC1">
      <w:pPr>
        <w:spacing w:line="360" w:lineRule="auto"/>
        <w:jc w:val="left"/>
        <w:outlineLvl w:val="9"/>
        <w:rPr>
          <w:rFonts w:hint="eastAsia" w:ascii="宋体" w:hAnsi="宋体" w:cs="宋体"/>
          <w:sz w:val="24"/>
        </w:rPr>
      </w:pPr>
      <w:r>
        <w:rPr>
          <w:rFonts w:hint="eastAsia" w:ascii="宋体" w:hAnsi="宋体" w:cs="宋体"/>
          <w:sz w:val="24"/>
        </w:rPr>
        <w:t>5.7.1.系统支持统计时间段内，各点评模块、各点评人分配的的处方数量、医嘱数量和完成情况、完成率。</w:t>
      </w:r>
    </w:p>
    <w:p w14:paraId="52BB2A4A">
      <w:pPr>
        <w:spacing w:line="360" w:lineRule="auto"/>
        <w:jc w:val="left"/>
        <w:outlineLvl w:val="9"/>
        <w:rPr>
          <w:rFonts w:hint="eastAsia" w:ascii="宋体" w:hAnsi="宋体" w:cs="宋体"/>
          <w:sz w:val="24"/>
        </w:rPr>
      </w:pPr>
      <w:r>
        <w:rPr>
          <w:rFonts w:hint="eastAsia" w:ascii="宋体" w:hAnsi="宋体" w:cs="宋体"/>
          <w:sz w:val="24"/>
        </w:rPr>
        <w:t>5.7.2.系统支持保存生成的点评工作量报表，并支持导出为excel。</w:t>
      </w:r>
    </w:p>
    <w:p w14:paraId="39982B05">
      <w:pPr>
        <w:spacing w:line="360" w:lineRule="auto"/>
        <w:jc w:val="left"/>
        <w:outlineLvl w:val="9"/>
        <w:rPr>
          <w:rFonts w:hint="eastAsia" w:ascii="宋体" w:hAnsi="宋体" w:cs="宋体"/>
          <w:sz w:val="24"/>
        </w:rPr>
      </w:pPr>
    </w:p>
    <w:p w14:paraId="12E3A778">
      <w:pPr>
        <w:spacing w:line="360" w:lineRule="auto"/>
        <w:jc w:val="left"/>
        <w:outlineLvl w:val="9"/>
        <w:rPr>
          <w:rFonts w:hint="eastAsia" w:ascii="宋体" w:hAnsi="宋体" w:eastAsia="宋体" w:cs="宋体"/>
          <w:b/>
          <w:bCs/>
          <w:color w:val="FF0000"/>
          <w:sz w:val="24"/>
          <w:lang w:eastAsia="zh-CN"/>
        </w:rPr>
      </w:pPr>
      <w:r>
        <w:rPr>
          <w:rFonts w:hint="eastAsia" w:ascii="宋体" w:hAnsi="宋体" w:cs="宋体"/>
          <w:b/>
          <w:bCs/>
          <w:sz w:val="24"/>
        </w:rPr>
        <w:t>六、</w:t>
      </w:r>
      <w:r>
        <w:rPr>
          <w:rFonts w:hint="eastAsia"/>
        </w:rPr>
        <w:t xml:space="preserve"> </w:t>
      </w:r>
      <w:r>
        <w:rPr>
          <w:rFonts w:hint="eastAsia" w:ascii="宋体" w:hAnsi="宋体" w:cs="宋体"/>
          <w:b/>
          <w:bCs/>
          <w:sz w:val="24"/>
        </w:rPr>
        <w:t xml:space="preserve">慢性病患者管理  </w:t>
      </w:r>
      <w:r>
        <w:rPr>
          <w:rFonts w:hint="eastAsia" w:ascii="宋体" w:hAnsi="宋体" w:cs="宋体"/>
          <w:b/>
          <w:bCs/>
          <w:color w:val="FF0000"/>
          <w:sz w:val="24"/>
          <w:lang w:eastAsia="zh-CN"/>
        </w:rPr>
        <w:t>（</w:t>
      </w:r>
      <w:r>
        <w:rPr>
          <w:rFonts w:hint="eastAsia" w:ascii="宋体" w:hAnsi="宋体" w:cs="宋体"/>
          <w:b/>
          <w:bCs/>
          <w:color w:val="FF0000"/>
          <w:sz w:val="24"/>
        </w:rPr>
        <w:t>提供相关功能页面并加盖公章为准</w:t>
      </w:r>
      <w:r>
        <w:rPr>
          <w:rFonts w:hint="eastAsia" w:ascii="宋体" w:hAnsi="宋体" w:cs="宋体"/>
          <w:b/>
          <w:bCs/>
          <w:color w:val="FF0000"/>
          <w:sz w:val="24"/>
          <w:lang w:eastAsia="zh-CN"/>
        </w:rPr>
        <w:t>）</w:t>
      </w:r>
    </w:p>
    <w:p w14:paraId="498C7810">
      <w:pPr>
        <w:spacing w:line="360" w:lineRule="auto"/>
        <w:jc w:val="left"/>
        <w:outlineLvl w:val="9"/>
        <w:rPr>
          <w:rFonts w:hint="eastAsia" w:ascii="宋体" w:hAnsi="宋体" w:cs="宋体"/>
          <w:b/>
          <w:bCs/>
          <w:sz w:val="24"/>
        </w:rPr>
      </w:pPr>
      <w:r>
        <w:rPr>
          <w:rFonts w:hint="eastAsia" w:ascii="宋体" w:hAnsi="宋体" w:cs="宋体"/>
          <w:b/>
          <w:bCs/>
          <w:sz w:val="24"/>
        </w:rPr>
        <w:t>6.1.慢性病患者档案</w:t>
      </w:r>
    </w:p>
    <w:p w14:paraId="3534B15E">
      <w:pPr>
        <w:spacing w:line="360" w:lineRule="auto"/>
        <w:jc w:val="left"/>
        <w:outlineLvl w:val="9"/>
        <w:rPr>
          <w:rFonts w:hint="eastAsia" w:ascii="宋体" w:hAnsi="宋体" w:cs="宋体"/>
          <w:sz w:val="24"/>
        </w:rPr>
      </w:pPr>
      <w:r>
        <w:rPr>
          <w:rFonts w:hint="eastAsia" w:ascii="宋体" w:hAnsi="宋体" w:cs="宋体"/>
          <w:sz w:val="24"/>
        </w:rPr>
        <w:t>6.1.1.系统支持为慢性病患者创建独立的健康档案，记录其基本信息（如姓名、性别、年龄、联系方式）、诊断信息、既往病史、家族病史等。</w:t>
      </w:r>
    </w:p>
    <w:p w14:paraId="690443AF">
      <w:pPr>
        <w:spacing w:line="360" w:lineRule="auto"/>
        <w:jc w:val="left"/>
        <w:outlineLvl w:val="9"/>
        <w:rPr>
          <w:rFonts w:hint="eastAsia" w:ascii="宋体" w:hAnsi="宋体" w:cs="宋体"/>
          <w:sz w:val="24"/>
        </w:rPr>
      </w:pPr>
      <w:r>
        <w:rPr>
          <w:rFonts w:hint="eastAsia" w:ascii="宋体" w:hAnsi="宋体" w:cs="宋体"/>
          <w:sz w:val="24"/>
        </w:rPr>
        <w:t>6.1.2.系统支持药师通过查询档案，了解患者当前健康状态、治疗方案及随访计划。</w:t>
      </w:r>
    </w:p>
    <w:p w14:paraId="77DCBE96">
      <w:pPr>
        <w:spacing w:line="360" w:lineRule="auto"/>
        <w:jc w:val="left"/>
        <w:outlineLvl w:val="9"/>
        <w:rPr>
          <w:rFonts w:hint="eastAsia" w:ascii="宋体" w:hAnsi="宋体" w:cs="宋体"/>
          <w:b/>
          <w:bCs/>
          <w:sz w:val="24"/>
        </w:rPr>
      </w:pPr>
      <w:r>
        <w:rPr>
          <w:rFonts w:hint="eastAsia" w:ascii="宋体" w:hAnsi="宋体" w:cs="宋体"/>
          <w:sz w:val="24"/>
        </w:rPr>
        <w:t>6.1.3. ▲系统支持通过特定的标识，快速识别出慢性病患者，便于进行针对性的审核要求。</w:t>
      </w:r>
    </w:p>
    <w:p w14:paraId="73B137EC">
      <w:pPr>
        <w:spacing w:line="360" w:lineRule="auto"/>
        <w:jc w:val="left"/>
        <w:outlineLvl w:val="9"/>
        <w:rPr>
          <w:rFonts w:hint="eastAsia" w:ascii="宋体" w:hAnsi="宋体" w:cs="宋体"/>
          <w:b/>
          <w:bCs/>
          <w:sz w:val="24"/>
        </w:rPr>
      </w:pPr>
      <w:r>
        <w:rPr>
          <w:rFonts w:hint="eastAsia" w:ascii="宋体" w:hAnsi="宋体" w:cs="宋体"/>
          <w:b/>
          <w:bCs/>
          <w:sz w:val="24"/>
        </w:rPr>
        <w:t>6.2.慢性病、</w:t>
      </w:r>
      <w:r>
        <w:rPr>
          <w:rFonts w:hint="eastAsia" w:cs="宋体"/>
          <w:b/>
          <w:bCs/>
          <w:sz w:val="24"/>
          <w:lang w:val="en-US" w:eastAsia="zh-CN"/>
        </w:rPr>
        <w:t>特殊病</w:t>
      </w:r>
      <w:r>
        <w:rPr>
          <w:rFonts w:hint="eastAsia" w:ascii="宋体" w:hAnsi="宋体" w:cs="宋体"/>
          <w:b/>
          <w:bCs/>
          <w:sz w:val="24"/>
        </w:rPr>
        <w:t>用药管理</w:t>
      </w:r>
    </w:p>
    <w:p w14:paraId="6BDCB31C">
      <w:pPr>
        <w:spacing w:line="360" w:lineRule="auto"/>
        <w:jc w:val="left"/>
        <w:outlineLvl w:val="9"/>
        <w:rPr>
          <w:rFonts w:hint="eastAsia" w:ascii="宋体" w:hAnsi="宋体" w:cs="宋体"/>
          <w:color w:val="000000" w:themeColor="text1"/>
          <w:sz w:val="24"/>
          <w14:textFill>
            <w14:solidFill>
              <w14:schemeClr w14:val="tx1"/>
            </w14:solidFill>
          </w14:textFill>
        </w:rPr>
      </w:pPr>
      <w:r>
        <w:rPr>
          <w:rFonts w:hint="eastAsia" w:ascii="宋体" w:hAnsi="宋体" w:cs="宋体"/>
          <w:sz w:val="24"/>
        </w:rPr>
        <w:t>6.2.1.</w:t>
      </w:r>
      <w:r>
        <w:rPr>
          <w:rFonts w:hint="eastAsia"/>
        </w:rPr>
        <w:t xml:space="preserve"> ▲</w:t>
      </w:r>
      <w:r>
        <w:rPr>
          <w:rFonts w:hint="eastAsia" w:ascii="宋体" w:hAnsi="宋体" w:cs="宋体"/>
          <w:sz w:val="24"/>
        </w:rPr>
        <w:t>系统支持药师制定慢</w:t>
      </w:r>
      <w:r>
        <w:rPr>
          <w:rFonts w:hint="eastAsia" w:ascii="宋体" w:hAnsi="宋体" w:cs="宋体"/>
          <w:color w:val="000000" w:themeColor="text1"/>
          <w:sz w:val="24"/>
          <w14:textFill>
            <w14:solidFill>
              <w14:schemeClr w14:val="tx1"/>
            </w14:solidFill>
          </w14:textFill>
        </w:rPr>
        <w:t>性病长处方用药目录，明确哪些药物适用于</w:t>
      </w:r>
      <w:r>
        <w:rPr>
          <w:rFonts w:hint="eastAsia" w:cs="宋体"/>
          <w:color w:val="000000" w:themeColor="text1"/>
          <w:sz w:val="24"/>
          <w:lang w:val="en-US" w:eastAsia="zh-CN"/>
          <w14:textFill>
            <w14:solidFill>
              <w14:schemeClr w14:val="tx1"/>
            </w14:solidFill>
          </w14:textFill>
        </w:rPr>
        <w:t>慢病、特殊病</w:t>
      </w:r>
      <w:r>
        <w:rPr>
          <w:rFonts w:hint="eastAsia" w:ascii="宋体" w:hAnsi="宋体" w:cs="宋体"/>
          <w:color w:val="000000" w:themeColor="text1"/>
          <w:sz w:val="24"/>
          <w14:textFill>
            <w14:solidFill>
              <w14:schemeClr w14:val="tx1"/>
            </w14:solidFill>
          </w14:textFill>
        </w:rPr>
        <w:t>管理，以及相应的用药规则和符合的相关病种。</w:t>
      </w:r>
    </w:p>
    <w:p w14:paraId="374A9103">
      <w:pPr>
        <w:spacing w:line="360" w:lineRule="auto"/>
        <w:jc w:val="left"/>
        <w:outlineLvl w:val="9"/>
        <w:rPr>
          <w:rFonts w:hint="eastAsia" w:ascii="宋体" w:hAnsi="宋体" w:cs="宋体"/>
          <w:sz w:val="24"/>
        </w:rPr>
      </w:pPr>
      <w:r>
        <w:rPr>
          <w:rFonts w:hint="eastAsia" w:ascii="宋体" w:hAnsi="宋体" w:cs="宋体"/>
          <w:color w:val="000000" w:themeColor="text1"/>
          <w:sz w:val="24"/>
          <w14:textFill>
            <w14:solidFill>
              <w14:schemeClr w14:val="tx1"/>
            </w14:solidFill>
          </w14:textFill>
        </w:rPr>
        <w:t>6.2.2.系统支持审核慢病</w:t>
      </w:r>
      <w:r>
        <w:rPr>
          <w:rFonts w:hint="eastAsia" w:cs="宋体"/>
          <w:color w:val="000000" w:themeColor="text1"/>
          <w:sz w:val="24"/>
          <w:lang w:eastAsia="zh-CN"/>
          <w14:textFill>
            <w14:solidFill>
              <w14:schemeClr w14:val="tx1"/>
            </w14:solidFill>
          </w14:textFill>
        </w:rPr>
        <w:t>、</w:t>
      </w:r>
      <w:r>
        <w:rPr>
          <w:rFonts w:hint="eastAsia" w:cs="宋体"/>
          <w:color w:val="000000" w:themeColor="text1"/>
          <w:sz w:val="24"/>
          <w:lang w:val="en-US" w:eastAsia="zh-CN"/>
          <w14:textFill>
            <w14:solidFill>
              <w14:schemeClr w14:val="tx1"/>
            </w14:solidFill>
          </w14:textFill>
        </w:rPr>
        <w:t>特殊病</w:t>
      </w:r>
      <w:r>
        <w:rPr>
          <w:rFonts w:hint="eastAsia" w:ascii="宋体" w:hAnsi="宋体" w:cs="宋体"/>
          <w:color w:val="000000" w:themeColor="text1"/>
          <w:sz w:val="24"/>
          <w14:textFill>
            <w14:solidFill>
              <w14:schemeClr w14:val="tx1"/>
            </w14:solidFill>
          </w14:textFill>
        </w:rPr>
        <w:t>处方用药天数不超过</w:t>
      </w:r>
      <w:r>
        <w:rPr>
          <w:rFonts w:hint="eastAsia"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个月，并按照医嘱计算患者使用完毕前不能再次开慢病</w:t>
      </w:r>
      <w:r>
        <w:rPr>
          <w:rFonts w:hint="eastAsia" w:cs="宋体"/>
          <w:color w:val="000000" w:themeColor="text1"/>
          <w:sz w:val="24"/>
          <w:lang w:eastAsia="zh-CN"/>
          <w14:textFill>
            <w14:solidFill>
              <w14:schemeClr w14:val="tx1"/>
            </w14:solidFill>
          </w14:textFill>
        </w:rPr>
        <w:t>、</w:t>
      </w:r>
      <w:r>
        <w:rPr>
          <w:rFonts w:hint="eastAsia" w:cs="宋体"/>
          <w:color w:val="000000" w:themeColor="text1"/>
          <w:sz w:val="24"/>
          <w:lang w:val="en-US" w:eastAsia="zh-CN"/>
          <w14:textFill>
            <w14:solidFill>
              <w14:schemeClr w14:val="tx1"/>
            </w14:solidFill>
          </w14:textFill>
        </w:rPr>
        <w:t>特殊病</w:t>
      </w:r>
      <w:r>
        <w:rPr>
          <w:rFonts w:hint="eastAsia" w:ascii="宋体" w:hAnsi="宋体" w:cs="宋体"/>
          <w:color w:val="000000" w:themeColor="text1"/>
          <w:sz w:val="24"/>
          <w14:textFill>
            <w14:solidFill>
              <w14:schemeClr w14:val="tx1"/>
            </w14:solidFill>
          </w14:textFill>
        </w:rPr>
        <w:t>处方</w:t>
      </w:r>
      <w:r>
        <w:rPr>
          <w:rFonts w:hint="eastAsia" w:ascii="宋体" w:hAnsi="宋体" w:cs="宋体"/>
          <w:sz w:val="24"/>
        </w:rPr>
        <w:t>。</w:t>
      </w:r>
    </w:p>
    <w:p w14:paraId="771DE67D">
      <w:pPr>
        <w:pStyle w:val="44"/>
        <w:numPr>
          <w:ilvl w:val="0"/>
          <w:numId w:val="0"/>
        </w:numPr>
        <w:spacing w:line="360" w:lineRule="auto"/>
        <w:jc w:val="left"/>
        <w:outlineLvl w:val="9"/>
        <w:rPr>
          <w:rFonts w:hint="eastAsia" w:ascii="宋体" w:hAnsi="宋体" w:eastAsia="宋体" w:cs="宋体"/>
          <w:b/>
          <w:bCs/>
          <w:sz w:val="24"/>
          <w:szCs w:val="24"/>
        </w:rPr>
      </w:pPr>
      <w:r>
        <w:rPr>
          <w:rFonts w:hint="eastAsia" w:ascii="宋体" w:hAnsi="宋体" w:eastAsia="宋体" w:cs="宋体"/>
          <w:b/>
          <w:bCs/>
          <w:sz w:val="24"/>
          <w:szCs w:val="24"/>
        </w:rPr>
        <w:t>七、抗菌药物管理</w:t>
      </w:r>
    </w:p>
    <w:p w14:paraId="27E16A1C">
      <w:pPr>
        <w:spacing w:line="360" w:lineRule="auto"/>
        <w:jc w:val="left"/>
        <w:outlineLvl w:val="9"/>
        <w:rPr>
          <w:rFonts w:hint="eastAsia" w:ascii="宋体" w:hAnsi="宋体" w:cs="宋体"/>
          <w:b/>
          <w:bCs/>
          <w:sz w:val="24"/>
        </w:rPr>
      </w:pPr>
      <w:r>
        <w:rPr>
          <w:rFonts w:hint="eastAsia" w:ascii="宋体" w:hAnsi="宋体" w:cs="宋体"/>
          <w:b/>
          <w:bCs/>
          <w:sz w:val="24"/>
        </w:rPr>
        <w:t>7.1.抗菌药物目录分级管理</w:t>
      </w:r>
    </w:p>
    <w:p w14:paraId="2AB27FEC">
      <w:pPr>
        <w:spacing w:line="360" w:lineRule="auto"/>
        <w:jc w:val="left"/>
        <w:outlineLvl w:val="9"/>
        <w:rPr>
          <w:rFonts w:hint="eastAsia" w:ascii="宋体" w:hAnsi="宋体" w:cs="宋体"/>
          <w:sz w:val="24"/>
        </w:rPr>
      </w:pPr>
      <w:r>
        <w:rPr>
          <w:rFonts w:hint="eastAsia" w:ascii="宋体" w:hAnsi="宋体" w:cs="宋体"/>
          <w:sz w:val="24"/>
        </w:rPr>
        <w:t>7.1.1.系统支持根据抗菌药物使用管理要求，建立抗菌药物目录库，对抗菌药品进行列表管理。</w:t>
      </w:r>
    </w:p>
    <w:p w14:paraId="1D13927B">
      <w:pPr>
        <w:spacing w:line="360" w:lineRule="auto"/>
        <w:jc w:val="left"/>
        <w:outlineLvl w:val="9"/>
        <w:rPr>
          <w:rFonts w:hint="eastAsia" w:ascii="宋体" w:hAnsi="宋体" w:cs="宋体"/>
          <w:sz w:val="24"/>
        </w:rPr>
      </w:pPr>
      <w:r>
        <w:rPr>
          <w:rFonts w:hint="eastAsia" w:ascii="宋体" w:hAnsi="宋体" w:cs="宋体"/>
          <w:sz w:val="24"/>
        </w:rPr>
        <w:t>7.1.2.系统提供按非限制使用级、限制使用级、特殊使用级对抗菌药品进行分级目录管理。</w:t>
      </w:r>
    </w:p>
    <w:p w14:paraId="533436EC">
      <w:pPr>
        <w:spacing w:line="360" w:lineRule="auto"/>
        <w:jc w:val="left"/>
        <w:outlineLvl w:val="9"/>
        <w:rPr>
          <w:rFonts w:hint="eastAsia" w:ascii="宋体" w:hAnsi="宋体" w:cs="宋体"/>
          <w:sz w:val="24"/>
        </w:rPr>
      </w:pPr>
      <w:r>
        <w:rPr>
          <w:rFonts w:hint="eastAsia" w:ascii="宋体" w:hAnsi="宋体" w:cs="宋体"/>
          <w:b/>
          <w:bCs/>
          <w:sz w:val="24"/>
        </w:rPr>
        <w:t>7.2.抗菌药物处方权限管理</w:t>
      </w:r>
    </w:p>
    <w:p w14:paraId="5A05F968">
      <w:pPr>
        <w:spacing w:line="360" w:lineRule="auto"/>
        <w:jc w:val="left"/>
        <w:outlineLvl w:val="9"/>
        <w:rPr>
          <w:rFonts w:hint="eastAsia" w:ascii="宋体" w:hAnsi="宋体" w:cs="宋体"/>
          <w:sz w:val="24"/>
        </w:rPr>
      </w:pPr>
      <w:r>
        <w:rPr>
          <w:rFonts w:hint="eastAsia" w:ascii="宋体" w:hAnsi="宋体" w:cs="宋体"/>
          <w:sz w:val="24"/>
        </w:rPr>
        <w:t>7.2.1.系统支持卫健局统一对全区医生进行抗菌药物分级权限管理设置，平台对医生的抗菌药物处方权限进行管理，将抗菌药物的处方权限定在合格的医生范围内。</w:t>
      </w:r>
    </w:p>
    <w:p w14:paraId="40A03691">
      <w:pPr>
        <w:spacing w:line="360" w:lineRule="auto"/>
        <w:jc w:val="left"/>
        <w:outlineLvl w:val="9"/>
        <w:rPr>
          <w:rFonts w:hint="eastAsia" w:ascii="宋体" w:hAnsi="宋体" w:cs="宋体"/>
          <w:sz w:val="24"/>
        </w:rPr>
      </w:pPr>
      <w:r>
        <w:rPr>
          <w:rFonts w:hint="eastAsia" w:ascii="宋体" w:hAnsi="宋体" w:cs="宋体"/>
          <w:b/>
          <w:bCs/>
          <w:sz w:val="24"/>
        </w:rPr>
        <w:t>7.3.抗菌药物使用统计分析</w:t>
      </w:r>
    </w:p>
    <w:p w14:paraId="411869BC">
      <w:pPr>
        <w:spacing w:line="360" w:lineRule="auto"/>
        <w:jc w:val="left"/>
        <w:outlineLvl w:val="9"/>
        <w:rPr>
          <w:rFonts w:hint="eastAsia" w:ascii="宋体" w:hAnsi="宋体" w:cs="宋体"/>
          <w:sz w:val="24"/>
        </w:rPr>
      </w:pPr>
      <w:r>
        <w:rPr>
          <w:rFonts w:hint="eastAsia" w:ascii="宋体" w:hAnsi="宋体" w:cs="宋体"/>
          <w:sz w:val="24"/>
        </w:rPr>
        <w:t>7.3.1.系统支持对所有医疗机构进行多维度的抗菌药物的统计分析功能，基于医院、科室、医生、品种等不同维度进行全面精准的抗菌药物的数据分析。支持设置监测预警功能。相关统计报表统计功能如下：</w:t>
      </w:r>
    </w:p>
    <w:p w14:paraId="5D062EAB">
      <w:pPr>
        <w:spacing w:line="360" w:lineRule="auto"/>
        <w:ind w:left="480" w:leftChars="200"/>
        <w:jc w:val="left"/>
        <w:outlineLvl w:val="9"/>
        <w:rPr>
          <w:rFonts w:hint="eastAsia" w:ascii="宋体" w:hAnsi="宋体" w:cs="宋体"/>
          <w:sz w:val="24"/>
        </w:rPr>
      </w:pPr>
      <w:r>
        <w:rPr>
          <w:rFonts w:hint="eastAsia" w:ascii="宋体" w:hAnsi="宋体" w:cs="宋体"/>
          <w:sz w:val="24"/>
        </w:rPr>
        <w:t>a) 院科两级抗菌药物使用强度及使用量统计;</w:t>
      </w:r>
    </w:p>
    <w:p w14:paraId="3609BA16">
      <w:pPr>
        <w:spacing w:line="360" w:lineRule="auto"/>
        <w:ind w:left="480" w:leftChars="200"/>
        <w:jc w:val="left"/>
        <w:outlineLvl w:val="9"/>
        <w:rPr>
          <w:rFonts w:hint="eastAsia" w:ascii="宋体" w:hAnsi="宋体" w:cs="宋体"/>
          <w:sz w:val="24"/>
        </w:rPr>
      </w:pPr>
      <w:r>
        <w:rPr>
          <w:rFonts w:hint="eastAsia" w:ascii="宋体" w:hAnsi="宋体" w:cs="宋体"/>
          <w:sz w:val="24"/>
        </w:rPr>
        <w:t>c) 住院抗菌药物指标（科室统计）;</w:t>
      </w:r>
    </w:p>
    <w:p w14:paraId="4B83F515">
      <w:pPr>
        <w:spacing w:line="360" w:lineRule="auto"/>
        <w:ind w:left="480" w:leftChars="200"/>
        <w:jc w:val="left"/>
        <w:outlineLvl w:val="9"/>
        <w:rPr>
          <w:rFonts w:hint="eastAsia" w:ascii="宋体" w:hAnsi="宋体" w:cs="宋体"/>
          <w:sz w:val="24"/>
        </w:rPr>
      </w:pPr>
      <w:r>
        <w:rPr>
          <w:rFonts w:hint="eastAsia" w:ascii="宋体" w:hAnsi="宋体" w:cs="宋体"/>
          <w:sz w:val="24"/>
        </w:rPr>
        <w:t>d) 门急诊抗菌药物使用比例;</w:t>
      </w:r>
    </w:p>
    <w:p w14:paraId="4A948EC2">
      <w:pPr>
        <w:pStyle w:val="44"/>
        <w:numPr>
          <w:ilvl w:val="0"/>
          <w:numId w:val="0"/>
        </w:numPr>
        <w:spacing w:line="360" w:lineRule="auto"/>
        <w:jc w:val="left"/>
        <w:outlineLvl w:val="9"/>
        <w:rPr>
          <w:rFonts w:hint="eastAsia" w:ascii="宋体" w:hAnsi="宋体" w:eastAsia="宋体" w:cs="宋体"/>
          <w:b/>
          <w:bCs/>
          <w:sz w:val="24"/>
          <w:szCs w:val="24"/>
        </w:rPr>
      </w:pPr>
      <w:r>
        <w:rPr>
          <w:rFonts w:hint="eastAsia" w:ascii="宋体" w:hAnsi="宋体" w:eastAsia="宋体" w:cs="宋体"/>
          <w:b/>
          <w:bCs/>
          <w:sz w:val="24"/>
          <w:szCs w:val="24"/>
        </w:rPr>
        <w:t>八、基本药物管理</w:t>
      </w:r>
    </w:p>
    <w:p w14:paraId="0DFE341C">
      <w:pPr>
        <w:spacing w:line="360" w:lineRule="auto"/>
        <w:jc w:val="left"/>
        <w:outlineLvl w:val="9"/>
        <w:rPr>
          <w:rFonts w:hint="eastAsia" w:ascii="宋体" w:hAnsi="宋体" w:cs="宋体"/>
          <w:b/>
          <w:bCs/>
          <w:sz w:val="24"/>
        </w:rPr>
      </w:pPr>
      <w:r>
        <w:rPr>
          <w:rFonts w:hint="eastAsia" w:ascii="宋体" w:hAnsi="宋体" w:cs="宋体"/>
          <w:b/>
          <w:bCs/>
          <w:sz w:val="24"/>
        </w:rPr>
        <w:t>8.1.基本药物目录管理</w:t>
      </w:r>
    </w:p>
    <w:p w14:paraId="0D61986F">
      <w:pPr>
        <w:spacing w:line="360" w:lineRule="auto"/>
        <w:jc w:val="left"/>
        <w:outlineLvl w:val="9"/>
        <w:rPr>
          <w:rFonts w:hint="eastAsia" w:ascii="宋体" w:hAnsi="宋体" w:cs="宋体"/>
          <w:sz w:val="24"/>
        </w:rPr>
      </w:pPr>
      <w:r>
        <w:rPr>
          <w:rFonts w:hint="eastAsia" w:ascii="宋体" w:hAnsi="宋体" w:cs="宋体"/>
          <w:sz w:val="24"/>
        </w:rPr>
        <w:t>8.1.1.系统支持根据国家基本药物目录，建立基本药物目录库，对基本药物药品进行列表管理。</w:t>
      </w:r>
    </w:p>
    <w:p w14:paraId="3A281CFC">
      <w:pPr>
        <w:spacing w:line="360" w:lineRule="auto"/>
        <w:jc w:val="left"/>
        <w:outlineLvl w:val="9"/>
        <w:rPr>
          <w:rFonts w:hint="eastAsia" w:ascii="宋体" w:hAnsi="宋体" w:cs="宋体"/>
          <w:b/>
          <w:bCs/>
          <w:sz w:val="24"/>
        </w:rPr>
      </w:pPr>
      <w:r>
        <w:rPr>
          <w:rFonts w:hint="eastAsia" w:ascii="宋体" w:hAnsi="宋体" w:cs="宋体"/>
          <w:b/>
          <w:bCs/>
          <w:sz w:val="24"/>
        </w:rPr>
        <w:t>8.2.基本药物使用统计分析</w:t>
      </w:r>
    </w:p>
    <w:p w14:paraId="2FFBFA6C">
      <w:pPr>
        <w:spacing w:line="360" w:lineRule="auto"/>
        <w:jc w:val="left"/>
        <w:outlineLvl w:val="9"/>
        <w:rPr>
          <w:rFonts w:hint="eastAsia" w:ascii="宋体" w:hAnsi="宋体" w:cs="宋体"/>
          <w:sz w:val="24"/>
        </w:rPr>
      </w:pPr>
      <w:r>
        <w:rPr>
          <w:rFonts w:hint="eastAsia" w:ascii="宋体" w:hAnsi="宋体" w:cs="宋体"/>
          <w:sz w:val="24"/>
        </w:rPr>
        <w:t>8.2.1.系统支持基本药物使用金额，费用等进行全面的分析统计。相关分析指标如下：</w:t>
      </w:r>
    </w:p>
    <w:p w14:paraId="244CCDE5">
      <w:pPr>
        <w:numPr>
          <w:ilvl w:val="0"/>
          <w:numId w:val="9"/>
        </w:numPr>
        <w:spacing w:line="360" w:lineRule="auto"/>
        <w:ind w:left="480" w:leftChars="200"/>
        <w:jc w:val="left"/>
        <w:outlineLvl w:val="9"/>
        <w:rPr>
          <w:rFonts w:hint="eastAsia" w:ascii="宋体" w:hAnsi="宋体" w:cs="宋体"/>
          <w:sz w:val="24"/>
        </w:rPr>
      </w:pPr>
      <w:r>
        <w:rPr>
          <w:rFonts w:hint="eastAsia" w:ascii="宋体" w:hAnsi="宋体" w:cs="宋体"/>
          <w:sz w:val="24"/>
        </w:rPr>
        <w:t>基本药物使用品种数占比;</w:t>
      </w:r>
    </w:p>
    <w:p w14:paraId="09CFF176">
      <w:pPr>
        <w:numPr>
          <w:ilvl w:val="0"/>
          <w:numId w:val="9"/>
        </w:numPr>
        <w:spacing w:line="360" w:lineRule="auto"/>
        <w:ind w:left="480" w:leftChars="200"/>
        <w:jc w:val="left"/>
        <w:outlineLvl w:val="9"/>
        <w:rPr>
          <w:rFonts w:hint="eastAsia" w:ascii="宋体" w:hAnsi="宋体" w:cs="宋体"/>
          <w:sz w:val="24"/>
        </w:rPr>
      </w:pPr>
      <w:r>
        <w:rPr>
          <w:rFonts w:hint="eastAsia" w:ascii="宋体" w:hAnsi="宋体" w:cs="宋体"/>
          <w:sz w:val="24"/>
        </w:rPr>
        <w:t>基本药物消耗金额占比</w:t>
      </w:r>
    </w:p>
    <w:p w14:paraId="5BA3DCEC">
      <w:pPr>
        <w:spacing w:line="360" w:lineRule="auto"/>
        <w:jc w:val="left"/>
        <w:outlineLvl w:val="9"/>
        <w:rPr>
          <w:rFonts w:hint="eastAsia" w:ascii="宋体" w:hAnsi="宋体" w:cs="宋体"/>
          <w:b/>
          <w:bCs/>
          <w:sz w:val="24"/>
        </w:rPr>
      </w:pPr>
      <w:r>
        <w:rPr>
          <w:rFonts w:hint="eastAsia" w:ascii="宋体" w:hAnsi="宋体" w:cs="宋体"/>
          <w:b/>
          <w:bCs/>
          <w:sz w:val="24"/>
        </w:rPr>
        <w:t>九、临床药学知识库</w:t>
      </w:r>
    </w:p>
    <w:p w14:paraId="7BA75849">
      <w:pPr>
        <w:spacing w:line="360" w:lineRule="auto"/>
        <w:jc w:val="left"/>
        <w:outlineLvl w:val="9"/>
        <w:rPr>
          <w:rFonts w:hint="eastAsia" w:ascii="宋体" w:hAnsi="宋体" w:cs="宋体"/>
          <w:sz w:val="24"/>
        </w:rPr>
      </w:pPr>
      <w:r>
        <w:rPr>
          <w:rFonts w:hint="eastAsia" w:ascii="宋体" w:hAnsi="宋体" w:cs="宋体"/>
          <w:sz w:val="24"/>
        </w:rPr>
        <w:t>9.1.药品说明书：系统提供国家药品监督管理局批准的厂家药品说明书，还提供高级检索的功能。</w:t>
      </w:r>
    </w:p>
    <w:p w14:paraId="0C1BD0F9">
      <w:pPr>
        <w:spacing w:line="360" w:lineRule="auto"/>
        <w:jc w:val="left"/>
        <w:outlineLvl w:val="9"/>
        <w:rPr>
          <w:rFonts w:hint="eastAsia" w:ascii="宋体" w:hAnsi="宋体" w:cs="宋体"/>
          <w:sz w:val="24"/>
        </w:rPr>
      </w:pPr>
      <w:r>
        <w:rPr>
          <w:rFonts w:hint="eastAsia" w:ascii="宋体" w:hAnsi="宋体" w:cs="宋体"/>
          <w:sz w:val="24"/>
        </w:rPr>
        <w:t>9.2.用药指南：提供国内外的卫生监管机构发布的诊疗指南，应涵盖疾病诊断、治疗、预防、护理等方面的指南、规范、共识、解读等。</w:t>
      </w:r>
    </w:p>
    <w:p w14:paraId="566940F5">
      <w:pPr>
        <w:spacing w:line="360" w:lineRule="auto"/>
        <w:jc w:val="left"/>
        <w:outlineLvl w:val="9"/>
        <w:rPr>
          <w:rFonts w:hint="eastAsia" w:ascii="宋体" w:hAnsi="宋体" w:cs="宋体"/>
          <w:sz w:val="24"/>
        </w:rPr>
      </w:pPr>
      <w:r>
        <w:rPr>
          <w:rFonts w:hint="eastAsia" w:ascii="宋体" w:hAnsi="宋体" w:cs="宋体"/>
          <w:sz w:val="24"/>
        </w:rPr>
        <w:t>9.3.药品基本信息：提供国家药品监督管理局批准上区药品的信息，包括药品的通用名、商品名、剂型、规格、批准文号/药品编码、生产厂家，并标注基本药物、社保品种、OTC药物、兴奋药品、精神类药品、麻醉类药品。可查询药品生产企业获批生产的药品信息，并可查看药品说明书。</w:t>
      </w:r>
    </w:p>
    <w:p w14:paraId="70FC1B8C">
      <w:pPr>
        <w:numPr>
          <w:ilvl w:val="0"/>
          <w:numId w:val="0"/>
        </w:numPr>
        <w:outlineLvl w:val="9"/>
        <w:rPr>
          <w:rFonts w:hint="eastAsia" w:ascii="宋体" w:hAnsi="宋体" w:cs="宋体"/>
          <w:sz w:val="24"/>
        </w:rPr>
      </w:pPr>
      <w:r>
        <w:rPr>
          <w:rFonts w:hint="eastAsia" w:ascii="宋体" w:hAnsi="宋体" w:cs="宋体"/>
          <w:sz w:val="24"/>
        </w:rPr>
        <w:t>9.4.定期更新，根据医院需要，随时进行数据更新。</w:t>
      </w:r>
    </w:p>
    <w:p w14:paraId="4A3DF1D9">
      <w:pPr>
        <w:spacing w:line="360" w:lineRule="auto"/>
        <w:ind w:firstLine="241" w:firstLineChars="1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药事管理中心</w:t>
      </w:r>
    </w:p>
    <w:p w14:paraId="145133DE">
      <w:pPr>
        <w:spacing w:line="360" w:lineRule="auto"/>
        <w:jc w:val="left"/>
        <w:rPr>
          <w:rFonts w:hint="eastAsia" w:ascii="宋体" w:hAnsi="宋体" w:cs="宋体"/>
          <w:b/>
          <w:bCs/>
          <w:sz w:val="24"/>
        </w:rPr>
      </w:pPr>
      <w:r>
        <w:rPr>
          <w:rFonts w:hint="eastAsia" w:ascii="宋体" w:hAnsi="宋体" w:cs="宋体"/>
          <w:b/>
          <w:bCs/>
          <w:sz w:val="24"/>
        </w:rPr>
        <w:t>十、医疗机构管理</w:t>
      </w:r>
    </w:p>
    <w:p w14:paraId="46ED04D5">
      <w:pPr>
        <w:spacing w:line="360" w:lineRule="auto"/>
        <w:jc w:val="left"/>
        <w:rPr>
          <w:rFonts w:hint="eastAsia" w:ascii="宋体" w:hAnsi="宋体" w:cs="宋体"/>
          <w:sz w:val="24"/>
        </w:rPr>
      </w:pPr>
      <w:r>
        <w:rPr>
          <w:rFonts w:hint="eastAsia" w:ascii="宋体" w:hAnsi="宋体" w:cs="宋体"/>
          <w:sz w:val="24"/>
        </w:rPr>
        <w:t>10.1.组织分层管理：系统支持组织层级和单位的创建，如按县区、各镇、各村等，将各辖区医院、卫生室进行权限分配，体现区、镇、村三级管理。</w:t>
      </w:r>
    </w:p>
    <w:p w14:paraId="7EC3339A">
      <w:pPr>
        <w:spacing w:line="360" w:lineRule="auto"/>
        <w:rPr>
          <w:rFonts w:hint="eastAsia" w:ascii="宋体" w:hAnsi="宋体" w:cs="宋体"/>
          <w:sz w:val="24"/>
        </w:rPr>
      </w:pPr>
      <w:r>
        <w:rPr>
          <w:rFonts w:hint="eastAsia" w:ascii="宋体" w:hAnsi="宋体" w:cs="宋体"/>
          <w:sz w:val="24"/>
        </w:rPr>
        <w:t>10.2.组织人员管理：系统提供人员与组织单位的关联功能，确保每个人员都归属于一个或多个组织单位。</w:t>
      </w:r>
    </w:p>
    <w:p w14:paraId="13431ADB">
      <w:pPr>
        <w:spacing w:line="360" w:lineRule="auto"/>
        <w:rPr>
          <w:rFonts w:hint="eastAsia" w:ascii="宋体" w:hAnsi="宋体" w:cs="宋体"/>
          <w:sz w:val="24"/>
        </w:rPr>
      </w:pPr>
      <w:r>
        <w:rPr>
          <w:rFonts w:hint="eastAsia" w:ascii="宋体" w:hAnsi="宋体" w:cs="宋体"/>
          <w:sz w:val="24"/>
        </w:rPr>
        <w:t>10.3.人员权限管理：系统支持人员角色的定义和分配，如普通员工、部门主管、单位领导等。定义各角色数据范围权限，如某个角色只能查看其所在组织单位或下属单位的数据。</w:t>
      </w:r>
    </w:p>
    <w:p w14:paraId="14577024">
      <w:pPr>
        <w:spacing w:line="360" w:lineRule="auto"/>
        <w:rPr>
          <w:rFonts w:hint="eastAsia" w:ascii="宋体" w:hAnsi="宋体" w:cs="宋体"/>
          <w:sz w:val="24"/>
        </w:rPr>
      </w:pPr>
      <w:r>
        <w:rPr>
          <w:rFonts w:hint="eastAsia" w:ascii="宋体" w:hAnsi="宋体" w:cs="宋体"/>
          <w:sz w:val="24"/>
        </w:rPr>
        <w:t>10.4.敏感信息保护：系统支持对敏感数据访问的限制和记录查询功能。</w:t>
      </w:r>
    </w:p>
    <w:p w14:paraId="15D008E5">
      <w:pPr>
        <w:spacing w:line="360" w:lineRule="auto"/>
        <w:jc w:val="left"/>
        <w:rPr>
          <w:rFonts w:hint="eastAsia" w:ascii="宋体" w:hAnsi="宋体" w:cs="宋体"/>
          <w:sz w:val="24"/>
        </w:rPr>
      </w:pPr>
      <w:r>
        <w:rPr>
          <w:rFonts w:hint="eastAsia" w:ascii="宋体" w:hAnsi="宋体" w:cs="宋体"/>
          <w:sz w:val="24"/>
        </w:rPr>
        <w:t>十一、管理中心门户</w:t>
      </w:r>
    </w:p>
    <w:p w14:paraId="0AD803A6">
      <w:pPr>
        <w:spacing w:line="360" w:lineRule="auto"/>
        <w:jc w:val="left"/>
        <w:rPr>
          <w:rFonts w:hint="eastAsia" w:ascii="宋体" w:hAnsi="宋体" w:cs="宋体"/>
          <w:sz w:val="24"/>
        </w:rPr>
      </w:pPr>
      <w:r>
        <w:rPr>
          <w:rFonts w:hint="eastAsia" w:ascii="宋体" w:hAnsi="宋体" w:cs="宋体"/>
          <w:sz w:val="24"/>
        </w:rPr>
        <w:t>11.1. ▲层级管理：系统提供直观的树形图导航界面，展示各管理部门层级及下属单位的层级关系。</w:t>
      </w:r>
    </w:p>
    <w:p w14:paraId="668657CC">
      <w:pPr>
        <w:spacing w:line="360" w:lineRule="auto"/>
        <w:jc w:val="left"/>
        <w:rPr>
          <w:rFonts w:hint="eastAsia" w:ascii="宋体" w:hAnsi="宋体" w:cs="宋体"/>
          <w:sz w:val="24"/>
        </w:rPr>
      </w:pPr>
      <w:r>
        <w:rPr>
          <w:rFonts w:hint="eastAsia" w:ascii="宋体" w:hAnsi="宋体" w:cs="宋体"/>
          <w:sz w:val="24"/>
        </w:rPr>
        <w:t>11.2. ▲门户导航：系统支持组织单位的树形结构展示，便于管理人员快速定位到所需单位，查看该单位和同层级的各类关键数据的统计和同层级横向对比。</w:t>
      </w:r>
    </w:p>
    <w:p w14:paraId="1CEC1CB8">
      <w:pPr>
        <w:spacing w:line="360" w:lineRule="auto"/>
        <w:jc w:val="left"/>
        <w:rPr>
          <w:rFonts w:hint="eastAsia" w:ascii="宋体" w:hAnsi="宋体" w:cs="宋体"/>
          <w:sz w:val="24"/>
        </w:rPr>
      </w:pPr>
      <w:r>
        <w:rPr>
          <w:rFonts w:hint="eastAsia" w:ascii="宋体" w:hAnsi="宋体" w:cs="宋体"/>
          <w:sz w:val="24"/>
        </w:rPr>
        <w:t>11.3. ▲信息公布：系统门户提供给管理单位发布公告、发布新闻动态、发布政策法规等信息的发布功能，方便各医院在线访问获取信息。</w:t>
      </w:r>
    </w:p>
    <w:p w14:paraId="20669DBF">
      <w:pPr>
        <w:spacing w:line="360" w:lineRule="auto"/>
        <w:jc w:val="left"/>
        <w:rPr>
          <w:rFonts w:hint="eastAsia" w:ascii="宋体" w:hAnsi="宋体" w:cs="宋体"/>
          <w:b/>
          <w:bCs/>
          <w:sz w:val="24"/>
        </w:rPr>
      </w:pPr>
      <w:r>
        <w:rPr>
          <w:rFonts w:hint="eastAsia" w:ascii="宋体" w:hAnsi="宋体" w:cs="宋体"/>
          <w:b/>
          <w:bCs/>
          <w:sz w:val="24"/>
        </w:rPr>
        <w:t>十二、区域审方中心分析</w:t>
      </w:r>
    </w:p>
    <w:p w14:paraId="72732127">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.1.审方合理率趋势分析：系统以系统审核通过率为指标，体现处方合理性、医院处方质量，以日期为维度展示系统上线后审方合理性的发展趋势。</w:t>
      </w:r>
    </w:p>
    <w:p w14:paraId="20524AB9">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.2.审方行为趋势分析：系统分析系统审方情况，即审核不通过后，通过医生对处方进行双签、修改等动作知晓医生倾向，从而加强管理要求和宣导，并以日期为维度展示系统上线后医生依从性的发展趋势。</w:t>
      </w:r>
    </w:p>
    <w:p w14:paraId="2DF47AA9">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.3.不合理问题汇总：系统可以根据多种维度统计系统智能审核结果，按不合理问题汇总，并提供不合理问题明细数据，方便定位规则触发的原因和针对性提升医生的处方质量。</w:t>
      </w:r>
    </w:p>
    <w:p w14:paraId="43BBBD1B">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.4.医生不合理问题分析：以医生为维度统计，不合理处方的审核结果。按不合理问题类型汇总，并提供不合理明细数据，方便定位规则触发的原因和针对性改善医生行为的数据证明。</w:t>
      </w:r>
    </w:p>
    <w:p w14:paraId="76BDB6C9">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.5.药师工作量统计：系统可以根据多种维度对药师审核处方数进行统计，并生成报表，并支持以管理趋势去看，药师人工审核率是否有提升。</w:t>
      </w:r>
    </w:p>
    <w:p w14:paraId="09EE2198">
      <w:pPr>
        <w:spacing w:line="360" w:lineRule="auto"/>
        <w:jc w:val="left"/>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12.6</w:t>
      </w:r>
      <w:r>
        <w:rPr>
          <w:rFonts w:hint="eastAsia" w:ascii="宋体" w:hAnsi="宋体" w:cs="宋体"/>
          <w:color w:val="000000" w:themeColor="text1"/>
          <w:sz w:val="24"/>
          <w14:textFill>
            <w14:solidFill>
              <w14:schemeClr w14:val="tx1"/>
            </w14:solidFill>
          </w14:textFill>
        </w:rPr>
        <w:t>药师人工审核</w:t>
      </w:r>
      <w:r>
        <w:rPr>
          <w:rFonts w:hint="eastAsia" w:cs="宋体"/>
          <w:color w:val="000000" w:themeColor="text1"/>
          <w:sz w:val="24"/>
          <w:lang w:val="en-US" w:eastAsia="zh-CN"/>
          <w14:textFill>
            <w14:solidFill>
              <w14:schemeClr w14:val="tx1"/>
            </w14:solidFill>
          </w14:textFill>
        </w:rPr>
        <w:t>结果质控：系统支持上级药师对下级药师审方结果进行评价。</w:t>
      </w:r>
    </w:p>
    <w:p w14:paraId="476E80EB">
      <w:pPr>
        <w:spacing w:line="360" w:lineRule="auto"/>
        <w:jc w:val="left"/>
        <w:rPr>
          <w:rFonts w:hint="eastAsia" w:ascii="宋体" w:hAnsi="宋体" w:cs="宋体"/>
          <w:b/>
          <w:bCs/>
          <w:sz w:val="24"/>
        </w:rPr>
      </w:pPr>
      <w:r>
        <w:rPr>
          <w:rFonts w:hint="eastAsia" w:ascii="宋体" w:hAnsi="宋体" w:cs="宋体"/>
          <w:b/>
          <w:bCs/>
          <w:sz w:val="24"/>
        </w:rPr>
        <w:t>十三、区域审方中心大屏</w:t>
      </w:r>
    </w:p>
    <w:p w14:paraId="56DEC895">
      <w:pPr>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1.提供全区决策分析大屏，智能分析全区医疗机构的各类药事质控数据，审方中心预警监测数据，各类趋势分析数据。通过决策中心可实时查看全区医疗机构的审方动态，行为数据，质控数据。动态监控指标并预警。</w:t>
      </w:r>
    </w:p>
    <w:p w14:paraId="294346A8">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.2.提供区域审方中心数据座舱决策大屏，动态加载本区域地图，以地图为坐标，实时提供每家医疗机构的处方审核率、处方合格率数据，实时展现总审核处方数、今日处方审核数、实时处方合格率数据。</w:t>
      </w:r>
    </w:p>
    <w:p w14:paraId="5D1B13B9">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.3.提供不合理处方问题汇总分析数据，以三维图形再现处方不合理问题图表。</w:t>
      </w:r>
    </w:p>
    <w:p w14:paraId="408485C6">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.4.动态呈现区域审方中心内所有医疗机构处方合格率变化趋势，以动态趋势图反映全区合理用药发展形势。</w:t>
      </w:r>
    </w:p>
    <w:p w14:paraId="621ECECA">
      <w:pPr>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.5.实时监测医院、医生不合理处方问题的动态列表，对问题极为突出医生展开重点监控预警。</w:t>
      </w:r>
    </w:p>
    <w:p w14:paraId="0CB3F24E">
      <w:pPr>
        <w:pStyle w:val="72"/>
        <w:ind w:firstLine="0" w:firstLineChars="0"/>
        <w:jc w:val="left"/>
        <w:rPr>
          <w:rFonts w:hint="eastAsia" w:ascii="宋体" w:eastAsia="宋体" w:cs="宋体"/>
          <w:b/>
          <w:bCs/>
        </w:rPr>
      </w:pPr>
      <w:r>
        <w:rPr>
          <w:rFonts w:hint="eastAsia" w:ascii="宋体" w:eastAsia="宋体" w:cs="宋体"/>
          <w:b/>
          <w:bCs/>
        </w:rPr>
        <w:t>十</w:t>
      </w:r>
      <w:r>
        <w:rPr>
          <w:rFonts w:hint="eastAsia" w:ascii="宋体" w:eastAsia="宋体" w:cs="宋体"/>
          <w:b/>
          <w:bCs/>
          <w:lang w:val="en-US" w:eastAsia="zh-CN"/>
        </w:rPr>
        <w:t>四</w:t>
      </w:r>
      <w:r>
        <w:rPr>
          <w:rFonts w:hint="eastAsia" w:ascii="宋体" w:eastAsia="宋体" w:cs="宋体"/>
          <w:b/>
          <w:bCs/>
        </w:rPr>
        <w:t>、区域医疗机构系统接入</w:t>
      </w:r>
    </w:p>
    <w:p w14:paraId="610D445B">
      <w:pPr>
        <w:pStyle w:val="72"/>
        <w:ind w:firstLine="0" w:firstLineChars="0"/>
        <w:jc w:val="left"/>
        <w:rPr>
          <w:rFonts w:hint="eastAsia" w:ascii="宋体" w:eastAsia="宋体" w:cs="宋体"/>
          <w:color w:val="FF0000"/>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4</w:t>
      </w:r>
      <w:r>
        <w:rPr>
          <w:rFonts w:hint="eastAsia" w:ascii="宋体" w:eastAsia="宋体" w:cs="宋体"/>
          <w:color w:val="000000" w:themeColor="text1"/>
          <w14:textFill>
            <w14:solidFill>
              <w14:schemeClr w14:val="tx1"/>
            </w14:solidFill>
          </w14:textFill>
        </w:rPr>
        <w:t>.1.</w:t>
      </w:r>
      <w:r>
        <w:rPr>
          <w:rFonts w:hint="eastAsia"/>
        </w:rPr>
        <w:t xml:space="preserve"> ▲</w:t>
      </w:r>
      <w:r>
        <w:rPr>
          <w:rFonts w:hint="eastAsia" w:ascii="宋体" w:eastAsia="宋体" w:cs="宋体"/>
          <w:color w:val="000000" w:themeColor="text1"/>
          <w14:textFill>
            <w14:solidFill>
              <w14:schemeClr w14:val="tx1"/>
            </w14:solidFill>
          </w14:textFill>
        </w:rPr>
        <w:t>本项目需完成晋宁区人民医院、晋宁区</w:t>
      </w:r>
      <w:r>
        <w:rPr>
          <w:rFonts w:hint="eastAsia" w:cs="宋体"/>
          <w:color w:val="000000" w:themeColor="text1"/>
          <w:lang w:val="en-US" w:eastAsia="zh-CN"/>
          <w14:textFill>
            <w14:solidFill>
              <w14:schemeClr w14:val="tx1"/>
            </w14:solidFill>
          </w14:textFill>
        </w:rPr>
        <w:t>二院</w:t>
      </w:r>
      <w:r>
        <w:rPr>
          <w:rFonts w:hint="eastAsia" w:ascii="宋体" w:eastAsia="宋体" w:cs="宋体"/>
          <w:color w:val="000000" w:themeColor="text1"/>
          <w14:textFill>
            <w14:solidFill>
              <w14:schemeClr w14:val="tx1"/>
            </w14:solidFill>
          </w14:textFill>
        </w:rPr>
        <w:t>、晋宁区妇幼保健院</w:t>
      </w:r>
      <w:r>
        <w:rPr>
          <w:rFonts w:hint="eastAsia" w:cs="宋体"/>
          <w:color w:val="000000" w:themeColor="text1"/>
          <w:lang w:eastAsia="zh-CN"/>
          <w14:textFill>
            <w14:solidFill>
              <w14:schemeClr w14:val="tx1"/>
            </w14:solidFill>
          </w14:textFill>
        </w:rPr>
        <w:t>、</w:t>
      </w:r>
      <w:r>
        <w:rPr>
          <w:rFonts w:hint="eastAsia" w:cs="宋体"/>
          <w:color w:val="000000" w:themeColor="text1"/>
          <w:lang w:val="en-US" w:eastAsia="zh-CN"/>
          <w14:textFill>
            <w14:solidFill>
              <w14:schemeClr w14:val="tx1"/>
            </w14:solidFill>
          </w14:textFill>
        </w:rPr>
        <w:t>11</w:t>
      </w:r>
      <w:r>
        <w:rPr>
          <w:rFonts w:hint="eastAsia" w:ascii="宋体" w:eastAsia="宋体" w:cs="宋体"/>
          <w:color w:val="000000" w:themeColor="text1"/>
          <w14:textFill>
            <w14:solidFill>
              <w14:schemeClr w14:val="tx1"/>
            </w14:solidFill>
          </w14:textFill>
        </w:rPr>
        <w:t>家乡镇卫生院</w:t>
      </w:r>
      <w:r>
        <w:rPr>
          <w:rFonts w:hint="eastAsia" w:cs="宋体"/>
          <w:color w:val="000000" w:themeColor="text1"/>
          <w:lang w:val="en-US" w:eastAsia="zh-CN"/>
          <w14:textFill>
            <w14:solidFill>
              <w14:schemeClr w14:val="tx1"/>
            </w14:solidFill>
          </w14:textFill>
        </w:rPr>
        <w:t>及村卫生室</w:t>
      </w:r>
      <w:r>
        <w:rPr>
          <w:rFonts w:hint="eastAsia" w:ascii="宋体" w:eastAsia="宋体" w:cs="宋体"/>
          <w:color w:val="000000" w:themeColor="text1"/>
          <w14:textFill>
            <w14:solidFill>
              <w14:schemeClr w14:val="tx1"/>
            </w14:solidFill>
          </w14:textFill>
        </w:rPr>
        <w:t>HIS系统、EMR等系统与区域审方中心系统的数据对接，接口改造费用由中标方承担。</w:t>
      </w:r>
    </w:p>
    <w:p w14:paraId="4E3468E9">
      <w:pPr>
        <w:spacing w:line="360" w:lineRule="auto"/>
        <w:jc w:val="left"/>
        <w:rPr>
          <w:rFonts w:hint="eastAsia" w:ascii="宋体" w:eastAsia="宋体" w:cs="宋体"/>
          <w:color w:val="000000" w:themeColor="text1"/>
          <w:lang w:eastAsia="zh-CN"/>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4</w:t>
      </w:r>
      <w:r>
        <w:rPr>
          <w:rFonts w:hint="eastAsia" w:ascii="宋体" w:eastAsia="宋体" w:cs="宋体"/>
          <w:color w:val="000000" w:themeColor="text1"/>
          <w14:textFill>
            <w14:solidFill>
              <w14:schemeClr w14:val="tx1"/>
            </w14:solidFill>
          </w14:textFill>
        </w:rPr>
        <w:t>.2.</w:t>
      </w:r>
      <w:r>
        <w:rPr>
          <w:rFonts w:hint="eastAsia"/>
        </w:rPr>
        <w:t xml:space="preserve"> </w:t>
      </w:r>
      <w:r>
        <w:rPr>
          <w:rFonts w:hint="eastAsia" w:ascii="微软雅黑" w:hAnsi="微软雅黑" w:eastAsia="微软雅黑" w:cs="微软雅黑"/>
          <w:color w:val="000000" w:themeColor="text1"/>
          <w:lang w:val="en-US" w:eastAsia="zh-CN"/>
          <w14:textFill>
            <w14:solidFill>
              <w14:schemeClr w14:val="tx1"/>
            </w14:solidFill>
          </w14:textFill>
        </w:rPr>
        <w:t>★</w:t>
      </w:r>
      <w:r>
        <w:rPr>
          <w:rFonts w:hint="eastAsia" w:ascii="宋体" w:eastAsia="宋体" w:cs="宋体"/>
          <w:color w:val="000000" w:themeColor="text1"/>
          <w14:textFill>
            <w14:solidFill>
              <w14:schemeClr w14:val="tx1"/>
            </w14:solidFill>
          </w14:textFill>
        </w:rPr>
        <w:t xml:space="preserve">本项目需与晋宁区人民医院审方合理用药系统集成，形成晋宁区统一的医共体区域审方中心，药事质控管理中心，中标方需满足技术集成条件。接口改造费用由中标方承担。 </w:t>
      </w:r>
      <w:r>
        <w:rPr>
          <w:rFonts w:hint="eastAsia" w:ascii="宋体" w:eastAsia="宋体" w:cs="宋体"/>
          <w:color w:val="000000" w:themeColor="text1"/>
          <w:lang w:eastAsia="zh-CN"/>
          <w14:textFill>
            <w14:solidFill>
              <w14:schemeClr w14:val="tx1"/>
            </w14:solidFill>
          </w14:textFill>
        </w:rPr>
        <w:t>（</w:t>
      </w:r>
      <w:r>
        <w:rPr>
          <w:rFonts w:hint="eastAsia" w:ascii="宋体" w:eastAsia="宋体" w:cs="宋体"/>
          <w:color w:val="000000" w:themeColor="text1"/>
          <w14:textFill>
            <w14:solidFill>
              <w14:schemeClr w14:val="tx1"/>
            </w14:solidFill>
          </w14:textFill>
        </w:rPr>
        <w:t>以提供确认函并加盖公司公章为准</w:t>
      </w:r>
      <w:r>
        <w:rPr>
          <w:rFonts w:hint="eastAsia" w:ascii="宋体" w:eastAsia="宋体" w:cs="宋体"/>
          <w:color w:val="000000" w:themeColor="text1"/>
          <w:lang w:eastAsia="zh-CN"/>
          <w14:textFill>
            <w14:solidFill>
              <w14:schemeClr w14:val="tx1"/>
            </w14:solidFill>
          </w14:textFill>
        </w:rPr>
        <w:t>）</w:t>
      </w:r>
    </w:p>
    <w:p w14:paraId="6819257C">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b/>
          <w:bCs/>
          <w:color w:val="000000" w:themeColor="text1"/>
          <w:lang w:val="en-US" w:eastAsia="zh-CN"/>
          <w14:textFill>
            <w14:solidFill>
              <w14:schemeClr w14:val="tx1"/>
            </w14:solidFill>
          </w14:textFill>
        </w:rPr>
        <w:t>十五、</w:t>
      </w:r>
      <w:r>
        <w:rPr>
          <w:rFonts w:hint="eastAsia" w:ascii="宋体" w:eastAsia="宋体" w:cs="宋体"/>
          <w:b/>
          <w:bCs/>
          <w:color w:val="000000" w:themeColor="text1"/>
          <w14:textFill>
            <w14:solidFill>
              <w14:schemeClr w14:val="tx1"/>
            </w14:solidFill>
          </w14:textFill>
        </w:rPr>
        <w:t>技术要求</w:t>
      </w:r>
    </w:p>
    <w:p w14:paraId="1593E565">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.1.系统若采用BS架构，则应支持chrome49.0、ie8.0、firefox、microsoft edge等主流浏览器以及所述以上的浏览器版本。</w:t>
      </w:r>
    </w:p>
    <w:p w14:paraId="3BA33425">
      <w:pPr>
        <w:pStyle w:val="72"/>
        <w:ind w:firstLine="0" w:firstLineChars="0"/>
        <w:jc w:val="left"/>
        <w:rPr>
          <w:rFonts w:hint="eastAsia" w:ascii="宋体" w:eastAsia="宋体" w:cs="宋体"/>
          <w:color w:val="000000" w:themeColor="text1"/>
          <w:lang w:eastAsia="zh-CN"/>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.2.</w:t>
      </w:r>
      <w:r>
        <w:rPr>
          <w:rFonts w:hint="eastAsia"/>
        </w:rPr>
        <w:t xml:space="preserve"> </w:t>
      </w:r>
      <w:r>
        <w:rPr>
          <w:rFonts w:hint="eastAsia" w:ascii="微软雅黑" w:hAnsi="微软雅黑" w:eastAsia="微软雅黑" w:cs="微软雅黑"/>
          <w:color w:val="000000" w:themeColor="text1"/>
          <w:lang w:val="en-US" w:eastAsia="zh-CN"/>
          <w14:textFill>
            <w14:solidFill>
              <w14:schemeClr w14:val="tx1"/>
            </w14:solidFill>
          </w14:textFill>
        </w:rPr>
        <w:t>★</w:t>
      </w:r>
      <w:r>
        <w:rPr>
          <w:rFonts w:hint="eastAsia" w:ascii="宋体" w:eastAsia="宋体" w:cs="宋体"/>
          <w:color w:val="000000" w:themeColor="text1"/>
          <w14:textFill>
            <w14:solidFill>
              <w14:schemeClr w14:val="tx1"/>
            </w14:solidFill>
          </w14:textFill>
        </w:rPr>
        <w:t>系统采用国产知识产权操作系统，保障核心数据的自主安全可控，满足国产化替代要求。</w:t>
      </w:r>
      <w:r>
        <w:rPr>
          <w:rFonts w:hint="eastAsia" w:ascii="宋体" w:eastAsia="宋体" w:cs="宋体"/>
          <w:color w:val="000000" w:themeColor="text1"/>
          <w:lang w:eastAsia="zh-CN"/>
          <w14:textFill>
            <w14:solidFill>
              <w14:schemeClr w14:val="tx1"/>
            </w14:solidFill>
          </w14:textFill>
        </w:rPr>
        <w:t>（</w:t>
      </w:r>
      <w:r>
        <w:rPr>
          <w:rFonts w:hint="eastAsia" w:ascii="宋体" w:eastAsia="宋体" w:cs="宋体"/>
          <w:color w:val="000000" w:themeColor="text1"/>
          <w14:textFill>
            <w14:solidFill>
              <w14:schemeClr w14:val="tx1"/>
            </w14:solidFill>
          </w14:textFill>
        </w:rPr>
        <w:t>以提供国产权威厂家证明材料为准</w:t>
      </w:r>
      <w:r>
        <w:rPr>
          <w:rFonts w:hint="eastAsia" w:ascii="宋体" w:eastAsia="宋体" w:cs="宋体"/>
          <w:color w:val="000000" w:themeColor="text1"/>
          <w:lang w:eastAsia="zh-CN"/>
          <w14:textFill>
            <w14:solidFill>
              <w14:schemeClr w14:val="tx1"/>
            </w14:solidFill>
          </w14:textFill>
        </w:rPr>
        <w:t>）</w:t>
      </w:r>
    </w:p>
    <w:p w14:paraId="1C88D0D7">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.3.按照采购方要求，能实现与各机构信息系统，包含但不限于HIS系统等系统的互联互通、数据共享、系统集成。</w:t>
      </w:r>
    </w:p>
    <w:p w14:paraId="200E9F5A">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.4.系统应支持Webservice、WEBAPI等多种接口对接方式，并能按采购方要求及标准进行接口对接。</w:t>
      </w:r>
    </w:p>
    <w:p w14:paraId="102D59AB">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.5.系统采用高并发的mongodb服务，确保响应性能有保障。</w:t>
      </w:r>
    </w:p>
    <w:p w14:paraId="37300B80">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.6.提供所有数据库表结构及详细说明文档。</w:t>
      </w:r>
    </w:p>
    <w:p w14:paraId="7803FE9F">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.7.保证数据的开放性，如存在加密数据，需提供解密方法。</w:t>
      </w:r>
    </w:p>
    <w:p w14:paraId="63F31414">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.8.系统扩展性好，提供系统功能代码，便于二次开发。</w:t>
      </w:r>
    </w:p>
    <w:p w14:paraId="0198B34E">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.9.异常处理机制完善，有清晰明确的报错信息，有详细的日志记录，便于排查问题。</w:t>
      </w:r>
    </w:p>
    <w:p w14:paraId="64BC8D94">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.10.系统可配置性高，能通过配置文件完成各种功能、参数的设置。</w:t>
      </w:r>
    </w:p>
    <w:p w14:paraId="67B5E037">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.11.系统运行稳定，业务处理高性能快速响应，界面友好，操作简便。</w:t>
      </w:r>
    </w:p>
    <w:p w14:paraId="16491F66">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.12.系统要有完备的应急预案，保证业务运行的连续性。</w:t>
      </w:r>
    </w:p>
    <w:p w14:paraId="7C2A80E8">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.13.提供自动保护功能，当故障发生时自动保护当前所有状态,保证系统能够进行恢复。</w:t>
      </w:r>
    </w:p>
    <w:p w14:paraId="14FBC502">
      <w:pPr>
        <w:pStyle w:val="72"/>
        <w:ind w:firstLine="0" w:firstLineChars="0"/>
        <w:jc w:val="left"/>
        <w:rPr>
          <w:rFonts w:hint="eastAsia" w:ascii="宋体" w:eastAsia="宋体" w:cs="宋体"/>
          <w:color w:val="000000" w:themeColor="text1"/>
          <w14:textFill>
            <w14:solidFill>
              <w14:schemeClr w14:val="tx1"/>
            </w14:solidFill>
          </w14:textFill>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.14.系统权限设定应当遵循最小授权原则。</w:t>
      </w:r>
    </w:p>
    <w:p w14:paraId="4CE20837">
      <w:pPr>
        <w:rPr>
          <w:rFonts w:hint="eastAsia" w:ascii="宋体" w:hAnsi="宋体" w:eastAsia="宋体" w:cs="宋体"/>
          <w:sz w:val="24"/>
          <w:lang w:val="en-US" w:eastAsia="zh-CN"/>
        </w:rPr>
      </w:pPr>
      <w:r>
        <w:rPr>
          <w:rFonts w:hint="eastAsia" w:ascii="宋体" w:eastAsia="宋体" w:cs="宋体"/>
          <w:color w:val="000000" w:themeColor="text1"/>
          <w14:textFill>
            <w14:solidFill>
              <w14:schemeClr w14:val="tx1"/>
            </w14:solidFill>
          </w14:textFill>
        </w:rPr>
        <w:t>1</w:t>
      </w:r>
      <w:r>
        <w:rPr>
          <w:rFonts w:hint="eastAsia" w:ascii="宋体" w:eastAsia="宋体" w:cs="宋体"/>
          <w:color w:val="000000" w:themeColor="text1"/>
          <w:lang w:val="en-US" w:eastAsia="zh-CN"/>
          <w14:textFill>
            <w14:solidFill>
              <w14:schemeClr w14:val="tx1"/>
            </w14:solidFill>
          </w14:textFill>
        </w:rPr>
        <w:t>5</w:t>
      </w:r>
      <w:r>
        <w:rPr>
          <w:rFonts w:hint="eastAsia" w:ascii="宋体" w:eastAsia="宋体" w:cs="宋体"/>
          <w:color w:val="000000" w:themeColor="text1"/>
          <w14:textFill>
            <w14:solidFill>
              <w14:schemeClr w14:val="tx1"/>
            </w14:solidFill>
          </w14:textFill>
        </w:rPr>
        <w:t>.15.系统涉及的所有数据应具有完善的隐私保护机制，确保数据不泄露，且只能用于采购方要求的相关业务范围。</w:t>
      </w:r>
    </w:p>
    <w:p w14:paraId="4D1A0A40">
      <w:pPr>
        <w:pStyle w:val="5"/>
        <w:bidi w:val="0"/>
        <w:rPr>
          <w:rFonts w:hint="eastAsia"/>
          <w:color w:val="000000" w:themeColor="text1"/>
          <w:sz w:val="28"/>
          <w:szCs w:val="28"/>
          <w:lang w:eastAsia="zh-CN"/>
          <w14:textFill>
            <w14:solidFill>
              <w14:schemeClr w14:val="tx1"/>
            </w14:solidFill>
          </w14:textFill>
        </w:rPr>
      </w:pPr>
      <w:bookmarkStart w:id="302" w:name="_Toc27444"/>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四）</w:t>
      </w:r>
      <w:r>
        <w:rPr>
          <w:rFonts w:hint="eastAsia"/>
          <w:color w:val="000000" w:themeColor="text1"/>
          <w:sz w:val="28"/>
          <w:szCs w:val="28"/>
          <w14:textFill>
            <w14:solidFill>
              <w14:schemeClr w14:val="tx1"/>
            </w14:solidFill>
          </w14:textFill>
        </w:rPr>
        <w:t>采购标的的数量、采购项目交付或者实施的时间和地点</w:t>
      </w:r>
      <w:r>
        <w:rPr>
          <w:rFonts w:hint="eastAsia"/>
          <w:color w:val="000000" w:themeColor="text1"/>
          <w:sz w:val="28"/>
          <w:szCs w:val="28"/>
          <w:lang w:eastAsia="zh-CN"/>
          <w14:textFill>
            <w14:solidFill>
              <w14:schemeClr w14:val="tx1"/>
            </w14:solidFill>
          </w14:textFill>
        </w:rPr>
        <w:t>：</w:t>
      </w:r>
      <w:bookmarkEnd w:id="302"/>
    </w:p>
    <w:p w14:paraId="0B7A3D39">
      <w:pPr>
        <w:pStyle w:val="11"/>
        <w:spacing w:line="360" w:lineRule="auto"/>
        <w:ind w:firstLine="480" w:firstLineChars="200"/>
        <w:rPr>
          <w:rFonts w:hint="eastAsia" w:cs="宋体"/>
          <w:bCs/>
          <w:color w:val="000000" w:themeColor="text1"/>
          <w:sz w:val="24"/>
          <w:szCs w:val="24"/>
          <w:shd w:val="clear" w:color="auto" w:fill="FFFFFF"/>
          <w14:textFill>
            <w14:solidFill>
              <w14:schemeClr w14:val="tx1"/>
            </w14:solidFill>
          </w14:textFill>
        </w:rPr>
      </w:pPr>
      <w:r>
        <w:rPr>
          <w:rFonts w:hint="eastAsia" w:cs="宋体"/>
          <w:bCs/>
          <w:color w:val="000000" w:themeColor="text1"/>
          <w:sz w:val="24"/>
          <w:szCs w:val="24"/>
          <w:shd w:val="clear" w:color="auto" w:fill="FFFFFF"/>
          <w14:textFill>
            <w14:solidFill>
              <w14:schemeClr w14:val="tx1"/>
            </w14:solidFill>
          </w14:textFill>
        </w:rPr>
        <w:t>1.采购标的数量：1项。</w:t>
      </w:r>
    </w:p>
    <w:p w14:paraId="0EDAB266">
      <w:pPr>
        <w:pStyle w:val="11"/>
        <w:spacing w:line="360" w:lineRule="auto"/>
        <w:ind w:firstLine="480" w:firstLineChars="200"/>
        <w:rPr>
          <w:rFonts w:hint="default" w:eastAsia="宋体" w:cs="宋体"/>
          <w:bCs/>
          <w:color w:val="000000" w:themeColor="text1"/>
          <w:sz w:val="24"/>
          <w:szCs w:val="24"/>
          <w:u w:val="single"/>
          <w:shd w:val="clear" w:color="auto" w:fill="FFFFFF"/>
          <w:lang w:val="en-US" w:eastAsia="zh-CN"/>
          <w14:textFill>
            <w14:solidFill>
              <w14:schemeClr w14:val="tx1"/>
            </w14:solidFill>
          </w14:textFill>
        </w:rPr>
      </w:pPr>
      <w:r>
        <w:rPr>
          <w:rFonts w:hint="eastAsia" w:cs="宋体"/>
          <w:bCs/>
          <w:color w:val="000000" w:themeColor="text1"/>
          <w:sz w:val="24"/>
          <w:szCs w:val="24"/>
          <w:shd w:val="clear" w:color="auto" w:fill="FFFFFF"/>
          <w14:textFill>
            <w14:solidFill>
              <w14:schemeClr w14:val="tx1"/>
            </w14:solidFill>
          </w14:textFill>
        </w:rPr>
        <w:t>2</w:t>
      </w:r>
      <w:r>
        <w:rPr>
          <w:rFonts w:hint="eastAsia" w:cs="宋体"/>
          <w:bCs/>
          <w:color w:val="000000" w:themeColor="text1"/>
          <w:sz w:val="24"/>
          <w:szCs w:val="24"/>
          <w:shd w:val="clear" w:color="auto" w:fill="FFFFFF"/>
          <w:lang w:val="en-US" w:eastAsia="zh-CN"/>
          <w14:textFill>
            <w14:solidFill>
              <w14:schemeClr w14:val="tx1"/>
            </w14:solidFill>
          </w14:textFill>
        </w:rPr>
        <w:t>.预计</w:t>
      </w:r>
      <w:r>
        <w:rPr>
          <w:rFonts w:hint="eastAsia" w:cs="宋体"/>
          <w:bCs/>
          <w:color w:val="000000" w:themeColor="text1"/>
          <w:sz w:val="24"/>
          <w:szCs w:val="24"/>
          <w:shd w:val="clear" w:color="auto" w:fill="FFFFFF"/>
          <w14:textFill>
            <w14:solidFill>
              <w14:schemeClr w14:val="tx1"/>
            </w14:solidFill>
          </w14:textFill>
        </w:rPr>
        <w:t>实施时间：</w:t>
      </w:r>
      <w:r>
        <w:rPr>
          <w:rFonts w:hint="eastAsia" w:cs="宋体"/>
          <w:bCs/>
          <w:color w:val="000000" w:themeColor="text1"/>
          <w:sz w:val="24"/>
          <w:szCs w:val="24"/>
          <w:u w:val="single"/>
          <w:shd w:val="clear" w:color="auto" w:fill="FFFFFF"/>
          <w:lang w:val="en-US" w:eastAsia="zh-CN"/>
          <w14:textFill>
            <w14:solidFill>
              <w14:schemeClr w14:val="tx1"/>
            </w14:solidFill>
          </w14:textFill>
        </w:rPr>
        <w:t>2026年8 月</w:t>
      </w:r>
      <w:r>
        <w:rPr>
          <w:rFonts w:hint="eastAsia" w:cs="宋体"/>
          <w:bCs/>
          <w:color w:val="000000" w:themeColor="text1"/>
          <w:sz w:val="24"/>
          <w:szCs w:val="24"/>
          <w:u w:val="none"/>
          <w:shd w:val="clear" w:color="auto" w:fill="FFFFFF"/>
          <w:lang w:val="en-US" w:eastAsia="zh-CN"/>
          <w14:textFill>
            <w14:solidFill>
              <w14:schemeClr w14:val="tx1"/>
            </w14:solidFill>
          </w14:textFill>
        </w:rPr>
        <w:t xml:space="preserve"> 。</w:t>
      </w:r>
    </w:p>
    <w:p w14:paraId="426DA0A9">
      <w:pPr>
        <w:pStyle w:val="11"/>
        <w:spacing w:line="360" w:lineRule="auto"/>
        <w:ind w:firstLine="360" w:firstLineChars="200"/>
        <w:rPr>
          <w:rFonts w:hint="eastAsia" w:cs="宋体"/>
          <w:bCs/>
          <w:color w:val="000000" w:themeColor="text1"/>
          <w:sz w:val="24"/>
          <w:szCs w:val="24"/>
          <w:shd w:val="clear" w:color="auto" w:fill="FFFFFF"/>
          <w14:textFill>
            <w14:solidFill>
              <w14:schemeClr w14:val="tx1"/>
            </w14:solidFill>
          </w14:textFill>
        </w:rPr>
      </w:pPr>
      <w:r>
        <w:rPr>
          <w:rFonts w:hint="eastAsia" w:ascii="微软雅黑" w:hAnsi="微软雅黑" w:eastAsia="微软雅黑" w:cs="微软雅黑"/>
          <w:color w:val="000000" w:themeColor="text1"/>
          <w:lang w:val="en-US" w:eastAsia="zh-CN"/>
          <w14:textFill>
            <w14:solidFill>
              <w14:schemeClr w14:val="tx1"/>
            </w14:solidFill>
          </w14:textFill>
        </w:rPr>
        <w:t>★</w:t>
      </w:r>
      <w:r>
        <w:rPr>
          <w:rFonts w:hint="eastAsia" w:cs="宋体"/>
          <w:bCs/>
          <w:color w:val="000000" w:themeColor="text1"/>
          <w:sz w:val="24"/>
          <w:szCs w:val="24"/>
          <w:shd w:val="clear" w:color="auto" w:fill="FFFFFF"/>
          <w14:textFill>
            <w14:solidFill>
              <w14:schemeClr w14:val="tx1"/>
            </w14:solidFill>
          </w14:textFill>
        </w:rPr>
        <w:t>3.实施地点：</w:t>
      </w:r>
      <w:r>
        <w:rPr>
          <w:rFonts w:hint="eastAsia" w:ascii="宋体" w:hAnsi="宋体" w:eastAsia="宋体" w:cs="宋体"/>
          <w:bCs/>
          <w:color w:val="000000" w:themeColor="text1"/>
          <w:sz w:val="24"/>
          <w:szCs w:val="24"/>
          <w:u w:val="none"/>
          <w:shd w:val="clear" w:color="auto" w:fill="FFFFFF"/>
          <w14:textFill>
            <w14:solidFill>
              <w14:schemeClr w14:val="tx1"/>
            </w14:solidFill>
          </w14:textFill>
        </w:rPr>
        <w:t>采购人指定地点</w:t>
      </w:r>
      <w:r>
        <w:rPr>
          <w:rFonts w:hint="eastAsia" w:cs="宋体"/>
          <w:color w:val="000000" w:themeColor="text1"/>
          <w:sz w:val="24"/>
          <w:szCs w:val="24"/>
          <w:u w:val="none"/>
          <w14:textFill>
            <w14:solidFill>
              <w14:schemeClr w14:val="tx1"/>
            </w14:solidFill>
          </w14:textFill>
        </w:rPr>
        <w:t>。</w:t>
      </w:r>
    </w:p>
    <w:p w14:paraId="3024BF02">
      <w:pPr>
        <w:pStyle w:val="5"/>
        <w:numPr>
          <w:ilvl w:val="0"/>
          <w:numId w:val="10"/>
        </w:numPr>
        <w:bidi w:val="0"/>
        <w:rPr>
          <w:rFonts w:hint="eastAsia"/>
          <w:color w:val="000000" w:themeColor="text1"/>
          <w:sz w:val="28"/>
          <w:szCs w:val="28"/>
          <w:lang w:eastAsia="zh-CN"/>
          <w14:textFill>
            <w14:solidFill>
              <w14:schemeClr w14:val="tx1"/>
            </w14:solidFill>
          </w14:textFill>
        </w:rPr>
      </w:pPr>
      <w:bookmarkStart w:id="303" w:name="_Toc30629"/>
      <w:r>
        <w:rPr>
          <w:rFonts w:hint="eastAsia"/>
          <w:color w:val="000000" w:themeColor="text1"/>
          <w:sz w:val="28"/>
          <w:szCs w:val="28"/>
          <w14:textFill>
            <w14:solidFill>
              <w14:schemeClr w14:val="tx1"/>
            </w14:solidFill>
          </w14:textFill>
        </w:rPr>
        <w:t>采购标的需满足的服务标准、期限、效率等要求</w:t>
      </w:r>
      <w:r>
        <w:rPr>
          <w:rFonts w:hint="eastAsia"/>
          <w:color w:val="000000" w:themeColor="text1"/>
          <w:sz w:val="28"/>
          <w:szCs w:val="28"/>
          <w:lang w:eastAsia="zh-CN"/>
          <w14:textFill>
            <w14:solidFill>
              <w14:schemeClr w14:val="tx1"/>
            </w14:solidFill>
          </w14:textFill>
        </w:rPr>
        <w:t>：</w:t>
      </w:r>
      <w:bookmarkEnd w:id="303"/>
    </w:p>
    <w:p w14:paraId="1F6D7670">
      <w:pPr>
        <w:pStyle w:val="11"/>
        <w:spacing w:line="360" w:lineRule="auto"/>
        <w:ind w:firstLine="360" w:firstLineChars="200"/>
        <w:rPr>
          <w:rFonts w:hint="default" w:ascii="宋体" w:hAnsi="宋体" w:eastAsia="宋体" w:cs="宋体"/>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color w:val="000000" w:themeColor="text1"/>
          <w:lang w:val="en-US" w:eastAsia="zh-CN"/>
          <w14:textFill>
            <w14:solidFill>
              <w14:schemeClr w14:val="tx1"/>
            </w14:solidFill>
          </w14:textFill>
        </w:rPr>
        <w:t>★</w:t>
      </w:r>
      <w:r>
        <w:rPr>
          <w:rFonts w:hint="eastAsia" w:ascii="宋体" w:hAnsi="宋体" w:eastAsia="宋体" w:cs="宋体"/>
          <w:bCs/>
          <w:color w:val="000000" w:themeColor="text1"/>
          <w:sz w:val="24"/>
          <w:szCs w:val="24"/>
          <w:shd w:val="clear" w:color="auto" w:fill="FFFFFF"/>
          <w:lang w:val="en-US" w:eastAsia="zh-CN"/>
          <w14:textFill>
            <w14:solidFill>
              <w14:schemeClr w14:val="tx1"/>
            </w14:solidFill>
          </w14:textFill>
        </w:rPr>
        <w:t>1.服务标准：严格按照国家、行业相关法律法规及采购人要求完成所需服务。</w:t>
      </w:r>
    </w:p>
    <w:p w14:paraId="3147C5A8">
      <w:pPr>
        <w:pStyle w:val="11"/>
        <w:spacing w:line="360" w:lineRule="auto"/>
        <w:ind w:firstLine="360" w:firstLineChars="200"/>
        <w:rPr>
          <w:rFonts w:hint="eastAsia" w:ascii="宋体" w:hAnsi="宋体" w:eastAsia="宋体" w:cs="宋体"/>
          <w:bCs/>
          <w:color w:val="FF0000"/>
          <w:sz w:val="24"/>
          <w:szCs w:val="24"/>
          <w:shd w:val="clear" w:color="auto" w:fill="FFFFFF"/>
          <w:lang w:val="en-US" w:eastAsia="zh-CN"/>
        </w:rPr>
      </w:pPr>
      <w:r>
        <w:rPr>
          <w:rFonts w:hint="eastAsia" w:ascii="微软雅黑" w:hAnsi="微软雅黑" w:eastAsia="微软雅黑" w:cs="微软雅黑"/>
          <w:color w:val="000000" w:themeColor="text1"/>
          <w:lang w:val="en-US" w:eastAsia="zh-CN"/>
          <w14:textFill>
            <w14:solidFill>
              <w14:schemeClr w14:val="tx1"/>
            </w14:solidFill>
          </w14:textFill>
        </w:rPr>
        <w:t>★</w:t>
      </w:r>
      <w:r>
        <w:rPr>
          <w:rFonts w:hint="eastAsia" w:ascii="宋体" w:hAnsi="宋体" w:eastAsia="宋体" w:cs="宋体"/>
          <w:bCs/>
          <w:color w:val="000000" w:themeColor="text1"/>
          <w:sz w:val="24"/>
          <w:szCs w:val="24"/>
          <w:shd w:val="clear" w:color="auto" w:fill="FFFFFF"/>
          <w:lang w:val="en-US" w:eastAsia="zh-CN"/>
          <w14:textFill>
            <w14:solidFill>
              <w14:schemeClr w14:val="tx1"/>
            </w14:solidFill>
          </w14:textFill>
        </w:rPr>
        <w:t>2.履行服务期限：签订合同后</w:t>
      </w:r>
      <w:r>
        <w:rPr>
          <w:rFonts w:hint="eastAsia" w:ascii="宋体" w:hAnsi="宋体" w:eastAsia="宋体" w:cs="宋体"/>
          <w:bCs/>
          <w:color w:val="000000" w:themeColor="text1"/>
          <w:sz w:val="24"/>
          <w:szCs w:val="24"/>
          <w:u w:val="single"/>
          <w:shd w:val="clear" w:color="auto" w:fill="FFFFFF"/>
          <w:lang w:val="en-US" w:eastAsia="zh-CN"/>
          <w14:textFill>
            <w14:solidFill>
              <w14:schemeClr w14:val="tx1"/>
            </w14:solidFill>
          </w14:textFill>
        </w:rPr>
        <w:t xml:space="preserve">  </w:t>
      </w:r>
      <w:r>
        <w:rPr>
          <w:rFonts w:hint="eastAsia" w:cs="宋体"/>
          <w:bCs/>
          <w:color w:val="000000" w:themeColor="text1"/>
          <w:sz w:val="24"/>
          <w:szCs w:val="24"/>
          <w:u w:val="single"/>
          <w:shd w:val="clear" w:color="auto" w:fill="FFFFFF"/>
          <w:lang w:val="en-US" w:eastAsia="zh-CN"/>
          <w14:textFill>
            <w14:solidFill>
              <w14:schemeClr w14:val="tx1"/>
            </w14:solidFill>
          </w14:textFill>
        </w:rPr>
        <w:t>90</w:t>
      </w:r>
      <w:r>
        <w:rPr>
          <w:rFonts w:hint="eastAsia" w:ascii="宋体" w:hAnsi="宋体" w:eastAsia="宋体" w:cs="宋体"/>
          <w:bCs/>
          <w:color w:val="000000" w:themeColor="text1"/>
          <w:sz w:val="24"/>
          <w:szCs w:val="24"/>
          <w:u w:val="single"/>
          <w:shd w:val="clear" w:color="auto" w:fill="FFFFFF"/>
          <w:lang w:val="en-US" w:eastAsia="zh-CN"/>
          <w14:textFill>
            <w14:solidFill>
              <w14:schemeClr w14:val="tx1"/>
            </w14:solidFill>
          </w14:textFill>
        </w:rPr>
        <w:t xml:space="preserve"> </w:t>
      </w:r>
      <w:r>
        <w:rPr>
          <w:rFonts w:hint="eastAsia" w:ascii="宋体" w:hAnsi="宋体" w:eastAsia="宋体" w:cs="宋体"/>
          <w:bCs/>
          <w:color w:val="000000" w:themeColor="text1"/>
          <w:sz w:val="24"/>
          <w:szCs w:val="24"/>
          <w:shd w:val="clear" w:color="auto" w:fill="FFFFFF"/>
          <w:lang w:val="en-US" w:eastAsia="zh-CN"/>
          <w14:textFill>
            <w14:solidFill>
              <w14:schemeClr w14:val="tx1"/>
            </w14:solidFill>
          </w14:textFill>
        </w:rPr>
        <w:t>日历天内完成平台软件搭建、安装调试完成，具备履行各项服务能力，并保证完成合同约定平台部署和全部资源的建设，同时对软件使用履行培训业务。</w:t>
      </w:r>
    </w:p>
    <w:p w14:paraId="6B1D44D2">
      <w:pPr>
        <w:pStyle w:val="5"/>
        <w:numPr>
          <w:ilvl w:val="0"/>
          <w:numId w:val="11"/>
        </w:numPr>
        <w:bidi w:val="0"/>
        <w:rPr>
          <w:rFonts w:hint="eastAsia"/>
          <w:color w:val="000000" w:themeColor="text1"/>
          <w:sz w:val="28"/>
          <w:szCs w:val="28"/>
          <w:lang w:eastAsia="zh-CN"/>
          <w14:textFill>
            <w14:solidFill>
              <w14:schemeClr w14:val="tx1"/>
            </w14:solidFill>
          </w14:textFill>
        </w:rPr>
      </w:pPr>
      <w:bookmarkStart w:id="304" w:name="_Toc13795"/>
      <w:r>
        <w:rPr>
          <w:rFonts w:hint="eastAsia"/>
          <w:color w:val="000000" w:themeColor="text1"/>
          <w:sz w:val="28"/>
          <w:szCs w:val="28"/>
          <w14:textFill>
            <w14:solidFill>
              <w14:schemeClr w14:val="tx1"/>
            </w14:solidFill>
          </w14:textFill>
        </w:rPr>
        <w:t>采购标的的验收标准</w:t>
      </w:r>
      <w:r>
        <w:rPr>
          <w:rFonts w:hint="eastAsia"/>
          <w:color w:val="000000" w:themeColor="text1"/>
          <w:sz w:val="28"/>
          <w:szCs w:val="28"/>
          <w:lang w:eastAsia="zh-CN"/>
          <w14:textFill>
            <w14:solidFill>
              <w14:schemeClr w14:val="tx1"/>
            </w14:solidFill>
          </w14:textFill>
        </w:rPr>
        <w:t>：</w:t>
      </w:r>
      <w:bookmarkEnd w:id="304"/>
    </w:p>
    <w:p w14:paraId="62A1AF1B">
      <w:pPr>
        <w:widowControl/>
        <w:shd w:val="clear" w:color="auto" w:fill="FFFFFF"/>
        <w:spacing w:line="360" w:lineRule="auto"/>
        <w:ind w:firstLine="480" w:firstLineChars="200"/>
        <w:jc w:val="left"/>
        <w:rPr>
          <w:rFonts w:hint="eastAsia" w:ascii="宋体" w:hAnsi="宋体" w:cs="仿宋_GB2312"/>
          <w:szCs w:val="21"/>
        </w:rPr>
      </w:pPr>
      <w:r>
        <w:rPr>
          <w:rFonts w:hint="eastAsia" w:ascii="宋体" w:hAnsi="宋体" w:cs="仿宋_GB2312"/>
          <w:szCs w:val="21"/>
          <w:lang w:val="en-US" w:eastAsia="zh-CN"/>
        </w:rPr>
        <w:t>验收标准：中标供应商</w:t>
      </w:r>
      <w:r>
        <w:rPr>
          <w:rFonts w:hint="eastAsia" w:ascii="宋体" w:hAnsi="宋体" w:cs="仿宋_GB2312"/>
          <w:szCs w:val="21"/>
        </w:rPr>
        <w:t>需根据采购方需求制定完善的培训方案，按照培训方案组织完成培训方可组织验收。</w:t>
      </w:r>
    </w:p>
    <w:p w14:paraId="2C06A1C4">
      <w:pPr>
        <w:pStyle w:val="5"/>
        <w:numPr>
          <w:ilvl w:val="0"/>
          <w:numId w:val="12"/>
        </w:numPr>
        <w:bidi w:val="0"/>
        <w:rPr>
          <w:rFonts w:hint="eastAsia"/>
          <w:color w:val="000000" w:themeColor="text1"/>
          <w:sz w:val="28"/>
          <w:szCs w:val="28"/>
          <w14:textFill>
            <w14:solidFill>
              <w14:schemeClr w14:val="tx1"/>
            </w14:solidFill>
          </w14:textFill>
        </w:rPr>
      </w:pPr>
      <w:bookmarkStart w:id="305" w:name="_Toc21609"/>
      <w:r>
        <w:rPr>
          <w:rFonts w:hint="eastAsia"/>
          <w:color w:val="000000" w:themeColor="text1"/>
          <w:sz w:val="28"/>
          <w:szCs w:val="28"/>
          <w14:textFill>
            <w14:solidFill>
              <w14:schemeClr w14:val="tx1"/>
            </w14:solidFill>
          </w14:textFill>
        </w:rPr>
        <w:t>采购标的的其他技术、服务等要求。</w:t>
      </w:r>
      <w:bookmarkEnd w:id="305"/>
    </w:p>
    <w:p w14:paraId="03D95459">
      <w:pPr>
        <w:keepNext w:val="0"/>
        <w:keepLines w:val="0"/>
        <w:pageBreakBefore w:val="0"/>
        <w:widowControl/>
        <w:numPr>
          <w:ilvl w:val="0"/>
          <w:numId w:val="13"/>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lang w:val="en-US" w:eastAsia="zh-CN"/>
        </w:rPr>
      </w:pPr>
      <w:r>
        <w:rPr>
          <w:rFonts w:hint="eastAsia" w:ascii="宋体" w:hAnsi="宋体" w:cs="宋体"/>
          <w:color w:val="auto"/>
          <w:lang w:val="en-US" w:eastAsia="zh-CN"/>
        </w:rPr>
        <w:t>中标供应商</w:t>
      </w:r>
      <w:r>
        <w:rPr>
          <w:rFonts w:hint="eastAsia" w:ascii="宋体" w:hAnsi="宋体" w:eastAsia="宋体" w:cs="宋体"/>
          <w:color w:val="auto"/>
          <w:lang w:val="en-US" w:eastAsia="zh-CN"/>
        </w:rPr>
        <w:t>在项目实施过程中，应当对采购人的技术人员、工作人员提供全方位技术培训，培训次数≥3次，包括数据库、网络、业务、软件应用、维护等，保证相关人员在能安全、准确地运行和使用平台。</w:t>
      </w:r>
    </w:p>
    <w:p w14:paraId="330792A7">
      <w:pPr>
        <w:keepNext w:val="0"/>
        <w:keepLines w:val="0"/>
        <w:pageBreakBefore w:val="0"/>
        <w:widowControl/>
        <w:numPr>
          <w:ilvl w:val="0"/>
          <w:numId w:val="13"/>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为达到本项目各项功能所必需配置的硬件设施设备，投标供应商应当为采购人拟定配置清单，由采购人另行组织采购。</w:t>
      </w:r>
    </w:p>
    <w:p w14:paraId="1E3FE649">
      <w:pPr>
        <w:keepNext w:val="0"/>
        <w:keepLines w:val="0"/>
        <w:pageBreakBefore w:val="0"/>
        <w:widowControl/>
        <w:numPr>
          <w:ilvl w:val="0"/>
          <w:numId w:val="13"/>
        </w:numPr>
        <w:kinsoku/>
        <w:wordWrap/>
        <w:overflowPunct/>
        <w:topLinePunct w:val="0"/>
        <w:autoSpaceDE/>
        <w:autoSpaceDN/>
        <w:bidi w:val="0"/>
        <w:adjustRightInd/>
        <w:snapToGrid/>
        <w:spacing w:line="360" w:lineRule="auto"/>
        <w:ind w:firstLine="480" w:firstLineChars="200"/>
        <w:jc w:val="left"/>
        <w:textAlignment w:val="auto"/>
        <w:rPr>
          <w:rFonts w:hint="eastAsia"/>
          <w:color w:val="000000" w:themeColor="text1"/>
          <w14:textFill>
            <w14:solidFill>
              <w14:schemeClr w14:val="tx1"/>
            </w14:solidFill>
          </w14:textFill>
        </w:rPr>
        <w:sectPr>
          <w:footerReference r:id="rId7" w:type="default"/>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lang w:val="en-US" w:eastAsia="zh-CN"/>
        </w:rPr>
        <w:t>★本项目报价包含软件系统3年运行维保的费用，3年后中标供应商需要收取的运维费须单独进行报价。</w:t>
      </w:r>
      <w:bookmarkEnd w:id="268"/>
      <w:bookmarkEnd w:id="269"/>
      <w:bookmarkEnd w:id="270"/>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维保费报价不得高于6万元/年。</w:t>
      </w:r>
      <w:r>
        <w:rPr>
          <w:rFonts w:hint="eastAsia" w:cs="宋体"/>
          <w:color w:val="000000" w:themeColor="text1"/>
          <w:kern w:val="2"/>
          <w:sz w:val="24"/>
          <w:szCs w:val="24"/>
          <w:highlight w:val="none"/>
          <w:lang w:val="en-US" w:eastAsia="zh-CN" w:bidi="ar-SA"/>
          <w14:textFill>
            <w14:solidFill>
              <w14:schemeClr w14:val="tx1"/>
            </w14:solidFill>
          </w14:textFill>
        </w:rPr>
        <w:t>项目建成后</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中标供应商须派驻1名软件工程师免费驻场</w:t>
      </w:r>
      <w:r>
        <w:rPr>
          <w:rFonts w:hint="eastAsia" w:cs="宋体"/>
          <w:color w:val="000000" w:themeColor="text1"/>
          <w:kern w:val="2"/>
          <w:sz w:val="24"/>
          <w:szCs w:val="24"/>
          <w:highlight w:val="none"/>
          <w:lang w:val="en-US" w:eastAsia="zh-CN" w:bidi="ar-SA"/>
          <w14:textFill>
            <w14:solidFill>
              <w14:schemeClr w14:val="tx1"/>
            </w14:solidFill>
          </w14:textFill>
        </w:rPr>
        <w:t>3个月提供</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服务。</w:t>
      </w:r>
    </w:p>
    <w:p w14:paraId="3F24FB13">
      <w:pPr>
        <w:pStyle w:val="3"/>
        <w:numPr>
          <w:ilvl w:val="0"/>
          <w:numId w:val="2"/>
        </w:numPr>
        <w:rPr>
          <w:rFonts w:hint="eastAsia"/>
          <w:color w:val="000000" w:themeColor="text1"/>
          <w14:textFill>
            <w14:solidFill>
              <w14:schemeClr w14:val="tx1"/>
            </w14:solidFill>
          </w14:textFill>
        </w:rPr>
      </w:pPr>
      <w:bookmarkStart w:id="306" w:name="_Toc155185895"/>
      <w:bookmarkStart w:id="307" w:name="_Toc8521"/>
      <w:r>
        <w:rPr>
          <w:rFonts w:hint="eastAsia"/>
          <w:color w:val="000000" w:themeColor="text1"/>
          <w14:textFill>
            <w14:solidFill>
              <w14:schemeClr w14:val="tx1"/>
            </w14:solidFill>
          </w14:textFill>
        </w:rPr>
        <w:t>资格审查方法及标准</w:t>
      </w:r>
      <w:bookmarkEnd w:id="306"/>
      <w:bookmarkEnd w:id="307"/>
    </w:p>
    <w:p w14:paraId="7B28C11F">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根据《中华人民共和国政府采购法》及其实施条例、《政府采购货物和服务招标投标管理办法》等相关法律法规确定以下资格审查方法和标准。</w:t>
      </w:r>
    </w:p>
    <w:p w14:paraId="4E8E3934">
      <w:pPr>
        <w:pStyle w:val="4"/>
        <w:numPr>
          <w:ilvl w:val="0"/>
          <w:numId w:val="14"/>
        </w:numPr>
        <w:rPr>
          <w:rFonts w:hint="eastAsia"/>
          <w:color w:val="000000" w:themeColor="text1"/>
          <w:lang w:val="zh-CN"/>
          <w14:textFill>
            <w14:solidFill>
              <w14:schemeClr w14:val="tx1"/>
            </w14:solidFill>
          </w14:textFill>
        </w:rPr>
      </w:pPr>
      <w:bookmarkStart w:id="308" w:name="_Toc155185897"/>
      <w:bookmarkStart w:id="309" w:name="_Toc140132822"/>
      <w:bookmarkStart w:id="310" w:name="_Toc25793"/>
      <w:r>
        <w:rPr>
          <w:rFonts w:hint="eastAsia"/>
          <w:color w:val="000000" w:themeColor="text1"/>
          <w:lang w:val="zh-CN"/>
          <w14:textFill>
            <w14:solidFill>
              <w14:schemeClr w14:val="tx1"/>
            </w14:solidFill>
          </w14:textFill>
        </w:rPr>
        <w:t>资格审查</w:t>
      </w:r>
      <w:bookmarkEnd w:id="308"/>
      <w:bookmarkEnd w:id="309"/>
      <w:r>
        <w:rPr>
          <w:rFonts w:hint="eastAsia"/>
          <w:color w:val="000000" w:themeColor="text1"/>
          <w14:textFill>
            <w14:solidFill>
              <w14:schemeClr w14:val="tx1"/>
            </w14:solidFill>
          </w14:textFill>
        </w:rPr>
        <w:t>方法</w:t>
      </w:r>
      <w:bookmarkEnd w:id="310"/>
    </w:p>
    <w:p w14:paraId="0ECC6724">
      <w:pPr>
        <w:ind w:firstLine="420"/>
        <w:rPr>
          <w:rFonts w:hint="eastAsia"/>
          <w:bCs/>
          <w:color w:val="000000" w:themeColor="text1"/>
          <w:lang w:val="zh-CN"/>
          <w14:textFill>
            <w14:solidFill>
              <w14:schemeClr w14:val="tx1"/>
            </w14:solidFill>
          </w14:textFill>
        </w:rPr>
      </w:pPr>
      <w:r>
        <w:rPr>
          <w:rFonts w:hint="eastAsia"/>
          <w:bCs/>
          <w:color w:val="000000" w:themeColor="text1"/>
          <w:lang w:val="zh-CN"/>
          <w14:textFill>
            <w14:solidFill>
              <w14:schemeClr w14:val="tx1"/>
            </w14:solidFill>
          </w14:textFill>
        </w:rPr>
        <w:t>开标结束后，采购人或采购代理机构依据法律、法规及招标文件的规定，对投标供应商的资格进行审查，以确定投标供应商资格是否合格。</w:t>
      </w:r>
    </w:p>
    <w:p w14:paraId="0C672F03">
      <w:pPr>
        <w:pStyle w:val="4"/>
        <w:numPr>
          <w:ilvl w:val="0"/>
          <w:numId w:val="14"/>
        </w:numPr>
        <w:rPr>
          <w:rFonts w:hint="eastAsia"/>
          <w:color w:val="000000" w:themeColor="text1"/>
          <w:lang w:val="zh-CN"/>
          <w14:textFill>
            <w14:solidFill>
              <w14:schemeClr w14:val="tx1"/>
            </w14:solidFill>
          </w14:textFill>
        </w:rPr>
      </w:pPr>
      <w:bookmarkStart w:id="311" w:name="_Toc29116"/>
      <w:r>
        <w:rPr>
          <w:rFonts w:hint="eastAsia"/>
          <w:color w:val="000000" w:themeColor="text1"/>
          <w:lang w:val="zh-CN"/>
          <w14:textFill>
            <w14:solidFill>
              <w14:schemeClr w14:val="tx1"/>
            </w14:solidFill>
          </w14:textFill>
        </w:rPr>
        <w:t>资格审查程序</w:t>
      </w:r>
      <w:bookmarkEnd w:id="311"/>
    </w:p>
    <w:p w14:paraId="43909D89">
      <w:pPr>
        <w:pStyle w:val="5"/>
        <w:numPr>
          <w:ilvl w:val="0"/>
          <w:numId w:val="15"/>
        </w:numPr>
        <w:rPr>
          <w:rFonts w:hint="eastAsia"/>
          <w:color w:val="000000" w:themeColor="text1"/>
          <w14:textFill>
            <w14:solidFill>
              <w14:schemeClr w14:val="tx1"/>
            </w14:solidFill>
          </w14:textFill>
        </w:rPr>
      </w:pPr>
      <w:bookmarkStart w:id="312" w:name="_Toc915"/>
      <w:bookmarkStart w:id="313" w:name="_Toc155185898"/>
      <w:r>
        <w:rPr>
          <w:rFonts w:hint="eastAsia"/>
          <w:color w:val="000000" w:themeColor="text1"/>
          <w:lang w:val="zh-CN"/>
          <w14:textFill>
            <w14:solidFill>
              <w14:schemeClr w14:val="tx1"/>
            </w14:solidFill>
          </w14:textFill>
        </w:rPr>
        <w:t>资格审查</w:t>
      </w:r>
      <w:bookmarkEnd w:id="312"/>
      <w:bookmarkEnd w:id="313"/>
    </w:p>
    <w:p w14:paraId="35C16504">
      <w:pPr>
        <w:wordWrap w:val="0"/>
        <w:ind w:firstLine="420"/>
        <w:rPr>
          <w:rFonts w:hint="eastAsia" w:cs="Helvetica"/>
          <w:color w:val="000000" w:themeColor="text1"/>
          <w:szCs w:val="24"/>
          <w:lang w:val="zh-CN"/>
          <w14:textFill>
            <w14:solidFill>
              <w14:schemeClr w14:val="tx1"/>
            </w14:solidFill>
          </w14:textFill>
        </w:rPr>
      </w:pPr>
      <w:r>
        <w:rPr>
          <w:rFonts w:hint="eastAsia"/>
          <w:bCs/>
          <w:color w:val="000000" w:themeColor="text1"/>
          <w:szCs w:val="24"/>
          <w:lang w:val="zh-CN"/>
          <w14:textFill>
            <w14:solidFill>
              <w14:schemeClr w14:val="tx1"/>
            </w14:solidFill>
          </w14:textFill>
        </w:rPr>
        <w:t>1</w:t>
      </w:r>
      <w:r>
        <w:rPr>
          <w:bCs/>
          <w:color w:val="000000" w:themeColor="text1"/>
          <w:szCs w:val="24"/>
          <w:lang w:val="zh-CN"/>
          <w14:textFill>
            <w14:solidFill>
              <w14:schemeClr w14:val="tx1"/>
            </w14:solidFill>
          </w14:textFill>
        </w:rPr>
        <w:t>.</w:t>
      </w:r>
      <w:r>
        <w:rPr>
          <w:rFonts w:hint="eastAsia"/>
          <w:bCs/>
          <w:color w:val="000000" w:themeColor="text1"/>
          <w:szCs w:val="24"/>
          <w:lang w:val="zh-CN"/>
          <w14:textFill>
            <w14:solidFill>
              <w14:schemeClr w14:val="tx1"/>
            </w14:solidFill>
          </w14:textFill>
        </w:rPr>
        <w:t>开标结束后，采购人或采购代理机构</w:t>
      </w:r>
      <w:r>
        <w:rPr>
          <w:rFonts w:hint="eastAsia" w:cs="Helvetica"/>
          <w:color w:val="000000" w:themeColor="text1"/>
          <w:szCs w:val="24"/>
          <w:lang w:val="zh-CN"/>
          <w14:textFill>
            <w14:solidFill>
              <w14:schemeClr w14:val="tx1"/>
            </w14:solidFill>
          </w14:textFill>
        </w:rPr>
        <w:t>根据“第一章 投标邀请”中投标供应商资格要求并按本章“三</w:t>
      </w:r>
      <w:r>
        <w:rPr>
          <w:rFonts w:cs="Helvetica"/>
          <w:color w:val="000000" w:themeColor="text1"/>
          <w:szCs w:val="24"/>
          <w:lang w:val="zh-CN"/>
          <w14:textFill>
            <w14:solidFill>
              <w14:schemeClr w14:val="tx1"/>
            </w14:solidFill>
          </w14:textFill>
        </w:rPr>
        <w:t>、</w:t>
      </w:r>
      <w:r>
        <w:rPr>
          <w:rFonts w:hint="eastAsia" w:cs="Helvetica"/>
          <w:color w:val="000000" w:themeColor="text1"/>
          <w:szCs w:val="24"/>
          <w:lang w:val="zh-CN"/>
          <w14:textFill>
            <w14:solidFill>
              <w14:schemeClr w14:val="tx1"/>
            </w14:solidFill>
          </w14:textFill>
        </w:rPr>
        <w:t>资格审查标准”所列的内容，对投标供应商资格进行审查，不满足资格审查标准要求的按</w:t>
      </w:r>
      <w:r>
        <w:rPr>
          <w:rFonts w:hint="eastAsia" w:cs="Helvetica"/>
          <w:b/>
          <w:color w:val="000000" w:themeColor="text1"/>
          <w:szCs w:val="24"/>
          <w:lang w:val="zh-CN"/>
          <w14:textFill>
            <w14:solidFill>
              <w14:schemeClr w14:val="tx1"/>
            </w14:solidFill>
          </w14:textFill>
        </w:rPr>
        <w:t>无效投标处理</w:t>
      </w:r>
      <w:r>
        <w:rPr>
          <w:rFonts w:hint="eastAsia" w:cs="Helvetica"/>
          <w:color w:val="000000" w:themeColor="text1"/>
          <w:szCs w:val="24"/>
          <w:lang w:val="zh-CN"/>
          <w14:textFill>
            <w14:solidFill>
              <w14:schemeClr w14:val="tx1"/>
            </w14:solidFill>
          </w14:textFill>
        </w:rPr>
        <w:t>。</w:t>
      </w:r>
      <w:bookmarkStart w:id="314" w:name="_Toc102056216"/>
      <w:bookmarkStart w:id="315" w:name="_Toc102114918"/>
      <w:bookmarkStart w:id="316" w:name="_Toc102057716"/>
      <w:bookmarkStart w:id="317" w:name="_Toc102116020"/>
      <w:bookmarkStart w:id="318" w:name="_Toc102116150"/>
      <w:bookmarkStart w:id="319" w:name="_Toc102119851"/>
      <w:bookmarkStart w:id="320" w:name="_Toc102119874"/>
      <w:bookmarkStart w:id="321" w:name="_Toc102057739"/>
      <w:bookmarkStart w:id="322" w:name="_Toc102116173"/>
      <w:bookmarkStart w:id="323" w:name="_Toc102116043"/>
      <w:bookmarkStart w:id="324" w:name="_Toc102056239"/>
      <w:bookmarkStart w:id="325" w:name="_Toc102114941"/>
    </w:p>
    <w:bookmarkEnd w:id="314"/>
    <w:bookmarkEnd w:id="315"/>
    <w:bookmarkEnd w:id="316"/>
    <w:bookmarkEnd w:id="317"/>
    <w:bookmarkEnd w:id="318"/>
    <w:bookmarkEnd w:id="319"/>
    <w:p w14:paraId="66EE9DE3">
      <w:pPr>
        <w:pStyle w:val="5"/>
        <w:numPr>
          <w:ilvl w:val="0"/>
          <w:numId w:val="15"/>
        </w:numPr>
        <w:rPr>
          <w:rFonts w:hint="eastAsia"/>
          <w:color w:val="000000" w:themeColor="text1"/>
          <w:lang w:val="zh-CN"/>
          <w14:textFill>
            <w14:solidFill>
              <w14:schemeClr w14:val="tx1"/>
            </w14:solidFill>
          </w14:textFill>
        </w:rPr>
      </w:pPr>
      <w:bookmarkStart w:id="326" w:name="_Toc9960"/>
      <w:bookmarkStart w:id="327" w:name="_Toc155185900"/>
      <w:r>
        <w:rPr>
          <w:rFonts w:hint="eastAsia"/>
          <w:color w:val="000000" w:themeColor="text1"/>
          <w:lang w:val="zh-CN"/>
          <w14:textFill>
            <w14:solidFill>
              <w14:schemeClr w14:val="tx1"/>
            </w14:solidFill>
          </w14:textFill>
        </w:rPr>
        <w:t>信</w:t>
      </w:r>
      <w:bookmarkStart w:id="328" w:name="_Hlk162301965"/>
      <w:r>
        <w:rPr>
          <w:rFonts w:hint="eastAsia"/>
          <w:color w:val="000000" w:themeColor="text1"/>
          <w:lang w:val="zh-CN"/>
          <w14:textFill>
            <w14:solidFill>
              <w14:schemeClr w14:val="tx1"/>
            </w14:solidFill>
          </w14:textFill>
        </w:rPr>
        <w:t>用信息核查</w:t>
      </w:r>
      <w:bookmarkEnd w:id="326"/>
      <w:bookmarkEnd w:id="328"/>
    </w:p>
    <w:p w14:paraId="554644DF">
      <w:pPr>
        <w:pStyle w:val="42"/>
        <w:rPr>
          <w:rFonts w:hint="eastAsia"/>
          <w:color w:val="000000" w:themeColor="text1"/>
          <w14:textFill>
            <w14:solidFill>
              <w14:schemeClr w14:val="tx1"/>
            </w14:solidFill>
          </w14:textFill>
        </w:rPr>
      </w:pPr>
      <w:bookmarkStart w:id="329" w:name="_Hlk162301966"/>
      <w:r>
        <w:rPr>
          <w:rFonts w:hint="eastAsia"/>
          <w:color w:val="000000" w:themeColor="text1"/>
          <w14:textFill>
            <w14:solidFill>
              <w14:schemeClr w14:val="tx1"/>
            </w14:solidFill>
          </w14:textFill>
        </w:rPr>
        <w:t>1</w:t>
      </w:r>
      <w:r>
        <w:rPr>
          <w:color w:val="000000" w:themeColor="text1"/>
          <w14:textFill>
            <w14:solidFill>
              <w14:schemeClr w14:val="tx1"/>
            </w14:solidFill>
          </w14:textFill>
        </w:rPr>
        <w:t>.根据《关于在政府采购活动中查询及使用信用记录有关问题的通知》（财库〔2016〕125号）要求，</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信用信息以“信用中国”网 (http://www.creditchina.gov.cn)和中国政府采购网(http://www.ccgp.gov.cn)查询的结果为准。</w:t>
      </w:r>
    </w:p>
    <w:p w14:paraId="6E7B80AD">
      <w:pPr>
        <w:pStyle w:val="42"/>
        <w:rPr>
          <w:rFonts w:hint="eastAsia"/>
          <w:color w:val="000000" w:themeColor="text1"/>
          <w:lang w:val="en-US"/>
          <w14:textFill>
            <w14:solidFill>
              <w14:schemeClr w14:val="tx1"/>
            </w14:solidFill>
          </w14:textFill>
        </w:rPr>
      </w:pPr>
      <w:r>
        <w:rPr>
          <w:color w:val="000000" w:themeColor="text1"/>
          <w14:textFill>
            <w14:solidFill>
              <w14:schemeClr w14:val="tx1"/>
            </w14:solidFill>
          </w14:textFill>
        </w:rPr>
        <w:t>2.资格审查当日应当核查</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信用记录，</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被列入失信被执行人、重大税收违法失信主体、政府采购严重违法失信行为记录名单的，</w:t>
      </w:r>
      <w:r>
        <w:rPr>
          <w:rFonts w:hint="eastAsia"/>
          <w:color w:val="000000" w:themeColor="text1"/>
          <w14:textFill>
            <w14:solidFill>
              <w14:schemeClr w14:val="tx1"/>
            </w14:solidFill>
          </w14:textFill>
        </w:rPr>
        <w:t>采购代理机构</w:t>
      </w:r>
      <w:r>
        <w:rPr>
          <w:color w:val="000000" w:themeColor="text1"/>
          <w14:textFill>
            <w14:solidFill>
              <w14:schemeClr w14:val="tx1"/>
            </w14:solidFill>
          </w14:textFill>
        </w:rPr>
        <w:t>拒绝其参加政府采购活动。</w:t>
      </w:r>
      <w:r>
        <w:rPr>
          <w:rFonts w:hint="eastAsia"/>
          <w:color w:val="000000" w:themeColor="text1"/>
          <w:lang w:val="en-US"/>
          <w14:textFill>
            <w14:solidFill>
              <w14:schemeClr w14:val="tx1"/>
            </w14:solidFill>
          </w14:textFill>
        </w:rPr>
        <w:t>具体以采购代理机构在投标截止后2小时内查询结果为准。</w:t>
      </w:r>
    </w:p>
    <w:p w14:paraId="3807E671">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以联合体形式投标的，应当核查联合体所有成员的信用记录，联合体成员存在不良信用记录的，视同联合体存在不良信用信息。</w:t>
      </w:r>
    </w:p>
    <w:p w14:paraId="117FD573">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4.资格审查与评标工作未在同日进行的特殊情形下，</w:t>
      </w:r>
      <w:r>
        <w:rPr>
          <w:rFonts w:hint="eastAsia"/>
          <w:color w:val="000000" w:themeColor="text1"/>
          <w14:textFill>
            <w14:solidFill>
              <w14:schemeClr w14:val="tx1"/>
            </w14:solidFill>
          </w14:textFill>
        </w:rPr>
        <w:t>采购代理机构</w:t>
      </w:r>
      <w:r>
        <w:rPr>
          <w:color w:val="000000" w:themeColor="text1"/>
          <w14:textFill>
            <w14:solidFill>
              <w14:schemeClr w14:val="tx1"/>
            </w14:solidFill>
          </w14:textFill>
        </w:rPr>
        <w:t>工作人员在评标时应当对</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的信用信息进行复核，发现评标当日存在不良信用信息的，由评标委员会按照符合性审查不合格作</w:t>
      </w:r>
      <w:r>
        <w:rPr>
          <w:b/>
          <w:bCs/>
          <w:color w:val="000000" w:themeColor="text1"/>
          <w14:textFill>
            <w14:solidFill>
              <w14:schemeClr w14:val="tx1"/>
            </w14:solidFill>
          </w14:textFill>
        </w:rPr>
        <w:t>无效投标</w:t>
      </w:r>
      <w:r>
        <w:rPr>
          <w:color w:val="000000" w:themeColor="text1"/>
          <w14:textFill>
            <w14:solidFill>
              <w14:schemeClr w14:val="tx1"/>
            </w14:solidFill>
          </w14:textFill>
        </w:rPr>
        <w:t>处理。</w:t>
      </w:r>
      <w:bookmarkEnd w:id="329"/>
    </w:p>
    <w:p w14:paraId="28D5178F">
      <w:pPr>
        <w:pStyle w:val="5"/>
        <w:numPr>
          <w:ilvl w:val="0"/>
          <w:numId w:val="15"/>
        </w:numPr>
        <w:rPr>
          <w:rFonts w:hint="eastAsia"/>
          <w:color w:val="000000" w:themeColor="text1"/>
          <w:lang w:val="zh-CN"/>
          <w14:textFill>
            <w14:solidFill>
              <w14:schemeClr w14:val="tx1"/>
            </w14:solidFill>
          </w14:textFill>
        </w:rPr>
      </w:pPr>
      <w:bookmarkStart w:id="330" w:name="_Toc26825"/>
      <w:r>
        <w:rPr>
          <w:rFonts w:hint="eastAsia"/>
          <w:color w:val="000000" w:themeColor="text1"/>
          <w:lang w:val="zh-CN"/>
          <w14:textFill>
            <w14:solidFill>
              <w14:schemeClr w14:val="tx1"/>
            </w14:solidFill>
          </w14:textFill>
        </w:rPr>
        <w:t>资格审查</w:t>
      </w:r>
      <w:bookmarkEnd w:id="320"/>
      <w:bookmarkEnd w:id="321"/>
      <w:bookmarkEnd w:id="322"/>
      <w:bookmarkEnd w:id="323"/>
      <w:bookmarkEnd w:id="324"/>
      <w:bookmarkEnd w:id="325"/>
      <w:r>
        <w:rPr>
          <w:rFonts w:hint="eastAsia"/>
          <w:color w:val="000000" w:themeColor="text1"/>
          <w:lang w:val="zh-CN"/>
          <w14:textFill>
            <w14:solidFill>
              <w14:schemeClr w14:val="tx1"/>
            </w14:solidFill>
          </w14:textFill>
        </w:rPr>
        <w:t>结果</w:t>
      </w:r>
      <w:bookmarkEnd w:id="327"/>
      <w:bookmarkEnd w:id="330"/>
    </w:p>
    <w:p w14:paraId="6653FB7E">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根据资格审查的情况，确定资格审查合格的投标供应商，并形成资格审查结果。</w:t>
      </w:r>
    </w:p>
    <w:p w14:paraId="4D04DAA9">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资格审查合格投标供应商不足3家的，不得评标，应予以</w:t>
      </w:r>
      <w:r>
        <w:rPr>
          <w:rFonts w:hint="eastAsia"/>
          <w:b/>
          <w:bCs/>
          <w:color w:val="000000" w:themeColor="text1"/>
          <w14:textFill>
            <w14:solidFill>
              <w14:schemeClr w14:val="tx1"/>
            </w14:solidFill>
          </w14:textFill>
        </w:rPr>
        <w:t>废标</w:t>
      </w:r>
      <w:r>
        <w:rPr>
          <w:rFonts w:hint="eastAsia"/>
          <w:color w:val="000000" w:themeColor="text1"/>
          <w14:textFill>
            <w14:solidFill>
              <w14:schemeClr w14:val="tx1"/>
            </w14:solidFill>
          </w14:textFill>
        </w:rPr>
        <w:t>。</w:t>
      </w:r>
    </w:p>
    <w:p w14:paraId="472578BC">
      <w:pPr>
        <w:pStyle w:val="54"/>
        <w:rPr>
          <w:rFonts w:hint="eastAsia"/>
          <w:color w:val="000000" w:themeColor="text1"/>
          <w14:textFill>
            <w14:solidFill>
              <w14:schemeClr w14:val="tx1"/>
            </w14:solidFill>
          </w14:textFill>
        </w:rPr>
      </w:pPr>
    </w:p>
    <w:p w14:paraId="2932237E">
      <w:pPr>
        <w:pStyle w:val="54"/>
        <w:rPr>
          <w:rFonts w:hint="eastAsia"/>
          <w:color w:val="000000" w:themeColor="text1"/>
          <w14:textFill>
            <w14:solidFill>
              <w14:schemeClr w14:val="tx1"/>
            </w14:solidFill>
          </w14:textFill>
        </w:rPr>
      </w:pPr>
    </w:p>
    <w:p w14:paraId="5DE3DE10">
      <w:pPr>
        <w:pStyle w:val="54"/>
        <w:rPr>
          <w:rFonts w:hint="eastAsia"/>
          <w:color w:val="000000" w:themeColor="text1"/>
          <w14:textFill>
            <w14:solidFill>
              <w14:schemeClr w14:val="tx1"/>
            </w14:solidFill>
          </w14:textFill>
        </w:rPr>
        <w:sectPr>
          <w:pgSz w:w="11906" w:h="16838"/>
          <w:pgMar w:top="2064" w:right="1519" w:bottom="1723" w:left="1576" w:header="1247" w:footer="1134" w:gutter="0"/>
          <w:pgNumType w:fmt="numberInDash"/>
          <w:cols w:space="425" w:num="1"/>
          <w:docGrid w:type="lines" w:linePitch="312" w:charSpace="0"/>
        </w:sectPr>
      </w:pPr>
    </w:p>
    <w:p w14:paraId="2E2CFB95">
      <w:pPr>
        <w:pStyle w:val="4"/>
        <w:numPr>
          <w:ilvl w:val="0"/>
          <w:numId w:val="14"/>
        </w:numPr>
        <w:rPr>
          <w:rFonts w:hint="eastAsia"/>
          <w:color w:val="000000" w:themeColor="text1"/>
          <w14:textFill>
            <w14:solidFill>
              <w14:schemeClr w14:val="tx1"/>
            </w14:solidFill>
          </w14:textFill>
        </w:rPr>
      </w:pPr>
      <w:bookmarkStart w:id="331" w:name="_Toc15415"/>
      <w:bookmarkStart w:id="332" w:name="_Toc511894514"/>
      <w:bookmarkStart w:id="333" w:name="_Toc109899480"/>
      <w:bookmarkStart w:id="334" w:name="_Toc109900318"/>
      <w:bookmarkStart w:id="335" w:name="_Toc140132821"/>
      <w:bookmarkStart w:id="336" w:name="_Toc109899899"/>
      <w:bookmarkStart w:id="337" w:name="_Toc494561958"/>
      <w:bookmarkStart w:id="338" w:name="_Toc61280398"/>
      <w:bookmarkStart w:id="339" w:name="_Toc155185896"/>
      <w:bookmarkStart w:id="340" w:name="_Toc155185903"/>
      <w:r>
        <w:rPr>
          <w:rFonts w:hint="eastAsia" w:cs="宋体" w:asciiTheme="majorEastAsia" w:hAnsiTheme="majorEastAsia" w:eastAsiaTheme="majorEastAsia"/>
          <w:color w:val="000000" w:themeColor="text1"/>
          <w:kern w:val="0"/>
          <w:szCs w:val="21"/>
          <w14:textFill>
            <w14:solidFill>
              <w14:schemeClr w14:val="tx1"/>
            </w14:solidFill>
          </w14:textFill>
        </w:rPr>
        <w:t>资格审查标准</w:t>
      </w:r>
      <w:bookmarkEnd w:id="331"/>
    </w:p>
    <w:tbl>
      <w:tblPr>
        <w:tblStyle w:val="3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43"/>
        <w:gridCol w:w="2666"/>
        <w:gridCol w:w="4787"/>
      </w:tblGrid>
      <w:tr w14:paraId="0741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shd w:val="clear" w:color="auto" w:fill="D8D8D8" w:themeFill="background1" w:themeFillShade="D9"/>
            <w:vAlign w:val="center"/>
          </w:tcPr>
          <w:p w14:paraId="2DFF615A">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2666" w:type="dxa"/>
            <w:shd w:val="clear" w:color="auto" w:fill="D8D8D8" w:themeFill="background1" w:themeFillShade="D9"/>
            <w:vAlign w:val="center"/>
          </w:tcPr>
          <w:p w14:paraId="37DBE8AE">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资格要求</w:t>
            </w:r>
          </w:p>
        </w:tc>
        <w:tc>
          <w:tcPr>
            <w:tcW w:w="4787" w:type="dxa"/>
            <w:shd w:val="clear" w:color="auto" w:fill="D8D8D8" w:themeFill="background1" w:themeFillShade="D9"/>
            <w:vAlign w:val="center"/>
          </w:tcPr>
          <w:p w14:paraId="13264978">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审查内容</w:t>
            </w:r>
          </w:p>
        </w:tc>
      </w:tr>
      <w:tr w14:paraId="2FD9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restart"/>
            <w:vAlign w:val="center"/>
          </w:tcPr>
          <w:p w14:paraId="79B02D1F">
            <w:pPr>
              <w:pStyle w:val="54"/>
              <w:numPr>
                <w:ilvl w:val="0"/>
                <w:numId w:val="16"/>
              </w:numPr>
              <w:rPr>
                <w:rFonts w:hint="eastAsia"/>
                <w:color w:val="000000" w:themeColor="text1"/>
                <w14:textFill>
                  <w14:solidFill>
                    <w14:schemeClr w14:val="tx1"/>
                  </w14:solidFill>
                </w14:textFill>
              </w:rPr>
            </w:pPr>
          </w:p>
        </w:tc>
        <w:tc>
          <w:tcPr>
            <w:tcW w:w="2666" w:type="dxa"/>
            <w:vAlign w:val="center"/>
          </w:tcPr>
          <w:p w14:paraId="071CF34C">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具有独立承担民事责任的能力</w:t>
            </w:r>
          </w:p>
        </w:tc>
        <w:tc>
          <w:tcPr>
            <w:tcW w:w="4787" w:type="dxa"/>
            <w:vAlign w:val="center"/>
          </w:tcPr>
          <w:p w14:paraId="3BFCA66B">
            <w:pPr>
              <w:pStyle w:val="54"/>
              <w:jc w:val="both"/>
              <w:rPr>
                <w:rFonts w:hint="eastAsia"/>
                <w:color w:val="000000" w:themeColor="text1"/>
                <w14:textFill>
                  <w14:solidFill>
                    <w14:schemeClr w14:val="tx1"/>
                  </w14:solidFill>
                </w14:textFill>
              </w:rPr>
            </w:pPr>
            <w:r>
              <w:rPr>
                <w:color w:val="000000" w:themeColor="text1"/>
                <w14:textFill>
                  <w14:solidFill>
                    <w14:schemeClr w14:val="tx1"/>
                  </w14:solidFill>
                </w14:textFill>
              </w:rPr>
              <w:t>法人或者其他组织的营业执照等证明文件，自然人的身份证明</w:t>
            </w:r>
            <w:r>
              <w:rPr>
                <w:rFonts w:hint="eastAsia"/>
                <w:color w:val="000000" w:themeColor="text1"/>
                <w14:textFill>
                  <w14:solidFill>
                    <w14:schemeClr w14:val="tx1"/>
                  </w14:solidFill>
                </w14:textFill>
              </w:rPr>
              <w:t>。</w:t>
            </w:r>
          </w:p>
          <w:p w14:paraId="054A16FE">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（1）企业应提供“营业执照”；</w:t>
            </w:r>
          </w:p>
          <w:p w14:paraId="460B2531">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（2）事业单位应提供“事业单位法人证书”；</w:t>
            </w:r>
          </w:p>
          <w:p w14:paraId="7388623E">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（3）非企业专业服务机构应提供执业许可证等证明文件；</w:t>
            </w:r>
          </w:p>
          <w:p w14:paraId="59AB6124">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（4）个体工商户应提供“个体工商户营业执照”；</w:t>
            </w:r>
          </w:p>
          <w:p w14:paraId="13AD9ECB">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（5）自然人应提供自然人身份证明。</w:t>
            </w:r>
          </w:p>
        </w:tc>
      </w:tr>
      <w:tr w14:paraId="7678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7A485613">
            <w:pPr>
              <w:pStyle w:val="54"/>
              <w:numPr>
                <w:ilvl w:val="0"/>
                <w:numId w:val="16"/>
              </w:numPr>
              <w:rPr>
                <w:rFonts w:hint="eastAsia"/>
                <w:color w:val="000000" w:themeColor="text1"/>
                <w14:textFill>
                  <w14:solidFill>
                    <w14:schemeClr w14:val="tx1"/>
                  </w14:solidFill>
                </w14:textFill>
              </w:rPr>
            </w:pPr>
          </w:p>
        </w:tc>
        <w:tc>
          <w:tcPr>
            <w:tcW w:w="2666" w:type="dxa"/>
            <w:vAlign w:val="center"/>
          </w:tcPr>
          <w:p w14:paraId="75FB3783">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具有良好的商业信誉和健全的财务会计制度</w:t>
            </w:r>
          </w:p>
        </w:tc>
        <w:tc>
          <w:tcPr>
            <w:tcW w:w="4787" w:type="dxa"/>
            <w:vAlign w:val="center"/>
          </w:tcPr>
          <w:p w14:paraId="775C4E78">
            <w:pPr>
              <w:pStyle w:val="54"/>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由</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对以下内容提供书面承诺或声明，或提供相应证明材料。</w:t>
            </w:r>
          </w:p>
          <w:p w14:paraId="18D8492F">
            <w:pPr>
              <w:pStyle w:val="54"/>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是法人的，应具有上一年度（</w:t>
            </w:r>
            <w:r>
              <w:rPr>
                <w:rFonts w:hint="eastAsia"/>
                <w:color w:val="000000" w:themeColor="text1"/>
                <w:lang w:val="en-US" w:eastAsia="zh-CN"/>
                <w14:textFill>
                  <w14:solidFill>
                    <w14:schemeClr w14:val="tx1"/>
                  </w14:solidFill>
                </w14:textFill>
              </w:rPr>
              <w:t>2024或2025</w:t>
            </w:r>
            <w:r>
              <w:rPr>
                <w:color w:val="000000" w:themeColor="text1"/>
                <w14:textFill>
                  <w14:solidFill>
                    <w14:schemeClr w14:val="tx1"/>
                  </w14:solidFill>
                </w14:textFill>
              </w:rPr>
              <w:t>年度）经审计的财务报告，或其基本开户银行出具的资信证明。其他组织和自然人，没有经审计的财务报告，应具有银行出具的资信证明。</w:t>
            </w:r>
          </w:p>
          <w:p w14:paraId="4E99E6D8">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（2）有专业担保机构对</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进行资信审查后出具投标担保函的，可以不用具备经审计的财务报告和银行资信证明文件</w:t>
            </w:r>
          </w:p>
        </w:tc>
      </w:tr>
      <w:tr w14:paraId="54B1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11E6B7D6">
            <w:pPr>
              <w:pStyle w:val="54"/>
              <w:numPr>
                <w:ilvl w:val="0"/>
                <w:numId w:val="16"/>
              </w:numPr>
              <w:rPr>
                <w:rFonts w:hint="eastAsia"/>
                <w:color w:val="000000" w:themeColor="text1"/>
                <w14:textFill>
                  <w14:solidFill>
                    <w14:schemeClr w14:val="tx1"/>
                  </w14:solidFill>
                </w14:textFill>
              </w:rPr>
            </w:pPr>
          </w:p>
        </w:tc>
        <w:tc>
          <w:tcPr>
            <w:tcW w:w="2666" w:type="dxa"/>
            <w:vAlign w:val="center"/>
          </w:tcPr>
          <w:p w14:paraId="3465A3E8">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具有履行合同所必需的设备和专业技术能力</w:t>
            </w:r>
          </w:p>
        </w:tc>
        <w:tc>
          <w:tcPr>
            <w:tcW w:w="4787" w:type="dxa"/>
            <w:vAlign w:val="center"/>
          </w:tcPr>
          <w:p w14:paraId="00504918">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提供书面承诺或声明，或提供相应证明材料。</w:t>
            </w:r>
          </w:p>
        </w:tc>
      </w:tr>
      <w:tr w14:paraId="2C2C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064B7C39">
            <w:pPr>
              <w:pStyle w:val="54"/>
              <w:numPr>
                <w:ilvl w:val="0"/>
                <w:numId w:val="16"/>
              </w:numPr>
              <w:rPr>
                <w:rFonts w:hint="eastAsia"/>
                <w:color w:val="000000" w:themeColor="text1"/>
                <w14:textFill>
                  <w14:solidFill>
                    <w14:schemeClr w14:val="tx1"/>
                  </w14:solidFill>
                </w14:textFill>
              </w:rPr>
            </w:pPr>
          </w:p>
        </w:tc>
        <w:tc>
          <w:tcPr>
            <w:tcW w:w="2666" w:type="dxa"/>
            <w:vAlign w:val="center"/>
          </w:tcPr>
          <w:p w14:paraId="0AF7F892">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有依法缴纳税收和社会保障资金的良好记录</w:t>
            </w:r>
          </w:p>
        </w:tc>
        <w:tc>
          <w:tcPr>
            <w:tcW w:w="4787" w:type="dxa"/>
            <w:vAlign w:val="center"/>
          </w:tcPr>
          <w:p w14:paraId="57766F46">
            <w:pPr>
              <w:pStyle w:val="54"/>
              <w:spacing w:line="240" w:lineRule="auto"/>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由</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提供书面承诺或声明，或提供相应证明材料。</w:t>
            </w:r>
          </w:p>
          <w:p w14:paraId="41633C53">
            <w:pPr>
              <w:pStyle w:val="54"/>
              <w:spacing w:line="240" w:lineRule="auto"/>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依法缴纳税收：本项目公告发布时间前</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个月内（至少有1个月）缴纳税收的凭据（完税证、缴款书、印花税票、银行代扣（代缴）转账凭证等均可）；</w:t>
            </w:r>
          </w:p>
          <w:p w14:paraId="10FC5F99">
            <w:pPr>
              <w:pStyle w:val="54"/>
              <w:spacing w:line="240" w:lineRule="auto"/>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依法缴纳社会保障资金：本项目公告发布时间前</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个月内（至少有1个月）缴纳社会保险的凭据（专用收据或社会保险交纳清单）；</w:t>
            </w:r>
          </w:p>
          <w:p w14:paraId="36366C41">
            <w:pPr>
              <w:pStyle w:val="54"/>
              <w:spacing w:line="240" w:lineRule="auto"/>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为其他组织或自然人的，也应满足以上要求；</w:t>
            </w:r>
          </w:p>
          <w:p w14:paraId="0049CDA0">
            <w:pPr>
              <w:pStyle w:val="54"/>
              <w:spacing w:line="240" w:lineRule="auto"/>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（4）递交投标文件截止时间的当月成立但因税务机关原因导致其尚未依法缴纳税收的</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，提供将依法缴纳税收承诺书原件（格式自拟），该承诺书视同税收缴纳凭据；</w:t>
            </w:r>
          </w:p>
          <w:p w14:paraId="358ABCCD">
            <w:pPr>
              <w:pStyle w:val="54"/>
              <w:spacing w:line="240" w:lineRule="auto"/>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（5）递交投标文件截止时间的当月成立但因社会保障资金管理机关原因导致其尚未依法缴纳社会保障资金的</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，提供将依法缴纳社会保障资金承诺书原件（格式自拟），该承诺书视同社会保险凭据；</w:t>
            </w:r>
          </w:p>
          <w:p w14:paraId="0951642C">
            <w:pPr>
              <w:pStyle w:val="54"/>
              <w:spacing w:line="240" w:lineRule="auto"/>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（6）依法免税或不需要缴纳社会保障资金的</w:t>
            </w:r>
            <w:r>
              <w:rPr>
                <w:rFonts w:hint="eastAsia"/>
                <w:color w:val="000000" w:themeColor="text1"/>
                <w:lang w:eastAsia="zh-CN"/>
                <w14:textFill>
                  <w14:solidFill>
                    <w14:schemeClr w14:val="tx1"/>
                  </w14:solidFill>
                </w14:textFill>
              </w:rPr>
              <w:t>投标供应商</w:t>
            </w:r>
            <w:r>
              <w:rPr>
                <w:rFonts w:hint="eastAsia"/>
                <w:color w:val="000000" w:themeColor="text1"/>
                <w14:textFill>
                  <w14:solidFill>
                    <w14:schemeClr w14:val="tx1"/>
                  </w14:solidFill>
                </w14:textFill>
              </w:rPr>
              <w:t>，具有相应文件证明其依法免税或不需要交纳社会保障资金。</w:t>
            </w:r>
          </w:p>
        </w:tc>
      </w:tr>
      <w:tr w14:paraId="6852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48A56D2A">
            <w:pPr>
              <w:pStyle w:val="54"/>
              <w:numPr>
                <w:ilvl w:val="0"/>
                <w:numId w:val="16"/>
              </w:numPr>
              <w:rPr>
                <w:rFonts w:hint="eastAsia"/>
                <w:color w:val="000000" w:themeColor="text1"/>
                <w14:textFill>
                  <w14:solidFill>
                    <w14:schemeClr w14:val="tx1"/>
                  </w14:solidFill>
                </w14:textFill>
              </w:rPr>
            </w:pPr>
          </w:p>
        </w:tc>
        <w:tc>
          <w:tcPr>
            <w:tcW w:w="2666" w:type="dxa"/>
            <w:vAlign w:val="center"/>
          </w:tcPr>
          <w:p w14:paraId="451F76B3">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参加政府采购活动前三年内，在经营活动中没有重大违法记录</w:t>
            </w:r>
          </w:p>
        </w:tc>
        <w:tc>
          <w:tcPr>
            <w:tcW w:w="4787" w:type="dxa"/>
            <w:vAlign w:val="center"/>
          </w:tcPr>
          <w:p w14:paraId="11F881C4">
            <w:pPr>
              <w:pStyle w:val="54"/>
              <w:jc w:val="both"/>
              <w:rPr>
                <w:rFonts w:hint="eastAsia"/>
                <w:color w:val="000000" w:themeColor="text1"/>
                <w14:textFill>
                  <w14:solidFill>
                    <w14:schemeClr w14:val="tx1"/>
                  </w14:solidFill>
                </w14:textFill>
              </w:rPr>
            </w:pPr>
            <w:r>
              <w:rPr>
                <w:rFonts w:hint="eastAsia"/>
                <w:bCs/>
                <w:color w:val="000000" w:themeColor="text1"/>
                <w14:textFill>
                  <w14:solidFill>
                    <w14:schemeClr w14:val="tx1"/>
                  </w14:solidFill>
                </w14:textFill>
              </w:rPr>
              <w:t>由</w:t>
            </w:r>
            <w:r>
              <w:rPr>
                <w:rFonts w:hint="eastAsia"/>
                <w:bCs/>
                <w:color w:val="000000" w:themeColor="text1"/>
                <w:lang w:eastAsia="zh-CN"/>
                <w14:textFill>
                  <w14:solidFill>
                    <w14:schemeClr w14:val="tx1"/>
                  </w14:solidFill>
                </w14:textFill>
              </w:rPr>
              <w:t>投标供应商</w:t>
            </w:r>
            <w:r>
              <w:rPr>
                <w:rFonts w:hint="eastAsia"/>
                <w:bCs/>
                <w:color w:val="000000" w:themeColor="text1"/>
                <w14:textFill>
                  <w14:solidFill>
                    <w14:schemeClr w14:val="tx1"/>
                  </w14:solidFill>
                </w14:textFill>
              </w:rPr>
              <w:t>提供书面承诺或声明</w:t>
            </w:r>
            <w:r>
              <w:rPr>
                <w:color w:val="000000" w:themeColor="text1"/>
                <w14:textFill>
                  <w14:solidFill>
                    <w14:schemeClr w14:val="tx1"/>
                  </w14:solidFill>
                </w14:textFill>
              </w:rPr>
              <w:t>，或提供相应证明材料。</w:t>
            </w:r>
          </w:p>
        </w:tc>
      </w:tr>
      <w:tr w14:paraId="1D40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0415663C">
            <w:pPr>
              <w:pStyle w:val="54"/>
              <w:numPr>
                <w:ilvl w:val="0"/>
                <w:numId w:val="16"/>
              </w:numPr>
              <w:rPr>
                <w:rFonts w:hint="eastAsia"/>
                <w:color w:val="000000" w:themeColor="text1"/>
                <w14:textFill>
                  <w14:solidFill>
                    <w14:schemeClr w14:val="tx1"/>
                  </w14:solidFill>
                </w14:textFill>
              </w:rPr>
            </w:pPr>
          </w:p>
        </w:tc>
        <w:tc>
          <w:tcPr>
            <w:tcW w:w="2666" w:type="dxa"/>
            <w:vAlign w:val="center"/>
          </w:tcPr>
          <w:p w14:paraId="79E3A162">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法律、行政法规规定的其他条件</w:t>
            </w:r>
          </w:p>
        </w:tc>
        <w:tc>
          <w:tcPr>
            <w:tcW w:w="4787" w:type="dxa"/>
            <w:vAlign w:val="center"/>
          </w:tcPr>
          <w:p w14:paraId="03F31446">
            <w:pPr>
              <w:pStyle w:val="54"/>
              <w:jc w:val="both"/>
              <w:rPr>
                <w:rFonts w:hint="eastAsia" w:eastAsia="宋体"/>
                <w:color w:val="000000" w:themeColor="text1"/>
                <w:lang w:eastAsia="zh-CN"/>
                <w14:textFill>
                  <w14:solidFill>
                    <w14:schemeClr w14:val="tx1"/>
                  </w14:solidFill>
                </w14:textFill>
              </w:rPr>
            </w:pPr>
            <w:r>
              <w:rPr>
                <w:rFonts w:hint="eastAsia"/>
                <w:bCs/>
                <w:color w:val="000000" w:themeColor="text1"/>
                <w14:textFill>
                  <w14:solidFill>
                    <w14:schemeClr w14:val="tx1"/>
                  </w14:solidFill>
                </w14:textFill>
              </w:rPr>
              <w:t>无</w:t>
            </w:r>
            <w:r>
              <w:rPr>
                <w:rFonts w:hint="eastAsia"/>
                <w:bCs/>
                <w:color w:val="000000" w:themeColor="text1"/>
                <w:lang w:eastAsia="zh-CN"/>
                <w14:textFill>
                  <w14:solidFill>
                    <w14:schemeClr w14:val="tx1"/>
                  </w14:solidFill>
                </w14:textFill>
              </w:rPr>
              <w:t>。</w:t>
            </w:r>
          </w:p>
        </w:tc>
      </w:tr>
      <w:tr w14:paraId="58A2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Align w:val="center"/>
          </w:tcPr>
          <w:p w14:paraId="0B9EEB03">
            <w:pPr>
              <w:pStyle w:val="54"/>
              <w:numPr>
                <w:ilvl w:val="0"/>
                <w:numId w:val="16"/>
              </w:numPr>
              <w:rPr>
                <w:rFonts w:hint="eastAsia"/>
                <w:color w:val="000000" w:themeColor="text1"/>
                <w14:textFill>
                  <w14:solidFill>
                    <w14:schemeClr w14:val="tx1"/>
                  </w14:solidFill>
                </w14:textFill>
              </w:rPr>
            </w:pPr>
          </w:p>
        </w:tc>
        <w:tc>
          <w:tcPr>
            <w:tcW w:w="2666" w:type="dxa"/>
          </w:tcPr>
          <w:p w14:paraId="7DC28CBA">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落实政府采购政策需满足的资格要求</w:t>
            </w:r>
          </w:p>
        </w:tc>
        <w:tc>
          <w:tcPr>
            <w:tcW w:w="4787" w:type="dxa"/>
            <w:vAlign w:val="center"/>
          </w:tcPr>
          <w:p w14:paraId="60FE90EB">
            <w:pPr>
              <w:pStyle w:val="54"/>
              <w:jc w:val="both"/>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无</w:t>
            </w:r>
            <w:r>
              <w:rPr>
                <w:rFonts w:hint="eastAsia"/>
                <w:color w:val="000000" w:themeColor="text1"/>
                <w:lang w:eastAsia="zh-CN"/>
                <w14:textFill>
                  <w14:solidFill>
                    <w14:schemeClr w14:val="tx1"/>
                  </w14:solidFill>
                </w14:textFill>
              </w:rPr>
              <w:t>。</w:t>
            </w:r>
          </w:p>
        </w:tc>
      </w:tr>
      <w:tr w14:paraId="738D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46" w:hRule="atLeast"/>
          <w:jc w:val="center"/>
        </w:trPr>
        <w:tc>
          <w:tcPr>
            <w:tcW w:w="843" w:type="dxa"/>
            <w:vAlign w:val="center"/>
          </w:tcPr>
          <w:p w14:paraId="6EB8246B">
            <w:pPr>
              <w:pStyle w:val="54"/>
              <w:numPr>
                <w:ilvl w:val="0"/>
                <w:numId w:val="16"/>
              </w:numPr>
              <w:rPr>
                <w:rFonts w:hint="eastAsia"/>
                <w:color w:val="000000" w:themeColor="text1"/>
                <w14:textFill>
                  <w14:solidFill>
                    <w14:schemeClr w14:val="tx1"/>
                  </w14:solidFill>
                </w14:textFill>
              </w:rPr>
            </w:pPr>
          </w:p>
        </w:tc>
        <w:tc>
          <w:tcPr>
            <w:tcW w:w="2666" w:type="dxa"/>
            <w:vAlign w:val="center"/>
          </w:tcPr>
          <w:p w14:paraId="217C35DB">
            <w:pPr>
              <w:pStyle w:val="54"/>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本项目的特定资格要求</w:t>
            </w:r>
          </w:p>
        </w:tc>
        <w:tc>
          <w:tcPr>
            <w:tcW w:w="4787" w:type="dxa"/>
            <w:vAlign w:val="center"/>
          </w:tcPr>
          <w:p w14:paraId="6987A7FB">
            <w:pPr>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（1）本项目不接受联合体投标。</w:t>
            </w:r>
          </w:p>
          <w:p w14:paraId="648542ED">
            <w:pPr>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2）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后2小时内在“信用中国”网站（www.creditchina.gov.cn）及中国政府采购网（http://www.ccgp.gov.cn/）查询结果为准。</w:t>
            </w:r>
          </w:p>
          <w:p w14:paraId="57C8A067">
            <w:pPr>
              <w:rPr>
                <w:rFonts w:hint="default" w:eastAsia="宋体" w:cs="宋体"/>
                <w:color w:val="000000" w:themeColor="text1"/>
                <w:sz w:val="24"/>
                <w:szCs w:val="24"/>
                <w:lang w:val="en-US" w:eastAsia="zh-CN"/>
                <w14:textFill>
                  <w14:solidFill>
                    <w14:schemeClr w14:val="tx1"/>
                  </w14:solidFill>
                </w14:textFill>
              </w:rPr>
            </w:pPr>
            <w:r>
              <w:rPr>
                <w:rFonts w:hint="eastAsia" w:cs="宋体"/>
                <w:color w:val="000000" w:themeColor="text1"/>
                <w:sz w:val="24"/>
                <w:szCs w:val="24"/>
                <w14:textFill>
                  <w14:solidFill>
                    <w14:schemeClr w14:val="tx1"/>
                  </w14:solidFill>
                </w14:textFill>
              </w:rPr>
              <w:t>（3）单位负责人为同一人或者存在直接控股、管理关系的不同供应商，不得同时参加本采购项目（或采购包）投标（响应）。</w:t>
            </w:r>
          </w:p>
          <w:p w14:paraId="076E92E6">
            <w:pPr>
              <w:rPr>
                <w:rFonts w:hint="default" w:eastAsia="宋体"/>
                <w:color w:val="000000" w:themeColor="text1"/>
                <w:lang w:val="en-US" w:eastAsia="zh-CN"/>
                <w14:textFill>
                  <w14:solidFill>
                    <w14:schemeClr w14:val="tx1"/>
                  </w14:solidFill>
                </w14:textFill>
              </w:rPr>
            </w:pPr>
          </w:p>
        </w:tc>
      </w:tr>
    </w:tbl>
    <w:p w14:paraId="0893721D">
      <w:pP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p w14:paraId="1A3F0F9F">
      <w:pPr>
        <w:pStyle w:val="44"/>
        <w:numPr>
          <w:ilvl w:val="0"/>
          <w:numId w:val="17"/>
        </w:numPr>
        <w:rPr>
          <w:rFonts w:hint="eastAsia"/>
          <w:color w:val="000000" w:themeColor="text1"/>
          <w14:textFill>
            <w14:solidFill>
              <w14:schemeClr w14:val="tx1"/>
            </w14:solidFill>
          </w14:textFill>
        </w:rPr>
      </w:pPr>
      <w:r>
        <w:rPr>
          <w:color w:val="000000" w:themeColor="text1"/>
          <w14:textFill>
            <w14:solidFill>
              <w14:schemeClr w14:val="tx1"/>
            </w14:solidFill>
          </w14:textFill>
        </w:rPr>
        <w:t>资格证明文件应为原件的扫描件或复印件，投标文件中须编入清晰的扫描件或复印件。所有证明材料须清晰可辨认，如因证明材料模糊无法辨认，缺页、漏页导致无法进行评审认定的责任由</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自负。</w:t>
      </w:r>
    </w:p>
    <w:p w14:paraId="18F5A308">
      <w:pPr>
        <w:pStyle w:val="44"/>
        <w:numPr>
          <w:ilvl w:val="0"/>
          <w:numId w:val="17"/>
        </w:numPr>
        <w:rPr>
          <w:rFonts w:hint="eastAsia"/>
          <w:color w:val="000000" w:themeColor="text1"/>
          <w14:textFill>
            <w14:solidFill>
              <w14:schemeClr w14:val="tx1"/>
            </w14:solidFill>
          </w14:textFill>
        </w:rPr>
      </w:pPr>
      <w:r>
        <w:rPr>
          <w:rFonts w:hint="eastAsia"/>
          <w:color w:val="000000" w:themeColor="text1"/>
          <w:lang w:val="zh-CN"/>
          <w14:textFill>
            <w14:solidFill>
              <w14:schemeClr w14:val="tx1"/>
            </w14:solidFill>
          </w14:textFill>
        </w:rPr>
        <w:t>信用信息核</w:t>
      </w:r>
      <w:r>
        <w:rPr>
          <w:rFonts w:hint="eastAsia"/>
          <w:color w:val="000000" w:themeColor="text1"/>
          <w14:textFill>
            <w14:solidFill>
              <w14:schemeClr w14:val="tx1"/>
            </w14:solidFill>
          </w14:textFill>
        </w:rPr>
        <w:t>查</w:t>
      </w:r>
    </w:p>
    <w:p w14:paraId="0AB44ED3">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资格审查当日应当核查投标供应商信用记录，投标供应商被列入失信被执行人、重大税收违法案件当事人名单、政府采购严重违法失信行为记录名单的，采购代理机构拒绝其参与政府采购活动。</w:t>
      </w:r>
    </w:p>
    <w:p w14:paraId="7FC2CB95">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以联合体形式投标的，应当核查联合体所有成员和信用记录，联合体成员存在不良信用记录的，视同联合体存在不良信用信息。</w:t>
      </w:r>
    </w:p>
    <w:p w14:paraId="4D886ECE">
      <w:pPr>
        <w:pStyle w:val="44"/>
        <w:numPr>
          <w:ilvl w:val="0"/>
          <w:numId w:val="17"/>
        </w:numPr>
        <w:rPr>
          <w:rFonts w:hint="eastAsia"/>
          <w:color w:val="000000" w:themeColor="text1"/>
          <w14:textFill>
            <w14:solidFill>
              <w14:schemeClr w14:val="tx1"/>
            </w14:solidFill>
          </w14:textFill>
        </w:rPr>
      </w:pPr>
      <w:r>
        <w:rPr>
          <w:color w:val="000000" w:themeColor="text1"/>
          <w14:textFill>
            <w14:solidFill>
              <w14:schemeClr w14:val="tx1"/>
            </w14:solidFill>
          </w14:textFill>
        </w:rPr>
        <w:t>对于投标文件中有任意一条不满足上表要求的将导致其</w:t>
      </w:r>
      <w:r>
        <w:rPr>
          <w:b/>
          <w:bCs/>
          <w:color w:val="000000" w:themeColor="text1"/>
          <w14:textFill>
            <w14:solidFill>
              <w14:schemeClr w14:val="tx1"/>
            </w14:solidFill>
          </w14:textFill>
        </w:rPr>
        <w:t>投标无效</w:t>
      </w:r>
      <w:r>
        <w:rPr>
          <w:color w:val="000000" w:themeColor="text1"/>
          <w14:textFill>
            <w14:solidFill>
              <w14:schemeClr w14:val="tx1"/>
            </w14:solidFill>
          </w14:textFill>
        </w:rPr>
        <w:t>，不进入下一项评审。</w:t>
      </w:r>
      <w:bookmarkEnd w:id="332"/>
      <w:bookmarkEnd w:id="333"/>
      <w:bookmarkEnd w:id="334"/>
      <w:bookmarkEnd w:id="335"/>
      <w:bookmarkEnd w:id="336"/>
      <w:bookmarkEnd w:id="337"/>
      <w:bookmarkEnd w:id="338"/>
      <w:bookmarkEnd w:id="339"/>
    </w:p>
    <w:p w14:paraId="7CD30043">
      <w:pPr>
        <w:pStyle w:val="54"/>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1E0B4538">
      <w:pPr>
        <w:pStyle w:val="3"/>
        <w:numPr>
          <w:ilvl w:val="0"/>
          <w:numId w:val="2"/>
        </w:numPr>
        <w:rPr>
          <w:rFonts w:hint="eastAsia"/>
          <w:color w:val="000000" w:themeColor="text1"/>
          <w14:textFill>
            <w14:solidFill>
              <w14:schemeClr w14:val="tx1"/>
            </w14:solidFill>
          </w14:textFill>
        </w:rPr>
      </w:pPr>
      <w:bookmarkStart w:id="341" w:name="_Toc24744"/>
      <w:r>
        <w:rPr>
          <w:rFonts w:hint="eastAsia"/>
          <w:color w:val="000000" w:themeColor="text1"/>
          <w14:textFill>
            <w14:solidFill>
              <w14:schemeClr w14:val="tx1"/>
            </w14:solidFill>
          </w14:textFill>
        </w:rPr>
        <w:t>评标办法</w:t>
      </w:r>
      <w:bookmarkEnd w:id="340"/>
      <w:r>
        <w:rPr>
          <w:rFonts w:hint="eastAsia"/>
          <w:color w:val="000000" w:themeColor="text1"/>
          <w14:textFill>
            <w14:solidFill>
              <w14:schemeClr w14:val="tx1"/>
            </w14:solidFill>
          </w14:textFill>
        </w:rPr>
        <w:t>及标准</w:t>
      </w:r>
      <w:bookmarkEnd w:id="341"/>
    </w:p>
    <w:p w14:paraId="59DFA5FD">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根据《中华人民共和国政府采购法》及其实施条例、《政府采购货物和服务招标投标管理办法》相关法律法规确定以下评标办法及标准。</w:t>
      </w:r>
    </w:p>
    <w:p w14:paraId="69A41D9B">
      <w:pPr>
        <w:pStyle w:val="4"/>
        <w:numPr>
          <w:ilvl w:val="0"/>
          <w:numId w:val="18"/>
        </w:numPr>
        <w:rPr>
          <w:rFonts w:hint="eastAsia"/>
          <w:color w:val="000000" w:themeColor="text1"/>
          <w:lang w:val="zh-CN"/>
          <w14:textFill>
            <w14:solidFill>
              <w14:schemeClr w14:val="tx1"/>
            </w14:solidFill>
          </w14:textFill>
        </w:rPr>
      </w:pPr>
      <w:bookmarkStart w:id="342" w:name="_Toc6485"/>
      <w:bookmarkStart w:id="343" w:name="_Toc61280402"/>
      <w:bookmarkStart w:id="344" w:name="_Toc511894518"/>
      <w:bookmarkStart w:id="345" w:name="_Toc155185905"/>
      <w:bookmarkStart w:id="346" w:name="_Toc140132826"/>
      <w:bookmarkStart w:id="347" w:name="_Toc272247709"/>
      <w:bookmarkStart w:id="348" w:name="_Toc109899903"/>
      <w:bookmarkStart w:id="349" w:name="_Toc494561962"/>
      <w:bookmarkStart w:id="350" w:name="_Toc109899484"/>
      <w:bookmarkStart w:id="351" w:name="_Toc109900322"/>
      <w:bookmarkStart w:id="352" w:name="_Toc278891606"/>
      <w:r>
        <w:rPr>
          <w:rFonts w:hint="eastAsia"/>
          <w:color w:val="000000" w:themeColor="text1"/>
          <w:lang w:val="zh-CN"/>
          <w14:textFill>
            <w14:solidFill>
              <w14:schemeClr w14:val="tx1"/>
            </w14:solidFill>
          </w14:textFill>
        </w:rPr>
        <w:t>评标办法前附表</w:t>
      </w:r>
      <w:bookmarkEnd w:id="342"/>
    </w:p>
    <w:p w14:paraId="68A4F56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下面所列资料是对评标方法和评标程序的具体补充和说明。如有矛盾，应以本表为准。</w:t>
      </w:r>
    </w:p>
    <w:tbl>
      <w:tblPr>
        <w:tblStyle w:val="33"/>
        <w:tblW w:w="8531"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0"/>
        <w:gridCol w:w="5841"/>
      </w:tblGrid>
      <w:tr w14:paraId="378E58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337FB0B">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条款号</w:t>
            </w:r>
          </w:p>
        </w:tc>
        <w:tc>
          <w:tcPr>
            <w:tcW w:w="172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03E1612">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条款名称</w:t>
            </w:r>
          </w:p>
        </w:tc>
        <w:tc>
          <w:tcPr>
            <w:tcW w:w="5841"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BAF8047">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内  容</w:t>
            </w:r>
          </w:p>
        </w:tc>
      </w:tr>
      <w:tr w14:paraId="525AAD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4" w:hRule="atLeast"/>
        </w:trPr>
        <w:tc>
          <w:tcPr>
            <w:tcW w:w="970" w:type="dxa"/>
            <w:tcBorders>
              <w:top w:val="single" w:color="auto" w:sz="4" w:space="0"/>
            </w:tcBorders>
            <w:vAlign w:val="center"/>
          </w:tcPr>
          <w:p w14:paraId="4F0695F0">
            <w:pPr>
              <w:pStyle w:val="54"/>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7.1</w:t>
            </w:r>
          </w:p>
        </w:tc>
        <w:tc>
          <w:tcPr>
            <w:tcW w:w="1720" w:type="dxa"/>
            <w:tcBorders>
              <w:top w:val="single" w:color="auto" w:sz="4" w:space="0"/>
            </w:tcBorders>
            <w:vAlign w:val="center"/>
          </w:tcPr>
          <w:p w14:paraId="24ED7D73">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报价</w:t>
            </w:r>
            <w:r>
              <w:rPr>
                <w:color w:val="000000" w:themeColor="text1"/>
                <w14:textFill>
                  <w14:solidFill>
                    <w14:schemeClr w14:val="tx1"/>
                  </w14:solidFill>
                </w14:textFill>
              </w:rPr>
              <w:t>修正</w:t>
            </w:r>
            <w:r>
              <w:rPr>
                <w:rFonts w:hint="eastAsia"/>
                <w:color w:val="000000" w:themeColor="text1"/>
                <w14:textFill>
                  <w14:solidFill>
                    <w14:schemeClr w14:val="tx1"/>
                  </w14:solidFill>
                </w14:textFill>
              </w:rPr>
              <w:t>规定</w:t>
            </w:r>
          </w:p>
        </w:tc>
        <w:tc>
          <w:tcPr>
            <w:tcW w:w="5841" w:type="dxa"/>
            <w:tcBorders>
              <w:top w:val="single" w:color="auto" w:sz="4" w:space="0"/>
            </w:tcBorders>
            <w:vAlign w:val="center"/>
          </w:tcPr>
          <w:p w14:paraId="19AA538F">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投标文件中开标一览表内容与投标文件中相应内容不一致的，以开标一览表为准</w:t>
            </w:r>
            <w:r>
              <w:rPr>
                <w:rFonts w:hint="eastAsia"/>
                <w:color w:val="000000" w:themeColor="text1"/>
                <w14:textFill>
                  <w14:solidFill>
                    <w14:schemeClr w14:val="tx1"/>
                  </w14:solidFill>
                </w14:textFill>
              </w:rPr>
              <w:t>；</w:t>
            </w:r>
          </w:p>
          <w:p w14:paraId="5C87E56B">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大写金额和小写金额不一致的，以大写金额为准</w:t>
            </w:r>
            <w:r>
              <w:rPr>
                <w:rFonts w:hint="eastAsia"/>
                <w:color w:val="000000" w:themeColor="text1"/>
                <w14:textFill>
                  <w14:solidFill>
                    <w14:schemeClr w14:val="tx1"/>
                  </w14:solidFill>
                </w14:textFill>
              </w:rPr>
              <w:t>；</w:t>
            </w:r>
          </w:p>
          <w:p w14:paraId="55FF4BAF">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单价金额小数点或百分比有明显错位的，以开标一览表的总价为准，并修改单价</w:t>
            </w:r>
            <w:r>
              <w:rPr>
                <w:rFonts w:hint="eastAsia"/>
                <w:color w:val="000000" w:themeColor="text1"/>
                <w14:textFill>
                  <w14:solidFill>
                    <w14:schemeClr w14:val="tx1"/>
                  </w14:solidFill>
                </w14:textFill>
              </w:rPr>
              <w:t>；</w:t>
            </w:r>
          </w:p>
          <w:p w14:paraId="29D6F3E7">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总价金额与按单价汇总金额不一致的，以单价金额计算结果为准</w:t>
            </w:r>
            <w:r>
              <w:rPr>
                <w:rFonts w:hint="eastAsia"/>
                <w:color w:val="000000" w:themeColor="text1"/>
                <w14:textFill>
                  <w14:solidFill>
                    <w14:schemeClr w14:val="tx1"/>
                  </w14:solidFill>
                </w14:textFill>
              </w:rPr>
              <w:t>；</w:t>
            </w:r>
          </w:p>
          <w:p w14:paraId="688F7783">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同时出现两种以上不一致的，按照前款规定的顺序修正</w:t>
            </w:r>
            <w:r>
              <w:rPr>
                <w:rFonts w:hint="eastAsia"/>
                <w:color w:val="000000" w:themeColor="text1"/>
                <w14:textFill>
                  <w14:solidFill>
                    <w14:schemeClr w14:val="tx1"/>
                  </w14:solidFill>
                </w14:textFill>
              </w:rPr>
              <w:t>。</w:t>
            </w:r>
          </w:p>
          <w:p w14:paraId="1D67D219">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【根据实际情况调整】</w:t>
            </w:r>
          </w:p>
        </w:tc>
      </w:tr>
      <w:tr w14:paraId="5CF052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2173E15">
            <w:pPr>
              <w:pStyle w:val="54"/>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.2</w:t>
            </w:r>
          </w:p>
        </w:tc>
        <w:tc>
          <w:tcPr>
            <w:tcW w:w="1720" w:type="dxa"/>
            <w:vAlign w:val="center"/>
          </w:tcPr>
          <w:p w14:paraId="184EC1FD">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评标方法</w:t>
            </w:r>
          </w:p>
        </w:tc>
        <w:tc>
          <w:tcPr>
            <w:tcW w:w="5841" w:type="dxa"/>
            <w:vAlign w:val="center"/>
          </w:tcPr>
          <w:p w14:paraId="6F96234F">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综合评分法</w:t>
            </w:r>
          </w:p>
        </w:tc>
      </w:tr>
      <w:tr w14:paraId="39CAED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AD14ED3">
            <w:pPr>
              <w:pStyle w:val="54"/>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p>
        </w:tc>
        <w:tc>
          <w:tcPr>
            <w:tcW w:w="1720" w:type="dxa"/>
            <w:vAlign w:val="center"/>
          </w:tcPr>
          <w:p w14:paraId="1857E8A3">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中标候选人排序方式</w:t>
            </w:r>
          </w:p>
        </w:tc>
        <w:tc>
          <w:tcPr>
            <w:tcW w:w="5841" w:type="dxa"/>
            <w:vAlign w:val="center"/>
          </w:tcPr>
          <w:p w14:paraId="017C49C4">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sym w:font="Wingdings" w:char="00FE"/>
            </w:r>
            <w:r>
              <w:rPr>
                <w:color w:val="000000" w:themeColor="text1"/>
                <w14:textFill>
                  <w14:solidFill>
                    <w14:schemeClr w14:val="tx1"/>
                  </w14:solidFill>
                </w14:textFill>
              </w:rPr>
              <w:t>评标结果</w:t>
            </w:r>
            <w:r>
              <w:rPr>
                <w:rFonts w:hint="eastAsia"/>
                <w:color w:val="000000" w:themeColor="text1"/>
                <w14:textFill>
                  <w14:solidFill>
                    <w14:schemeClr w14:val="tx1"/>
                  </w14:solidFill>
                </w14:textFill>
              </w:rPr>
              <w:t>排序</w:t>
            </w:r>
            <w:r>
              <w:rPr>
                <w:color w:val="000000" w:themeColor="text1"/>
                <w14:textFill>
                  <w14:solidFill>
                    <w14:schemeClr w14:val="tx1"/>
                  </w14:solidFill>
                </w14:textFill>
              </w:rPr>
              <w:t>按评审后得分由高到低顺序排列。得分相同的，按投标报价由低到高顺序排列。得分且投标报价相同的并列。投标文件满足招标文件全部实质性要求，且按照评审因素的量化指标评审得分最高的</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为排名第一的中标候选人。</w:t>
            </w:r>
          </w:p>
          <w:p w14:paraId="02A8179D">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sym w:font="Wingdings" w:char="00A8"/>
            </w:r>
            <w:r>
              <w:rPr>
                <w:color w:val="000000" w:themeColor="text1"/>
                <w14:textFill>
                  <w14:solidFill>
                    <w14:schemeClr w14:val="tx1"/>
                  </w14:solidFill>
                </w14:textFill>
              </w:rPr>
              <w:t>评标结果按照投标报价（因落实政府采购政策进行价格扣除的，以扣除后的价格计算）由低到高顺序排列。投标报价相同的并列。投标文件满足招标文件全部实质性要求且投标报价最低的</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为排名第一的中标候选人。</w:t>
            </w:r>
          </w:p>
        </w:tc>
      </w:tr>
    </w:tbl>
    <w:p w14:paraId="358A0774">
      <w:pPr>
        <w:rPr>
          <w:rFonts w:hint="eastAsia"/>
          <w:b/>
          <w:bCs/>
          <w:color w:val="000000" w:themeColor="text1"/>
          <w14:textFill>
            <w14:solidFill>
              <w14:schemeClr w14:val="tx1"/>
            </w14:solidFill>
          </w14:textFill>
        </w:rPr>
      </w:pPr>
    </w:p>
    <w:p w14:paraId="54894AE2">
      <w:pPr>
        <w:pStyle w:val="4"/>
        <w:numPr>
          <w:ilvl w:val="0"/>
          <w:numId w:val="18"/>
        </w:numPr>
        <w:rPr>
          <w:rFonts w:hint="eastAsia"/>
          <w:color w:val="000000" w:themeColor="text1"/>
          <w:lang w:val="zh-CN"/>
          <w14:textFill>
            <w14:solidFill>
              <w14:schemeClr w14:val="tx1"/>
            </w14:solidFill>
          </w14:textFill>
        </w:rPr>
      </w:pPr>
      <w:bookmarkStart w:id="353" w:name="_Toc14015"/>
      <w:r>
        <w:rPr>
          <w:rFonts w:hint="eastAsia"/>
          <w:color w:val="000000" w:themeColor="text1"/>
          <w:lang w:val="zh-CN"/>
          <w14:textFill>
            <w14:solidFill>
              <w14:schemeClr w14:val="tx1"/>
            </w14:solidFill>
          </w14:textFill>
        </w:rPr>
        <w:t>评标程序</w:t>
      </w:r>
      <w:bookmarkEnd w:id="343"/>
      <w:bookmarkEnd w:id="344"/>
      <w:bookmarkEnd w:id="345"/>
      <w:bookmarkEnd w:id="346"/>
      <w:bookmarkEnd w:id="347"/>
      <w:bookmarkEnd w:id="348"/>
      <w:bookmarkEnd w:id="349"/>
      <w:bookmarkEnd w:id="350"/>
      <w:bookmarkEnd w:id="351"/>
      <w:bookmarkEnd w:id="352"/>
      <w:bookmarkEnd w:id="353"/>
    </w:p>
    <w:p w14:paraId="1F00466A">
      <w:pPr>
        <w:pStyle w:val="5"/>
        <w:numPr>
          <w:ilvl w:val="0"/>
          <w:numId w:val="19"/>
        </w:numPr>
        <w:rPr>
          <w:rFonts w:hint="eastAsia"/>
          <w:color w:val="000000" w:themeColor="text1"/>
          <w:lang w:val="zh-CN"/>
          <w14:textFill>
            <w14:solidFill>
              <w14:schemeClr w14:val="tx1"/>
            </w14:solidFill>
          </w14:textFill>
        </w:rPr>
      </w:pPr>
      <w:bookmarkStart w:id="354" w:name="_Toc7133"/>
      <w:r>
        <w:rPr>
          <w:rFonts w:hint="eastAsia"/>
          <w:color w:val="000000" w:themeColor="text1"/>
          <w:lang w:val="zh-CN"/>
          <w14:textFill>
            <w14:solidFill>
              <w14:schemeClr w14:val="tx1"/>
            </w14:solidFill>
          </w14:textFill>
        </w:rPr>
        <w:t>符合性审查</w:t>
      </w:r>
      <w:bookmarkEnd w:id="354"/>
    </w:p>
    <w:p w14:paraId="77E831A0">
      <w:pPr>
        <w:ind w:firstLine="470" w:firstLineChars="196"/>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评标委员会应当按照本章“三、评标标准”中“（一）符合性审查”的内容对通过资格审查的投标供应商的投标文件进行符合性审查，以确定其是否满足招标文件实质性要求。不满足招标文件实质性要求的按照</w:t>
      </w:r>
      <w:r>
        <w:rPr>
          <w:rFonts w:hint="eastAsia"/>
          <w:b/>
          <w:bCs/>
          <w:color w:val="000000" w:themeColor="text1"/>
          <w:lang w:val="zh-CN"/>
          <w14:textFill>
            <w14:solidFill>
              <w14:schemeClr w14:val="tx1"/>
            </w14:solidFill>
          </w14:textFill>
        </w:rPr>
        <w:t>无效投标处理</w:t>
      </w:r>
      <w:r>
        <w:rPr>
          <w:rFonts w:hint="eastAsia"/>
          <w:color w:val="000000" w:themeColor="text1"/>
          <w:lang w:val="zh-CN"/>
          <w14:textFill>
            <w14:solidFill>
              <w14:schemeClr w14:val="tx1"/>
            </w14:solidFill>
          </w14:textFill>
        </w:rPr>
        <w:t>。</w:t>
      </w:r>
    </w:p>
    <w:p w14:paraId="2E4583A5">
      <w:pPr>
        <w:pStyle w:val="5"/>
        <w:numPr>
          <w:ilvl w:val="0"/>
          <w:numId w:val="19"/>
        </w:numPr>
        <w:rPr>
          <w:rFonts w:hint="eastAsia"/>
          <w:color w:val="000000" w:themeColor="text1"/>
          <w:lang w:val="zh-CN"/>
          <w14:textFill>
            <w14:solidFill>
              <w14:schemeClr w14:val="tx1"/>
            </w14:solidFill>
          </w14:textFill>
        </w:rPr>
      </w:pPr>
      <w:bookmarkStart w:id="355" w:name="_Toc102116178"/>
      <w:bookmarkStart w:id="356" w:name="_Toc102056244"/>
      <w:bookmarkStart w:id="357" w:name="_Toc155185907"/>
      <w:bookmarkStart w:id="358" w:name="_Toc102114946"/>
      <w:bookmarkStart w:id="359" w:name="_Toc102116048"/>
      <w:bookmarkStart w:id="360" w:name="_Toc102057744"/>
      <w:bookmarkStart w:id="361" w:name="_Toc102119879"/>
      <w:bookmarkStart w:id="362" w:name="_Toc14687"/>
      <w:bookmarkStart w:id="363" w:name="_Toc493702305"/>
      <w:bookmarkStart w:id="364" w:name="_Toc27945260"/>
      <w:bookmarkStart w:id="365" w:name="_Toc492403836"/>
      <w:r>
        <w:rPr>
          <w:rFonts w:hint="eastAsia"/>
          <w:color w:val="000000" w:themeColor="text1"/>
          <w:lang w:val="zh-CN"/>
          <w14:textFill>
            <w14:solidFill>
              <w14:schemeClr w14:val="tx1"/>
            </w14:solidFill>
          </w14:textFill>
        </w:rPr>
        <w:t>投标文件澄清</w:t>
      </w:r>
      <w:bookmarkEnd w:id="355"/>
      <w:bookmarkEnd w:id="356"/>
      <w:bookmarkEnd w:id="357"/>
      <w:bookmarkEnd w:id="358"/>
      <w:bookmarkEnd w:id="359"/>
      <w:bookmarkEnd w:id="360"/>
      <w:bookmarkEnd w:id="361"/>
      <w:r>
        <w:rPr>
          <w:rFonts w:hint="eastAsia"/>
          <w:color w:val="000000" w:themeColor="text1"/>
          <w14:textFill>
            <w14:solidFill>
              <w14:schemeClr w14:val="tx1"/>
            </w14:solidFill>
          </w14:textFill>
        </w:rPr>
        <w:t>及修正</w:t>
      </w:r>
      <w:bookmarkEnd w:id="362"/>
    </w:p>
    <w:p w14:paraId="27029C7C">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评标期间，</w:t>
      </w:r>
      <w:r>
        <w:rPr>
          <w:color w:val="000000" w:themeColor="text1"/>
          <w14:textFill>
            <w14:solidFill>
              <w14:schemeClr w14:val="tx1"/>
            </w14:solidFill>
          </w14:textFill>
        </w:rPr>
        <w:t>对于投标文件中含义不明确、同类问题表述不一致或者有明显文字和计算错误的内容，评标委员会</w:t>
      </w:r>
      <w:r>
        <w:rPr>
          <w:rFonts w:hint="eastAsia"/>
          <w:color w:val="000000" w:themeColor="text1"/>
          <w14:textFill>
            <w14:solidFill>
              <w14:schemeClr w14:val="tx1"/>
            </w14:solidFill>
          </w14:textFill>
        </w:rPr>
        <w:t>应当在交易系统中以书面的形式</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投标供应商作</w:t>
      </w:r>
      <w:r>
        <w:rPr>
          <w:color w:val="000000" w:themeColor="text1"/>
          <w14:textFill>
            <w14:solidFill>
              <w14:schemeClr w14:val="tx1"/>
            </w14:solidFill>
          </w14:textFill>
        </w:rPr>
        <w:t>出必要的澄清、说明或者补正。</w:t>
      </w:r>
    </w:p>
    <w:p w14:paraId="4A3977CD">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投标供应商应按照评标委员会要求在规定时间内作出澄清、说明或者补正，</w:t>
      </w:r>
      <w:r>
        <w:rPr>
          <w:color w:val="000000" w:themeColor="text1"/>
          <w14:textFill>
            <w14:solidFill>
              <w14:schemeClr w14:val="tx1"/>
            </w14:solidFill>
          </w14:textFill>
        </w:rPr>
        <w:t>澄清、说明或者补正不得超出投标文件的范围或者改变投标文件的实质性内容。</w:t>
      </w:r>
    </w:p>
    <w:p w14:paraId="58266F6E">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5.</w:t>
      </w:r>
      <w:r>
        <w:rPr>
          <w:rFonts w:hint="eastAsia"/>
          <w:color w:val="000000" w:themeColor="text1"/>
          <w14:textFill>
            <w14:solidFill>
              <w14:schemeClr w14:val="tx1"/>
            </w14:solidFill>
          </w14:textFill>
        </w:rPr>
        <w:t>投标供应商的</w:t>
      </w:r>
      <w:r>
        <w:rPr>
          <w:color w:val="000000" w:themeColor="text1"/>
          <w14:textFill>
            <w14:solidFill>
              <w14:schemeClr w14:val="tx1"/>
            </w14:solidFill>
          </w14:textFill>
        </w:rPr>
        <w:t>澄清、说明或者补正</w:t>
      </w:r>
      <w:r>
        <w:rPr>
          <w:rFonts w:hint="eastAsia"/>
          <w:color w:val="000000" w:themeColor="text1"/>
          <w14:textFill>
            <w14:solidFill>
              <w14:schemeClr w14:val="tx1"/>
            </w14:solidFill>
          </w14:textFill>
        </w:rPr>
        <w:t>是其投标文件的有效组成部分，</w:t>
      </w:r>
      <w:r>
        <w:rPr>
          <w:color w:val="000000" w:themeColor="text1"/>
          <w14:textFill>
            <w14:solidFill>
              <w14:schemeClr w14:val="tx1"/>
            </w14:solidFill>
          </w14:textFill>
        </w:rPr>
        <w:t>澄清、说明或者补正应当</w:t>
      </w:r>
      <w:r>
        <w:rPr>
          <w:rFonts w:hint="eastAsia"/>
          <w:color w:val="000000" w:themeColor="text1"/>
          <w14:textFill>
            <w14:solidFill>
              <w14:schemeClr w14:val="tx1"/>
            </w14:solidFill>
          </w14:textFill>
        </w:rPr>
        <w:t>在交易系统中加盖电子印章后提交</w:t>
      </w:r>
      <w:r>
        <w:rPr>
          <w:color w:val="000000" w:themeColor="text1"/>
          <w14:textFill>
            <w14:solidFill>
              <w14:schemeClr w14:val="tx1"/>
            </w14:solidFill>
          </w14:textFill>
        </w:rPr>
        <w:t>。</w:t>
      </w:r>
    </w:p>
    <w:p w14:paraId="412E3972">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6.</w:t>
      </w:r>
      <w:r>
        <w:rPr>
          <w:rFonts w:hint="eastAsia"/>
          <w:color w:val="000000" w:themeColor="text1"/>
          <w14:textFill>
            <w14:solidFill>
              <w14:schemeClr w14:val="tx1"/>
            </w14:solidFill>
          </w14:textFill>
        </w:rPr>
        <w:t>报价合理性说明：</w:t>
      </w:r>
      <w:r>
        <w:rPr>
          <w:color w:val="000000" w:themeColor="text1"/>
          <w14:textFill>
            <w14:solidFill>
              <w14:schemeClr w14:val="tx1"/>
            </w14:solidFill>
          </w14:textFill>
        </w:rPr>
        <w:t>评标委员会认为</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的报价明显低于其他通过</w:t>
      </w:r>
      <w:r>
        <w:rPr>
          <w:rFonts w:hint="eastAsia"/>
          <w:color w:val="000000" w:themeColor="text1"/>
          <w14:textFill>
            <w14:solidFill>
              <w14:schemeClr w14:val="tx1"/>
            </w14:solidFill>
          </w14:textFill>
        </w:rPr>
        <w:t>符合性审查投标供应商</w:t>
      </w:r>
      <w:r>
        <w:rPr>
          <w:color w:val="000000" w:themeColor="text1"/>
          <w14:textFill>
            <w14:solidFill>
              <w14:schemeClr w14:val="tx1"/>
            </w14:solidFill>
          </w14:textFill>
        </w:rPr>
        <w:t>的报价，有可能影响产品质量或者不能诚信履约的，应当要求其</w:t>
      </w:r>
      <w:r>
        <w:rPr>
          <w:rFonts w:hint="eastAsia"/>
          <w:color w:val="000000" w:themeColor="text1"/>
          <w14:textFill>
            <w14:solidFill>
              <w14:schemeClr w14:val="tx1"/>
            </w14:solidFill>
          </w14:textFill>
        </w:rPr>
        <w:t>在</w:t>
      </w:r>
      <w:r>
        <w:rPr>
          <w:color w:val="000000" w:themeColor="text1"/>
          <w14:textFill>
            <w14:solidFill>
              <w14:schemeClr w14:val="tx1"/>
            </w14:solidFill>
          </w14:textFill>
        </w:rPr>
        <w:t>合理的时间内提供说明，必要时提交相关证明材料；</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不能证明其报价合理性的，评标委员</w:t>
      </w:r>
      <w:r>
        <w:rPr>
          <w:rFonts w:hint="eastAsia"/>
          <w:color w:val="000000" w:themeColor="text1"/>
          <w14:textFill>
            <w14:solidFill>
              <w14:schemeClr w14:val="tx1"/>
            </w14:solidFill>
          </w14:textFill>
        </w:rPr>
        <w:t>应当将其作为</w:t>
      </w:r>
      <w:r>
        <w:rPr>
          <w:b/>
          <w:bCs/>
          <w:color w:val="000000" w:themeColor="text1"/>
          <w14:textFill>
            <w14:solidFill>
              <w14:schemeClr w14:val="tx1"/>
            </w14:solidFill>
          </w14:textFill>
        </w:rPr>
        <w:t>无效投标</w:t>
      </w:r>
      <w:r>
        <w:rPr>
          <w:color w:val="000000" w:themeColor="text1"/>
          <w14:textFill>
            <w14:solidFill>
              <w14:schemeClr w14:val="tx1"/>
            </w14:solidFill>
          </w14:textFill>
        </w:rPr>
        <w:t>处理。</w:t>
      </w:r>
    </w:p>
    <w:p w14:paraId="4E490E84">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7.投标文件报价出现前后不一致的，按照下列规定修正：</w:t>
      </w:r>
    </w:p>
    <w:p w14:paraId="2EBE68B3">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7.1</w:t>
      </w:r>
      <w:r>
        <w:rPr>
          <w:rFonts w:hint="eastAsia"/>
          <w:color w:val="000000" w:themeColor="text1"/>
          <w14:textFill>
            <w14:solidFill>
              <w14:schemeClr w14:val="tx1"/>
            </w14:solidFill>
          </w14:textFill>
        </w:rPr>
        <w:t>报价</w:t>
      </w:r>
      <w:r>
        <w:rPr>
          <w:color w:val="000000" w:themeColor="text1"/>
          <w14:textFill>
            <w14:solidFill>
              <w14:schemeClr w14:val="tx1"/>
            </w14:solidFill>
          </w14:textFill>
        </w:rPr>
        <w:t>修正</w:t>
      </w:r>
      <w:r>
        <w:rPr>
          <w:rFonts w:hint="eastAsia"/>
          <w:color w:val="000000" w:themeColor="text1"/>
          <w14:textFill>
            <w14:solidFill>
              <w14:schemeClr w14:val="tx1"/>
            </w14:solidFill>
          </w14:textFill>
        </w:rPr>
        <w:t>规定见“</w:t>
      </w:r>
      <w:r>
        <w:rPr>
          <w:rFonts w:hint="eastAsia"/>
          <w:color w:val="000000" w:themeColor="text1"/>
          <w:lang w:val="en-US"/>
          <w14:textFill>
            <w14:solidFill>
              <w14:schemeClr w14:val="tx1"/>
            </w14:solidFill>
          </w14:textFill>
        </w:rPr>
        <w:t>评标办法前附表</w:t>
      </w:r>
      <w:r>
        <w:rPr>
          <w:rFonts w:hint="eastAsia"/>
          <w:color w:val="000000" w:themeColor="text1"/>
          <w14:textFill>
            <w14:solidFill>
              <w14:schemeClr w14:val="tx1"/>
            </w14:solidFill>
          </w14:textFill>
        </w:rPr>
        <w:t>”；</w:t>
      </w:r>
    </w:p>
    <w:p w14:paraId="2137B82C">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7.2修正后的报价按照</w:t>
      </w:r>
      <w:r>
        <w:rPr>
          <w:rFonts w:hint="eastAsia"/>
          <w:color w:val="000000" w:themeColor="text1"/>
          <w14:textFill>
            <w14:solidFill>
              <w14:schemeClr w14:val="tx1"/>
            </w14:solidFill>
          </w14:textFill>
        </w:rPr>
        <w:t>第</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条规定</w:t>
      </w:r>
      <w:r>
        <w:rPr>
          <w:color w:val="000000" w:themeColor="text1"/>
          <w14:textFill>
            <w14:solidFill>
              <w14:schemeClr w14:val="tx1"/>
            </w14:solidFill>
          </w14:textFill>
        </w:rPr>
        <w:t>经</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确认后产生约束力，</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不确认的，</w:t>
      </w:r>
      <w:r>
        <w:rPr>
          <w:rFonts w:hint="eastAsia"/>
          <w:color w:val="000000" w:themeColor="text1"/>
          <w14:textFill>
            <w14:solidFill>
              <w14:schemeClr w14:val="tx1"/>
            </w14:solidFill>
          </w14:textFill>
        </w:rPr>
        <w:t>按照</w:t>
      </w:r>
      <w:r>
        <w:rPr>
          <w:b/>
          <w:bCs/>
          <w:color w:val="000000" w:themeColor="text1"/>
          <w14:textFill>
            <w14:solidFill>
              <w14:schemeClr w14:val="tx1"/>
            </w14:solidFill>
          </w14:textFill>
        </w:rPr>
        <w:t>无效</w:t>
      </w:r>
      <w:r>
        <w:rPr>
          <w:rFonts w:hint="eastAsia"/>
          <w:b/>
          <w:bCs/>
          <w:color w:val="000000" w:themeColor="text1"/>
          <w14:textFill>
            <w14:solidFill>
              <w14:schemeClr w14:val="tx1"/>
            </w14:solidFill>
          </w14:textFill>
        </w:rPr>
        <w:t>投标处理</w:t>
      </w:r>
      <w:r>
        <w:rPr>
          <w:color w:val="000000" w:themeColor="text1"/>
          <w14:textFill>
            <w14:solidFill>
              <w14:schemeClr w14:val="tx1"/>
            </w14:solidFill>
          </w14:textFill>
        </w:rPr>
        <w:t>。</w:t>
      </w:r>
    </w:p>
    <w:p w14:paraId="13C473AA">
      <w:pPr>
        <w:pStyle w:val="5"/>
        <w:numPr>
          <w:ilvl w:val="0"/>
          <w:numId w:val="19"/>
        </w:numPr>
        <w:rPr>
          <w:rFonts w:hint="eastAsia"/>
          <w:color w:val="000000" w:themeColor="text1"/>
          <w14:textFill>
            <w14:solidFill>
              <w14:schemeClr w14:val="tx1"/>
            </w14:solidFill>
          </w14:textFill>
        </w:rPr>
      </w:pPr>
      <w:bookmarkStart w:id="366" w:name="_Toc11129"/>
      <w:bookmarkStart w:id="367" w:name="_Toc102056245"/>
      <w:bookmarkStart w:id="368" w:name="_Toc102116179"/>
      <w:bookmarkStart w:id="369" w:name="_Toc102119880"/>
      <w:bookmarkStart w:id="370" w:name="_Toc102057745"/>
      <w:bookmarkStart w:id="371" w:name="_Toc155185908"/>
      <w:bookmarkStart w:id="372" w:name="_Toc102116049"/>
      <w:bookmarkStart w:id="373" w:name="_Toc102114947"/>
      <w:r>
        <w:rPr>
          <w:rFonts w:hint="eastAsia"/>
          <w:color w:val="000000" w:themeColor="text1"/>
          <w14:textFill>
            <w14:solidFill>
              <w14:schemeClr w14:val="tx1"/>
            </w14:solidFill>
          </w14:textFill>
        </w:rPr>
        <w:t>比较和评价</w:t>
      </w:r>
      <w:bookmarkEnd w:id="366"/>
    </w:p>
    <w:p w14:paraId="68D9651E">
      <w:pPr>
        <w:pStyle w:val="42"/>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8</w:t>
      </w:r>
      <w:r>
        <w:rPr>
          <w:b/>
          <w:bCs/>
          <w:color w:val="000000" w:themeColor="text1"/>
          <w14:textFill>
            <w14:solidFill>
              <w14:schemeClr w14:val="tx1"/>
            </w14:solidFill>
          </w14:textFill>
        </w:rPr>
        <w:t>.</w:t>
      </w:r>
      <w:r>
        <w:rPr>
          <w:rFonts w:hint="eastAsia"/>
          <w:b/>
          <w:bCs/>
          <w:color w:val="000000" w:themeColor="text1"/>
          <w14:textFill>
            <w14:solidFill>
              <w14:schemeClr w14:val="tx1"/>
            </w14:solidFill>
          </w14:textFill>
        </w:rPr>
        <w:t>评标方法</w:t>
      </w:r>
    </w:p>
    <w:p w14:paraId="5B6C8623">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8.1综合评分法，是指投标文件满足招标文件全部实质性要求，且按照评审因素的量化指标评审得分最高的</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为中标候选人的评标方法。</w:t>
      </w:r>
      <w:bookmarkStart w:id="374" w:name="_Hlk161739908"/>
      <w:r>
        <w:rPr>
          <w:color w:val="000000" w:themeColor="text1"/>
          <w14:textFill>
            <w14:solidFill>
              <w14:schemeClr w14:val="tx1"/>
            </w14:solidFill>
          </w14:textFill>
        </w:rPr>
        <w:t>最低评标价法</w:t>
      </w:r>
      <w:bookmarkEnd w:id="374"/>
      <w:r>
        <w:rPr>
          <w:color w:val="000000" w:themeColor="text1"/>
          <w14:textFill>
            <w14:solidFill>
              <w14:schemeClr w14:val="tx1"/>
            </w14:solidFill>
          </w14:textFill>
        </w:rPr>
        <w:t>，是指投标文件满足招标文件全部实质性要求，且投标报价最低的</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为中标候选人的评标方法。</w:t>
      </w:r>
    </w:p>
    <w:p w14:paraId="11DF7283">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8.2本项目评标方法详见《评标办法前附表》。</w:t>
      </w:r>
    </w:p>
    <w:p w14:paraId="5C79B08B">
      <w:pPr>
        <w:pStyle w:val="42"/>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9</w:t>
      </w:r>
      <w:r>
        <w:rPr>
          <w:b/>
          <w:bCs/>
          <w:color w:val="000000" w:themeColor="text1"/>
          <w14:textFill>
            <w14:solidFill>
              <w14:schemeClr w14:val="tx1"/>
            </w14:solidFill>
          </w14:textFill>
        </w:rPr>
        <w:t>.综合评分法</w:t>
      </w:r>
    </w:p>
    <w:p w14:paraId="657DDD8B">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9</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评审因素包括投标报价、商务技术以及落实政府采购政策。评审因素及标准见本章《评分标准》。</w:t>
      </w:r>
    </w:p>
    <w:p w14:paraId="1E6597DD">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9.2投标报价评审</w:t>
      </w:r>
    </w:p>
    <w:p w14:paraId="0B41EA6C">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1）价格分应当采用低价优先法计算，即满足招标文件要求且投标价格最低的投标报价为评标基准价，其价格分为满分。其他</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的价格分统一按照下列公式计算：</w:t>
      </w:r>
    </w:p>
    <w:p w14:paraId="55A7E0C2">
      <w:pPr>
        <w:pStyle w:val="42"/>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投标报价得分</w:t>
      </w:r>
      <w:r>
        <w:rPr>
          <w:color w:val="000000" w:themeColor="text1"/>
          <w14:textFill>
            <w14:solidFill>
              <w14:schemeClr w14:val="tx1"/>
            </w14:solidFill>
          </w14:textFill>
        </w:rPr>
        <w:t>=(评标基准价／投标报价)×</w:t>
      </w:r>
      <w:r>
        <w:rPr>
          <w:rFonts w:hint="eastAsia"/>
          <w:color w:val="000000" w:themeColor="text1"/>
          <w:lang w:val="en-US" w:eastAsia="zh-CN"/>
          <w14:textFill>
            <w14:solidFill>
              <w14:schemeClr w14:val="tx1"/>
            </w14:solidFill>
          </w14:textFill>
        </w:rPr>
        <w:t>30</w:t>
      </w:r>
    </w:p>
    <w:p w14:paraId="51E607F1">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评标过程中，不得去掉报价中的最高报价和最低报价。</w:t>
      </w:r>
    </w:p>
    <w:p w14:paraId="6886E27A">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2）除算术修正和落实政府采购政策的价格扣除外，不对投标报价进行调整；</w:t>
      </w:r>
    </w:p>
    <w:p w14:paraId="6EBDD29F">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3）价格权重见</w:t>
      </w:r>
      <w:r>
        <w:rPr>
          <w:rFonts w:hint="eastAsia"/>
          <w:color w:val="000000" w:themeColor="text1"/>
          <w14:textFill>
            <w14:solidFill>
              <w14:schemeClr w14:val="tx1"/>
            </w14:solidFill>
          </w14:textFill>
        </w:rPr>
        <w:t>本章</w:t>
      </w:r>
      <w:r>
        <w:rPr>
          <w:color w:val="000000" w:themeColor="text1"/>
          <w14:textFill>
            <w14:solidFill>
              <w14:schemeClr w14:val="tx1"/>
            </w14:solidFill>
          </w14:textFill>
        </w:rPr>
        <w:t>《评分标准》。</w:t>
      </w:r>
    </w:p>
    <w:p w14:paraId="1E3481D3">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9.3商务技术评审</w:t>
      </w:r>
    </w:p>
    <w:p w14:paraId="425C6FA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评标委员会应对符合性审查合格的投标文件进行商务和技术评审，并按照招标文件要求及本章“三、评标标准”中的内容进行综合比较和评价。</w:t>
      </w:r>
    </w:p>
    <w:p w14:paraId="2D7C04CB">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9</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计分办法及复核</w:t>
      </w:r>
    </w:p>
    <w:p w14:paraId="5CDF7503">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评标过程中，各项分值一般精确到小数点后两位，评标得分应为商务评分、技术评分、报价评分之和。评标委员会各成员应汇总每个</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的得分。</w:t>
      </w:r>
    </w:p>
    <w:p w14:paraId="5DC16A58">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评标结果汇总完成后，采购代理机构应对评标结果进行复核。经复核发现存在以下情形之一的，评标委员会应当当场修改评标结果，并在评标报告中记载：</w:t>
      </w:r>
    </w:p>
    <w:p w14:paraId="0D395EC0">
      <w:pPr>
        <w:pStyle w:val="42"/>
        <w:numPr>
          <w:ilvl w:val="0"/>
          <w:numId w:val="20"/>
        </w:numPr>
        <w:rPr>
          <w:rFonts w:hint="eastAsia"/>
          <w:color w:val="000000" w:themeColor="text1"/>
          <w14:textFill>
            <w14:solidFill>
              <w14:schemeClr w14:val="tx1"/>
            </w14:solidFill>
          </w14:textFill>
        </w:rPr>
      </w:pPr>
      <w:r>
        <w:rPr>
          <w:color w:val="000000" w:themeColor="text1"/>
          <w14:textFill>
            <w14:solidFill>
              <w14:schemeClr w14:val="tx1"/>
            </w14:solidFill>
          </w14:textFill>
        </w:rPr>
        <w:t>分值汇总计算错误的；</w:t>
      </w:r>
    </w:p>
    <w:p w14:paraId="62E44C5D">
      <w:pPr>
        <w:pStyle w:val="42"/>
        <w:numPr>
          <w:ilvl w:val="0"/>
          <w:numId w:val="20"/>
        </w:numPr>
        <w:rPr>
          <w:rFonts w:hint="eastAsia"/>
          <w:color w:val="000000" w:themeColor="text1"/>
          <w14:textFill>
            <w14:solidFill>
              <w14:schemeClr w14:val="tx1"/>
            </w14:solidFill>
          </w14:textFill>
        </w:rPr>
      </w:pPr>
      <w:r>
        <w:rPr>
          <w:color w:val="000000" w:themeColor="text1"/>
          <w14:textFill>
            <w14:solidFill>
              <w14:schemeClr w14:val="tx1"/>
            </w14:solidFill>
          </w14:textFill>
        </w:rPr>
        <w:t>分项评分超出评分标准范围的；</w:t>
      </w:r>
    </w:p>
    <w:p w14:paraId="0394CE0E">
      <w:pPr>
        <w:pStyle w:val="42"/>
        <w:numPr>
          <w:ilvl w:val="0"/>
          <w:numId w:val="20"/>
        </w:numPr>
        <w:rPr>
          <w:rFonts w:hint="eastAsia"/>
          <w:color w:val="000000" w:themeColor="text1"/>
          <w14:textFill>
            <w14:solidFill>
              <w14:schemeClr w14:val="tx1"/>
            </w14:solidFill>
          </w14:textFill>
        </w:rPr>
      </w:pPr>
      <w:r>
        <w:rPr>
          <w:color w:val="000000" w:themeColor="text1"/>
          <w14:textFill>
            <w14:solidFill>
              <w14:schemeClr w14:val="tx1"/>
            </w14:solidFill>
          </w14:textFill>
        </w:rPr>
        <w:t>评标委员会成员对客观评审因素评分不一致的；</w:t>
      </w:r>
    </w:p>
    <w:p w14:paraId="2C3E3B4E">
      <w:pPr>
        <w:pStyle w:val="42"/>
        <w:numPr>
          <w:ilvl w:val="0"/>
          <w:numId w:val="20"/>
        </w:numPr>
        <w:rPr>
          <w:rFonts w:hint="eastAsia"/>
          <w:color w:val="000000" w:themeColor="text1"/>
          <w14:textFill>
            <w14:solidFill>
              <w14:schemeClr w14:val="tx1"/>
            </w14:solidFill>
          </w14:textFill>
        </w:rPr>
      </w:pPr>
      <w:r>
        <w:rPr>
          <w:color w:val="000000" w:themeColor="text1"/>
          <w14:textFill>
            <w14:solidFill>
              <w14:schemeClr w14:val="tx1"/>
            </w14:solidFill>
          </w14:textFill>
        </w:rPr>
        <w:t>经评标委员会认定评分畸高、畸低的</w:t>
      </w:r>
      <w:r>
        <w:rPr>
          <w:rFonts w:hint="eastAsia"/>
          <w:color w:val="000000" w:themeColor="text1"/>
          <w14:textFill>
            <w14:solidFill>
              <w14:schemeClr w14:val="tx1"/>
            </w14:solidFill>
          </w14:textFill>
        </w:rPr>
        <w:t>。</w:t>
      </w:r>
    </w:p>
    <w:p w14:paraId="29F6A0ED">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各</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的最终得分为评标委员会所有成员对各</w:t>
      </w:r>
      <w:r>
        <w:rPr>
          <w:rFonts w:hint="eastAsia"/>
          <w:color w:val="000000" w:themeColor="text1"/>
          <w14:textFill>
            <w14:solidFill>
              <w14:schemeClr w14:val="tx1"/>
            </w14:solidFill>
          </w14:textFill>
        </w:rPr>
        <w:t>投标供应商</w:t>
      </w:r>
      <w:r>
        <w:rPr>
          <w:color w:val="000000" w:themeColor="text1"/>
          <w14:textFill>
            <w14:solidFill>
              <w14:schemeClr w14:val="tx1"/>
            </w14:solidFill>
          </w14:textFill>
        </w:rPr>
        <w:t>评标得分汇总后的算术平均值。</w:t>
      </w:r>
    </w:p>
    <w:p w14:paraId="51489457">
      <w:pPr>
        <w:pStyle w:val="42"/>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b/>
          <w:bCs/>
          <w:color w:val="000000" w:themeColor="text1"/>
          <w14:textFill>
            <w14:solidFill>
              <w14:schemeClr w14:val="tx1"/>
            </w14:solidFill>
          </w14:textFill>
        </w:rPr>
        <w:t>0.</w:t>
      </w:r>
      <w:r>
        <w:rPr>
          <w:rFonts w:hint="eastAsia"/>
          <w:b/>
          <w:bCs/>
          <w:color w:val="000000" w:themeColor="text1"/>
          <w14:textFill>
            <w14:solidFill>
              <w14:schemeClr w14:val="tx1"/>
            </w14:solidFill>
          </w14:textFill>
        </w:rPr>
        <w:t>最低评标价法</w:t>
      </w:r>
    </w:p>
    <w:p w14:paraId="3815274C">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0.1</w:t>
      </w:r>
      <w:r>
        <w:rPr>
          <w:rFonts w:hint="eastAsia"/>
          <w:color w:val="000000" w:themeColor="text1"/>
          <w14:textFill>
            <w14:solidFill>
              <w14:schemeClr w14:val="tx1"/>
            </w14:solidFill>
          </w14:textFill>
        </w:rPr>
        <w:t>除算术修正和落实政府采购政策的价格扣除外，不对投标报价进行调整。</w:t>
      </w:r>
    </w:p>
    <w:p w14:paraId="39C06470">
      <w:pPr>
        <w:pStyle w:val="42"/>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b/>
          <w:bCs/>
          <w:color w:val="000000" w:themeColor="text1"/>
          <w14:textFill>
            <w14:solidFill>
              <w14:schemeClr w14:val="tx1"/>
            </w14:solidFill>
          </w14:textFill>
        </w:rPr>
        <w:t>1.</w:t>
      </w:r>
      <w:r>
        <w:rPr>
          <w:rFonts w:hint="eastAsia"/>
          <w:b/>
          <w:bCs/>
          <w:color w:val="000000" w:themeColor="text1"/>
          <w14:textFill>
            <w14:solidFill>
              <w14:schemeClr w14:val="tx1"/>
            </w14:solidFill>
          </w14:textFill>
        </w:rPr>
        <w:t>政府采购政策评审</w:t>
      </w:r>
    </w:p>
    <w:p w14:paraId="1F81B079">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11.1</w:t>
      </w:r>
      <w:r>
        <w:rPr>
          <w:rFonts w:hint="eastAsia"/>
          <w:color w:val="000000" w:themeColor="text1"/>
          <w14:textFill>
            <w14:solidFill>
              <w14:schemeClr w14:val="tx1"/>
            </w14:solidFill>
          </w14:textFill>
        </w:rPr>
        <w:t>价格扣除</w:t>
      </w:r>
    </w:p>
    <w:p w14:paraId="6C2D009A">
      <w:pPr>
        <w:pStyle w:val="42"/>
        <w:numPr>
          <w:ilvl w:val="0"/>
          <w:numId w:val="21"/>
        </w:numPr>
        <w:rPr>
          <w:rFonts w:hint="eastAsia"/>
          <w:color w:val="000000" w:themeColor="text1"/>
          <w14:textFill>
            <w14:solidFill>
              <w14:schemeClr w14:val="tx1"/>
            </w14:solidFill>
          </w14:textFill>
        </w:rPr>
      </w:pPr>
      <w:r>
        <w:rPr>
          <w:color w:val="000000" w:themeColor="text1"/>
          <w14:textFill>
            <w14:solidFill>
              <w14:schemeClr w14:val="tx1"/>
            </w14:solidFill>
          </w14:textFill>
        </w:rPr>
        <w:t>非专门面向中小企业的采购项目或采购包，对符合规定的小微企业（监狱企业、残疾人福利性单位、联合体各方均为小微企业的联合体、符合小微企业划分标准的个体工商户视同小微企业）报价</w:t>
      </w:r>
      <w:r>
        <w:rPr>
          <w:rFonts w:hint="eastAsia"/>
          <w:color w:val="000000" w:themeColor="text1"/>
          <w14:textFill>
            <w14:solidFill>
              <w14:schemeClr w14:val="tx1"/>
            </w14:solidFill>
          </w14:textFill>
        </w:rPr>
        <w:t>按照本招标文件”投标供应商须知前附表”中的规定</w:t>
      </w:r>
      <w:r>
        <w:rPr>
          <w:color w:val="000000" w:themeColor="text1"/>
          <w14:textFill>
            <w14:solidFill>
              <w14:schemeClr w14:val="tx1"/>
            </w14:solidFill>
          </w14:textFill>
        </w:rPr>
        <w:t>扣除，对小微企业中的监狱企业、残疾人福利性单位、采购产品纳入创新产品应用示范推荐目录内企业、采购产品获得节能产品或环境标志产品认证证书的企业报价</w:t>
      </w:r>
      <w:r>
        <w:rPr>
          <w:rFonts w:hint="eastAsia"/>
          <w:color w:val="000000" w:themeColor="text1"/>
          <w14:textFill>
            <w14:solidFill>
              <w14:schemeClr w14:val="tx1"/>
            </w14:solidFill>
          </w14:textFill>
        </w:rPr>
        <w:t>按照本招标文件”投标供应商须知前附表”中的规定</w:t>
      </w:r>
      <w:r>
        <w:rPr>
          <w:color w:val="000000" w:themeColor="text1"/>
          <w14:textFill>
            <w14:solidFill>
              <w14:schemeClr w14:val="tx1"/>
            </w14:solidFill>
          </w14:textFill>
        </w:rPr>
        <w:t>扣除，用扣除后的价格</w:t>
      </w:r>
      <w:r>
        <w:rPr>
          <w:rFonts w:hint="eastAsia"/>
          <w:color w:val="000000" w:themeColor="text1"/>
          <w14:textFill>
            <w14:solidFill>
              <w14:schemeClr w14:val="tx1"/>
            </w14:solidFill>
          </w14:textFill>
        </w:rPr>
        <w:t>参加评审</w:t>
      </w:r>
      <w:r>
        <w:rPr>
          <w:color w:val="000000" w:themeColor="text1"/>
          <w14:textFill>
            <w14:solidFill>
              <w14:schemeClr w14:val="tx1"/>
            </w14:solidFill>
          </w14:textFill>
        </w:rPr>
        <w:t>。</w:t>
      </w:r>
    </w:p>
    <w:p w14:paraId="026AA1A6">
      <w:pPr>
        <w:pStyle w:val="42"/>
        <w:numPr>
          <w:ilvl w:val="0"/>
          <w:numId w:val="21"/>
        </w:numPr>
        <w:rPr>
          <w:rFonts w:hint="eastAsia"/>
          <w:color w:val="000000" w:themeColor="text1"/>
          <w14:textFill>
            <w14:solidFill>
              <w14:schemeClr w14:val="tx1"/>
            </w14:solidFill>
          </w14:textFill>
        </w:rPr>
      </w:pPr>
      <w:r>
        <w:rPr>
          <w:color w:val="000000" w:themeColor="text1"/>
          <w14:textFill>
            <w14:solidFill>
              <w14:schemeClr w14:val="tx1"/>
            </w14:solidFill>
          </w14:textFill>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14:paraId="4E1E0839">
      <w:pPr>
        <w:pStyle w:val="42"/>
        <w:numPr>
          <w:ilvl w:val="0"/>
          <w:numId w:val="21"/>
        </w:numPr>
        <w:rPr>
          <w:rFonts w:hint="eastAsia"/>
          <w:color w:val="000000" w:themeColor="text1"/>
          <w14:textFill>
            <w14:solidFill>
              <w14:schemeClr w14:val="tx1"/>
            </w14:solidFill>
          </w14:textFill>
        </w:rPr>
      </w:pPr>
      <w:r>
        <w:rPr>
          <w:color w:val="000000" w:themeColor="text1"/>
          <w14:textFill>
            <w14:solidFill>
              <w14:schemeClr w14:val="tx1"/>
            </w14:solidFill>
          </w14:textFill>
        </w:rPr>
        <w:t>专门面向中小企业、预留部分采购份额面向中小企业采购的项目或采购包，评审时不再进行价格扣除。</w:t>
      </w:r>
    </w:p>
    <w:bookmarkEnd w:id="367"/>
    <w:bookmarkEnd w:id="368"/>
    <w:bookmarkEnd w:id="369"/>
    <w:bookmarkEnd w:id="370"/>
    <w:bookmarkEnd w:id="371"/>
    <w:bookmarkEnd w:id="372"/>
    <w:bookmarkEnd w:id="373"/>
    <w:p w14:paraId="2FD29554">
      <w:pPr>
        <w:pStyle w:val="5"/>
        <w:numPr>
          <w:ilvl w:val="0"/>
          <w:numId w:val="19"/>
        </w:numPr>
        <w:rPr>
          <w:rFonts w:hint="eastAsia"/>
          <w:color w:val="000000" w:themeColor="text1"/>
          <w:lang w:val="zh-CN"/>
          <w14:textFill>
            <w14:solidFill>
              <w14:schemeClr w14:val="tx1"/>
            </w14:solidFill>
          </w14:textFill>
        </w:rPr>
      </w:pPr>
      <w:bookmarkStart w:id="375" w:name="_Toc102116054"/>
      <w:bookmarkStart w:id="376" w:name="_Toc102057750"/>
      <w:bookmarkStart w:id="377" w:name="_Toc102056250"/>
      <w:bookmarkStart w:id="378" w:name="_Toc8634"/>
      <w:bookmarkStart w:id="379" w:name="_Toc102116184"/>
      <w:bookmarkStart w:id="380" w:name="_Toc155185912"/>
      <w:bookmarkStart w:id="381" w:name="_Toc102119885"/>
      <w:bookmarkStart w:id="382" w:name="_Toc102114952"/>
      <w:r>
        <w:rPr>
          <w:rFonts w:hint="eastAsia"/>
          <w:color w:val="000000" w:themeColor="text1"/>
          <w:lang w:val="zh-CN"/>
          <w14:textFill>
            <w14:solidFill>
              <w14:schemeClr w14:val="tx1"/>
            </w14:solidFill>
          </w14:textFill>
        </w:rPr>
        <w:t>评标报告</w:t>
      </w:r>
      <w:bookmarkEnd w:id="375"/>
      <w:bookmarkEnd w:id="376"/>
      <w:bookmarkEnd w:id="377"/>
      <w:bookmarkEnd w:id="378"/>
      <w:bookmarkEnd w:id="379"/>
      <w:bookmarkEnd w:id="380"/>
      <w:bookmarkEnd w:id="381"/>
      <w:bookmarkEnd w:id="382"/>
    </w:p>
    <w:p w14:paraId="40275ECF">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评标委员会按照招标文件确定的评标方法、程序及标准，对投标文件进行评审。中标候选人排序方式见“评标办法前附表”。</w:t>
      </w:r>
    </w:p>
    <w:p w14:paraId="5DB6F18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评标委员会依据评标结果，向采购人推荐中标候选人名单，并形成评标报告。</w:t>
      </w:r>
    </w:p>
    <w:p w14:paraId="0031BE6A">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评标委员会应当在评标报告上签名，对自己的评审意见承担法律责任。对需要共同认定的事项存在争议的，应当按照少数服从多数的原则作出结论。持不同意见的评标委员会成员应当在评标报告上签署不同意见，并说明理由，否则视为同意评标报告。</w:t>
      </w:r>
    </w:p>
    <w:p w14:paraId="69AC5F42">
      <w:pPr>
        <w:pStyle w:val="5"/>
        <w:numPr>
          <w:ilvl w:val="0"/>
          <w:numId w:val="19"/>
        </w:numPr>
        <w:rPr>
          <w:rFonts w:hint="eastAsia"/>
          <w:color w:val="000000" w:themeColor="text1"/>
          <w:lang w:val="zh-CN"/>
          <w14:textFill>
            <w14:solidFill>
              <w14:schemeClr w14:val="tx1"/>
            </w14:solidFill>
          </w14:textFill>
        </w:rPr>
      </w:pPr>
      <w:bookmarkStart w:id="383" w:name="_Toc155185913"/>
      <w:bookmarkStart w:id="384" w:name="_Toc102116021"/>
      <w:bookmarkStart w:id="385" w:name="_Toc5115"/>
      <w:bookmarkStart w:id="386" w:name="_Toc102116151"/>
      <w:bookmarkStart w:id="387" w:name="_Toc102114919"/>
      <w:bookmarkStart w:id="388" w:name="_Toc102119852"/>
      <w:bookmarkStart w:id="389" w:name="_Toc102056217"/>
      <w:bookmarkStart w:id="390" w:name="_Toc102057717"/>
      <w:r>
        <w:rPr>
          <w:rFonts w:hint="eastAsia"/>
          <w:color w:val="000000" w:themeColor="text1"/>
          <w:lang w:val="zh-CN"/>
          <w14:textFill>
            <w14:solidFill>
              <w14:schemeClr w14:val="tx1"/>
            </w14:solidFill>
          </w14:textFill>
        </w:rPr>
        <w:t>应予废标的情形</w:t>
      </w:r>
      <w:bookmarkEnd w:id="383"/>
      <w:bookmarkEnd w:id="384"/>
      <w:bookmarkEnd w:id="385"/>
      <w:bookmarkEnd w:id="386"/>
      <w:bookmarkEnd w:id="387"/>
      <w:bookmarkEnd w:id="388"/>
      <w:bookmarkEnd w:id="389"/>
      <w:bookmarkEnd w:id="390"/>
    </w:p>
    <w:p w14:paraId="0501279B">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在招标采购过程中，出现下列情形之一的，应予</w:t>
      </w:r>
      <w:r>
        <w:rPr>
          <w:rFonts w:hint="eastAsia"/>
          <w:b/>
          <w:bCs/>
          <w:color w:val="000000" w:themeColor="text1"/>
          <w14:textFill>
            <w14:solidFill>
              <w14:schemeClr w14:val="tx1"/>
            </w14:solidFill>
          </w14:textFill>
        </w:rPr>
        <w:t>废标</w:t>
      </w:r>
      <w:r>
        <w:rPr>
          <w:rFonts w:hint="eastAsia"/>
          <w:color w:val="000000" w:themeColor="text1"/>
          <w14:textFill>
            <w14:solidFill>
              <w14:schemeClr w14:val="tx1"/>
            </w14:solidFill>
          </w14:textFill>
        </w:rPr>
        <w:t>：</w:t>
      </w:r>
    </w:p>
    <w:p w14:paraId="6712DC00">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符合专业条件的供应商或者对招标文件作实质响应的供应商不足3家的；</w:t>
      </w:r>
    </w:p>
    <w:p w14:paraId="3C87C409">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出现影响采购公正的违法、违规行为的；</w:t>
      </w:r>
    </w:p>
    <w:p w14:paraId="398C08FD">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投标供应商的报价均超过了采购预算，采购人不能支付的；</w:t>
      </w:r>
    </w:p>
    <w:p w14:paraId="0E3ED8D6">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因重大变故，采购任务取消的。</w:t>
      </w:r>
    </w:p>
    <w:p w14:paraId="4A1EC04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废标后，采购人应当将废标理由通知所有投标供应商。</w:t>
      </w:r>
    </w:p>
    <w:p w14:paraId="2EFB35AE">
      <w:pPr>
        <w:pStyle w:val="5"/>
        <w:numPr>
          <w:ilvl w:val="0"/>
          <w:numId w:val="19"/>
        </w:numPr>
        <w:rPr>
          <w:rFonts w:hint="eastAsia"/>
          <w:color w:val="000000" w:themeColor="text1"/>
          <w:lang w:val="zh-CN"/>
          <w14:textFill>
            <w14:solidFill>
              <w14:schemeClr w14:val="tx1"/>
            </w14:solidFill>
          </w14:textFill>
        </w:rPr>
      </w:pPr>
      <w:bookmarkStart w:id="391" w:name="_Toc102057718"/>
      <w:bookmarkStart w:id="392" w:name="_Toc102114920"/>
      <w:bookmarkStart w:id="393" w:name="_Toc155185914"/>
      <w:bookmarkStart w:id="394" w:name="_Toc102056218"/>
      <w:bookmarkStart w:id="395" w:name="_Toc19997"/>
      <w:bookmarkStart w:id="396" w:name="_Toc102116022"/>
      <w:bookmarkStart w:id="397" w:name="_Toc102116152"/>
      <w:bookmarkStart w:id="398" w:name="_Toc102119853"/>
      <w:r>
        <w:rPr>
          <w:rFonts w:hint="eastAsia"/>
          <w:color w:val="000000" w:themeColor="text1"/>
          <w:lang w:val="zh-CN"/>
          <w14:textFill>
            <w14:solidFill>
              <w14:schemeClr w14:val="tx1"/>
            </w14:solidFill>
          </w14:textFill>
        </w:rPr>
        <w:t>停止评标的情形</w:t>
      </w:r>
      <w:bookmarkEnd w:id="391"/>
      <w:bookmarkEnd w:id="392"/>
      <w:bookmarkEnd w:id="393"/>
      <w:bookmarkEnd w:id="394"/>
      <w:bookmarkEnd w:id="395"/>
      <w:bookmarkEnd w:id="396"/>
      <w:bookmarkEnd w:id="397"/>
      <w:bookmarkEnd w:id="398"/>
    </w:p>
    <w:p w14:paraId="4BFBF517">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7</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bookmarkEnd w:id="363"/>
      <w:bookmarkEnd w:id="364"/>
      <w:bookmarkEnd w:id="365"/>
      <w:r>
        <w:rPr>
          <w:color w:val="000000" w:themeColor="text1"/>
          <w14:textFill>
            <w14:solidFill>
              <w14:schemeClr w14:val="tx1"/>
            </w14:solidFill>
          </w14:textFill>
        </w:rPr>
        <w:br w:type="page"/>
      </w:r>
    </w:p>
    <w:p w14:paraId="77E6AF4D">
      <w:pPr>
        <w:pStyle w:val="4"/>
        <w:numPr>
          <w:ilvl w:val="0"/>
          <w:numId w:val="18"/>
        </w:numPr>
        <w:rPr>
          <w:rFonts w:hint="eastAsia"/>
          <w:color w:val="000000" w:themeColor="text1"/>
          <w:lang w:val="zh-CN"/>
          <w14:textFill>
            <w14:solidFill>
              <w14:schemeClr w14:val="tx1"/>
            </w14:solidFill>
          </w14:textFill>
        </w:rPr>
      </w:pPr>
      <w:bookmarkStart w:id="399" w:name="_Toc155185915"/>
      <w:bookmarkStart w:id="400" w:name="_Toc32053"/>
      <w:r>
        <w:rPr>
          <w:rFonts w:hint="eastAsia"/>
          <w:color w:val="000000" w:themeColor="text1"/>
          <w:lang w:val="zh-CN"/>
          <w14:textFill>
            <w14:solidFill>
              <w14:schemeClr w14:val="tx1"/>
            </w14:solidFill>
          </w14:textFill>
        </w:rPr>
        <w:t>评标标准</w:t>
      </w:r>
      <w:bookmarkEnd w:id="399"/>
      <w:bookmarkEnd w:id="400"/>
    </w:p>
    <w:p w14:paraId="2855F733">
      <w:pPr>
        <w:pStyle w:val="5"/>
        <w:numPr>
          <w:ilvl w:val="0"/>
          <w:numId w:val="22"/>
        </w:numPr>
        <w:rPr>
          <w:rFonts w:hint="eastAsia"/>
          <w:color w:val="000000" w:themeColor="text1"/>
          <w:lang w:val="zh-CN"/>
          <w14:textFill>
            <w14:solidFill>
              <w14:schemeClr w14:val="tx1"/>
            </w14:solidFill>
          </w14:textFill>
        </w:rPr>
      </w:pPr>
      <w:bookmarkStart w:id="401" w:name="_Toc26341"/>
      <w:r>
        <w:rPr>
          <w:rFonts w:hint="eastAsia"/>
          <w:color w:val="000000" w:themeColor="text1"/>
          <w:lang w:val="zh-CN"/>
          <w14:textFill>
            <w14:solidFill>
              <w14:schemeClr w14:val="tx1"/>
            </w14:solidFill>
          </w14:textFill>
        </w:rPr>
        <w:t>符合性审查表</w:t>
      </w:r>
      <w:bookmarkEnd w:id="401"/>
    </w:p>
    <w:tbl>
      <w:tblPr>
        <w:tblStyle w:val="33"/>
        <w:tblW w:w="82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2117"/>
        <w:gridCol w:w="5399"/>
      </w:tblGrid>
      <w:tr w14:paraId="503D2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80" w:type="dxa"/>
            <w:shd w:val="clear" w:color="auto" w:fill="D8D8D8" w:themeFill="background1" w:themeFillShade="D9"/>
            <w:vAlign w:val="center"/>
          </w:tcPr>
          <w:p w14:paraId="6587963C">
            <w:pPr>
              <w:pStyle w:val="54"/>
              <w:jc w:val="center"/>
              <w:rPr>
                <w:rFonts w:hint="eastAsia"/>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序号</w:t>
            </w:r>
          </w:p>
        </w:tc>
        <w:tc>
          <w:tcPr>
            <w:tcW w:w="2117" w:type="dxa"/>
            <w:shd w:val="clear" w:color="auto" w:fill="D8D8D8" w:themeFill="background1" w:themeFillShade="D9"/>
            <w:vAlign w:val="center"/>
          </w:tcPr>
          <w:p w14:paraId="0A2E466A">
            <w:pPr>
              <w:pStyle w:val="54"/>
              <w:jc w:val="center"/>
              <w:rPr>
                <w:rFonts w:hint="eastAsia"/>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审查项名称</w:t>
            </w:r>
          </w:p>
        </w:tc>
        <w:tc>
          <w:tcPr>
            <w:tcW w:w="5399" w:type="dxa"/>
            <w:shd w:val="clear" w:color="auto" w:fill="D8D8D8" w:themeFill="background1" w:themeFillShade="D9"/>
            <w:vAlign w:val="center"/>
          </w:tcPr>
          <w:p w14:paraId="23EF76B6">
            <w:pPr>
              <w:pStyle w:val="54"/>
              <w:jc w:val="center"/>
              <w:rPr>
                <w:rFonts w:hint="eastAsia"/>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审查内容</w:t>
            </w:r>
          </w:p>
        </w:tc>
      </w:tr>
      <w:tr w14:paraId="3C393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shd w:val="clear" w:color="auto" w:fill="auto"/>
            <w:vAlign w:val="center"/>
          </w:tcPr>
          <w:p w14:paraId="6A86AEF6">
            <w:pPr>
              <w:pStyle w:val="54"/>
              <w:numPr>
                <w:ilvl w:val="0"/>
                <w:numId w:val="23"/>
              </w:numPr>
              <w:rPr>
                <w:rFonts w:hint="eastAsia"/>
                <w:color w:val="000000" w:themeColor="text1"/>
                <w:lang w:val="zh-CN"/>
                <w14:textFill>
                  <w14:solidFill>
                    <w14:schemeClr w14:val="tx1"/>
                  </w14:solidFill>
                </w14:textFill>
              </w:rPr>
            </w:pPr>
          </w:p>
        </w:tc>
        <w:tc>
          <w:tcPr>
            <w:tcW w:w="2117" w:type="dxa"/>
            <w:vAlign w:val="center"/>
          </w:tcPr>
          <w:p w14:paraId="2A330A85">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投标报价</w:t>
            </w:r>
          </w:p>
        </w:tc>
        <w:tc>
          <w:tcPr>
            <w:tcW w:w="5399" w:type="dxa"/>
            <w:shd w:val="clear" w:color="auto" w:fill="auto"/>
            <w:vAlign w:val="center"/>
          </w:tcPr>
          <w:p w14:paraId="250F9CB5">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（1）投标报价没有超过项目（</w:t>
            </w:r>
            <w:r>
              <w:rPr>
                <w:rFonts w:hint="eastAsia"/>
                <w:color w:val="000000" w:themeColor="text1"/>
                <w14:textFill>
                  <w14:solidFill>
                    <w14:schemeClr w14:val="tx1"/>
                  </w14:solidFill>
                </w14:textFill>
              </w:rPr>
              <w:t>采购包</w:t>
            </w:r>
            <w:r>
              <w:rPr>
                <w:rFonts w:hint="eastAsia"/>
                <w:color w:val="000000" w:themeColor="text1"/>
                <w:lang w:val="zh-CN"/>
                <w14:textFill>
                  <w14:solidFill>
                    <w14:schemeClr w14:val="tx1"/>
                  </w14:solidFill>
                </w14:textFill>
              </w:rPr>
              <w:t>）预算金额或最高限价；</w:t>
            </w:r>
          </w:p>
          <w:p w14:paraId="7B5DD727">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（2）</w:t>
            </w:r>
            <w:r>
              <w:rPr>
                <w:color w:val="000000" w:themeColor="text1"/>
                <w:lang w:val="zh-CN"/>
                <w14:textFill>
                  <w14:solidFill>
                    <w14:schemeClr w14:val="tx1"/>
                  </w14:solidFill>
                </w14:textFill>
              </w:rPr>
              <w:t>投标报价不存在缺项、漏项。</w:t>
            </w:r>
          </w:p>
        </w:tc>
      </w:tr>
      <w:tr w14:paraId="246DA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trPr>
        <w:tc>
          <w:tcPr>
            <w:tcW w:w="780" w:type="dxa"/>
            <w:shd w:val="clear" w:color="auto" w:fill="auto"/>
            <w:vAlign w:val="center"/>
          </w:tcPr>
          <w:p w14:paraId="38294073">
            <w:pPr>
              <w:pStyle w:val="54"/>
              <w:numPr>
                <w:ilvl w:val="0"/>
                <w:numId w:val="23"/>
              </w:numPr>
              <w:rPr>
                <w:rFonts w:hint="eastAsia"/>
                <w:color w:val="000000" w:themeColor="text1"/>
                <w:lang w:val="zh-CN"/>
                <w14:textFill>
                  <w14:solidFill>
                    <w14:schemeClr w14:val="tx1"/>
                  </w14:solidFill>
                </w14:textFill>
              </w:rPr>
            </w:pPr>
          </w:p>
        </w:tc>
        <w:tc>
          <w:tcPr>
            <w:tcW w:w="2117" w:type="dxa"/>
            <w:vAlign w:val="center"/>
          </w:tcPr>
          <w:p w14:paraId="7EAC69B8">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投标文件</w:t>
            </w:r>
            <w:r>
              <w:rPr>
                <w:rFonts w:hint="eastAsia"/>
                <w:color w:val="000000" w:themeColor="text1"/>
                <w14:textFill>
                  <w14:solidFill>
                    <w14:schemeClr w14:val="tx1"/>
                  </w14:solidFill>
                </w14:textFill>
              </w:rPr>
              <w:t>签署</w:t>
            </w:r>
          </w:p>
        </w:tc>
        <w:tc>
          <w:tcPr>
            <w:tcW w:w="5399" w:type="dxa"/>
            <w:shd w:val="clear" w:color="auto" w:fill="auto"/>
            <w:vAlign w:val="center"/>
          </w:tcPr>
          <w:p w14:paraId="31468B38">
            <w:pPr>
              <w:pStyle w:val="54"/>
              <w:rPr>
                <w:rFonts w:hint="eastAsia"/>
                <w:color w:val="000000" w:themeColor="text1"/>
                <w:lang w:val="zh-CN"/>
                <w14:textFill>
                  <w14:solidFill>
                    <w14:schemeClr w14:val="tx1"/>
                  </w14:solidFill>
                </w14:textFill>
              </w:rPr>
            </w:pPr>
            <w:r>
              <w:rPr>
                <w:rFonts w:hint="eastAsia"/>
                <w:color w:val="000000" w:themeColor="text1"/>
                <w14:textFill>
                  <w14:solidFill>
                    <w14:schemeClr w14:val="tx1"/>
                  </w14:solidFill>
                </w14:textFill>
              </w:rPr>
              <w:t>按照招标文件要求签署、盖章。</w:t>
            </w:r>
          </w:p>
        </w:tc>
      </w:tr>
      <w:tr w14:paraId="7F902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shd w:val="clear" w:color="auto" w:fill="auto"/>
            <w:vAlign w:val="center"/>
          </w:tcPr>
          <w:p w14:paraId="11350D9B">
            <w:pPr>
              <w:pStyle w:val="54"/>
              <w:numPr>
                <w:ilvl w:val="0"/>
                <w:numId w:val="23"/>
              </w:numPr>
              <w:rPr>
                <w:rFonts w:hint="eastAsia"/>
                <w:color w:val="000000" w:themeColor="text1"/>
                <w:lang w:val="zh-CN"/>
                <w14:textFill>
                  <w14:solidFill>
                    <w14:schemeClr w14:val="tx1"/>
                  </w14:solidFill>
                </w14:textFill>
              </w:rPr>
            </w:pPr>
          </w:p>
        </w:tc>
        <w:tc>
          <w:tcPr>
            <w:tcW w:w="2117" w:type="dxa"/>
            <w:vAlign w:val="center"/>
          </w:tcPr>
          <w:p w14:paraId="3F54F1A4">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进口产品</w:t>
            </w:r>
          </w:p>
        </w:tc>
        <w:tc>
          <w:tcPr>
            <w:tcW w:w="5399" w:type="dxa"/>
            <w:shd w:val="clear" w:color="auto" w:fill="auto"/>
            <w:vAlign w:val="center"/>
          </w:tcPr>
          <w:p w14:paraId="240C28C1">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招标文件不接受进口产品投标时，投标供应商所投产品</w:t>
            </w:r>
            <w:r>
              <w:rPr>
                <w:rFonts w:hint="eastAsia"/>
                <w:color w:val="000000" w:themeColor="text1"/>
                <w14:textFill>
                  <w14:solidFill>
                    <w14:schemeClr w14:val="tx1"/>
                  </w14:solidFill>
                </w14:textFill>
              </w:rPr>
              <w:t>不</w:t>
            </w:r>
            <w:r>
              <w:rPr>
                <w:rFonts w:hint="eastAsia"/>
                <w:color w:val="000000" w:themeColor="text1"/>
                <w:lang w:val="zh-CN"/>
                <w14:textFill>
                  <w14:solidFill>
                    <w14:schemeClr w14:val="tx1"/>
                  </w14:solidFill>
                </w14:textFill>
              </w:rPr>
              <w:t>是通过中国海关报关验放进入中国境内且产自关境外的。</w:t>
            </w:r>
          </w:p>
          <w:p w14:paraId="04C0902B">
            <w:pPr>
              <w:pStyle w:val="54"/>
              <w:rPr>
                <w:rFonts w:hint="eastAsia"/>
                <w:color w:val="000000" w:themeColor="text1"/>
                <w:lang w:val="zh-CN"/>
                <w14:textFill>
                  <w14:solidFill>
                    <w14:schemeClr w14:val="tx1"/>
                  </w14:solidFill>
                </w14:textFill>
              </w:rPr>
            </w:pPr>
            <w:r>
              <w:rPr>
                <w:rFonts w:hint="eastAsia"/>
                <w:b/>
                <w:bCs/>
                <w:color w:val="000000" w:themeColor="text1"/>
                <w14:textFill>
                  <w14:solidFill>
                    <w14:schemeClr w14:val="tx1"/>
                  </w14:solidFill>
                </w14:textFill>
              </w:rPr>
              <w:t>本采购项目不涉及。</w:t>
            </w:r>
          </w:p>
        </w:tc>
      </w:tr>
      <w:tr w14:paraId="1D9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shd w:val="clear" w:color="auto" w:fill="auto"/>
            <w:vAlign w:val="center"/>
          </w:tcPr>
          <w:p w14:paraId="51759DC5">
            <w:pPr>
              <w:pStyle w:val="54"/>
              <w:numPr>
                <w:ilvl w:val="0"/>
                <w:numId w:val="23"/>
              </w:numPr>
              <w:rPr>
                <w:rFonts w:hint="eastAsia"/>
                <w:color w:val="000000" w:themeColor="text1"/>
                <w:lang w:val="zh-CN"/>
                <w14:textFill>
                  <w14:solidFill>
                    <w14:schemeClr w14:val="tx1"/>
                  </w14:solidFill>
                </w14:textFill>
              </w:rPr>
            </w:pPr>
          </w:p>
        </w:tc>
        <w:tc>
          <w:tcPr>
            <w:tcW w:w="2117" w:type="dxa"/>
            <w:vAlign w:val="center"/>
          </w:tcPr>
          <w:p w14:paraId="33B12CF7">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实质性要求</w:t>
            </w:r>
          </w:p>
        </w:tc>
        <w:tc>
          <w:tcPr>
            <w:tcW w:w="5399" w:type="dxa"/>
            <w:shd w:val="clear" w:color="auto" w:fill="auto"/>
            <w:vAlign w:val="center"/>
          </w:tcPr>
          <w:p w14:paraId="7F34B9CF">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rFonts w:hint="eastAsia"/>
                <w:color w:val="000000" w:themeColor="text1"/>
                <w14:textFill>
                  <w14:solidFill>
                    <w14:schemeClr w14:val="tx1"/>
                  </w14:solidFill>
                </w14:textFill>
              </w:rPr>
              <w:t>1</w:t>
            </w:r>
            <w:r>
              <w:rPr>
                <w:rFonts w:hint="eastAsia"/>
                <w:color w:val="000000" w:themeColor="text1"/>
                <w:lang w:val="zh-CN"/>
                <w14:textFill>
                  <w14:solidFill>
                    <w14:schemeClr w14:val="tx1"/>
                  </w14:solidFill>
                </w14:textFill>
              </w:rPr>
              <w:t>）满足招标文件第三章“项目采购需求”中</w:t>
            </w:r>
            <w:r>
              <w:rPr>
                <w:rFonts w:hint="eastAsia"/>
                <w:color w:val="000000" w:themeColor="text1"/>
                <w:lang w:val="en-US" w:eastAsia="zh-CN"/>
                <w14:textFill>
                  <w14:solidFill>
                    <w14:schemeClr w14:val="tx1"/>
                  </w14:solidFill>
                </w14:textFill>
              </w:rPr>
              <w:t>带“</w:t>
            </w:r>
            <w:r>
              <w:rPr>
                <w:rFonts w:hint="eastAsia" w:ascii="微软雅黑" w:hAnsi="微软雅黑" w:eastAsia="微软雅黑" w:cs="微软雅黑"/>
                <w:color w:val="000000" w:themeColor="text1"/>
                <w:lang w:val="en-US" w:eastAsia="zh-CN"/>
                <w14:textFill>
                  <w14:solidFill>
                    <w14:schemeClr w14:val="tx1"/>
                  </w14:solidFill>
                </w14:textFill>
              </w:rPr>
              <w:t>★</w:t>
            </w:r>
            <w:r>
              <w:rPr>
                <w:rFonts w:hint="eastAsia"/>
                <w:color w:val="000000" w:themeColor="text1"/>
                <w:lang w:val="zh-CN"/>
                <w14:textFill>
                  <w14:solidFill>
                    <w14:schemeClr w14:val="tx1"/>
                  </w14:solidFill>
                </w14:textFill>
              </w:rPr>
              <w:t>”要求的实质性条款；</w:t>
            </w:r>
          </w:p>
          <w:p w14:paraId="102B9CF7">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）投标有效期满足招标文件要求；</w:t>
            </w:r>
          </w:p>
          <w:p w14:paraId="46F1ED21">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lang w:val="zh-CN"/>
                <w14:textFill>
                  <w14:solidFill>
                    <w14:schemeClr w14:val="tx1"/>
                  </w14:solidFill>
                </w14:textFill>
              </w:rPr>
              <w:t>）没有</w:t>
            </w:r>
            <w:r>
              <w:rPr>
                <w:color w:val="000000" w:themeColor="text1"/>
                <w:lang w:val="zh-CN"/>
                <w14:textFill>
                  <w14:solidFill>
                    <w14:schemeClr w14:val="tx1"/>
                  </w14:solidFill>
                </w14:textFill>
              </w:rPr>
              <w:t>采购人不能接受的附加条件</w:t>
            </w:r>
            <w:r>
              <w:rPr>
                <w:rFonts w:hint="eastAsia"/>
                <w:color w:val="000000" w:themeColor="text1"/>
                <w:lang w:val="zh-CN"/>
                <w14:textFill>
                  <w14:solidFill>
                    <w14:schemeClr w14:val="tx1"/>
                  </w14:solidFill>
                </w14:textFill>
              </w:rPr>
              <w:t>。</w:t>
            </w:r>
          </w:p>
        </w:tc>
      </w:tr>
      <w:tr w14:paraId="5958B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1" w:hRule="atLeast"/>
        </w:trPr>
        <w:tc>
          <w:tcPr>
            <w:tcW w:w="780" w:type="dxa"/>
            <w:shd w:val="clear" w:color="auto" w:fill="auto"/>
            <w:vAlign w:val="center"/>
          </w:tcPr>
          <w:p w14:paraId="3DBC2E4F">
            <w:pPr>
              <w:pStyle w:val="54"/>
              <w:numPr>
                <w:ilvl w:val="0"/>
                <w:numId w:val="23"/>
              </w:numPr>
              <w:rPr>
                <w:rFonts w:hint="eastAsia"/>
                <w:color w:val="000000" w:themeColor="text1"/>
                <w:lang w:val="zh-CN"/>
                <w14:textFill>
                  <w14:solidFill>
                    <w14:schemeClr w14:val="tx1"/>
                  </w14:solidFill>
                </w14:textFill>
              </w:rPr>
            </w:pPr>
          </w:p>
        </w:tc>
        <w:tc>
          <w:tcPr>
            <w:tcW w:w="2117" w:type="dxa"/>
            <w:vAlign w:val="center"/>
          </w:tcPr>
          <w:p w14:paraId="40C75BCA">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围标串标情形</w:t>
            </w:r>
          </w:p>
        </w:tc>
        <w:tc>
          <w:tcPr>
            <w:tcW w:w="5399" w:type="dxa"/>
            <w:shd w:val="clear" w:color="auto" w:fill="auto"/>
            <w:vAlign w:val="center"/>
          </w:tcPr>
          <w:p w14:paraId="30937BBB">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投标供应商不存在下列任一情形：</w:t>
            </w:r>
          </w:p>
          <w:p w14:paraId="5CC15511">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（1）不同投标供应商的投标文件由同一单位或者个人编制；</w:t>
            </w:r>
          </w:p>
          <w:p w14:paraId="603310F2">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（2）不同投标供应商委托同一单位或者个人办理投标事宜；</w:t>
            </w:r>
          </w:p>
          <w:p w14:paraId="08567115">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（3）不同投标供应商的投标文件载明的项目管理成员或者联系人员为同一人；</w:t>
            </w:r>
          </w:p>
          <w:p w14:paraId="022786E3">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（4）不同投标供应商的投标文件异常一致或者投标报价呈规律性差异；</w:t>
            </w:r>
          </w:p>
          <w:p w14:paraId="11261DBC">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（5）不同投标供应商的投标文件相互混装；</w:t>
            </w:r>
          </w:p>
          <w:p w14:paraId="4F758E1A">
            <w:pPr>
              <w:pStyle w:val="54"/>
              <w:rPr>
                <w:rFonts w:hint="eastAsia"/>
                <w:color w:val="000000" w:themeColor="text1"/>
                <w:lang w:val="zh-CN"/>
                <w14:textFill>
                  <w14:solidFill>
                    <w14:schemeClr w14:val="tx1"/>
                  </w14:solidFill>
                </w14:textFill>
              </w:rPr>
            </w:pPr>
            <w:r>
              <w:rPr>
                <w:rFonts w:hint="eastAsia" w:cs="宋体"/>
                <w:color w:val="000000" w:themeColor="text1"/>
                <w14:textFill>
                  <w14:solidFill>
                    <w14:schemeClr w14:val="tx1"/>
                  </w14:solidFill>
                </w14:textFill>
              </w:rPr>
              <w:t>（</w:t>
            </w:r>
            <w:r>
              <w:rPr>
                <w:rFonts w:cs="宋体"/>
                <w:color w:val="000000" w:themeColor="text1"/>
                <w14:textFill>
                  <w14:solidFill>
                    <w14:schemeClr w14:val="tx1"/>
                  </w14:solidFill>
                </w14:textFill>
              </w:rPr>
              <w:t>6</w:t>
            </w:r>
            <w:r>
              <w:rPr>
                <w:rFonts w:hint="eastAsia" w:cs="宋体"/>
                <w:color w:val="000000" w:themeColor="text1"/>
                <w14:textFill>
                  <w14:solidFill>
                    <w14:schemeClr w14:val="tx1"/>
                  </w14:solidFill>
                </w14:textFill>
              </w:rPr>
              <w:t>）</w:t>
            </w:r>
            <w:r>
              <w:rPr>
                <w:rFonts w:hint="eastAsia"/>
                <w:color w:val="000000" w:themeColor="text1"/>
                <w:lang w:val="zh-CN"/>
                <w14:textFill>
                  <w14:solidFill>
                    <w14:schemeClr w14:val="tx1"/>
                  </w14:solidFill>
                </w14:textFill>
              </w:rPr>
              <w:t>不同投标供应商使用同一电脑（机器特征值一致：如</w:t>
            </w:r>
            <w:r>
              <w:rPr>
                <w:color w:val="000000" w:themeColor="text1"/>
                <w:lang w:val="zh-CN"/>
                <w14:textFill>
                  <w14:solidFill>
                    <w14:schemeClr w14:val="tx1"/>
                  </w14:solidFill>
                </w14:textFill>
              </w:rPr>
              <w:t>MAC地址等）或使用同一电子密钥，编制或上传电子投标文件。</w:t>
            </w:r>
          </w:p>
        </w:tc>
      </w:tr>
      <w:tr w14:paraId="457F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4" w:hRule="atLeast"/>
        </w:trPr>
        <w:tc>
          <w:tcPr>
            <w:tcW w:w="780" w:type="dxa"/>
            <w:shd w:val="clear" w:color="auto" w:fill="auto"/>
            <w:vAlign w:val="center"/>
          </w:tcPr>
          <w:p w14:paraId="3C8D2846">
            <w:pPr>
              <w:pStyle w:val="54"/>
              <w:numPr>
                <w:ilvl w:val="0"/>
                <w:numId w:val="23"/>
              </w:numPr>
              <w:rPr>
                <w:rFonts w:hint="eastAsia"/>
                <w:color w:val="000000" w:themeColor="text1"/>
                <w:lang w:val="zh-CN"/>
                <w14:textFill>
                  <w14:solidFill>
                    <w14:schemeClr w14:val="tx1"/>
                  </w14:solidFill>
                </w14:textFill>
              </w:rPr>
            </w:pPr>
          </w:p>
        </w:tc>
        <w:tc>
          <w:tcPr>
            <w:tcW w:w="2117" w:type="dxa"/>
            <w:vAlign w:val="center"/>
          </w:tcPr>
          <w:p w14:paraId="2B2C9879">
            <w:pPr>
              <w:pStyle w:val="54"/>
              <w:rPr>
                <w:rFonts w:hint="eastAsia"/>
                <w:color w:val="000000" w:themeColor="text1"/>
                <w:lang w:val="zh-CN"/>
                <w14:textFill>
                  <w14:solidFill>
                    <w14:schemeClr w14:val="tx1"/>
                  </w14:solidFill>
                </w14:textFill>
              </w:rPr>
            </w:pPr>
            <w:r>
              <w:rPr>
                <w:color w:val="000000" w:themeColor="text1"/>
                <w:lang w:val="zh-CN"/>
                <w14:textFill>
                  <w14:solidFill>
                    <w14:schemeClr w14:val="tx1"/>
                  </w14:solidFill>
                </w14:textFill>
              </w:rPr>
              <w:t>其他</w:t>
            </w:r>
            <w:r>
              <w:rPr>
                <w:rFonts w:hint="eastAsia"/>
                <w:color w:val="000000" w:themeColor="text1"/>
                <w:lang w:val="zh-CN"/>
                <w14:textFill>
                  <w14:solidFill>
                    <w14:schemeClr w14:val="tx1"/>
                  </w14:solidFill>
                </w14:textFill>
              </w:rPr>
              <w:t>无效情形</w:t>
            </w:r>
          </w:p>
        </w:tc>
        <w:tc>
          <w:tcPr>
            <w:tcW w:w="5399" w:type="dxa"/>
            <w:shd w:val="clear" w:color="auto" w:fill="auto"/>
            <w:vAlign w:val="center"/>
          </w:tcPr>
          <w:p w14:paraId="6FCBA203">
            <w:pPr>
              <w:pStyle w:val="54"/>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不存在</w:t>
            </w:r>
            <w:r>
              <w:rPr>
                <w:color w:val="000000" w:themeColor="text1"/>
                <w:lang w:val="zh-CN"/>
                <w14:textFill>
                  <w14:solidFill>
                    <w14:schemeClr w14:val="tx1"/>
                  </w14:solidFill>
                </w14:textFill>
              </w:rPr>
              <w:t>法律、法规</w:t>
            </w:r>
            <w:r>
              <w:rPr>
                <w:rFonts w:hint="eastAsia"/>
                <w:color w:val="000000" w:themeColor="text1"/>
                <w:lang w:val="zh-CN"/>
                <w14:textFill>
                  <w14:solidFill>
                    <w14:schemeClr w14:val="tx1"/>
                  </w14:solidFill>
                </w14:textFill>
              </w:rPr>
              <w:t>和招标文件</w:t>
            </w:r>
            <w:r>
              <w:rPr>
                <w:color w:val="000000" w:themeColor="text1"/>
                <w:lang w:val="zh-CN"/>
                <w14:textFill>
                  <w14:solidFill>
                    <w14:schemeClr w14:val="tx1"/>
                  </w14:solidFill>
                </w14:textFill>
              </w:rPr>
              <w:t>规定的其他</w:t>
            </w:r>
            <w:r>
              <w:rPr>
                <w:rFonts w:hint="eastAsia"/>
                <w:b/>
                <w:bCs/>
                <w:color w:val="000000" w:themeColor="text1"/>
                <w:lang w:val="zh-CN"/>
                <w14:textFill>
                  <w14:solidFill>
                    <w14:schemeClr w14:val="tx1"/>
                  </w14:solidFill>
                </w14:textFill>
              </w:rPr>
              <w:t>无效投标</w:t>
            </w:r>
            <w:r>
              <w:rPr>
                <w:color w:val="000000" w:themeColor="text1"/>
                <w:lang w:val="zh-CN"/>
                <w14:textFill>
                  <w14:solidFill>
                    <w14:schemeClr w14:val="tx1"/>
                  </w14:solidFill>
                </w14:textFill>
              </w:rPr>
              <w:t>情形。</w:t>
            </w:r>
          </w:p>
        </w:tc>
      </w:tr>
    </w:tbl>
    <w:p w14:paraId="456CAAE4">
      <w:pPr>
        <w:pStyle w:val="5"/>
        <w:numPr>
          <w:ilvl w:val="0"/>
          <w:numId w:val="22"/>
        </w:numPr>
        <w:rPr>
          <w:rFonts w:hint="eastAsia"/>
          <w:color w:val="000000" w:themeColor="text1"/>
          <w:lang w:val="zh-CN"/>
          <w14:textFill>
            <w14:solidFill>
              <w14:schemeClr w14:val="tx1"/>
            </w14:solidFill>
          </w14:textFill>
        </w:rPr>
      </w:pPr>
      <w:bookmarkStart w:id="402" w:name="_Toc155185917"/>
      <w:bookmarkStart w:id="403" w:name="_Toc22171"/>
      <w:r>
        <w:rPr>
          <w:rFonts w:hint="eastAsia"/>
          <w:color w:val="000000" w:themeColor="text1"/>
          <w:lang w:val="zh-CN"/>
          <w14:textFill>
            <w14:solidFill>
              <w14:schemeClr w14:val="tx1"/>
            </w14:solidFill>
          </w14:textFill>
        </w:rPr>
        <w:t>评分标准</w:t>
      </w:r>
      <w:bookmarkEnd w:id="402"/>
      <w:r>
        <w:rPr>
          <w:rFonts w:hint="eastAsia"/>
          <w:color w:val="000000" w:themeColor="text1"/>
          <w:lang w:val="zh-CN"/>
          <w14:textFill>
            <w14:solidFill>
              <w14:schemeClr w14:val="tx1"/>
            </w14:solidFill>
          </w14:textFill>
        </w:rPr>
        <w:t>【综合评标法适用】</w:t>
      </w:r>
      <w:bookmarkEnd w:id="403"/>
    </w:p>
    <w:tbl>
      <w:tblPr>
        <w:tblStyle w:val="33"/>
        <w:tblW w:w="8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183"/>
        <w:gridCol w:w="881"/>
        <w:gridCol w:w="4984"/>
      </w:tblGrid>
      <w:tr w14:paraId="78F7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400" w:type="dxa"/>
            <w:shd w:val="clear" w:color="auto" w:fill="D8D8D8" w:themeFill="background1" w:themeFillShade="D9"/>
            <w:vAlign w:val="center"/>
          </w:tcPr>
          <w:p w14:paraId="790156DB">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评标项目</w:t>
            </w:r>
          </w:p>
        </w:tc>
        <w:tc>
          <w:tcPr>
            <w:tcW w:w="1183" w:type="dxa"/>
            <w:shd w:val="clear" w:color="auto" w:fill="D8D8D8" w:themeFill="background1" w:themeFillShade="D9"/>
            <w:vAlign w:val="center"/>
          </w:tcPr>
          <w:p w14:paraId="33BFC7A1">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评标分项</w:t>
            </w:r>
          </w:p>
        </w:tc>
        <w:tc>
          <w:tcPr>
            <w:tcW w:w="881" w:type="dxa"/>
            <w:shd w:val="clear" w:color="auto" w:fill="D8D8D8" w:themeFill="background1" w:themeFillShade="D9"/>
            <w:vAlign w:val="center"/>
          </w:tcPr>
          <w:p w14:paraId="4FE8E2C5">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分值</w:t>
            </w:r>
          </w:p>
        </w:tc>
        <w:tc>
          <w:tcPr>
            <w:tcW w:w="4984" w:type="dxa"/>
            <w:shd w:val="clear" w:color="auto" w:fill="D8D8D8" w:themeFill="background1" w:themeFillShade="D9"/>
            <w:vAlign w:val="center"/>
          </w:tcPr>
          <w:p w14:paraId="072D5A81">
            <w:pPr>
              <w:pStyle w:val="54"/>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子项目及分值</w:t>
            </w:r>
          </w:p>
        </w:tc>
      </w:tr>
      <w:tr w14:paraId="37B6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62D241E5">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价格部分</w:t>
            </w:r>
          </w:p>
          <w:p w14:paraId="3AA7DBFB">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分）</w:t>
            </w:r>
          </w:p>
        </w:tc>
        <w:tc>
          <w:tcPr>
            <w:tcW w:w="1183" w:type="dxa"/>
            <w:tcBorders>
              <w:bottom w:val="single" w:color="auto" w:sz="4" w:space="0"/>
            </w:tcBorders>
            <w:vAlign w:val="center"/>
          </w:tcPr>
          <w:p w14:paraId="36103550">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投标报价评审价</w:t>
            </w:r>
          </w:p>
        </w:tc>
        <w:tc>
          <w:tcPr>
            <w:tcW w:w="881" w:type="dxa"/>
            <w:vAlign w:val="center"/>
          </w:tcPr>
          <w:p w14:paraId="5E4A7587">
            <w:pPr>
              <w:pStyle w:val="54"/>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分</w:t>
            </w:r>
          </w:p>
        </w:tc>
        <w:tc>
          <w:tcPr>
            <w:tcW w:w="4984" w:type="dxa"/>
            <w:vAlign w:val="center"/>
          </w:tcPr>
          <w:p w14:paraId="7DCB5C8C">
            <w:pPr>
              <w:pStyle w:val="54"/>
              <w:spacing w:line="360" w:lineRule="auto"/>
              <w:rPr>
                <w:rFonts w:hint="eastAsia" w:ascii="宋体" w:hAnsi="宋体" w:eastAsia="宋体" w:cs="宋体"/>
              </w:rPr>
            </w:pPr>
            <w:r>
              <w:rPr>
                <w:rFonts w:hint="eastAsia" w:ascii="宋体" w:hAnsi="宋体" w:eastAsia="宋体" w:cs="宋体"/>
              </w:rPr>
              <w:t>综合评分法中的价格分统一采用低价优先法计算，即</w:t>
            </w:r>
            <w:r>
              <w:rPr>
                <w:rFonts w:hint="eastAsia" w:cs="宋体"/>
                <w:lang w:val="en-US" w:eastAsia="zh-CN"/>
              </w:rPr>
              <w:t>通过符合性评审</w:t>
            </w:r>
            <w:r>
              <w:rPr>
                <w:rFonts w:hint="eastAsia" w:ascii="宋体" w:hAnsi="宋体" w:eastAsia="宋体" w:cs="宋体"/>
              </w:rPr>
              <w:t>且报价最低的</w:t>
            </w:r>
            <w:r>
              <w:rPr>
                <w:rFonts w:hint="eastAsia" w:ascii="宋体" w:hAnsi="宋体" w:eastAsia="宋体" w:cs="宋体"/>
                <w:lang w:val="en-US" w:eastAsia="zh-CN"/>
              </w:rPr>
              <w:t>投标</w:t>
            </w:r>
            <w:r>
              <w:rPr>
                <w:rFonts w:hint="eastAsia" w:ascii="宋体" w:hAnsi="宋体" w:eastAsia="宋体" w:cs="宋体"/>
              </w:rPr>
              <w:t>供应商的价格为</w:t>
            </w:r>
            <w:r>
              <w:rPr>
                <w:rFonts w:hint="eastAsia" w:ascii="宋体" w:hAnsi="宋体" w:eastAsia="宋体" w:cs="宋体"/>
                <w:lang w:val="en-US" w:eastAsia="zh-CN"/>
              </w:rPr>
              <w:t>评标</w:t>
            </w:r>
            <w:r>
              <w:rPr>
                <w:rFonts w:hint="eastAsia" w:ascii="宋体" w:hAnsi="宋体" w:eastAsia="宋体" w:cs="宋体"/>
              </w:rPr>
              <w:t>基准价，其价格分为满分。其他</w:t>
            </w:r>
            <w:r>
              <w:rPr>
                <w:rFonts w:hint="eastAsia" w:ascii="宋体" w:hAnsi="宋体" w:eastAsia="宋体" w:cs="宋体"/>
                <w:lang w:val="en-US" w:eastAsia="zh-CN"/>
              </w:rPr>
              <w:t>投标</w:t>
            </w:r>
            <w:r>
              <w:rPr>
                <w:rFonts w:hint="eastAsia" w:ascii="宋体" w:hAnsi="宋体" w:eastAsia="宋体" w:cs="宋体"/>
              </w:rPr>
              <w:t>供应商的价格分统一按照下列公式计算：</w:t>
            </w:r>
          </w:p>
          <w:p w14:paraId="2FF70C0D">
            <w:pPr>
              <w:pStyle w:val="54"/>
              <w:spacing w:line="360" w:lineRule="auto"/>
              <w:rPr>
                <w:rFonts w:hint="eastAsia" w:cs="宋体"/>
                <w:lang w:val="en-US" w:eastAsia="zh-CN"/>
              </w:rPr>
            </w:pPr>
            <w:r>
              <w:rPr>
                <w:rFonts w:hint="eastAsia" w:ascii="宋体" w:hAnsi="宋体" w:eastAsia="宋体" w:cs="宋体"/>
              </w:rPr>
              <w:t>报价得分=</w:t>
            </w:r>
            <w:r>
              <w:rPr>
                <w:rFonts w:hint="eastAsia" w:ascii="宋体" w:hAnsi="宋体" w:eastAsia="宋体" w:cs="宋体"/>
                <w:lang w:val="en-US" w:eastAsia="zh-CN"/>
              </w:rPr>
              <w:t>评标</w:t>
            </w:r>
            <w:r>
              <w:rPr>
                <w:rFonts w:hint="eastAsia" w:ascii="宋体" w:hAnsi="宋体" w:eastAsia="宋体" w:cs="宋体"/>
              </w:rPr>
              <w:t>基准价</w:t>
            </w:r>
            <w:r>
              <w:rPr>
                <w:rFonts w:hint="eastAsia" w:ascii="宋体" w:hAnsi="宋体" w:eastAsia="宋体" w:cs="宋体"/>
                <w:lang w:val="en-US" w:eastAsia="zh-CN"/>
              </w:rPr>
              <w:t>/</w:t>
            </w:r>
            <w:r>
              <w:rPr>
                <w:rFonts w:hint="eastAsia" w:ascii="宋体" w:hAnsi="宋体" w:eastAsia="宋体" w:cs="宋体"/>
              </w:rPr>
              <w:t>最后报价×</w:t>
            </w:r>
            <w:r>
              <w:rPr>
                <w:rFonts w:hint="eastAsia" w:cs="宋体"/>
                <w:lang w:val="en-US" w:eastAsia="zh-CN"/>
              </w:rPr>
              <w:t>相应分值</w:t>
            </w:r>
          </w:p>
          <w:p w14:paraId="631BD980">
            <w:pPr>
              <w:pStyle w:val="54"/>
              <w:spacing w:line="360" w:lineRule="auto"/>
              <w:rPr>
                <w:rFonts w:hint="eastAsia" w:cs="宋体"/>
                <w:lang w:val="en-US" w:eastAsia="zh-CN"/>
              </w:rPr>
            </w:pPr>
            <w:r>
              <w:rPr>
                <w:rFonts w:hint="eastAsia" w:cs="宋体"/>
                <w:color w:val="FF0000"/>
                <w:lang w:val="en-US" w:eastAsia="zh-CN"/>
              </w:rPr>
              <w:t>本项目报价分软件系统报价和质保期满后的年维保费报价，其中软件系统报价分值25分，质保期满后的年维保费报价5分，总分30分。</w:t>
            </w:r>
          </w:p>
          <w:p w14:paraId="5B90D6E6">
            <w:pPr>
              <w:pStyle w:val="54"/>
              <w:spacing w:line="360" w:lineRule="auto"/>
              <w:rPr>
                <w:rFonts w:hint="default" w:cs="宋体"/>
                <w:lang w:val="en-US" w:eastAsia="zh-CN"/>
              </w:rPr>
            </w:pPr>
            <w:r>
              <w:rPr>
                <w:rFonts w:hint="eastAsia" w:cs="宋体"/>
                <w:lang w:val="en-US" w:eastAsia="zh-CN"/>
              </w:rPr>
              <w:t>总报价得分=软件系统报价得分+质保期满后的年维保费报价得分。</w:t>
            </w:r>
          </w:p>
          <w:p w14:paraId="4A919A17">
            <w:pPr>
              <w:pStyle w:val="54"/>
              <w:spacing w:line="360" w:lineRule="auto"/>
              <w:rPr>
                <w:rFonts w:hint="default" w:eastAsia="宋体"/>
                <w:color w:val="FF0000"/>
                <w:lang w:val="en-US" w:eastAsia="zh-CN"/>
              </w:rPr>
            </w:pPr>
            <w:r>
              <w:rPr>
                <w:rFonts w:hint="eastAsia" w:ascii="宋体" w:hAnsi="宋体" w:eastAsia="宋体" w:cs="宋体"/>
              </w:rPr>
              <w:t>项目评审过程中，不得去掉最后报价中的最高报价和最低报价。</w:t>
            </w:r>
            <w:r>
              <w:rPr>
                <w:rFonts w:hint="eastAsia" w:ascii="宋体" w:hAnsi="宋体" w:eastAsia="宋体" w:cs="宋体"/>
                <w:lang w:val="en-US" w:eastAsia="zh-CN"/>
              </w:rPr>
              <w:t>对于提供了合法有效《中小企业声明函》的投标供应商，价格评审时给与10%的价格折扣，用扣除后的价格参与评分计算。得分计算保留至小数点后两位。</w:t>
            </w:r>
          </w:p>
        </w:tc>
      </w:tr>
      <w:tr w14:paraId="5A84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6" w:hRule="atLeast"/>
          <w:jc w:val="center"/>
        </w:trPr>
        <w:tc>
          <w:tcPr>
            <w:tcW w:w="1400" w:type="dxa"/>
            <w:vMerge w:val="restart"/>
            <w:vAlign w:val="center"/>
          </w:tcPr>
          <w:p w14:paraId="3FFEB757">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技术部分（</w:t>
            </w:r>
            <w:r>
              <w:rPr>
                <w:rFonts w:hint="eastAsia"/>
                <w:color w:val="000000" w:themeColor="text1"/>
                <w:lang w:val="en-US" w:eastAsia="zh-CN"/>
                <w14:textFill>
                  <w14:solidFill>
                    <w14:schemeClr w14:val="tx1"/>
                  </w14:solidFill>
                </w14:textFill>
              </w:rPr>
              <w:t>60</w:t>
            </w:r>
            <w:r>
              <w:rPr>
                <w:rFonts w:hint="eastAsia"/>
                <w:color w:val="000000" w:themeColor="text1"/>
                <w14:textFill>
                  <w14:solidFill>
                    <w14:schemeClr w14:val="tx1"/>
                  </w14:solidFill>
                </w14:textFill>
              </w:rPr>
              <w:t>分）</w:t>
            </w:r>
          </w:p>
        </w:tc>
        <w:tc>
          <w:tcPr>
            <w:tcW w:w="1183" w:type="dxa"/>
            <w:tcBorders>
              <w:top w:val="single" w:color="auto" w:sz="4" w:space="0"/>
            </w:tcBorders>
            <w:vAlign w:val="center"/>
          </w:tcPr>
          <w:p w14:paraId="1DC2B47C">
            <w:pPr>
              <w:pStyle w:val="54"/>
              <w:spacing w:line="360" w:lineRule="auto"/>
              <w:rPr>
                <w:rFonts w:hint="default" w:ascii="宋体" w:hAnsi="宋体" w:eastAsia="宋体"/>
                <w:color w:val="000000" w:themeColor="text1"/>
                <w:lang w:val="en-US" w:eastAsia="zh-CN"/>
                <w14:textFill>
                  <w14:solidFill>
                    <w14:schemeClr w14:val="tx1"/>
                  </w14:solidFill>
                </w14:textFill>
              </w:rPr>
            </w:pPr>
            <w:r>
              <w:rPr>
                <w:rFonts w:hint="eastAsia" w:cs="宋体"/>
                <w:b/>
                <w:bCs/>
                <w:snapToGrid w:val="0"/>
                <w:color w:val="000000" w:themeColor="text1"/>
                <w:kern w:val="0"/>
                <w:sz w:val="22"/>
                <w:szCs w:val="21"/>
                <w:lang w:val="en-US" w:eastAsia="zh-CN"/>
                <w14:textFill>
                  <w14:solidFill>
                    <w14:schemeClr w14:val="tx1"/>
                  </w14:solidFill>
                </w14:textFill>
              </w:rPr>
              <w:t>技术</w:t>
            </w:r>
            <w:r>
              <w:rPr>
                <w:rFonts w:hint="eastAsia" w:cs="宋体"/>
                <w:b/>
                <w:bCs/>
                <w:snapToGrid w:val="0"/>
                <w:color w:val="000000" w:themeColor="text1"/>
                <w:kern w:val="0"/>
                <w:sz w:val="22"/>
                <w:szCs w:val="21"/>
                <w14:textFill>
                  <w14:solidFill>
                    <w14:schemeClr w14:val="tx1"/>
                  </w14:solidFill>
                </w14:textFill>
              </w:rPr>
              <w:t>参数响应</w:t>
            </w:r>
            <w:r>
              <w:rPr>
                <w:rFonts w:hint="eastAsia" w:cs="宋体"/>
                <w:b/>
                <w:bCs/>
                <w:snapToGrid w:val="0"/>
                <w:color w:val="000000" w:themeColor="text1"/>
                <w:kern w:val="0"/>
                <w:sz w:val="22"/>
                <w:szCs w:val="21"/>
                <w:lang w:val="en-US" w:eastAsia="zh-CN"/>
                <w14:textFill>
                  <w14:solidFill>
                    <w14:schemeClr w14:val="tx1"/>
                  </w14:solidFill>
                </w14:textFill>
              </w:rPr>
              <w:t>评审</w:t>
            </w:r>
          </w:p>
        </w:tc>
        <w:tc>
          <w:tcPr>
            <w:tcW w:w="881" w:type="dxa"/>
            <w:vAlign w:val="center"/>
          </w:tcPr>
          <w:p w14:paraId="647DEBD6">
            <w:pPr>
              <w:pStyle w:val="54"/>
              <w:spacing w:line="360" w:lineRule="auto"/>
              <w:rPr>
                <w:rFonts w:hint="default" w:ascii="宋体" w:hAnsi="宋体"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30分</w:t>
            </w:r>
          </w:p>
        </w:tc>
        <w:tc>
          <w:tcPr>
            <w:tcW w:w="4984" w:type="dxa"/>
            <w:vAlign w:val="center"/>
          </w:tcPr>
          <w:p w14:paraId="3B98DB76">
            <w:pPr>
              <w:pStyle w:val="54"/>
              <w:spacing w:line="360" w:lineRule="auto"/>
              <w:ind w:firstLine="480" w:firstLineChars="200"/>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投标</w:t>
            </w:r>
            <w:r>
              <w:rPr>
                <w:rFonts w:hint="eastAsia" w:ascii="宋体" w:hAnsi="宋体" w:eastAsia="宋体"/>
                <w:color w:val="000000" w:themeColor="text1"/>
                <w:highlight w:val="none"/>
                <w:lang w:eastAsia="zh-CN"/>
                <w14:textFill>
                  <w14:solidFill>
                    <w14:schemeClr w14:val="tx1"/>
                  </w14:solidFill>
                </w14:textFill>
              </w:rPr>
              <w:t>供应商</w:t>
            </w:r>
            <w:r>
              <w:rPr>
                <w:rFonts w:hint="eastAsia" w:ascii="宋体" w:hAnsi="宋体" w:eastAsia="宋体"/>
                <w:color w:val="000000" w:themeColor="text1"/>
                <w:highlight w:val="none"/>
                <w14:textFill>
                  <w14:solidFill>
                    <w14:schemeClr w14:val="tx1"/>
                  </w14:solidFill>
                </w14:textFill>
              </w:rPr>
              <w:t>在本项目中所提供设备及服务的技术性能要求完全符合招标文件要求的得</w:t>
            </w:r>
            <w:r>
              <w:rPr>
                <w:rFonts w:hint="eastAsia"/>
                <w:color w:val="000000" w:themeColor="text1"/>
                <w:highlight w:val="none"/>
                <w:lang w:val="en-US" w:eastAsia="zh-CN"/>
                <w14:textFill>
                  <w14:solidFill>
                    <w14:schemeClr w14:val="tx1"/>
                  </w14:solidFill>
                </w14:textFill>
              </w:rPr>
              <w:t xml:space="preserve"> 30 </w:t>
            </w:r>
            <w:r>
              <w:rPr>
                <w:rFonts w:hint="eastAsia" w:ascii="宋体" w:hAnsi="宋体" w:eastAsia="宋体"/>
                <w:color w:val="000000" w:themeColor="text1"/>
                <w:highlight w:val="none"/>
                <w14:textFill>
                  <w14:solidFill>
                    <w14:schemeClr w14:val="tx1"/>
                  </w14:solidFill>
                </w14:textFill>
              </w:rPr>
              <w:t>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技术</w:t>
            </w:r>
            <w:r>
              <w:rPr>
                <w:rFonts w:hint="eastAsia" w:ascii="宋体" w:hAnsi="宋体" w:eastAsia="宋体"/>
                <w:color w:val="000000" w:themeColor="text1"/>
                <w:highlight w:val="none"/>
                <w:lang w:val="en-US" w:eastAsia="zh-CN"/>
                <w14:textFill>
                  <w14:solidFill>
                    <w14:schemeClr w14:val="tx1"/>
                  </w14:solidFill>
                </w14:textFill>
              </w:rPr>
              <w:t>参数要求</w:t>
            </w:r>
            <w:r>
              <w:rPr>
                <w:rFonts w:hint="eastAsia"/>
                <w:color w:val="000000" w:themeColor="text1"/>
                <w:highlight w:val="none"/>
                <w:lang w:eastAsia="zh-CN"/>
                <w14:textFill>
                  <w14:solidFill>
                    <w14:schemeClr w14:val="tx1"/>
                  </w14:solidFill>
                </w14:textFill>
              </w:rPr>
              <w:t>”</w:t>
            </w:r>
            <w:r>
              <w:rPr>
                <w:rFonts w:hint="eastAsia" w:ascii="宋体" w:hAnsi="宋体" w:eastAsia="宋体"/>
                <w:color w:val="000000" w:themeColor="text1"/>
                <w:highlight w:val="none"/>
                <w14:textFill>
                  <w14:solidFill>
                    <w14:schemeClr w14:val="tx1"/>
                  </w14:solidFill>
                </w14:textFill>
              </w:rPr>
              <w:t xml:space="preserve">中带“▲”项为重要性能指标，有一项不满足扣 </w:t>
            </w:r>
            <w:r>
              <w:rPr>
                <w:rFonts w:hint="eastAsia"/>
                <w:color w:val="000000" w:themeColor="text1"/>
                <w:highlight w:val="none"/>
                <w:lang w:val="en-US" w:eastAsia="zh-CN"/>
                <w14:textFill>
                  <w14:solidFill>
                    <w14:schemeClr w14:val="tx1"/>
                  </w14:solidFill>
                </w14:textFill>
              </w:rPr>
              <w:t>2</w:t>
            </w:r>
            <w:r>
              <w:rPr>
                <w:rFonts w:hint="eastAsia" w:ascii="宋体" w:hAnsi="宋体" w:eastAsia="宋体"/>
                <w:color w:val="000000" w:themeColor="text1"/>
                <w:highlight w:val="none"/>
                <w14:textFill>
                  <w14:solidFill>
                    <w14:schemeClr w14:val="tx1"/>
                  </w14:solidFill>
                </w14:textFill>
              </w:rPr>
              <w:t>分，其他</w:t>
            </w:r>
            <w:r>
              <w:rPr>
                <w:rFonts w:hint="eastAsia"/>
                <w:color w:val="000000" w:themeColor="text1"/>
                <w:highlight w:val="none"/>
                <w:lang w:val="en-US" w:eastAsia="zh-CN"/>
                <w14:textFill>
                  <w14:solidFill>
                    <w14:schemeClr w14:val="tx1"/>
                  </w14:solidFill>
                </w14:textFill>
              </w:rPr>
              <w:t>不带</w:t>
            </w:r>
            <w:r>
              <w:rPr>
                <w:rFonts w:hint="eastAsia" w:ascii="宋体" w:hAnsi="宋体" w:eastAsia="宋体"/>
                <w:color w:val="000000" w:themeColor="text1"/>
                <w:highlight w:val="none"/>
                <w14:textFill>
                  <w14:solidFill>
                    <w14:schemeClr w14:val="tx1"/>
                  </w14:solidFill>
                </w14:textFill>
              </w:rPr>
              <w:t xml:space="preserve">“▲”参数为一般性能参数，有一项不满足扣 </w:t>
            </w:r>
            <w:r>
              <w:rPr>
                <w:rFonts w:hint="eastAsia"/>
                <w:color w:val="000000" w:themeColor="text1"/>
                <w:highlight w:val="none"/>
                <w:lang w:val="en-US" w:eastAsia="zh-CN"/>
                <w14:textFill>
                  <w14:solidFill>
                    <w14:schemeClr w14:val="tx1"/>
                  </w14:solidFill>
                </w14:textFill>
              </w:rPr>
              <w:t>1</w:t>
            </w:r>
            <w:r>
              <w:rPr>
                <w:rFonts w:hint="eastAsia" w:ascii="宋体" w:hAnsi="宋体" w:eastAsia="宋体"/>
                <w:color w:val="000000" w:themeColor="text1"/>
                <w:highlight w:val="none"/>
                <w14:textFill>
                  <w14:solidFill>
                    <w14:schemeClr w14:val="tx1"/>
                  </w14:solidFill>
                </w14:textFill>
              </w:rPr>
              <w:t>分，扣完为止。</w:t>
            </w:r>
          </w:p>
          <w:p w14:paraId="7C63C887">
            <w:pPr>
              <w:pStyle w:val="54"/>
              <w:spacing w:line="360" w:lineRule="auto"/>
              <w:rPr>
                <w:rFonts w:hint="default" w:ascii="宋体" w:hAnsi="宋体" w:eastAsia="宋体"/>
                <w:color w:val="000000" w:themeColor="text1"/>
                <w:lang w:val="en-US" w:eastAsia="zh-CN"/>
                <w14:textFill>
                  <w14:solidFill>
                    <w14:schemeClr w14:val="tx1"/>
                  </w14:solidFill>
                </w14:textFill>
              </w:rPr>
            </w:pPr>
            <w:bookmarkStart w:id="404" w:name="_Toc5193"/>
            <w:r>
              <w:rPr>
                <w:rFonts w:hint="eastAsia" w:ascii="宋体" w:hAnsi="宋体" w:eastAsia="宋体"/>
                <w:color w:val="000000" w:themeColor="text1"/>
                <w:highlight w:val="none"/>
                <w:lang w:val="en-US" w:eastAsia="zh-CN"/>
                <w14:textFill>
                  <w14:solidFill>
                    <w14:schemeClr w14:val="tx1"/>
                  </w14:solidFill>
                </w14:textFill>
              </w:rPr>
              <w:t>注：提供技术偏离表</w:t>
            </w:r>
            <w:r>
              <w:rPr>
                <w:rFonts w:hint="eastAsia"/>
                <w:color w:val="000000" w:themeColor="text1"/>
                <w:highlight w:val="none"/>
                <w:lang w:val="en-US" w:eastAsia="zh-CN"/>
                <w14:textFill>
                  <w14:solidFill>
                    <w14:schemeClr w14:val="tx1"/>
                  </w14:solidFill>
                </w14:textFill>
              </w:rPr>
              <w:t>和</w:t>
            </w:r>
            <w:r>
              <w:rPr>
                <w:rFonts w:hint="eastAsia" w:ascii="宋体" w:hAnsi="宋体" w:eastAsia="宋体"/>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技术</w:t>
            </w:r>
            <w:r>
              <w:rPr>
                <w:rFonts w:hint="eastAsia" w:ascii="宋体" w:hAnsi="宋体" w:eastAsia="宋体"/>
                <w:color w:val="000000" w:themeColor="text1"/>
                <w:highlight w:val="none"/>
                <w:lang w:val="en-US" w:eastAsia="zh-CN"/>
                <w14:textFill>
                  <w14:solidFill>
                    <w14:schemeClr w14:val="tx1"/>
                  </w14:solidFill>
                </w14:textFill>
              </w:rPr>
              <w:t>参数要求”中需要证明材料的要按要求提供相关证明材料</w:t>
            </w:r>
            <w:bookmarkEnd w:id="404"/>
            <w:r>
              <w:rPr>
                <w:rFonts w:hint="eastAsia"/>
                <w:color w:val="000000" w:themeColor="text1"/>
                <w:highlight w:val="none"/>
                <w:lang w:val="en-US" w:eastAsia="zh-CN"/>
                <w14:textFill>
                  <w14:solidFill>
                    <w14:schemeClr w14:val="tx1"/>
                  </w14:solidFill>
                </w14:textFill>
              </w:rPr>
              <w:t>。</w:t>
            </w:r>
          </w:p>
        </w:tc>
      </w:tr>
      <w:tr w14:paraId="4373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400" w:type="dxa"/>
            <w:vMerge w:val="continue"/>
            <w:vAlign w:val="center"/>
          </w:tcPr>
          <w:p w14:paraId="1E79F2BC">
            <w:pPr>
              <w:pStyle w:val="54"/>
              <w:rPr>
                <w:rFonts w:hint="eastAsia"/>
                <w:color w:val="000000" w:themeColor="text1"/>
                <w14:textFill>
                  <w14:solidFill>
                    <w14:schemeClr w14:val="tx1"/>
                  </w14:solidFill>
                </w14:textFill>
              </w:rPr>
            </w:pPr>
          </w:p>
        </w:tc>
        <w:tc>
          <w:tcPr>
            <w:tcW w:w="1183" w:type="dxa"/>
            <w:tcBorders>
              <w:top w:val="single" w:color="auto" w:sz="4" w:space="0"/>
            </w:tcBorders>
            <w:vAlign w:val="center"/>
          </w:tcPr>
          <w:p w14:paraId="00BA7D6F">
            <w:pPr>
              <w:pStyle w:val="54"/>
              <w:spacing w:line="360" w:lineRule="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eastAsia="宋体" w:cs="宋体"/>
                <w:b/>
                <w:bCs/>
                <w:color w:val="auto"/>
                <w:szCs w:val="21"/>
                <w:lang w:val="en-US" w:eastAsia="zh-CN"/>
              </w:rPr>
              <w:t>项目</w:t>
            </w:r>
            <w:r>
              <w:rPr>
                <w:rFonts w:hint="eastAsia" w:ascii="宋体" w:hAnsi="宋体" w:eastAsia="宋体" w:cs="宋体"/>
                <w:b/>
                <w:bCs/>
                <w:color w:val="auto"/>
                <w:szCs w:val="21"/>
              </w:rPr>
              <w:t>实施方案评审</w:t>
            </w:r>
          </w:p>
        </w:tc>
        <w:tc>
          <w:tcPr>
            <w:tcW w:w="881" w:type="dxa"/>
            <w:vAlign w:val="center"/>
          </w:tcPr>
          <w:p w14:paraId="6895E4C1">
            <w:pPr>
              <w:pStyle w:val="54"/>
              <w:spacing w:line="360" w:lineRule="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cstheme="minorBidi"/>
                <w:color w:val="000000" w:themeColor="text1"/>
                <w:kern w:val="2"/>
                <w:sz w:val="24"/>
                <w:szCs w:val="22"/>
                <w:lang w:val="en-US" w:eastAsia="zh-CN" w:bidi="ar-SA"/>
                <w14:textFill>
                  <w14:solidFill>
                    <w14:schemeClr w14:val="tx1"/>
                  </w14:solidFill>
                </w14:textFill>
              </w:rPr>
              <w:t>10</w:t>
            </w: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t>分</w:t>
            </w:r>
          </w:p>
        </w:tc>
        <w:tc>
          <w:tcPr>
            <w:tcW w:w="4984" w:type="dxa"/>
            <w:vAlign w:val="center"/>
          </w:tcPr>
          <w:p w14:paraId="22037130">
            <w:pPr>
              <w:pStyle w:val="54"/>
              <w:spacing w:line="360" w:lineRule="auto"/>
              <w:ind w:firstLine="480" w:firstLineChars="200"/>
              <w:rPr>
                <w:rFonts w:hint="eastAsia" w:ascii="宋体" w:hAnsi="宋体" w:eastAsia="宋体"/>
                <w:color w:val="000000" w:themeColor="text1"/>
                <w:highlight w:val="none"/>
                <w:lang w:val="en-US" w:eastAsia="zh-CN"/>
                <w14:textFill>
                  <w14:solidFill>
                    <w14:schemeClr w14:val="tx1"/>
                  </w14:solidFill>
                </w14:textFill>
              </w:rPr>
            </w:pPr>
            <w:r>
              <w:rPr>
                <w:rFonts w:hint="eastAsia" w:ascii="宋体" w:hAnsi="宋体" w:eastAsia="宋体"/>
                <w:color w:val="000000" w:themeColor="text1"/>
                <w:highlight w:val="none"/>
                <w:lang w:val="en-US" w:eastAsia="zh-CN"/>
                <w14:textFill>
                  <w14:solidFill>
                    <w14:schemeClr w14:val="tx1"/>
                  </w14:solidFill>
                </w14:textFill>
              </w:rPr>
              <w:t>根据供应商提出的项目实施方案整体情况进行评审评分（包括但不限于：对本项目的理解及分析，项目重难点分析及合理化建议，与采购需求契合度，工作流程，工作方法，后续服务保障措施及承诺）</w:t>
            </w:r>
          </w:p>
          <w:p w14:paraId="4D0B84DF">
            <w:pPr>
              <w:pStyle w:val="54"/>
              <w:spacing w:line="360" w:lineRule="auto"/>
              <w:ind w:firstLine="480" w:firstLineChars="200"/>
              <w:rPr>
                <w:rFonts w:hint="eastAsia" w:ascii="宋体" w:hAnsi="宋体" w:eastAsia="宋体"/>
                <w:color w:val="000000" w:themeColor="text1"/>
                <w:highlight w:val="none"/>
                <w:lang w:val="en-US" w:eastAsia="zh-CN"/>
                <w14:textFill>
                  <w14:solidFill>
                    <w14:schemeClr w14:val="tx1"/>
                  </w14:solidFill>
                </w14:textFill>
              </w:rPr>
            </w:pPr>
            <w:r>
              <w:rPr>
                <w:rFonts w:hint="eastAsia" w:ascii="宋体" w:hAnsi="宋体" w:eastAsia="宋体"/>
                <w:color w:val="000000" w:themeColor="text1"/>
                <w:highlight w:val="none"/>
                <w:lang w:val="en-US" w:eastAsia="zh-CN"/>
                <w14:textFill>
                  <w14:solidFill>
                    <w14:schemeClr w14:val="tx1"/>
                  </w14:solidFill>
                </w14:textFill>
              </w:rPr>
              <w:t>项目实施方案，科学合理，可行性强，与采购需求契合度较高，能完全满足要求，有具体的保证措施及违约责任承诺的，得</w:t>
            </w:r>
            <w:r>
              <w:rPr>
                <w:rFonts w:hint="eastAsia"/>
                <w:color w:val="000000" w:themeColor="text1"/>
                <w:highlight w:val="none"/>
                <w:lang w:val="en-US" w:eastAsia="zh-CN"/>
                <w14:textFill>
                  <w14:solidFill>
                    <w14:schemeClr w14:val="tx1"/>
                  </w14:solidFill>
                </w14:textFill>
              </w:rPr>
              <w:t>10</w:t>
            </w:r>
            <w:r>
              <w:rPr>
                <w:rFonts w:hint="eastAsia" w:ascii="宋体" w:hAnsi="宋体" w:eastAsia="宋体"/>
                <w:color w:val="000000" w:themeColor="text1"/>
                <w:highlight w:val="none"/>
                <w:lang w:val="en-US" w:eastAsia="zh-CN"/>
                <w14:textFill>
                  <w14:solidFill>
                    <w14:schemeClr w14:val="tx1"/>
                  </w14:solidFill>
                </w14:textFill>
              </w:rPr>
              <w:t>分；项目实施方案中每缺失一项的，扣</w:t>
            </w:r>
            <w:r>
              <w:rPr>
                <w:rFonts w:hint="eastAsia"/>
                <w:color w:val="000000" w:themeColor="text1"/>
                <w:highlight w:val="none"/>
                <w:lang w:val="en-US" w:eastAsia="zh-CN"/>
                <w14:textFill>
                  <w14:solidFill>
                    <w14:schemeClr w14:val="tx1"/>
                  </w14:solidFill>
                </w14:textFill>
              </w:rPr>
              <w:t>2</w:t>
            </w:r>
            <w:r>
              <w:rPr>
                <w:rFonts w:hint="eastAsia" w:ascii="宋体" w:hAnsi="宋体" w:eastAsia="宋体"/>
                <w:color w:val="000000" w:themeColor="text1"/>
                <w:highlight w:val="none"/>
                <w:lang w:val="en-US" w:eastAsia="zh-CN"/>
                <w14:textFill>
                  <w14:solidFill>
                    <w14:schemeClr w14:val="tx1"/>
                  </w14:solidFill>
                </w14:textFill>
              </w:rPr>
              <w:t>分；每有一项不完善或不符合项目实际情况的，扣</w:t>
            </w:r>
            <w:r>
              <w:rPr>
                <w:rFonts w:hint="eastAsia"/>
                <w:color w:val="000000" w:themeColor="text1"/>
                <w:highlight w:val="none"/>
                <w:lang w:val="en-US" w:eastAsia="zh-CN"/>
                <w14:textFill>
                  <w14:solidFill>
                    <w14:schemeClr w14:val="tx1"/>
                  </w14:solidFill>
                </w14:textFill>
              </w:rPr>
              <w:t>1</w:t>
            </w:r>
            <w:r>
              <w:rPr>
                <w:rFonts w:hint="eastAsia" w:ascii="宋体" w:hAnsi="宋体" w:eastAsia="宋体"/>
                <w:color w:val="000000" w:themeColor="text1"/>
                <w:highlight w:val="none"/>
                <w:lang w:val="en-US" w:eastAsia="zh-CN"/>
                <w14:textFill>
                  <w14:solidFill>
                    <w14:schemeClr w14:val="tx1"/>
                  </w14:solidFill>
                </w14:textFill>
              </w:rPr>
              <w:t>分。</w:t>
            </w:r>
          </w:p>
        </w:tc>
      </w:tr>
      <w:tr w14:paraId="2623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0" w:type="dxa"/>
            <w:vMerge w:val="continue"/>
            <w:vAlign w:val="center"/>
          </w:tcPr>
          <w:p w14:paraId="141DC690">
            <w:pPr>
              <w:pStyle w:val="54"/>
              <w:rPr>
                <w:rFonts w:hint="eastAsia"/>
                <w:color w:val="000000" w:themeColor="text1"/>
                <w14:textFill>
                  <w14:solidFill>
                    <w14:schemeClr w14:val="tx1"/>
                  </w14:solidFill>
                </w14:textFill>
              </w:rPr>
            </w:pPr>
          </w:p>
        </w:tc>
        <w:tc>
          <w:tcPr>
            <w:tcW w:w="1183" w:type="dxa"/>
            <w:tcBorders>
              <w:top w:val="single" w:color="auto" w:sz="4" w:space="0"/>
            </w:tcBorders>
            <w:vAlign w:val="center"/>
          </w:tcPr>
          <w:p w14:paraId="19AC761D">
            <w:pPr>
              <w:pStyle w:val="54"/>
              <w:spacing w:line="360" w:lineRule="auto"/>
              <w:rPr>
                <w:rFonts w:hint="eastAsia" w:ascii="宋体" w:hAnsi="宋体" w:eastAsia="宋体" w:cs="宋体"/>
                <w:b/>
                <w:bCs/>
                <w:color w:val="auto"/>
                <w:szCs w:val="21"/>
                <w:lang w:val="en-US" w:eastAsia="zh-CN"/>
              </w:rPr>
            </w:pPr>
            <w:r>
              <w:rPr>
                <w:rFonts w:hint="eastAsia" w:ascii="宋体" w:hAnsi="宋体" w:cs="宋体"/>
                <w:b/>
                <w:bCs/>
                <w:szCs w:val="21"/>
              </w:rPr>
              <w:t>运维服务方案</w:t>
            </w:r>
            <w:r>
              <w:rPr>
                <w:rFonts w:hint="eastAsia" w:ascii="宋体" w:hAnsi="宋体" w:cs="宋体"/>
                <w:b/>
                <w:bCs/>
                <w:szCs w:val="21"/>
                <w:lang w:val="en-US" w:eastAsia="zh-CN"/>
              </w:rPr>
              <w:t>评审</w:t>
            </w:r>
          </w:p>
        </w:tc>
        <w:tc>
          <w:tcPr>
            <w:tcW w:w="881" w:type="dxa"/>
            <w:vAlign w:val="center"/>
          </w:tcPr>
          <w:p w14:paraId="124F4820">
            <w:pPr>
              <w:pStyle w:val="54"/>
              <w:spacing w:line="360" w:lineRule="auto"/>
              <w:rPr>
                <w:rFonts w:hint="default" w:cstheme="minorBidi"/>
                <w:color w:val="000000" w:themeColor="text1"/>
                <w:kern w:val="2"/>
                <w:sz w:val="24"/>
                <w:szCs w:val="22"/>
                <w:lang w:val="en-US" w:eastAsia="zh-CN" w:bidi="ar-SA"/>
                <w14:textFill>
                  <w14:solidFill>
                    <w14:schemeClr w14:val="tx1"/>
                  </w14:solidFill>
                </w14:textFill>
              </w:rPr>
            </w:pPr>
            <w:r>
              <w:rPr>
                <w:rFonts w:hint="eastAsia" w:cstheme="minorBidi"/>
                <w:color w:val="000000" w:themeColor="text1"/>
                <w:kern w:val="2"/>
                <w:sz w:val="24"/>
                <w:szCs w:val="22"/>
                <w:lang w:val="en-US" w:eastAsia="zh-CN" w:bidi="ar-SA"/>
                <w14:textFill>
                  <w14:solidFill>
                    <w14:schemeClr w14:val="tx1"/>
                  </w14:solidFill>
                </w14:textFill>
              </w:rPr>
              <w:t>6分</w:t>
            </w:r>
          </w:p>
        </w:tc>
        <w:tc>
          <w:tcPr>
            <w:tcW w:w="4984" w:type="dxa"/>
            <w:vAlign w:val="center"/>
          </w:tcPr>
          <w:p w14:paraId="14965A7A">
            <w:pPr>
              <w:pStyle w:val="54"/>
              <w:spacing w:line="360" w:lineRule="auto"/>
              <w:rPr>
                <w:rFonts w:hint="eastAsia" w:ascii="宋体" w:hAnsi="宋体" w:cs="宋体"/>
                <w:bCs/>
                <w:kern w:val="0"/>
                <w:szCs w:val="21"/>
              </w:rPr>
            </w:pPr>
            <w:r>
              <w:rPr>
                <w:rFonts w:hint="eastAsia" w:ascii="宋体" w:hAnsi="宋体" w:cs="宋体"/>
                <w:bCs/>
                <w:kern w:val="0"/>
                <w:szCs w:val="21"/>
              </w:rPr>
              <w:t>针对本项目提供的运维服务方案包含详</w:t>
            </w:r>
            <w:r>
              <w:rPr>
                <w:rFonts w:hint="eastAsia" w:ascii="宋体" w:hAnsi="宋体" w:cs="宋体"/>
                <w:bCs/>
                <w:kern w:val="0"/>
                <w:szCs w:val="21"/>
                <w:lang w:val="en-US" w:eastAsia="zh-CN"/>
              </w:rPr>
              <w:t>细</w:t>
            </w:r>
            <w:r>
              <w:rPr>
                <w:rFonts w:hint="eastAsia" w:ascii="宋体" w:hAnsi="宋体" w:cs="宋体"/>
                <w:bCs/>
                <w:kern w:val="0"/>
                <w:szCs w:val="21"/>
              </w:rPr>
              <w:t>的运维服务计划及内容、服务流程及方式，日常维护方案条理清晰，异常数据治理、定位故障等系统问题的措施合理，针对维护期间采购人关于需求改造的要求能提供有相应的承诺及实现功能要求的模块及功能改造方案；具有完善的信息系统运维管理体系，提供解决建议性方案且符合项目特点，对各项关键工作有合理安排。</w:t>
            </w:r>
          </w:p>
          <w:p w14:paraId="030B649E">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0" w:firstLineChars="0"/>
              <w:textAlignment w:val="auto"/>
              <w:rPr>
                <w:rFonts w:hint="eastAsia" w:ascii="宋体" w:hAnsi="宋体" w:eastAsia="宋体" w:cs="宋体"/>
                <w:color w:val="auto"/>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lang w:val="en-US" w:eastAsia="zh-CN"/>
              </w:rPr>
              <w:t>方案全面合理，覆盖医共体内所有成员单位、方案内容具体、适用性强，可全面满足医共体成员实际培训需求</w:t>
            </w:r>
            <w:r>
              <w:rPr>
                <w:rFonts w:hint="eastAsia" w:ascii="宋体" w:hAnsi="宋体" w:cs="宋体"/>
                <w:color w:val="auto"/>
                <w:szCs w:val="21"/>
                <w:lang w:val="en-US" w:eastAsia="zh-CN"/>
              </w:rPr>
              <w:t>的，</w:t>
            </w:r>
            <w:r>
              <w:rPr>
                <w:rFonts w:hint="eastAsia" w:ascii="宋体" w:hAnsi="宋体" w:eastAsia="宋体" w:cs="宋体"/>
                <w:color w:val="auto"/>
                <w:szCs w:val="21"/>
                <w:lang w:val="en-US" w:eastAsia="zh-CN"/>
              </w:rPr>
              <w:t>得</w:t>
            </w:r>
            <w:r>
              <w:rPr>
                <w:rFonts w:hint="eastAsia" w:cs="宋体"/>
                <w:color w:val="auto"/>
                <w:szCs w:val="21"/>
                <w:lang w:val="en-US" w:eastAsia="zh-CN"/>
              </w:rPr>
              <w:t>6</w:t>
            </w:r>
            <w:r>
              <w:rPr>
                <w:rFonts w:hint="eastAsia" w:ascii="宋体" w:hAnsi="宋体" w:eastAsia="宋体" w:cs="宋体"/>
                <w:color w:val="auto"/>
                <w:szCs w:val="21"/>
                <w:lang w:val="en-US" w:eastAsia="zh-CN"/>
              </w:rPr>
              <w:t>分；</w:t>
            </w:r>
          </w:p>
          <w:p w14:paraId="17BCB80F">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eastAsia="宋体" w:cs="宋体"/>
                <w:color w:val="auto"/>
                <w:szCs w:val="21"/>
                <w:lang w:val="en-US" w:eastAsia="zh-CN"/>
              </w:rPr>
              <w:t>方案较为全面，有基本的培训计划，内容基本满足医共体项目的要求</w:t>
            </w:r>
            <w:r>
              <w:rPr>
                <w:rFonts w:hint="eastAsia" w:ascii="宋体" w:hAnsi="宋体" w:cs="宋体"/>
                <w:color w:val="auto"/>
                <w:szCs w:val="21"/>
                <w:lang w:val="en-US" w:eastAsia="zh-CN"/>
              </w:rPr>
              <w:t>的，</w:t>
            </w:r>
            <w:r>
              <w:rPr>
                <w:rFonts w:hint="eastAsia" w:ascii="宋体" w:hAnsi="宋体" w:eastAsia="宋体" w:cs="宋体"/>
                <w:color w:val="auto"/>
                <w:szCs w:val="21"/>
                <w:lang w:val="en-US" w:eastAsia="zh-CN"/>
              </w:rPr>
              <w:t>得</w:t>
            </w:r>
            <w:r>
              <w:rPr>
                <w:rFonts w:hint="eastAsia" w:cs="宋体"/>
                <w:color w:val="auto"/>
                <w:szCs w:val="21"/>
                <w:lang w:val="en-US" w:eastAsia="zh-CN"/>
              </w:rPr>
              <w:t>4</w:t>
            </w:r>
            <w:r>
              <w:rPr>
                <w:rFonts w:hint="eastAsia" w:ascii="宋体" w:hAnsi="宋体" w:eastAsia="宋体" w:cs="宋体"/>
                <w:color w:val="auto"/>
                <w:szCs w:val="21"/>
                <w:lang w:val="en-US" w:eastAsia="zh-CN"/>
              </w:rPr>
              <w:t>分；</w:t>
            </w:r>
          </w:p>
          <w:p w14:paraId="5983FDE6">
            <w:pPr>
              <w:pStyle w:val="54"/>
              <w:spacing w:line="360" w:lineRule="auto"/>
              <w:rPr>
                <w:rFonts w:hint="default" w:ascii="宋体" w:hAnsi="宋体" w:eastAsia="宋体" w:cs="宋体"/>
                <w:color w:val="auto"/>
                <w:szCs w:val="21"/>
                <w:lang w:val="en-US" w:eastAsia="zh-CN"/>
              </w:rPr>
            </w:pPr>
            <w:r>
              <w:rPr>
                <w:rFonts w:hint="eastAsia" w:ascii="宋体" w:hAnsi="宋体" w:eastAsia="宋体" w:cs="宋体"/>
                <w:color w:val="auto"/>
                <w:kern w:val="2"/>
                <w:sz w:val="21"/>
                <w:szCs w:val="21"/>
                <w:lang w:val="en-US" w:eastAsia="zh-CN" w:bidi="ar-SA"/>
              </w:rPr>
              <w:t>（</w:t>
            </w:r>
            <w:r>
              <w:rPr>
                <w:rFonts w:hint="eastAsia" w:ascii="宋体" w:hAnsi="宋体" w:cs="宋体"/>
                <w:color w:val="auto"/>
                <w:kern w:val="2"/>
                <w:sz w:val="21"/>
                <w:szCs w:val="21"/>
                <w:lang w:val="en-US" w:eastAsia="zh-CN" w:bidi="ar-SA"/>
              </w:rPr>
              <w:t>3</w:t>
            </w:r>
            <w:r>
              <w:rPr>
                <w:rFonts w:hint="eastAsia" w:ascii="宋体" w:hAnsi="宋体" w:eastAsia="宋体" w:cs="宋体"/>
                <w:color w:val="auto"/>
                <w:kern w:val="2"/>
                <w:sz w:val="21"/>
                <w:szCs w:val="21"/>
                <w:lang w:val="en-US" w:eastAsia="zh-CN" w:bidi="ar-SA"/>
              </w:rPr>
              <w:t>）</w:t>
            </w:r>
            <w:r>
              <w:rPr>
                <w:rFonts w:hint="eastAsia" w:ascii="宋体" w:hAnsi="宋体" w:eastAsia="宋体" w:cs="宋体"/>
                <w:color w:val="auto"/>
                <w:szCs w:val="21"/>
                <w:lang w:val="en-US" w:eastAsia="zh-CN"/>
              </w:rPr>
              <w:t>方案适用性差、不能满足医共体需求</w:t>
            </w:r>
            <w:r>
              <w:rPr>
                <w:rFonts w:hint="eastAsia" w:cs="宋体"/>
                <w:color w:val="auto"/>
                <w:szCs w:val="21"/>
                <w:lang w:val="en-US" w:eastAsia="zh-CN"/>
              </w:rPr>
              <w:t>的，得2分；</w:t>
            </w:r>
          </w:p>
          <w:p w14:paraId="53C84607">
            <w:pPr>
              <w:pStyle w:val="54"/>
              <w:spacing w:line="360" w:lineRule="auto"/>
              <w:rPr>
                <w:rFonts w:hint="default" w:ascii="宋体" w:hAnsi="宋体" w:eastAsia="宋体" w:cs="宋体"/>
                <w:color w:val="auto"/>
                <w:szCs w:val="21"/>
                <w:lang w:val="en-US" w:eastAsia="zh-CN"/>
              </w:rPr>
            </w:pPr>
            <w:r>
              <w:rPr>
                <w:rFonts w:hint="eastAsia" w:cs="宋体"/>
                <w:b/>
                <w:bCs/>
                <w:color w:val="auto"/>
                <w:szCs w:val="21"/>
                <w:lang w:val="en-US" w:eastAsia="zh-CN"/>
              </w:rPr>
              <w:t>注：</w:t>
            </w:r>
            <w:r>
              <w:rPr>
                <w:rFonts w:hint="eastAsia" w:cs="宋体"/>
                <w:color w:val="auto"/>
                <w:szCs w:val="21"/>
                <w:lang w:val="en-US" w:eastAsia="zh-CN"/>
              </w:rPr>
              <w:t>未提供运维服务方案不得分。</w:t>
            </w:r>
          </w:p>
        </w:tc>
      </w:tr>
      <w:tr w14:paraId="1D06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1" w:hRule="atLeast"/>
          <w:jc w:val="center"/>
        </w:trPr>
        <w:tc>
          <w:tcPr>
            <w:tcW w:w="1400" w:type="dxa"/>
            <w:vMerge w:val="continue"/>
            <w:vAlign w:val="center"/>
          </w:tcPr>
          <w:p w14:paraId="6A40D4D4">
            <w:pPr>
              <w:pStyle w:val="54"/>
              <w:rPr>
                <w:rFonts w:hint="eastAsia"/>
                <w:color w:val="000000" w:themeColor="text1"/>
                <w14:textFill>
                  <w14:solidFill>
                    <w14:schemeClr w14:val="tx1"/>
                  </w14:solidFill>
                </w14:textFill>
              </w:rPr>
            </w:pPr>
          </w:p>
        </w:tc>
        <w:tc>
          <w:tcPr>
            <w:tcW w:w="1183" w:type="dxa"/>
            <w:tcBorders>
              <w:top w:val="single" w:color="auto" w:sz="4" w:space="0"/>
            </w:tcBorders>
            <w:vAlign w:val="center"/>
          </w:tcPr>
          <w:p w14:paraId="47255382">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eastAsia="宋体" w:cs="宋体"/>
                <w:b/>
                <w:color w:val="auto"/>
                <w:szCs w:val="21"/>
                <w:lang w:val="en-US" w:eastAsia="zh-CN"/>
              </w:rPr>
              <w:t>培训方案</w:t>
            </w:r>
            <w:r>
              <w:rPr>
                <w:rFonts w:hint="eastAsia" w:ascii="宋体" w:hAnsi="宋体" w:eastAsia="宋体" w:cs="宋体"/>
                <w:b/>
                <w:color w:val="auto"/>
                <w:szCs w:val="21"/>
              </w:rPr>
              <w:t>评审</w:t>
            </w:r>
          </w:p>
        </w:tc>
        <w:tc>
          <w:tcPr>
            <w:tcW w:w="881" w:type="dxa"/>
            <w:vAlign w:val="center"/>
          </w:tcPr>
          <w:p w14:paraId="121B1C1F">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cstheme="minorBidi"/>
                <w:color w:val="000000" w:themeColor="text1"/>
                <w:kern w:val="2"/>
                <w:sz w:val="24"/>
                <w:szCs w:val="22"/>
                <w:lang w:val="en-US" w:eastAsia="zh-CN" w:bidi="ar-SA"/>
                <w14:textFill>
                  <w14:solidFill>
                    <w14:schemeClr w14:val="tx1"/>
                  </w14:solidFill>
                </w14:textFill>
              </w:rPr>
              <w:t>6</w:t>
            </w: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t>分</w:t>
            </w:r>
          </w:p>
        </w:tc>
        <w:tc>
          <w:tcPr>
            <w:tcW w:w="4984" w:type="dxa"/>
            <w:vAlign w:val="center"/>
          </w:tcPr>
          <w:p w14:paraId="6543F510">
            <w:pPr>
              <w:keepNext w:val="0"/>
              <w:keepLines w:val="0"/>
              <w:pageBreakBefore w:val="0"/>
              <w:widowControl w:val="0"/>
              <w:kinsoku/>
              <w:wordWrap/>
              <w:overflowPunct/>
              <w:topLinePunct w:val="0"/>
              <w:autoSpaceDE/>
              <w:autoSpaceDN/>
              <w:bidi w:val="0"/>
              <w:adjustRightInd/>
              <w:snapToGrid/>
              <w:spacing w:line="336" w:lineRule="auto"/>
              <w:ind w:firstLine="0" w:firstLineChars="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提供完善、详细的培训方案，包括培训对象、培训形式、培训内容、培训安排等内容。根据方案的全面性、具体性、适用性进行评分。</w:t>
            </w:r>
          </w:p>
          <w:p w14:paraId="4C7448A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0" w:firstLineChars="0"/>
              <w:textAlignment w:val="auto"/>
              <w:rPr>
                <w:rFonts w:hint="eastAsia" w:ascii="宋体" w:hAnsi="宋体" w:eastAsia="宋体" w:cs="宋体"/>
                <w:color w:val="auto"/>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lang w:val="en-US" w:eastAsia="zh-CN"/>
              </w:rPr>
              <w:t>方案全面合理，覆盖医共体内所有成员单位、方案内容具体、适用性强，可全面满足医共体成员实际培训需求</w:t>
            </w:r>
            <w:r>
              <w:rPr>
                <w:rFonts w:hint="eastAsia" w:ascii="宋体" w:hAnsi="宋体" w:cs="宋体"/>
                <w:color w:val="auto"/>
                <w:szCs w:val="21"/>
                <w:lang w:val="en-US" w:eastAsia="zh-CN"/>
              </w:rPr>
              <w:t>的，</w:t>
            </w:r>
            <w:r>
              <w:rPr>
                <w:rFonts w:hint="eastAsia" w:ascii="宋体" w:hAnsi="宋体" w:eastAsia="宋体" w:cs="宋体"/>
                <w:color w:val="auto"/>
                <w:szCs w:val="21"/>
                <w:lang w:val="en-US" w:eastAsia="zh-CN"/>
              </w:rPr>
              <w:t>得</w:t>
            </w:r>
            <w:r>
              <w:rPr>
                <w:rFonts w:hint="eastAsia" w:cs="宋体"/>
                <w:color w:val="auto"/>
                <w:szCs w:val="21"/>
                <w:lang w:val="en-US" w:eastAsia="zh-CN"/>
              </w:rPr>
              <w:t>6</w:t>
            </w:r>
            <w:r>
              <w:rPr>
                <w:rFonts w:hint="eastAsia" w:ascii="宋体" w:hAnsi="宋体" w:eastAsia="宋体" w:cs="宋体"/>
                <w:color w:val="auto"/>
                <w:szCs w:val="21"/>
                <w:lang w:val="en-US" w:eastAsia="zh-CN"/>
              </w:rPr>
              <w:t>分；</w:t>
            </w:r>
          </w:p>
          <w:p w14:paraId="6C7D8A2A">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eastAsia="宋体" w:cs="宋体"/>
                <w:color w:val="auto"/>
                <w:szCs w:val="21"/>
                <w:lang w:val="en-US" w:eastAsia="zh-CN"/>
              </w:rPr>
              <w:t>方案较为全面，有基本的培训计划，内容基本满足医共体项目的要求</w:t>
            </w:r>
            <w:r>
              <w:rPr>
                <w:rFonts w:hint="eastAsia" w:ascii="宋体" w:hAnsi="宋体" w:cs="宋体"/>
                <w:color w:val="auto"/>
                <w:szCs w:val="21"/>
                <w:lang w:val="en-US" w:eastAsia="zh-CN"/>
              </w:rPr>
              <w:t>的，</w:t>
            </w:r>
            <w:r>
              <w:rPr>
                <w:rFonts w:hint="eastAsia" w:ascii="宋体" w:hAnsi="宋体" w:eastAsia="宋体" w:cs="宋体"/>
                <w:color w:val="auto"/>
                <w:szCs w:val="21"/>
                <w:lang w:val="en-US" w:eastAsia="zh-CN"/>
              </w:rPr>
              <w:t>得</w:t>
            </w:r>
            <w:r>
              <w:rPr>
                <w:rFonts w:hint="eastAsia" w:cs="宋体"/>
                <w:color w:val="auto"/>
                <w:szCs w:val="21"/>
                <w:lang w:val="en-US" w:eastAsia="zh-CN"/>
              </w:rPr>
              <w:t>4</w:t>
            </w:r>
            <w:r>
              <w:rPr>
                <w:rFonts w:hint="eastAsia" w:ascii="宋体" w:hAnsi="宋体" w:eastAsia="宋体" w:cs="宋体"/>
                <w:color w:val="auto"/>
                <w:szCs w:val="21"/>
                <w:lang w:val="en-US" w:eastAsia="zh-CN"/>
              </w:rPr>
              <w:t>分；</w:t>
            </w:r>
          </w:p>
          <w:p w14:paraId="2076D3D7">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cs="宋体"/>
                <w:color w:val="auto"/>
                <w:szCs w:val="21"/>
                <w:lang w:val="en-US" w:eastAsia="zh-CN"/>
              </w:rPr>
            </w:pPr>
            <w:r>
              <w:rPr>
                <w:rFonts w:hint="eastAsia" w:ascii="宋体" w:hAnsi="宋体" w:eastAsia="宋体" w:cs="宋体"/>
                <w:color w:val="auto"/>
                <w:kern w:val="2"/>
                <w:sz w:val="21"/>
                <w:szCs w:val="21"/>
                <w:lang w:val="en-US" w:eastAsia="zh-CN" w:bidi="ar-SA"/>
              </w:rPr>
              <w:t>（</w:t>
            </w:r>
            <w:r>
              <w:rPr>
                <w:rFonts w:hint="eastAsia" w:ascii="宋体" w:hAnsi="宋体" w:cs="宋体"/>
                <w:color w:val="auto"/>
                <w:kern w:val="2"/>
                <w:sz w:val="21"/>
                <w:szCs w:val="21"/>
                <w:lang w:val="en-US" w:eastAsia="zh-CN" w:bidi="ar-SA"/>
              </w:rPr>
              <w:t>3</w:t>
            </w:r>
            <w:r>
              <w:rPr>
                <w:rFonts w:hint="eastAsia" w:ascii="宋体" w:hAnsi="宋体" w:eastAsia="宋体" w:cs="宋体"/>
                <w:color w:val="auto"/>
                <w:kern w:val="2"/>
                <w:sz w:val="21"/>
                <w:szCs w:val="21"/>
                <w:lang w:val="en-US" w:eastAsia="zh-CN" w:bidi="ar-SA"/>
              </w:rPr>
              <w:t>）</w:t>
            </w:r>
            <w:r>
              <w:rPr>
                <w:rFonts w:hint="eastAsia" w:ascii="宋体" w:hAnsi="宋体" w:eastAsia="宋体" w:cs="宋体"/>
                <w:color w:val="auto"/>
                <w:szCs w:val="21"/>
                <w:lang w:val="en-US" w:eastAsia="zh-CN"/>
              </w:rPr>
              <w:t>方案适用性差、不能满足医共体需求</w:t>
            </w:r>
            <w:r>
              <w:rPr>
                <w:rFonts w:hint="eastAsia" w:cs="宋体"/>
                <w:color w:val="auto"/>
                <w:szCs w:val="21"/>
                <w:lang w:val="en-US" w:eastAsia="zh-CN"/>
              </w:rPr>
              <w:t>的，得2分；</w:t>
            </w:r>
          </w:p>
          <w:p w14:paraId="15E32F13">
            <w:pPr>
              <w:keepNext w:val="0"/>
              <w:keepLines w:val="0"/>
              <w:pageBreakBefore w:val="0"/>
              <w:widowControl w:val="0"/>
              <w:kinsoku/>
              <w:wordWrap/>
              <w:overflowPunct/>
              <w:topLinePunct w:val="0"/>
              <w:autoSpaceDE/>
              <w:autoSpaceDN/>
              <w:bidi w:val="0"/>
              <w:adjustRightInd/>
              <w:snapToGrid w:val="0"/>
              <w:spacing w:line="336" w:lineRule="auto"/>
              <w:ind w:firstLine="241" w:firstLineChars="100"/>
              <w:jc w:val="both"/>
              <w:textAlignment w:val="auto"/>
              <w:rPr>
                <w:rFonts w:hint="eastAsia"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cs="宋体"/>
                <w:b/>
                <w:bCs/>
                <w:color w:val="000000" w:themeColor="text1"/>
                <w:szCs w:val="21"/>
                <w:lang w:val="en-US" w:eastAsia="zh-CN"/>
                <w14:textFill>
                  <w14:solidFill>
                    <w14:schemeClr w14:val="tx1"/>
                  </w14:solidFill>
                </w14:textFill>
              </w:rPr>
              <w:t>注：</w:t>
            </w:r>
            <w:r>
              <w:rPr>
                <w:rFonts w:hint="eastAsia" w:cs="宋体"/>
                <w:color w:val="auto"/>
                <w:szCs w:val="21"/>
                <w:lang w:val="en-US" w:eastAsia="zh-CN"/>
              </w:rPr>
              <w:t>未提</w:t>
            </w:r>
            <w:r>
              <w:rPr>
                <w:rFonts w:hint="eastAsia" w:ascii="宋体" w:hAnsi="宋体" w:eastAsia="宋体" w:cs="宋体"/>
                <w:color w:val="auto"/>
                <w:szCs w:val="21"/>
                <w:lang w:val="en-US" w:eastAsia="zh-CN"/>
              </w:rPr>
              <w:t>供</w:t>
            </w:r>
            <w:r>
              <w:rPr>
                <w:rFonts w:hint="eastAsia" w:cs="宋体"/>
                <w:color w:val="auto"/>
                <w:szCs w:val="21"/>
                <w:lang w:val="en-US" w:eastAsia="zh-CN"/>
              </w:rPr>
              <w:t>培训方案</w:t>
            </w:r>
            <w:r>
              <w:rPr>
                <w:rFonts w:hint="eastAsia" w:ascii="宋体" w:hAnsi="宋体" w:eastAsia="宋体" w:cs="宋体"/>
                <w:color w:val="auto"/>
                <w:szCs w:val="21"/>
                <w:lang w:val="en-US" w:eastAsia="zh-CN"/>
              </w:rPr>
              <w:t>不得分。</w:t>
            </w:r>
          </w:p>
        </w:tc>
      </w:tr>
      <w:tr w14:paraId="36E8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0" w:type="dxa"/>
            <w:vMerge w:val="continue"/>
            <w:vAlign w:val="center"/>
          </w:tcPr>
          <w:p w14:paraId="32A84801">
            <w:pPr>
              <w:pStyle w:val="54"/>
              <w:rPr>
                <w:rFonts w:hint="eastAsia"/>
                <w:color w:val="000000" w:themeColor="text1"/>
                <w14:textFill>
                  <w14:solidFill>
                    <w14:schemeClr w14:val="tx1"/>
                  </w14:solidFill>
                </w14:textFill>
              </w:rPr>
            </w:pPr>
          </w:p>
        </w:tc>
        <w:tc>
          <w:tcPr>
            <w:tcW w:w="1183" w:type="dxa"/>
            <w:vAlign w:val="center"/>
          </w:tcPr>
          <w:p w14:paraId="133E424F">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eastAsia="宋体" w:cs="宋体"/>
                <w:b/>
                <w:bCs/>
                <w:color w:val="auto"/>
                <w:szCs w:val="21"/>
                <w:lang w:val="en-US" w:eastAsia="zh-CN"/>
              </w:rPr>
              <w:t>售后服务方案评审</w:t>
            </w:r>
          </w:p>
        </w:tc>
        <w:tc>
          <w:tcPr>
            <w:tcW w:w="881" w:type="dxa"/>
            <w:vAlign w:val="center"/>
          </w:tcPr>
          <w:p w14:paraId="292181BB">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cstheme="minorBidi"/>
                <w:color w:val="000000" w:themeColor="text1"/>
                <w:kern w:val="2"/>
                <w:sz w:val="24"/>
                <w:szCs w:val="22"/>
                <w:lang w:val="en-US" w:eastAsia="zh-CN" w:bidi="ar-SA"/>
                <w14:textFill>
                  <w14:solidFill>
                    <w14:schemeClr w14:val="tx1"/>
                  </w14:solidFill>
                </w14:textFill>
              </w:rPr>
              <w:t>8分</w:t>
            </w:r>
          </w:p>
        </w:tc>
        <w:tc>
          <w:tcPr>
            <w:tcW w:w="4984" w:type="dxa"/>
            <w:vAlign w:val="center"/>
          </w:tcPr>
          <w:p w14:paraId="06C26231">
            <w:pPr>
              <w:keepNext w:val="0"/>
              <w:keepLines w:val="0"/>
              <w:pageBreakBefore w:val="0"/>
              <w:widowControl w:val="0"/>
              <w:kinsoku/>
              <w:wordWrap/>
              <w:overflowPunct/>
              <w:topLinePunct w:val="0"/>
              <w:autoSpaceDE/>
              <w:autoSpaceDN/>
              <w:bidi w:val="0"/>
              <w:adjustRightInd/>
              <w:snapToGrid w:val="0"/>
              <w:spacing w:line="336" w:lineRule="auto"/>
              <w:jc w:val="both"/>
              <w:textAlignment w:val="auto"/>
              <w:rPr>
                <w:rFonts w:hint="eastAsia"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eastAsia="宋体" w:cs="宋体"/>
                <w:bCs/>
                <w:color w:val="auto"/>
                <w:szCs w:val="21"/>
                <w:lang w:val="en-US" w:eastAsia="zh-CN"/>
              </w:rPr>
              <w:t>针对医共体项目具备完备的售后服务体系，提供售后服务方案包含有：售后服务期限、服务内容、服务方式、售后服务质量保证措施等。根据方案内容进行评分，方案全面合理，内容具体、适用性强，能针对医共体项目提供针对性的培训服务，可全面满足采购人的售后服务需求得</w:t>
            </w:r>
            <w:r>
              <w:rPr>
                <w:rFonts w:hint="eastAsia" w:cs="宋体"/>
                <w:bCs/>
                <w:color w:val="auto"/>
                <w:szCs w:val="21"/>
                <w:lang w:val="en-US" w:eastAsia="zh-CN"/>
              </w:rPr>
              <w:t>8</w:t>
            </w:r>
            <w:r>
              <w:rPr>
                <w:rFonts w:hint="eastAsia" w:ascii="宋体" w:hAnsi="宋体" w:eastAsia="宋体" w:cs="宋体"/>
                <w:bCs/>
                <w:color w:val="auto"/>
                <w:szCs w:val="21"/>
                <w:lang w:val="en-US" w:eastAsia="zh-CN"/>
              </w:rPr>
              <w:t>分；售后服务方案中每缺失一项的，扣</w:t>
            </w:r>
            <w:r>
              <w:rPr>
                <w:rFonts w:hint="eastAsia" w:cs="宋体"/>
                <w:bCs/>
                <w:color w:val="auto"/>
                <w:szCs w:val="21"/>
                <w:lang w:val="en-US" w:eastAsia="zh-CN"/>
              </w:rPr>
              <w:t>2</w:t>
            </w:r>
            <w:r>
              <w:rPr>
                <w:rFonts w:hint="eastAsia" w:ascii="宋体" w:hAnsi="宋体" w:eastAsia="宋体" w:cs="宋体"/>
                <w:bCs/>
                <w:color w:val="auto"/>
                <w:szCs w:val="21"/>
                <w:lang w:val="en-US" w:eastAsia="zh-CN"/>
              </w:rPr>
              <w:t>分；每有一项不完善或不符合项目实际情况的，扣</w:t>
            </w:r>
            <w:r>
              <w:rPr>
                <w:rFonts w:hint="eastAsia" w:cs="宋体"/>
                <w:bCs/>
                <w:color w:val="auto"/>
                <w:szCs w:val="21"/>
                <w:lang w:val="en-US" w:eastAsia="zh-CN"/>
              </w:rPr>
              <w:t>1</w:t>
            </w:r>
            <w:r>
              <w:rPr>
                <w:rFonts w:hint="eastAsia" w:ascii="宋体" w:hAnsi="宋体" w:eastAsia="宋体" w:cs="宋体"/>
                <w:bCs/>
                <w:color w:val="auto"/>
                <w:szCs w:val="21"/>
                <w:lang w:val="en-US" w:eastAsia="zh-CN"/>
              </w:rPr>
              <w:t>分。</w:t>
            </w:r>
          </w:p>
        </w:tc>
      </w:tr>
      <w:tr w14:paraId="3302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00" w:type="dxa"/>
            <w:vMerge w:val="restart"/>
            <w:vAlign w:val="center"/>
          </w:tcPr>
          <w:p w14:paraId="2C4AB70B">
            <w:pPr>
              <w:pStyle w:val="54"/>
              <w:jc w:val="cente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商务</w:t>
            </w:r>
            <w:r>
              <w:rPr>
                <w:rFonts w:hint="eastAsia"/>
                <w:color w:val="000000" w:themeColor="text1"/>
                <w:lang w:val="en-US" w:eastAsia="zh-CN"/>
                <w14:textFill>
                  <w14:solidFill>
                    <w14:schemeClr w14:val="tx1"/>
                  </w14:solidFill>
                </w14:textFill>
              </w:rPr>
              <w:t>部分评审（10分）</w:t>
            </w:r>
          </w:p>
        </w:tc>
        <w:tc>
          <w:tcPr>
            <w:tcW w:w="1183" w:type="dxa"/>
            <w:vAlign w:val="center"/>
          </w:tcPr>
          <w:p w14:paraId="424BF623">
            <w:pPr>
              <w:pStyle w:val="54"/>
              <w:spacing w:line="360" w:lineRule="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cs="宋体"/>
                <w:b/>
                <w:bCs/>
                <w:color w:val="auto"/>
                <w:szCs w:val="21"/>
                <w:lang w:val="en-US" w:eastAsia="zh-CN"/>
              </w:rPr>
              <w:t>拟派服务团队</w:t>
            </w:r>
            <w:r>
              <w:rPr>
                <w:rFonts w:hint="eastAsia" w:cs="宋体"/>
                <w:b/>
                <w:bCs/>
                <w:color w:val="auto"/>
                <w:szCs w:val="21"/>
                <w:lang w:val="en-US" w:eastAsia="zh-CN"/>
              </w:rPr>
              <w:t>评审</w:t>
            </w:r>
          </w:p>
        </w:tc>
        <w:tc>
          <w:tcPr>
            <w:tcW w:w="881" w:type="dxa"/>
            <w:vAlign w:val="center"/>
          </w:tcPr>
          <w:p w14:paraId="04647DC3">
            <w:pPr>
              <w:pStyle w:val="54"/>
              <w:spacing w:line="360" w:lineRule="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cstheme="minorBidi"/>
                <w:color w:val="000000" w:themeColor="text1"/>
                <w:kern w:val="2"/>
                <w:sz w:val="24"/>
                <w:szCs w:val="22"/>
                <w:lang w:val="en-US" w:eastAsia="zh-CN" w:bidi="ar-SA"/>
                <w14:textFill>
                  <w14:solidFill>
                    <w14:schemeClr w14:val="tx1"/>
                  </w14:solidFill>
                </w14:textFill>
              </w:rPr>
              <w:t>8分</w:t>
            </w:r>
          </w:p>
        </w:tc>
        <w:tc>
          <w:tcPr>
            <w:tcW w:w="4984" w:type="dxa"/>
            <w:vAlign w:val="center"/>
          </w:tcPr>
          <w:p w14:paraId="079CE584">
            <w:pPr>
              <w:pStyle w:val="54"/>
              <w:spacing w:line="360" w:lineRule="auto"/>
              <w:rPr>
                <w:rFonts w:hint="eastAsia"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auto"/>
                <w:szCs w:val="21"/>
                <w:lang w:val="en-US" w:eastAsia="zh-CN"/>
              </w:rPr>
              <w:t>1、项目负责人具有系统集成项目管理工程师(中级或以上)、信息通信工程/信息通信网络工程(中级或以上)，同时持有2个证书，得2分，每持有1个证书得1分。</w:t>
            </w:r>
            <w:r>
              <w:rPr>
                <w:rFonts w:hint="eastAsia" w:ascii="宋体" w:hAnsi="宋体" w:eastAsia="宋体" w:cs="宋体"/>
                <w:color w:val="auto"/>
                <w:szCs w:val="21"/>
                <w:lang w:val="en-US" w:eastAsia="zh-CN"/>
              </w:rPr>
              <w:br w:type="textWrapping"/>
            </w:r>
            <w:r>
              <w:rPr>
                <w:rFonts w:hint="eastAsia" w:ascii="宋体" w:hAnsi="宋体" w:eastAsia="宋体" w:cs="宋体"/>
                <w:color w:val="auto"/>
                <w:szCs w:val="21"/>
                <w:lang w:val="en-US" w:eastAsia="zh-CN"/>
              </w:rPr>
              <w:t>2、服务团队成员除项目负责人外不少于8人，其中技术负责人需具备软件工程师证书（高级），售后工程师需具备注册信息安全专业人员认证证书（CISP）；技术负责人满足要求得2分，售后工程师满足要求得2分，除项目负责人外团队人员大于等于8人得</w:t>
            </w:r>
            <w:r>
              <w:rPr>
                <w:rFonts w:hint="eastAsia" w:cs="宋体"/>
                <w:color w:val="auto"/>
                <w:szCs w:val="21"/>
                <w:lang w:val="en-US" w:eastAsia="zh-CN"/>
              </w:rPr>
              <w:t>2</w:t>
            </w:r>
            <w:r>
              <w:rPr>
                <w:rFonts w:hint="eastAsia" w:ascii="宋体" w:hAnsi="宋体" w:eastAsia="宋体" w:cs="宋体"/>
                <w:color w:val="auto"/>
                <w:szCs w:val="21"/>
                <w:lang w:val="en-US" w:eastAsia="zh-CN"/>
              </w:rPr>
              <w:t>分。</w:t>
            </w:r>
          </w:p>
        </w:tc>
      </w:tr>
      <w:tr w14:paraId="7422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Merge w:val="continue"/>
            <w:vAlign w:val="center"/>
          </w:tcPr>
          <w:p w14:paraId="6410DCE4">
            <w:pPr>
              <w:pStyle w:val="54"/>
              <w:jc w:val="center"/>
              <w:rPr>
                <w:rFonts w:hint="eastAsia"/>
                <w:color w:val="000000" w:themeColor="text1"/>
                <w14:textFill>
                  <w14:solidFill>
                    <w14:schemeClr w14:val="tx1"/>
                  </w14:solidFill>
                </w14:textFill>
              </w:rPr>
            </w:pPr>
          </w:p>
        </w:tc>
        <w:tc>
          <w:tcPr>
            <w:tcW w:w="1183" w:type="dxa"/>
            <w:tcBorders>
              <w:top w:val="single" w:color="auto" w:sz="4" w:space="0"/>
            </w:tcBorders>
            <w:vAlign w:val="center"/>
          </w:tcPr>
          <w:p w14:paraId="50B9D338">
            <w:pPr>
              <w:pStyle w:val="54"/>
              <w:spacing w:line="360" w:lineRule="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eastAsia="宋体" w:cs="宋体"/>
                <w:b/>
                <w:bCs/>
                <w:color w:val="auto"/>
                <w:kern w:val="2"/>
                <w:sz w:val="21"/>
                <w:szCs w:val="21"/>
                <w:lang w:val="en-US" w:eastAsia="zh-CN" w:bidi="ar-SA"/>
              </w:rPr>
              <w:t>类似项目</w:t>
            </w:r>
            <w:r>
              <w:rPr>
                <w:rFonts w:hint="eastAsia" w:cs="宋体"/>
                <w:b/>
                <w:bCs/>
                <w:color w:val="auto"/>
                <w:kern w:val="2"/>
                <w:sz w:val="21"/>
                <w:szCs w:val="21"/>
                <w:lang w:val="en-US" w:eastAsia="zh-CN" w:bidi="ar-SA"/>
              </w:rPr>
              <w:t>评审</w:t>
            </w:r>
          </w:p>
        </w:tc>
        <w:tc>
          <w:tcPr>
            <w:tcW w:w="881" w:type="dxa"/>
            <w:vAlign w:val="center"/>
          </w:tcPr>
          <w:p w14:paraId="220D31E9">
            <w:pPr>
              <w:pStyle w:val="54"/>
              <w:spacing w:line="360" w:lineRule="auto"/>
              <w:rPr>
                <w:rFonts w:hint="default"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cstheme="minorBidi"/>
                <w:color w:val="000000" w:themeColor="text1"/>
                <w:kern w:val="2"/>
                <w:sz w:val="24"/>
                <w:szCs w:val="22"/>
                <w:lang w:val="en-US" w:eastAsia="zh-CN" w:bidi="ar-SA"/>
                <w14:textFill>
                  <w14:solidFill>
                    <w14:schemeClr w14:val="tx1"/>
                  </w14:solidFill>
                </w14:textFill>
              </w:rPr>
              <w:t>2分</w:t>
            </w:r>
          </w:p>
        </w:tc>
        <w:tc>
          <w:tcPr>
            <w:tcW w:w="4984" w:type="dxa"/>
            <w:vAlign w:val="center"/>
          </w:tcPr>
          <w:p w14:paraId="50E350E1">
            <w:pPr>
              <w:pStyle w:val="54"/>
              <w:spacing w:line="360" w:lineRule="auto"/>
              <w:rPr>
                <w:rFonts w:hint="eastAsia"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cs="宋体"/>
                <w:bCs/>
                <w:lang w:val="en-US" w:eastAsia="zh-CN"/>
              </w:rPr>
              <w:t>投标</w:t>
            </w:r>
            <w:r>
              <w:rPr>
                <w:rFonts w:hint="eastAsia" w:ascii="宋体" w:hAnsi="宋体" w:cs="宋体"/>
                <w:bCs/>
              </w:rPr>
              <w:t>供应商自202</w:t>
            </w:r>
            <w:r>
              <w:rPr>
                <w:rFonts w:hint="eastAsia" w:cs="宋体"/>
                <w:bCs/>
                <w:lang w:val="en-US" w:eastAsia="zh-CN"/>
              </w:rPr>
              <w:t>3</w:t>
            </w:r>
            <w:r>
              <w:rPr>
                <w:rFonts w:hint="eastAsia" w:ascii="宋体" w:hAnsi="宋体" w:cs="宋体"/>
                <w:bCs/>
              </w:rPr>
              <w:t>年</w:t>
            </w:r>
            <w:r>
              <w:rPr>
                <w:rFonts w:hint="eastAsia" w:cs="宋体"/>
                <w:bCs/>
                <w:lang w:val="en-US" w:eastAsia="zh-CN"/>
              </w:rPr>
              <w:t>6</w:t>
            </w:r>
            <w:r>
              <w:rPr>
                <w:rFonts w:hint="eastAsia" w:ascii="宋体" w:hAnsi="宋体" w:cs="宋体"/>
                <w:bCs/>
              </w:rPr>
              <w:t>月以来，具有类似项目案例，</w:t>
            </w:r>
            <w:r>
              <w:rPr>
                <w:rFonts w:hint="eastAsia" w:ascii="宋体" w:hAnsi="宋体" w:cs="宋体"/>
                <w:bCs/>
                <w:lang w:eastAsia="zh-Hans"/>
              </w:rPr>
              <w:t>每个</w:t>
            </w:r>
            <w:r>
              <w:rPr>
                <w:rFonts w:hint="eastAsia" w:ascii="宋体" w:hAnsi="宋体" w:cs="宋体"/>
                <w:bCs/>
              </w:rPr>
              <w:t>有效业绩得1分，</w:t>
            </w:r>
            <w:r>
              <w:rPr>
                <w:rFonts w:hint="eastAsia" w:ascii="宋体" w:hAnsi="宋体" w:cs="宋体"/>
                <w:bCs/>
                <w:lang w:eastAsia="zh-Hans"/>
              </w:rPr>
              <w:t>满分</w:t>
            </w:r>
            <w:r>
              <w:rPr>
                <w:rFonts w:hint="eastAsia" w:cs="宋体"/>
                <w:bCs/>
                <w:lang w:val="en-US" w:eastAsia="zh-CN"/>
              </w:rPr>
              <w:t>2</w:t>
            </w:r>
            <w:r>
              <w:rPr>
                <w:rFonts w:hint="eastAsia" w:ascii="宋体" w:hAnsi="宋体" w:cs="宋体"/>
                <w:bCs/>
              </w:rPr>
              <w:t>分。（提供合同或者中标/成交通知书复印件，并提供项目验收单，否则不得分）</w:t>
            </w:r>
            <w:r>
              <w:rPr>
                <w:rFonts w:hint="eastAsia" w:ascii="宋体" w:hAnsi="宋体" w:cs="宋体"/>
                <w:bCs/>
                <w:lang w:eastAsia="zh-CN"/>
              </w:rPr>
              <w:t>。</w:t>
            </w:r>
          </w:p>
        </w:tc>
      </w:tr>
      <w:tr w14:paraId="4C27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3" w:type="dxa"/>
            <w:gridSpan w:val="2"/>
            <w:shd w:val="clear" w:color="auto" w:fill="auto"/>
            <w:vAlign w:val="center"/>
          </w:tcPr>
          <w:p w14:paraId="10B94082">
            <w:pPr>
              <w:pStyle w:val="54"/>
              <w:spacing w:line="360" w:lineRule="auto"/>
              <w:rPr>
                <w:rFonts w:hint="eastAsia"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t>合计</w:t>
            </w:r>
          </w:p>
        </w:tc>
        <w:tc>
          <w:tcPr>
            <w:tcW w:w="881" w:type="dxa"/>
            <w:tcBorders>
              <w:bottom w:val="single" w:color="auto" w:sz="4" w:space="0"/>
            </w:tcBorders>
            <w:shd w:val="clear" w:color="auto" w:fill="auto"/>
            <w:vAlign w:val="center"/>
          </w:tcPr>
          <w:p w14:paraId="589C9B8E">
            <w:pPr>
              <w:pStyle w:val="54"/>
              <w:spacing w:line="360" w:lineRule="auto"/>
              <w:rPr>
                <w:rFonts w:hint="eastAsia" w:ascii="宋体" w:hAnsi="宋体" w:eastAsia="宋体" w:cstheme="minorBidi"/>
                <w:color w:val="000000" w:themeColor="text1"/>
                <w:kern w:val="2"/>
                <w:sz w:val="24"/>
                <w:szCs w:val="22"/>
                <w:lang w:val="en-US" w:eastAsia="zh-CN" w:bidi="ar-SA"/>
                <w14:textFill>
                  <w14:solidFill>
                    <w14:schemeClr w14:val="tx1"/>
                  </w14:solidFill>
                </w14:textFill>
              </w:rPr>
            </w:pP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fldChar w:fldCharType="begin"/>
            </w: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instrText xml:space="preserve"> =SUM(ABOVE) </w:instrText>
            </w: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fldChar w:fldCharType="separate"/>
            </w: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t>100</w:t>
            </w: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fldChar w:fldCharType="end"/>
            </w:r>
            <w:r>
              <w:rPr>
                <w:rFonts w:hint="eastAsia" w:ascii="宋体" w:hAnsi="宋体" w:eastAsia="宋体" w:cstheme="minorBidi"/>
                <w:color w:val="000000" w:themeColor="text1"/>
                <w:kern w:val="2"/>
                <w:sz w:val="24"/>
                <w:szCs w:val="22"/>
                <w:lang w:val="en-US" w:eastAsia="zh-CN" w:bidi="ar-SA"/>
                <w14:textFill>
                  <w14:solidFill>
                    <w14:schemeClr w14:val="tx1"/>
                  </w14:solidFill>
                </w14:textFill>
              </w:rPr>
              <w:t>分</w:t>
            </w:r>
          </w:p>
        </w:tc>
        <w:tc>
          <w:tcPr>
            <w:tcW w:w="4984" w:type="dxa"/>
            <w:tcBorders>
              <w:bottom w:val="single" w:color="auto" w:sz="4" w:space="0"/>
            </w:tcBorders>
            <w:shd w:val="clear" w:color="auto" w:fill="auto"/>
            <w:vAlign w:val="center"/>
          </w:tcPr>
          <w:p w14:paraId="7C64E1DA">
            <w:pPr>
              <w:pStyle w:val="54"/>
              <w:spacing w:line="360" w:lineRule="auto"/>
              <w:rPr>
                <w:rFonts w:hint="eastAsia" w:ascii="宋体" w:hAnsi="宋体" w:eastAsia="宋体" w:cstheme="minorBidi"/>
                <w:color w:val="000000" w:themeColor="text1"/>
                <w:kern w:val="2"/>
                <w:sz w:val="24"/>
                <w:szCs w:val="22"/>
                <w:lang w:val="en-US" w:eastAsia="zh-CN" w:bidi="ar-SA"/>
                <w14:textFill>
                  <w14:solidFill>
                    <w14:schemeClr w14:val="tx1"/>
                  </w14:solidFill>
                </w14:textFill>
              </w:rPr>
            </w:pPr>
          </w:p>
        </w:tc>
      </w:tr>
    </w:tbl>
    <w:p w14:paraId="425243A7">
      <w:pPr>
        <w:rPr>
          <w:rFonts w:hint="eastAsia"/>
          <w:color w:val="000000" w:themeColor="text1"/>
          <w:lang w:val="zh-CN"/>
          <w14:textFill>
            <w14:solidFill>
              <w14:schemeClr w14:val="tx1"/>
            </w14:solidFill>
          </w14:textFill>
        </w:rPr>
      </w:pPr>
    </w:p>
    <w:p w14:paraId="532E96A0">
      <w:pPr>
        <w:rPr>
          <w:rFonts w:hint="eastAsia"/>
          <w:color w:val="000000" w:themeColor="text1"/>
          <w:lang w:val="zh-CN"/>
          <w14:textFill>
            <w14:solidFill>
              <w14:schemeClr w14:val="tx1"/>
            </w14:solidFill>
          </w14:textFill>
        </w:rPr>
        <w:sectPr>
          <w:pgSz w:w="11906" w:h="16838"/>
          <w:pgMar w:top="1440" w:right="1800" w:bottom="1440" w:left="1800" w:header="851" w:footer="992" w:gutter="0"/>
          <w:pgNumType w:fmt="numberInDash"/>
          <w:cols w:space="425" w:num="1"/>
          <w:docGrid w:type="lines" w:linePitch="312" w:charSpace="0"/>
        </w:sectPr>
      </w:pPr>
    </w:p>
    <w:p w14:paraId="0421D93F">
      <w:pPr>
        <w:pStyle w:val="3"/>
        <w:numPr>
          <w:ilvl w:val="0"/>
          <w:numId w:val="0"/>
        </w:numPr>
        <w:spacing w:line="240" w:lineRule="auto"/>
        <w:ind w:leftChars="0"/>
        <w:jc w:val="center"/>
        <w:rPr>
          <w:rFonts w:hint="eastAsia" w:cs="宋体"/>
          <w:color w:val="000000" w:themeColor="text1"/>
          <w14:textFill>
            <w14:solidFill>
              <w14:schemeClr w14:val="tx1"/>
            </w14:solidFill>
          </w14:textFill>
        </w:rPr>
      </w:pPr>
      <w:bookmarkStart w:id="405" w:name="_Toc155185918"/>
      <w:bookmarkStart w:id="406" w:name="_Toc3096"/>
      <w:r>
        <w:rPr>
          <w:rFonts w:hint="eastAsia"/>
          <w:color w:val="000000" w:themeColor="text1"/>
          <w:lang w:val="en-US" w:eastAsia="zh-CN"/>
          <w14:textFill>
            <w14:solidFill>
              <w14:schemeClr w14:val="tx1"/>
            </w14:solidFill>
          </w14:textFill>
        </w:rPr>
        <w:t>第六章</w:t>
      </w:r>
      <w:bookmarkEnd w:id="405"/>
      <w:bookmarkStart w:id="407" w:name="_Toc10743"/>
      <w:bookmarkStart w:id="408" w:name="_Toc1094"/>
      <w:bookmarkStart w:id="409" w:name="_Toc171502659"/>
      <w:r>
        <w:rPr>
          <w:rFonts w:hint="eastAsia"/>
          <w:color w:val="000000" w:themeColor="text1"/>
          <w:lang w:val="en-US" w:eastAsia="zh-CN"/>
          <w14:textFill>
            <w14:solidFill>
              <w14:schemeClr w14:val="tx1"/>
            </w14:solidFill>
          </w14:textFill>
        </w:rPr>
        <w:t xml:space="preserve">   </w:t>
      </w:r>
      <w:r>
        <w:rPr>
          <w:rFonts w:hint="eastAsia" w:cs="宋体"/>
          <w:color w:val="000000" w:themeColor="text1"/>
          <w14:textFill>
            <w14:solidFill>
              <w14:schemeClr w14:val="tx1"/>
            </w14:solidFill>
          </w14:textFill>
        </w:rPr>
        <w:t>合同主要条款及合同格式</w:t>
      </w:r>
      <w:bookmarkEnd w:id="406"/>
      <w:bookmarkEnd w:id="407"/>
      <w:bookmarkEnd w:id="408"/>
      <w:bookmarkEnd w:id="409"/>
    </w:p>
    <w:p w14:paraId="176160FB">
      <w:pPr>
        <w:pStyle w:val="70"/>
        <w:numPr>
          <w:ilvl w:val="0"/>
          <w:numId w:val="0"/>
        </w:numPr>
        <w:spacing w:line="240" w:lineRule="auto"/>
        <w:jc w:val="center"/>
        <w:outlineLvl w:val="9"/>
        <w:rPr>
          <w:rFonts w:hint="eastAsia" w:ascii="宋体" w:hAnsi="宋体" w:cs="宋体"/>
          <w:color w:val="000000" w:themeColor="text1"/>
          <w:sz w:val="24"/>
          <w:szCs w:val="24"/>
          <w14:textFill>
            <w14:solidFill>
              <w14:schemeClr w14:val="tx1"/>
            </w14:solidFill>
          </w14:textFill>
        </w:rPr>
      </w:pPr>
      <w:bookmarkStart w:id="410" w:name="_Toc25921"/>
      <w:bookmarkStart w:id="411" w:name="_Toc18182"/>
      <w:bookmarkStart w:id="412" w:name="_Toc22098"/>
      <w:bookmarkStart w:id="413" w:name="_Toc31814"/>
      <w:bookmarkStart w:id="414" w:name="_Toc17729981"/>
      <w:bookmarkStart w:id="415" w:name="_Toc29944"/>
      <w:bookmarkStart w:id="416" w:name="_Toc17671"/>
      <w:bookmarkStart w:id="417" w:name="_Toc516649693"/>
      <w:bookmarkStart w:id="418" w:name="_Toc479263714"/>
      <w:bookmarkStart w:id="419" w:name="_Toc477504194"/>
      <w:bookmarkStart w:id="420" w:name="_Toc16297"/>
      <w:bookmarkStart w:id="421" w:name="_Toc516488154"/>
      <w:bookmarkStart w:id="422" w:name="_Toc15910"/>
      <w:bookmarkStart w:id="423" w:name="_Toc11837"/>
      <w:r>
        <w:rPr>
          <w:rFonts w:hint="eastAsia" w:ascii="宋体" w:hAnsi="宋体" w:cs="宋体"/>
          <w:bCs w:val="0"/>
          <w:color w:val="000000" w:themeColor="text1"/>
          <w:sz w:val="24"/>
          <w:szCs w:val="24"/>
          <w14:textFill>
            <w14:solidFill>
              <w14:schemeClr w14:val="tx1"/>
            </w14:solidFill>
          </w14:textFill>
        </w:rPr>
        <w:t>（本合同仅供参考，最终以甲乙双方签订的合同为准）</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835BC9C">
      <w:pPr>
        <w:spacing w:before="240" w:beforeLines="100" w:after="240" w:afterLines="100" w:line="360" w:lineRule="auto"/>
        <w:jc w:val="center"/>
        <w:rPr>
          <w:rFonts w:hint="eastAsia" w:ascii="仿宋" w:hAnsi="仿宋" w:eastAsia="仿宋" w:cs="仿宋"/>
          <w:b/>
          <w:color w:val="auto"/>
          <w:sz w:val="44"/>
          <w:szCs w:val="44"/>
        </w:rPr>
      </w:pPr>
      <w:r>
        <w:rPr>
          <w:rFonts w:hint="eastAsia" w:ascii="仿宋" w:hAnsi="仿宋" w:eastAsia="仿宋" w:cs="仿宋"/>
          <w:b/>
          <w:color w:val="auto"/>
          <w:sz w:val="44"/>
          <w:szCs w:val="44"/>
        </w:rPr>
        <w:t>政府采购合同条款</w:t>
      </w:r>
    </w:p>
    <w:p w14:paraId="1F26B3AB">
      <w:pPr>
        <w:numPr>
          <w:ilvl w:val="0"/>
          <w:numId w:val="24"/>
        </w:numPr>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术语定义</w:t>
      </w:r>
    </w:p>
    <w:p w14:paraId="3FB983A6">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本政府采购合同下列术语应解释为：</w:t>
      </w:r>
    </w:p>
    <w:p w14:paraId="078D4F1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1“政府采购合同”指供需双方依照政府采购程序、按照招标文件、投标文件确定的事项所达成的协议，包括附件、附录和上述文件所提到的构成政府采购合同的所有文件。</w:t>
      </w:r>
    </w:p>
    <w:p w14:paraId="6E51F44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2 “政府采购合同价”指根据合同约定供方在正确地完全履行政府采购合同义务后需方应支付给供方的价格。</w:t>
      </w:r>
    </w:p>
    <w:p w14:paraId="2ED4499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3 “服务”指政府采购合同服务清单（同投标文件中开标一览表及其附表，下同）所约定的服务内容。</w:t>
      </w:r>
    </w:p>
    <w:p w14:paraId="43B166B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5 “需方”指项目基本内容及要求中所述取得产品和服务的采购单位。</w:t>
      </w:r>
    </w:p>
    <w:p w14:paraId="2DDA0C1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6 “供方”指项目基本内容及要求中所述提供产品和服务的中标供应商。</w:t>
      </w:r>
    </w:p>
    <w:p w14:paraId="61520DB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7 “检验”指需方按照政府采购合同约定的标准对供方所提供服务进行的检测和查验。</w:t>
      </w:r>
    </w:p>
    <w:p w14:paraId="6961E10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8 “验收书”指采购单位或采购代理机构根据合同履约验收意见书形成反映采购单位和组织验收机构意见的文件。</w:t>
      </w:r>
    </w:p>
    <w:p w14:paraId="05D71E6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1.9“天”指日历天数（如无特别说明）。</w:t>
      </w:r>
    </w:p>
    <w:p w14:paraId="4C6A04B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10“第三人”是指本政府采购合同双方以外的任何中国境内外的自然人、法人或其它经济组织。</w:t>
      </w:r>
    </w:p>
    <w:p w14:paraId="47633D2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11“法律、法规”是指由中国各级政府及有关部门制定的法律、行政法规、地方性法规、规章及其它规范性文件的有关规定。</w:t>
      </w:r>
    </w:p>
    <w:p w14:paraId="51C47E7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12“招标文件”指采购人或采购代理机构发布的招标文件。</w:t>
      </w:r>
    </w:p>
    <w:p w14:paraId="48EAFB3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13“投标文件”指供方按照采购代理机构招标文件的要求编制和递交，并最终被评标委员会接受的投标文件。</w:t>
      </w:r>
    </w:p>
    <w:p w14:paraId="454D3C00">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2.技术规范与服务内容</w:t>
      </w:r>
    </w:p>
    <w:p w14:paraId="00F73A26">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2.1投标服务的技术规范应与招标文件规定的技术规范（如果有的话）相一致。若无相应说明，则以国家有关部门最新颁布的相应标准及规范为准。</w:t>
      </w:r>
    </w:p>
    <w:p w14:paraId="3419E2E4">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2.2 投标服务的服务内容应与招标文件规定服务内容及投标文件中的项目要求及投标响应表一致。</w:t>
      </w:r>
    </w:p>
    <w:p w14:paraId="50A76F0E">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3.知识产权</w:t>
      </w:r>
    </w:p>
    <w:p w14:paraId="4960B69B">
      <w:pPr>
        <w:spacing w:line="360" w:lineRule="auto"/>
        <w:ind w:firstLine="470" w:firstLineChars="196"/>
        <w:jc w:val="left"/>
        <w:rPr>
          <w:rFonts w:hint="eastAsia" w:ascii="宋体" w:hAnsi="宋体" w:eastAsia="宋体" w:cs="宋体"/>
          <w:color w:val="auto"/>
          <w:sz w:val="24"/>
          <w:szCs w:val="24"/>
        </w:rPr>
      </w:pPr>
      <w:r>
        <w:rPr>
          <w:rFonts w:hint="eastAsia" w:ascii="宋体" w:hAnsi="宋体" w:eastAsia="宋体" w:cs="宋体"/>
          <w:color w:val="auto"/>
          <w:sz w:val="24"/>
          <w:szCs w:val="24"/>
        </w:rPr>
        <w:t>3.1供方应保证需方在使用本政府采购合同项下的服务或其任何一部分时免受第三方提出侵犯其知识产权、商标权或工业设计权的起诉。如果发生此类问题，供方负责交涉、处理并承担由此引起的全部法律及经济责任。</w:t>
      </w:r>
    </w:p>
    <w:p w14:paraId="4B6D5038">
      <w:pPr>
        <w:spacing w:line="360" w:lineRule="auto"/>
        <w:ind w:firstLine="470" w:firstLineChars="196"/>
        <w:jc w:val="left"/>
        <w:rPr>
          <w:rFonts w:hint="eastAsia" w:ascii="宋体" w:hAnsi="宋体" w:eastAsia="宋体" w:cs="宋体"/>
          <w:color w:val="auto"/>
          <w:sz w:val="24"/>
          <w:szCs w:val="24"/>
        </w:rPr>
      </w:pPr>
      <w:r>
        <w:rPr>
          <w:rFonts w:hint="eastAsia" w:ascii="宋体" w:hAnsi="宋体" w:eastAsia="宋体" w:cs="宋体"/>
          <w:color w:val="auto"/>
          <w:sz w:val="24"/>
          <w:szCs w:val="24"/>
        </w:rPr>
        <w:t>3.2供方应保证所供服务符合国家的有关规定。</w:t>
      </w:r>
    </w:p>
    <w:p w14:paraId="39D1CFE7">
      <w:pPr>
        <w:tabs>
          <w:tab w:val="left" w:pos="360"/>
        </w:tabs>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3.3供方保证，供方依据本政府采购合同提供的服务及相关的软件和技术资料，供方均已得到有关知识产权的权利人的合法授权，如发生涉及到专利权、著作权、商标权等争议，供方负责交涉、处理，并承担由此引起的全部法律及经济责任。</w:t>
      </w:r>
    </w:p>
    <w:p w14:paraId="3E691293">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4.完成方式</w:t>
      </w:r>
    </w:p>
    <w:p w14:paraId="45D0FD99">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供方按照合同约定的时间、地点完成服务。</w:t>
      </w:r>
    </w:p>
    <w:p w14:paraId="14C13BAB">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5.付款</w:t>
      </w:r>
    </w:p>
    <w:p w14:paraId="7491948D">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5.1政府采购合同以人民币付款。</w:t>
      </w:r>
    </w:p>
    <w:p w14:paraId="07C40419">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5.2在供方按照政府采购合同的规定履行服务后，需方按照合同约定的方式和条件付款。</w:t>
      </w:r>
    </w:p>
    <w:p w14:paraId="79EE8351">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6.服务质量</w:t>
      </w:r>
    </w:p>
    <w:p w14:paraId="30A15B2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6.1供方应保证政府采购合同项下所供服务是由供方提供的，并完全符合强制性的国家技术质量规范和政府采购合同规定的质量、性能和技术规范等要求。</w:t>
      </w:r>
    </w:p>
    <w:p w14:paraId="6C8AA02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6.2供方提供的服务质量应满足行业一般标准，符合合同约定。</w:t>
      </w:r>
    </w:p>
    <w:p w14:paraId="6498EE8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6.3需方有权对供方的服务质量进行监督，发现服务存在不符合合同标准的情形的，可以要求供方改正服务方式、替换服务人员等补救方式，供方应按需方要求改正，并赔偿需方实际损失。</w:t>
      </w:r>
    </w:p>
    <w:p w14:paraId="112B188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6.4对于委托开发等最终以产品形式交付需方使用的服务，供方需按照招标文件要求对产品提供售后服务及质量保证，供方投标文件承诺的售后服务及质量保证优于招标文件要求的，以投标文件承诺的售后服务及质量保证为准。</w:t>
      </w:r>
    </w:p>
    <w:p w14:paraId="73F207FE">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7.技术服务和保修责任</w:t>
      </w:r>
    </w:p>
    <w:p w14:paraId="68B4FAE3">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7.1本条适用于委托开发等最终以产品形式交付需方使用的服务。</w:t>
      </w:r>
    </w:p>
    <w:p w14:paraId="461BEDE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7.2供方对交付的产品的保修期，以招标文件中的规定为准，如果投标文件中的承诺优于招标文件规定，则以投标文件为准。</w:t>
      </w:r>
    </w:p>
    <w:p w14:paraId="5A14DDBA">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7.3供方应按如下内容提供售后服务：</w:t>
      </w:r>
    </w:p>
    <w:p w14:paraId="274451CC">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7.3.1产品经过试运行期，所有性能指标达到技术规范书的要求时，可按招标文件、投标文件内容进行初验。在试运行期间，由于产品质量等造成某些指标达不到要求，供方须更换或进行修复，试运行期重新计算。</w:t>
      </w:r>
    </w:p>
    <w:p w14:paraId="4026DB4E">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7.3.2初验后，设备再次经过试运行期，所有性能指标达到技术规范书的要求时，可按合同招标文件、投标文件内容进行下一步验收工作，进行终验。全部达到要求时，有关方按财政部和省财政厅关于履约验收规定签署最终验收文件。</w:t>
      </w:r>
    </w:p>
    <w:p w14:paraId="59C79F4A">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7.3.3保修期间供方要保修除消耗品以外的所有产品。如果系统、设备等发生故障，供方要调查故障原因并修复直至满足最终验收指标和性能的要求，或者修理、更换整个或部分有缺陷的材料。</w:t>
      </w:r>
    </w:p>
    <w:p w14:paraId="113464BF">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7.3.4保修期内，供方提供电话、电子邮件、Web、现场服务等方式的技术支持，对用户的现场服务要求，供方必须按投标文件做出的承诺进行响应。</w:t>
      </w:r>
    </w:p>
    <w:p w14:paraId="1360225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7.3.5保修期内，供方应对出现故障无法修复的产品或无法正常运行的系统，提供替代产品以保证系统的正常工作。</w:t>
      </w:r>
    </w:p>
    <w:p w14:paraId="74F45ECB">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7.3.6保修期内，供方应投标时的承诺提供相关服务。</w:t>
      </w:r>
    </w:p>
    <w:p w14:paraId="3CF0C0D8">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7.3.7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0524D5CC">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7.3.8在保修期结束后，产品寿命期内供方必须继续提供对产品备件、故障处理、软件升级等的服务，不得以任何借口拖延或中断对产品的售后服务，响应时间、取费标准按招标文件、投标文件规定或本合同约定的保修期内的相关标准执行。</w:t>
      </w:r>
    </w:p>
    <w:p w14:paraId="6AF82863">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7.3.9如果供方提供货物出现质量问题，经需方通知，供方未按时回应、借故推脱、无理由拒绝需方提出的维修、更换服务请求，或者未按照约定期限履行维修、更换义务，需方有权另行委托第三方进行维修，由此产生的维修和备件费用，由供方承担。 需方有权对维修或更换服务以实际发生的费用或按市场价从尚未支付的政府采购合同价款中扣除。如果这些金额不足以补偿，需方有权向供方提出不足部分的赔偿要求。货物经维修或更换后仍无法达到约定质量要求和技术标准，需方有权退货并向供方索赔。</w:t>
      </w:r>
    </w:p>
    <w:p w14:paraId="497B860C">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7.3.10如果供方所提供货物发生质量责任事故，从而导致需方或者第三方发生损失或者需方被第三方索赔或者需方遭受处罚，经质量技术监督部门或其他机构认定事故为货物存在质量问题导致，则应由供方承担由此造成的一切责任，包括但不限于：赔偿需方或第三方直接或者间接的损失，赔偿需方因事故支付给第三方的赔偿金额，赔偿需方因处理事故所花费的合理费用，赔付需方因事故责任产生的罚款或其他费用。本条款在质保期及合同期届满后持续有效。</w:t>
      </w:r>
    </w:p>
    <w:p w14:paraId="62CB1877">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8.检验和验收</w:t>
      </w:r>
    </w:p>
    <w:p w14:paraId="7E88E3E0">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8.1完成服务后，需方或采购代理机构（由具体项目决定）应在政府采购合同规定的时间内组织验收，并在“验收书”上签字。“验收书”将作为申请付款文件的一部分。</w:t>
      </w:r>
    </w:p>
    <w:p w14:paraId="7F0AF4B3">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8.2对于委托开发等最终以产品形式交付需方使用的服务，保修期自验收书签署之日起计算。</w:t>
      </w:r>
    </w:p>
    <w:p w14:paraId="1BD152D2">
      <w:pPr>
        <w:tabs>
          <w:tab w:val="left" w:pos="360"/>
        </w:tabs>
        <w:spacing w:line="360" w:lineRule="auto"/>
        <w:ind w:firstLine="525" w:firstLineChars="218"/>
        <w:rPr>
          <w:rFonts w:hint="eastAsia" w:ascii="宋体" w:hAnsi="宋体" w:eastAsia="宋体" w:cs="宋体"/>
          <w:b/>
          <w:color w:val="auto"/>
          <w:sz w:val="24"/>
          <w:szCs w:val="24"/>
        </w:rPr>
      </w:pPr>
      <w:r>
        <w:rPr>
          <w:rFonts w:hint="eastAsia" w:ascii="宋体" w:hAnsi="宋体" w:eastAsia="宋体" w:cs="宋体"/>
          <w:b/>
          <w:color w:val="auto"/>
          <w:sz w:val="24"/>
          <w:szCs w:val="24"/>
        </w:rPr>
        <w:t>9.违约责任</w:t>
      </w:r>
    </w:p>
    <w:p w14:paraId="1BC746DB">
      <w:pPr>
        <w:spacing w:line="360" w:lineRule="auto"/>
        <w:ind w:firstLine="523" w:firstLineChars="218"/>
        <w:rPr>
          <w:rFonts w:hint="eastAsia" w:ascii="宋体" w:hAnsi="宋体" w:eastAsia="宋体" w:cs="宋体"/>
          <w:color w:val="auto"/>
          <w:sz w:val="24"/>
          <w:szCs w:val="24"/>
        </w:rPr>
      </w:pPr>
      <w:r>
        <w:rPr>
          <w:rFonts w:hint="eastAsia" w:ascii="宋体" w:hAnsi="宋体" w:eastAsia="宋体" w:cs="宋体"/>
          <w:color w:val="auto"/>
          <w:sz w:val="24"/>
          <w:szCs w:val="24"/>
        </w:rPr>
        <w:t>9.1如果供方未按照政府采购合同规定的要求提供服务；或供方未能履行政府采购合同规定的任何其它义务时，需方有权向供方发出违约通知书，供方应按照需方选择的下列一种或多种方式承担赔偿责任：</w:t>
      </w:r>
    </w:p>
    <w:p w14:paraId="0104AC0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9.1.1在需方同意延长的期限内提供服务并承担由此给需方造成的一切损失；</w:t>
      </w:r>
    </w:p>
    <w:p w14:paraId="7FED3A3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9.1.2在需方规定的时间内，用符合政府采购合同规定的服务以达到政府采购合同规定的要求，供方应承担由此发生的一切费用和风险。此时，相关服务的期限也应相应延长；</w:t>
      </w:r>
    </w:p>
    <w:p w14:paraId="6324FAE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9.1.3需方有权部分或全部解除政府采购合同并要求供方赔偿由此造成的损失。此时需方可采取必要的补救措施，相关费用由供方承担。</w:t>
      </w:r>
    </w:p>
    <w:p w14:paraId="0C39D84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9.2如果供方在收到需方的违约通知书后10日内未作答复也没有按照需方选择的方式承担违约责任，则需方有权从履约保证金（如有）、尚未支付的政府采购合同价款中扣回索赔金额。如果这些金额不足以补偿，需方有权向供方提出不足部分的赔偿要求。</w:t>
      </w:r>
    </w:p>
    <w:p w14:paraId="0FE14E6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9.3延期服务的违约责任</w:t>
      </w:r>
    </w:p>
    <w:p w14:paraId="56BB6AE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9.3.1除本合同条款第9条规定外，如果供方没有按照政府采购合同规定的时间提供服务，需方可要求供方支付违约金。违约金按照每周未提供服务费用的0.5%计收，但违约金的最高限额为未提供服务的合同价格的5%。一周按7天计算，不足7天按一周计算。如果达到最高限额，需方有权解除政府采购合同。</w:t>
      </w:r>
    </w:p>
    <w:p w14:paraId="48BE3F68">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8.4以上各项交付的违约金并不影响违约方履行政府采购合同的各项义务。</w:t>
      </w:r>
    </w:p>
    <w:p w14:paraId="1DCD6152">
      <w:pPr>
        <w:spacing w:line="360" w:lineRule="auto"/>
        <w:ind w:left="420"/>
        <w:rPr>
          <w:rFonts w:hint="eastAsia" w:ascii="宋体" w:hAnsi="宋体" w:eastAsia="宋体" w:cs="宋体"/>
          <w:b/>
          <w:color w:val="auto"/>
          <w:sz w:val="24"/>
          <w:szCs w:val="24"/>
        </w:rPr>
      </w:pPr>
      <w:r>
        <w:rPr>
          <w:rFonts w:hint="eastAsia" w:ascii="宋体" w:hAnsi="宋体" w:eastAsia="宋体" w:cs="宋体"/>
          <w:b/>
          <w:color w:val="auto"/>
          <w:sz w:val="24"/>
          <w:szCs w:val="24"/>
        </w:rPr>
        <w:t>10.不可抗力</w:t>
      </w:r>
    </w:p>
    <w:p w14:paraId="1CD85759">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10.1如果供方和需方因不可抗力而导致政府采购合同迟延履行或不能履行政府采购合同义务，不应该承担误期赔偿或不能履行政府采购合同义务的责任。因供方或需方先延误或不能履行政府采购合同而后遇不可抗力的情形除外。</w:t>
      </w:r>
    </w:p>
    <w:p w14:paraId="3DD129DF">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10.2本条所述的“不可抗力”系指那些双方无法控制，不可预见的事件，但不包括双方的违约或疏忽。这些事件包括但不限于：战争、严重火灾、洪水、台风、地震。</w:t>
      </w:r>
    </w:p>
    <w:p w14:paraId="2BE388A8">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10.3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p>
    <w:p w14:paraId="699454EB">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11.争端的解决</w:t>
      </w:r>
    </w:p>
    <w:p w14:paraId="2322A008">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11.1需方和供方应通过友好协商，解决在执行本政府采购合同过程中所发生的或与本政府采购合同有关的一切争端。</w:t>
      </w:r>
    </w:p>
    <w:p w14:paraId="67A2763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11.2如果协商不成，双方中的任何一方可向需方所在地的人民法院提起诉讼。</w:t>
      </w:r>
    </w:p>
    <w:p w14:paraId="541F6D0F">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11.3因政府采购合同部分履行引发诉讼的，在诉讼期间，除正在进行诉讼的部分外，本政府采购合同的其它部分应继续执行。</w:t>
      </w:r>
    </w:p>
    <w:p w14:paraId="3C4143DF">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12.违约终止政府采购合同</w:t>
      </w:r>
    </w:p>
    <w:p w14:paraId="1F16A932">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12.1在需方因供方违约而按政府采购合同约定采取的任何补救措施不起作用的情况下，需方可在下列情况下向供方发出书面通知，提出终止部分或全部政府采购合同。</w:t>
      </w:r>
    </w:p>
    <w:p w14:paraId="36D0616B">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12.1.1如果供方未能在政府采购合同规定的限期或需方同意延长的限期内提供部分或全部服务；</w:t>
      </w:r>
    </w:p>
    <w:p w14:paraId="2F01C930">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12.1.2如果供方未能履行政府采购合同规定的其它任何义务。</w:t>
      </w:r>
    </w:p>
    <w:p w14:paraId="7470E1FE">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12.1.3未经需方事先书面同意，供方部分转让和分包或全部转让和分包其应履行的政府采购合同义务。</w:t>
      </w:r>
    </w:p>
    <w:p w14:paraId="4019E897">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12.2 如果需方根据上述规定，终止了全部或部分政府采购合同，需方可以依其认为适当的条件和方法购买与未履行服务类似的服务，供方应对购买类似服务所超出的那部分费用负责。供方应继续履行政府采购合同中未终止的部分。</w:t>
      </w:r>
    </w:p>
    <w:p w14:paraId="5035726D">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13.政府采购法对政府采购合同变更终止的规定</w:t>
      </w:r>
    </w:p>
    <w:p w14:paraId="0415A5F2">
      <w:pPr>
        <w:spacing w:line="360" w:lineRule="auto"/>
        <w:ind w:firstLine="470" w:firstLineChars="196"/>
        <w:rPr>
          <w:rFonts w:hint="eastAsia" w:ascii="宋体" w:hAnsi="宋体" w:eastAsia="宋体" w:cs="宋体"/>
          <w:b/>
          <w:color w:val="auto"/>
          <w:sz w:val="24"/>
          <w:szCs w:val="24"/>
        </w:rPr>
      </w:pPr>
      <w:r>
        <w:rPr>
          <w:rFonts w:hint="eastAsia" w:ascii="宋体" w:hAnsi="宋体" w:eastAsia="宋体" w:cs="宋体"/>
          <w:color w:val="auto"/>
          <w:sz w:val="24"/>
          <w:szCs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p>
    <w:p w14:paraId="0299CE0A">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14.政府采购合同转让和分包</w:t>
      </w:r>
    </w:p>
    <w:p w14:paraId="2165242C">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除招标文件规定,并经需方事先书面同意外，供方不得部分转让和分包或全部转让和分包其应履行的政府采购合同义务。</w:t>
      </w:r>
    </w:p>
    <w:p w14:paraId="207B23FA">
      <w:pPr>
        <w:spacing w:line="360" w:lineRule="auto"/>
        <w:ind w:firstLine="472" w:firstLineChars="196"/>
        <w:rPr>
          <w:rFonts w:hint="eastAsia" w:ascii="宋体" w:hAnsi="宋体" w:eastAsia="宋体" w:cs="宋体"/>
          <w:color w:val="auto"/>
          <w:sz w:val="24"/>
          <w:szCs w:val="24"/>
        </w:rPr>
      </w:pPr>
      <w:r>
        <w:rPr>
          <w:rFonts w:hint="eastAsia" w:ascii="宋体" w:hAnsi="宋体" w:eastAsia="宋体" w:cs="宋体"/>
          <w:b/>
          <w:color w:val="auto"/>
          <w:sz w:val="24"/>
          <w:szCs w:val="24"/>
        </w:rPr>
        <w:t>15.适用法律：</w:t>
      </w:r>
      <w:r>
        <w:rPr>
          <w:rFonts w:hint="eastAsia" w:ascii="宋体" w:hAnsi="宋体" w:eastAsia="宋体" w:cs="宋体"/>
          <w:color w:val="auto"/>
          <w:sz w:val="24"/>
          <w:szCs w:val="24"/>
        </w:rPr>
        <w:t>本政府采购合同按照中华人民共和国的现行法律进行解释。</w:t>
      </w:r>
    </w:p>
    <w:p w14:paraId="63F55B9E">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16.政府采购合同生效</w:t>
      </w:r>
    </w:p>
    <w:p w14:paraId="4BE0B0A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16.1本政府采购合同在供需双方法定代表人或其授权代理人签字和加盖公章后生效。</w:t>
      </w:r>
    </w:p>
    <w:p w14:paraId="0ED41E90">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 xml:space="preserve">16.2本政府采购合同一式五份，需方执二份，供方、采购代理机构、财政部门各执一份。 </w:t>
      </w:r>
    </w:p>
    <w:p w14:paraId="54AA7A21">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17.政府采购合同附件</w:t>
      </w:r>
    </w:p>
    <w:p w14:paraId="690CC97A">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下列文件构成本政府采购合同不可分割的组成部分，与本政府采购合同具有同等法律效力：</w:t>
      </w:r>
    </w:p>
    <w:p w14:paraId="0815E62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17.1招标文件；</w:t>
      </w:r>
    </w:p>
    <w:p w14:paraId="0C8BBE9C">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17.2招标文件的更正公告、变更公告；</w:t>
      </w:r>
    </w:p>
    <w:p w14:paraId="31E66470">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17.3中标供应商提交的投标文件；        </w:t>
      </w:r>
    </w:p>
    <w:p w14:paraId="73570945">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17.4政府采购合同条款；</w:t>
      </w:r>
    </w:p>
    <w:p w14:paraId="76C362EB">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17.5中标通知书；</w:t>
      </w:r>
    </w:p>
    <w:p w14:paraId="79C7F52D">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17.6政府采购合同的其它附件。</w:t>
      </w:r>
    </w:p>
    <w:p w14:paraId="09C8CF0D">
      <w:pPr>
        <w:ind w:firstLine="470" w:firstLineChars="196"/>
        <w:rPr>
          <w:rFonts w:hint="eastAsia" w:ascii="宋体" w:hAnsi="宋体" w:eastAsia="宋体" w:cs="宋体"/>
          <w:color w:val="auto"/>
          <w:sz w:val="24"/>
          <w:szCs w:val="24"/>
        </w:rPr>
      </w:pPr>
    </w:p>
    <w:p w14:paraId="38CBB009">
      <w:pPr>
        <w:rPr>
          <w:rFonts w:hint="eastAsia" w:ascii="宋体" w:hAnsi="宋体" w:eastAsia="宋体" w:cs="宋体"/>
          <w:color w:val="auto"/>
          <w:sz w:val="24"/>
          <w:szCs w:val="24"/>
        </w:rPr>
      </w:pPr>
    </w:p>
    <w:p w14:paraId="56CCE8EA">
      <w:pPr>
        <w:adjustRightInd w:val="0"/>
        <w:snapToGrid w:val="0"/>
        <w:spacing w:line="240" w:lineRule="auto"/>
        <w:jc w:val="center"/>
        <w:outlineLvl w:val="9"/>
        <w:rPr>
          <w:rFonts w:hint="eastAsia" w:ascii="宋体" w:hAnsi="宋体" w:eastAsia="宋体" w:cs="宋体"/>
          <w:b/>
          <w:bCs/>
          <w:color w:val="auto"/>
          <w:sz w:val="28"/>
          <w:szCs w:val="28"/>
        </w:rPr>
      </w:pPr>
      <w:bookmarkStart w:id="424" w:name="_Toc7832_WPSOffice_Level1"/>
      <w:bookmarkStart w:id="425" w:name="_Toc11644_WPSOffice_Level1"/>
      <w:r>
        <w:rPr>
          <w:rFonts w:hint="eastAsia" w:ascii="宋体" w:hAnsi="宋体" w:eastAsia="宋体" w:cs="宋体"/>
          <w:b/>
          <w:bCs/>
          <w:color w:val="auto"/>
          <w:sz w:val="28"/>
          <w:szCs w:val="28"/>
        </w:rPr>
        <w:t>政府采购合同格式</w:t>
      </w:r>
      <w:bookmarkEnd w:id="424"/>
      <w:bookmarkEnd w:id="425"/>
      <w:r>
        <w:rPr>
          <w:rFonts w:hint="eastAsia" w:ascii="宋体" w:hAnsi="宋体" w:eastAsia="宋体" w:cs="宋体"/>
          <w:b/>
          <w:bCs/>
          <w:color w:val="auto"/>
          <w:sz w:val="28"/>
          <w:szCs w:val="28"/>
        </w:rPr>
        <w:t>（仅供参考，以实际签订内容为准）</w:t>
      </w:r>
    </w:p>
    <w:p w14:paraId="6A797EC3">
      <w:pPr>
        <w:autoSpaceDE w:val="0"/>
        <w:autoSpaceDN w:val="0"/>
        <w:adjustRightInd w:val="0"/>
        <w:spacing w:line="360" w:lineRule="auto"/>
        <w:jc w:val="center"/>
        <w:rPr>
          <w:rFonts w:hint="eastAsia" w:ascii="宋体" w:hAnsi="宋体" w:eastAsia="宋体" w:cs="宋体"/>
          <w:b/>
          <w:bCs/>
          <w:color w:val="auto"/>
          <w:kern w:val="0"/>
          <w:sz w:val="44"/>
          <w:szCs w:val="44"/>
        </w:rPr>
      </w:pPr>
    </w:p>
    <w:p w14:paraId="02AD8688">
      <w:pPr>
        <w:autoSpaceDE w:val="0"/>
        <w:autoSpaceDN w:val="0"/>
        <w:adjustRightInd w:val="0"/>
        <w:spacing w:line="360" w:lineRule="auto"/>
        <w:jc w:val="center"/>
        <w:rPr>
          <w:rFonts w:hint="eastAsia" w:ascii="宋体" w:hAnsi="宋体" w:eastAsia="宋体" w:cs="宋体"/>
          <w:b/>
          <w:bCs/>
          <w:color w:val="auto"/>
          <w:kern w:val="0"/>
          <w:sz w:val="44"/>
          <w:szCs w:val="44"/>
        </w:rPr>
      </w:pPr>
    </w:p>
    <w:p w14:paraId="436C80EF">
      <w:pPr>
        <w:autoSpaceDE w:val="0"/>
        <w:autoSpaceDN w:val="0"/>
        <w:adjustRightInd w:val="0"/>
        <w:spacing w:line="360" w:lineRule="auto"/>
        <w:jc w:val="center"/>
        <w:rPr>
          <w:rFonts w:hint="eastAsia" w:ascii="宋体" w:hAnsi="宋体" w:eastAsia="宋体" w:cs="宋体"/>
          <w:b/>
          <w:bCs/>
          <w:color w:val="auto"/>
          <w:kern w:val="0"/>
          <w:sz w:val="24"/>
          <w:szCs w:val="24"/>
          <w:lang w:eastAsia="zh-CN"/>
        </w:rPr>
      </w:pPr>
      <w:r>
        <w:rPr>
          <w:rFonts w:hint="eastAsia" w:cs="宋体"/>
          <w:b/>
          <w:bCs/>
          <w:color w:val="auto"/>
          <w:kern w:val="0"/>
          <w:sz w:val="44"/>
          <w:szCs w:val="44"/>
          <w:lang w:eastAsia="zh-CN"/>
        </w:rPr>
        <w:t>晋宁区医疗卫生强基工程项目（资源共享中心：医共体中心药房系统、医共体审方中心系统）</w:t>
      </w:r>
    </w:p>
    <w:p w14:paraId="442853AC">
      <w:pPr>
        <w:autoSpaceDE w:val="0"/>
        <w:autoSpaceDN w:val="0"/>
        <w:adjustRightInd w:val="0"/>
        <w:spacing w:line="360" w:lineRule="auto"/>
        <w:jc w:val="center"/>
        <w:rPr>
          <w:rFonts w:hint="eastAsia" w:ascii="宋体" w:hAnsi="宋体" w:eastAsia="宋体" w:cs="宋体"/>
          <w:b/>
          <w:bCs/>
          <w:color w:val="auto"/>
          <w:kern w:val="0"/>
          <w:sz w:val="24"/>
          <w:szCs w:val="24"/>
        </w:rPr>
      </w:pPr>
    </w:p>
    <w:p w14:paraId="28557B64">
      <w:pPr>
        <w:autoSpaceDE w:val="0"/>
        <w:autoSpaceDN w:val="0"/>
        <w:adjustRightInd w:val="0"/>
        <w:spacing w:line="360" w:lineRule="auto"/>
        <w:jc w:val="center"/>
        <w:rPr>
          <w:rFonts w:hint="eastAsia" w:ascii="宋体" w:hAnsi="宋体" w:eastAsia="宋体" w:cs="宋体"/>
          <w:b/>
          <w:bCs/>
          <w:color w:val="auto"/>
          <w:kern w:val="0"/>
          <w:sz w:val="15"/>
          <w:szCs w:val="15"/>
        </w:rPr>
      </w:pPr>
      <w:r>
        <w:rPr>
          <w:rFonts w:hint="eastAsia" w:ascii="宋体" w:hAnsi="宋体" w:eastAsia="宋体" w:cs="宋体"/>
          <w:b/>
          <w:bCs/>
          <w:color w:val="auto"/>
          <w:sz w:val="24"/>
          <w:szCs w:val="24"/>
        </w:rPr>
        <w:t>（委托采购）</w:t>
      </w:r>
    </w:p>
    <w:p w14:paraId="451403EC">
      <w:pPr>
        <w:autoSpaceDE w:val="0"/>
        <w:autoSpaceDN w:val="0"/>
        <w:adjustRightInd w:val="0"/>
        <w:spacing w:line="360" w:lineRule="auto"/>
        <w:jc w:val="center"/>
        <w:rPr>
          <w:rFonts w:hint="eastAsia" w:ascii="宋体" w:hAnsi="宋体" w:eastAsia="宋体" w:cs="宋体"/>
          <w:b/>
          <w:bCs/>
          <w:color w:val="auto"/>
          <w:kern w:val="0"/>
          <w:sz w:val="24"/>
          <w:szCs w:val="24"/>
        </w:rPr>
      </w:pPr>
    </w:p>
    <w:p w14:paraId="2FCCD371">
      <w:pPr>
        <w:autoSpaceDE w:val="0"/>
        <w:autoSpaceDN w:val="0"/>
        <w:adjustRightInd w:val="0"/>
        <w:spacing w:line="360" w:lineRule="auto"/>
        <w:jc w:val="center"/>
        <w:rPr>
          <w:rFonts w:hint="eastAsia" w:ascii="宋体" w:hAnsi="宋体" w:eastAsia="宋体" w:cs="宋体"/>
          <w:b/>
          <w:bCs/>
          <w:color w:val="auto"/>
          <w:kern w:val="0"/>
          <w:sz w:val="24"/>
          <w:szCs w:val="24"/>
        </w:rPr>
      </w:pPr>
    </w:p>
    <w:p w14:paraId="21898BB3">
      <w:pPr>
        <w:autoSpaceDE w:val="0"/>
        <w:autoSpaceDN w:val="0"/>
        <w:adjustRightInd w:val="0"/>
        <w:spacing w:line="360" w:lineRule="auto"/>
        <w:jc w:val="cente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t xml:space="preserve">合 </w:t>
      </w:r>
    </w:p>
    <w:p w14:paraId="3D838011">
      <w:pPr>
        <w:autoSpaceDE w:val="0"/>
        <w:autoSpaceDN w:val="0"/>
        <w:adjustRightInd w:val="0"/>
        <w:spacing w:line="360" w:lineRule="auto"/>
        <w:jc w:val="cente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t xml:space="preserve">同 </w:t>
      </w:r>
    </w:p>
    <w:p w14:paraId="65441908">
      <w:pPr>
        <w:autoSpaceDE w:val="0"/>
        <w:autoSpaceDN w:val="0"/>
        <w:adjustRightInd w:val="0"/>
        <w:spacing w:line="360" w:lineRule="auto"/>
        <w:jc w:val="cente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t xml:space="preserve">书 </w:t>
      </w:r>
    </w:p>
    <w:p w14:paraId="69F16CD5">
      <w:pPr>
        <w:autoSpaceDE w:val="0"/>
        <w:autoSpaceDN w:val="0"/>
        <w:adjustRightInd w:val="0"/>
        <w:spacing w:line="360" w:lineRule="auto"/>
        <w:jc w:val="center"/>
        <w:rPr>
          <w:rFonts w:hint="eastAsia" w:ascii="宋体" w:hAnsi="宋体" w:eastAsia="宋体" w:cs="宋体"/>
          <w:b/>
          <w:bCs/>
          <w:color w:val="auto"/>
          <w:kern w:val="0"/>
          <w:sz w:val="36"/>
          <w:szCs w:val="36"/>
        </w:rPr>
      </w:pPr>
    </w:p>
    <w:p w14:paraId="337DD8A7">
      <w:pPr>
        <w:pStyle w:val="41"/>
        <w:rPr>
          <w:rFonts w:hint="eastAsia" w:ascii="宋体" w:hAnsi="宋体" w:eastAsia="宋体" w:cs="宋体"/>
          <w:b/>
          <w:bCs/>
          <w:color w:val="auto"/>
          <w:kern w:val="0"/>
          <w:sz w:val="24"/>
          <w:szCs w:val="24"/>
        </w:rPr>
      </w:pPr>
    </w:p>
    <w:p w14:paraId="0788E6E9">
      <w:pPr>
        <w:pStyle w:val="41"/>
        <w:rPr>
          <w:rFonts w:hint="eastAsia" w:ascii="宋体" w:hAnsi="宋体" w:eastAsia="宋体" w:cs="宋体"/>
          <w:b/>
          <w:bCs/>
          <w:color w:val="auto"/>
          <w:kern w:val="0"/>
          <w:sz w:val="24"/>
          <w:szCs w:val="24"/>
        </w:rPr>
      </w:pPr>
    </w:p>
    <w:p w14:paraId="16C8B5BE">
      <w:pPr>
        <w:pStyle w:val="41"/>
        <w:rPr>
          <w:rFonts w:hint="eastAsia" w:ascii="宋体" w:hAnsi="宋体" w:eastAsia="宋体" w:cs="宋体"/>
          <w:b/>
          <w:bCs/>
          <w:color w:val="auto"/>
          <w:kern w:val="0"/>
          <w:sz w:val="24"/>
          <w:szCs w:val="24"/>
        </w:rPr>
      </w:pPr>
    </w:p>
    <w:p w14:paraId="729FFBF4">
      <w:pPr>
        <w:pStyle w:val="41"/>
        <w:rPr>
          <w:rFonts w:hint="eastAsia" w:ascii="宋体" w:hAnsi="宋体" w:eastAsia="宋体" w:cs="宋体"/>
          <w:b/>
          <w:bCs/>
          <w:color w:val="auto"/>
          <w:kern w:val="0"/>
          <w:sz w:val="24"/>
          <w:szCs w:val="24"/>
        </w:rPr>
      </w:pPr>
    </w:p>
    <w:p w14:paraId="48AF7C28">
      <w:pPr>
        <w:autoSpaceDE w:val="0"/>
        <w:autoSpaceDN w:val="0"/>
        <w:adjustRightInd w:val="0"/>
        <w:spacing w:line="360" w:lineRule="auto"/>
        <w:jc w:val="center"/>
        <w:rPr>
          <w:rFonts w:hint="eastAsia" w:ascii="宋体" w:hAnsi="宋体" w:eastAsia="宋体" w:cs="宋体"/>
          <w:b/>
          <w:bCs/>
          <w:color w:val="auto"/>
          <w:kern w:val="0"/>
          <w:sz w:val="24"/>
          <w:szCs w:val="24"/>
          <w:lang w:val="zh-CN"/>
        </w:rPr>
      </w:pPr>
      <w:r>
        <w:rPr>
          <w:rFonts w:hint="eastAsia" w:ascii="宋体" w:hAnsi="宋体" w:eastAsia="宋体" w:cs="宋体"/>
          <w:b/>
          <w:bCs/>
          <w:color w:val="auto"/>
          <w:kern w:val="0"/>
          <w:sz w:val="24"/>
          <w:szCs w:val="24"/>
          <w:lang w:val="zh-CN"/>
        </w:rPr>
        <w:t>签订地点：</w:t>
      </w:r>
      <w:r>
        <w:rPr>
          <w:rFonts w:hint="eastAsia" w:cs="宋体"/>
          <w:b/>
          <w:bCs/>
          <w:color w:val="auto"/>
          <w:spacing w:val="40"/>
          <w:kern w:val="0"/>
          <w:sz w:val="24"/>
          <w:szCs w:val="24"/>
          <w:lang w:val="zh-CN"/>
        </w:rPr>
        <w:t>昆明市晋宁区人民医院(昆明市晋宁区紧密型医共体总医院)</w:t>
      </w:r>
      <w:r>
        <w:rPr>
          <w:rFonts w:hint="eastAsia" w:ascii="宋体" w:hAnsi="宋体" w:eastAsia="宋体" w:cs="宋体"/>
          <w:b/>
          <w:bCs/>
          <w:color w:val="auto"/>
          <w:kern w:val="0"/>
          <w:sz w:val="24"/>
          <w:szCs w:val="24"/>
          <w:lang w:val="zh-CN"/>
        </w:rPr>
        <w:t>签订日期：   年　月　日</w:t>
      </w:r>
    </w:p>
    <w:p w14:paraId="2D27ADE9">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br w:type="page"/>
      </w:r>
      <w:r>
        <w:rPr>
          <w:rFonts w:hint="eastAsia" w:ascii="宋体" w:hAnsi="宋体" w:eastAsia="宋体" w:cs="宋体"/>
          <w:color w:val="auto"/>
          <w:sz w:val="24"/>
          <w:szCs w:val="24"/>
          <w:u w:val="single"/>
        </w:rPr>
        <w:t xml:space="preserve">    (需方名称</w:t>
      </w:r>
      <w:r>
        <w:rPr>
          <w:rFonts w:hint="eastAsia" w:ascii="宋体" w:hAnsi="宋体" w:eastAsia="宋体" w:cs="宋体"/>
          <w:color w:val="auto"/>
          <w:sz w:val="24"/>
          <w:szCs w:val="24"/>
        </w:rPr>
        <w:t>) （以下简称需方）和</w:t>
      </w:r>
      <w:r>
        <w:rPr>
          <w:rFonts w:hint="eastAsia" w:ascii="宋体" w:hAnsi="宋体" w:eastAsia="宋体" w:cs="宋体"/>
          <w:color w:val="auto"/>
          <w:sz w:val="24"/>
          <w:szCs w:val="24"/>
          <w:u w:val="single"/>
        </w:rPr>
        <w:t xml:space="preserve">   (供方名称)    </w:t>
      </w:r>
      <w:r>
        <w:rPr>
          <w:rFonts w:hint="eastAsia" w:ascii="宋体" w:hAnsi="宋体" w:eastAsia="宋体" w:cs="宋体"/>
          <w:color w:val="auto"/>
          <w:sz w:val="24"/>
          <w:szCs w:val="24"/>
        </w:rPr>
        <w:t xml:space="preserve"> （以下简称供方）根据《中华人民共和国民法典》和有关法律法规，遵循平等、自愿、公平和诚实信用原则，同意按照下面的条款和条件订立本政府采购合同，共同信守。</w:t>
      </w:r>
    </w:p>
    <w:p w14:paraId="5322D421">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一、政府采购合同文件</w:t>
      </w:r>
    </w:p>
    <w:p w14:paraId="4637EFB6">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本政府采购合同所附下列文件是构成本政府采购合同不可分割的部分：</w:t>
      </w:r>
    </w:p>
    <w:p w14:paraId="600AA08E">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1.招标文件（招标文件编号）；</w:t>
      </w:r>
    </w:p>
    <w:p w14:paraId="08A5A843">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2.招标文件的更正公告、变更公告；</w:t>
      </w:r>
    </w:p>
    <w:p w14:paraId="6B722BC2">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3.中标供应商提交的投标文件；</w:t>
      </w:r>
    </w:p>
    <w:p w14:paraId="57B1DDBB">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4.政府采购合同条款；</w:t>
      </w:r>
    </w:p>
    <w:p w14:paraId="5B674901">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5.中标通知书；</w:t>
      </w:r>
    </w:p>
    <w:p w14:paraId="5F408570">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6.政府采购合同的其它附件。</w:t>
      </w:r>
    </w:p>
    <w:p w14:paraId="42615C19">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二、政府采购合同范围和条件</w:t>
      </w:r>
    </w:p>
    <w:p w14:paraId="17496062">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本政府采购合同的范围和条件与上述政府采购合同文件的规定相一致。</w:t>
      </w:r>
    </w:p>
    <w:p w14:paraId="20855280">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三、政府采购合同标的</w:t>
      </w:r>
    </w:p>
    <w:p w14:paraId="43233AD0">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本政府采购合同的标的为招标文件中所列相关服务及服务所需采购的货物。</w:t>
      </w:r>
    </w:p>
    <w:p w14:paraId="243D5B76">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四、政府采购合同金额</w:t>
      </w:r>
    </w:p>
    <w:p w14:paraId="52A987DD">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根据上述政府采购合同文件要求，政府采购合同的总金额为人民币</w:t>
      </w:r>
      <w:r>
        <w:rPr>
          <w:rFonts w:hint="eastAsia" w:ascii="宋体" w:hAnsi="宋体" w:eastAsia="宋体" w:cs="宋体"/>
          <w:color w:val="auto"/>
          <w:sz w:val="24"/>
          <w:szCs w:val="24"/>
          <w:u w:val="single"/>
        </w:rPr>
        <w:t xml:space="preserve">  （大写）                </w:t>
      </w:r>
      <w:r>
        <w:rPr>
          <w:rFonts w:hint="eastAsia" w:ascii="宋体" w:hAnsi="宋体" w:eastAsia="宋体" w:cs="宋体"/>
          <w:color w:val="auto"/>
          <w:sz w:val="24"/>
          <w:szCs w:val="24"/>
        </w:rPr>
        <w:t xml:space="preserve"> 元。</w:t>
      </w:r>
    </w:p>
    <w:p w14:paraId="6E28AEBF">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五、付款方式及条件</w:t>
      </w:r>
    </w:p>
    <w:p w14:paraId="0256E13E">
      <w:pPr>
        <w:spacing w:line="360" w:lineRule="auto"/>
        <w:jc w:val="left"/>
        <w:rPr>
          <w:rFonts w:hint="default" w:ascii="宋体" w:hAnsi="宋体" w:eastAsia="宋体" w:cs="宋体"/>
          <w:b/>
          <w:color w:val="auto"/>
          <w:sz w:val="24"/>
          <w:szCs w:val="24"/>
          <w:u w:val="single"/>
          <w:lang w:val="en-US" w:eastAsia="zh-CN"/>
        </w:rPr>
      </w:pPr>
      <w:r>
        <w:rPr>
          <w:rFonts w:hint="eastAsia" w:cs="宋体"/>
          <w:b/>
          <w:color w:val="auto"/>
          <w:sz w:val="24"/>
          <w:szCs w:val="24"/>
          <w:u w:val="none"/>
          <w:lang w:val="en-US" w:eastAsia="zh-CN"/>
        </w:rPr>
        <w:t xml:space="preserve">   </w:t>
      </w:r>
      <w:r>
        <w:rPr>
          <w:rFonts w:hint="eastAsia" w:cs="宋体"/>
          <w:b/>
          <w:color w:val="auto"/>
          <w:sz w:val="24"/>
          <w:szCs w:val="24"/>
          <w:u w:val="single"/>
          <w:lang w:val="en-US" w:eastAsia="zh-CN"/>
        </w:rPr>
        <w:t xml:space="preserve">                      </w:t>
      </w:r>
    </w:p>
    <w:p w14:paraId="3D19FEEA">
      <w:pPr>
        <w:spacing w:line="360" w:lineRule="auto"/>
        <w:jc w:val="left"/>
        <w:rPr>
          <w:rFonts w:hint="eastAsia" w:ascii="宋体" w:hAnsi="宋体" w:eastAsia="宋体" w:cs="宋体"/>
          <w:color w:val="auto"/>
          <w:sz w:val="24"/>
          <w:szCs w:val="24"/>
        </w:rPr>
      </w:pPr>
      <w:r>
        <w:rPr>
          <w:rFonts w:hint="eastAsia" w:ascii="宋体" w:hAnsi="宋体" w:eastAsia="宋体" w:cs="宋体"/>
          <w:b/>
          <w:color w:val="auto"/>
          <w:sz w:val="24"/>
          <w:szCs w:val="24"/>
        </w:rPr>
        <w:t>　　六、服务时间和服务地点</w:t>
      </w:r>
    </w:p>
    <w:p w14:paraId="41E031A3">
      <w:pPr>
        <w:spacing w:line="360" w:lineRule="auto"/>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1.服务时间：</w:t>
      </w:r>
    </w:p>
    <w:p w14:paraId="71DE77F3">
      <w:pPr>
        <w:spacing w:line="360" w:lineRule="auto"/>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2.服务地点：</w:t>
      </w:r>
    </w:p>
    <w:p w14:paraId="3860BB15">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七、验收要求</w:t>
      </w:r>
    </w:p>
    <w:p w14:paraId="5F310F75">
      <w:pPr>
        <w:spacing w:line="360" w:lineRule="auto"/>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供方完全履行合同义务后，需方或需方的最终用户按照上述政府采购合同文件列明的标准进行验收，验收不合格的，供方需按照第八条的约定承担相应违约责任。</w:t>
      </w:r>
    </w:p>
    <w:p w14:paraId="3DFB8A11">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八、违约责任</w:t>
      </w:r>
    </w:p>
    <w:p w14:paraId="464DE46E">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1.供方逾期提供服务的，每逾期一天向需方支付合同金额%的违约金，逾期日的，需方有权单方面解除本协议。</w:t>
      </w:r>
    </w:p>
    <w:p w14:paraId="3354FD29">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2.供方提供的服务不符合约定的，需方有权向供方书面提出整改意见，供方需无条件整改至符合约定，自需方向供方提出书面意见之日起日内，供方仍未整改或整改后服务仍不符合约定的，需方有权单方面解除本协议。</w:t>
      </w:r>
    </w:p>
    <w:p w14:paraId="2F963BAB">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3.需方逾期付款的，每逾期一天向供方支付逾期金额%的违约金，逾期日的，供方有权单方面解除本协议。</w:t>
      </w:r>
    </w:p>
    <w:p w14:paraId="0816AFF9">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九、争议解决</w:t>
      </w:r>
    </w:p>
    <w:p w14:paraId="2C6636D4">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双方因履行本协议而产生的争议，应友好协商解决，协商不成的，任何一方可向需方所在地的人民法院提起诉讼。</w:t>
      </w:r>
    </w:p>
    <w:p w14:paraId="6E8C8701">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十、合同生效</w:t>
      </w:r>
    </w:p>
    <w:p w14:paraId="54702A88">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本政府采购合同经双方授权代表签字盖章后生效。</w:t>
      </w:r>
    </w:p>
    <w:p w14:paraId="1C890410">
      <w:pPr>
        <w:rPr>
          <w:rFonts w:hint="eastAsia"/>
          <w:color w:val="000000" w:themeColor="text1"/>
          <w:lang w:val="zh-CN"/>
          <w14:textFill>
            <w14:solidFill>
              <w14:schemeClr w14:val="tx1"/>
            </w14:solidFill>
          </w14:textFill>
        </w:rPr>
      </w:pPr>
    </w:p>
    <w:p w14:paraId="6911F15D">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bookmarkStart w:id="426" w:name="_Toc155185919"/>
    </w:p>
    <w:p w14:paraId="55815006">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36B30DEB">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45351855">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0DA16AFF">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668C7EF2">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450FFFD9">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0F376A28">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27165E20">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68AAD81E">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29ADF04C">
      <w:pPr>
        <w:pStyle w:val="39"/>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46DB4198">
      <w:pPr>
        <w:pStyle w:val="39"/>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pPr>
    </w:p>
    <w:p w14:paraId="2452FEC0">
      <w:pPr>
        <w:keepNext w:val="0"/>
        <w:keepLines w:val="0"/>
        <w:widowControl w:val="0"/>
        <w:suppressLineNumbers w:val="0"/>
        <w:autoSpaceDE w:val="0"/>
        <w:autoSpaceDN/>
        <w:spacing w:before="0" w:beforeAutospacing="0" w:after="0" w:afterAutospacing="0" w:line="600" w:lineRule="exact"/>
        <w:ind w:left="0" w:right="0"/>
        <w:jc w:val="both"/>
        <w:rPr>
          <w:rFonts w:hint="eastAsia" w:ascii="方正仿宋_GB2312" w:hAnsi="方正仿宋_GB2312" w:eastAsia="方正仿宋_GB2312" w:cs="方正仿宋_GB2312"/>
          <w:b/>
          <w:bCs w:val="0"/>
          <w:color w:val="000000" w:themeColor="text1"/>
          <w:kern w:val="2"/>
          <w:sz w:val="28"/>
          <w:szCs w:val="28"/>
          <w14:textFill>
            <w14:solidFill>
              <w14:schemeClr w14:val="tx1"/>
            </w14:solidFill>
          </w14:textFill>
        </w:rPr>
      </w:pPr>
      <w:r>
        <w:rPr>
          <w:rFonts w:hint="eastAsia" w:ascii="方正仿宋_GB2312" w:hAnsi="方正仿宋_GB2312" w:eastAsia="方正仿宋_GB2312" w:cs="方正仿宋_GB2312"/>
          <w:b/>
          <w:bCs w:val="0"/>
          <w:color w:val="000000" w:themeColor="text1"/>
          <w:kern w:val="2"/>
          <w:sz w:val="28"/>
          <w:szCs w:val="28"/>
          <w:lang w:val="en-US" w:eastAsia="zh-CN" w:bidi="ar"/>
          <w14:textFill>
            <w14:solidFill>
              <w14:schemeClr w14:val="tx1"/>
            </w14:solidFill>
          </w14:textFill>
        </w:rPr>
        <w:t xml:space="preserve"> </w:t>
      </w:r>
    </w:p>
    <w:p w14:paraId="47E9CC6E">
      <w:pPr>
        <w:pStyle w:val="3"/>
        <w:numPr>
          <w:ilvl w:val="0"/>
          <w:numId w:val="0"/>
        </w:numPr>
        <w:ind w:leftChars="0"/>
        <w:rPr>
          <w:rFonts w:hint="eastAsia"/>
          <w:color w:val="000000" w:themeColor="text1"/>
          <w14:textFill>
            <w14:solidFill>
              <w14:schemeClr w14:val="tx1"/>
            </w14:solidFill>
          </w14:textFill>
        </w:rPr>
      </w:pPr>
      <w:bookmarkStart w:id="427" w:name="_Toc31990"/>
      <w:r>
        <w:rPr>
          <w:rFonts w:hint="eastAsia"/>
          <w:color w:val="000000" w:themeColor="text1"/>
          <w:lang w:val="en-US" w:eastAsia="zh-CN"/>
          <w14:textFill>
            <w14:solidFill>
              <w14:schemeClr w14:val="tx1"/>
            </w14:solidFill>
          </w14:textFill>
        </w:rPr>
        <w:t xml:space="preserve">第七章  </w:t>
      </w:r>
      <w:r>
        <w:rPr>
          <w:color w:val="000000" w:themeColor="text1"/>
          <w14:textFill>
            <w14:solidFill>
              <w14:schemeClr w14:val="tx1"/>
            </w14:solidFill>
          </w14:textFill>
        </w:rPr>
        <w:t>投标文件的格式</w:t>
      </w:r>
      <w:bookmarkEnd w:id="426"/>
      <w:bookmarkEnd w:id="427"/>
    </w:p>
    <w:p w14:paraId="354CECB9">
      <w:pPr>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76E21EF6">
      <w:pPr>
        <w:pStyle w:val="4"/>
        <w:numPr>
          <w:ilvl w:val="0"/>
          <w:numId w:val="25"/>
        </w:numPr>
        <w:rPr>
          <w:rFonts w:hint="eastAsia"/>
          <w:color w:val="000000" w:themeColor="text1"/>
          <w:lang w:val="zh-CN"/>
          <w14:textFill>
            <w14:solidFill>
              <w14:schemeClr w14:val="tx1"/>
            </w14:solidFill>
          </w14:textFill>
        </w:rPr>
      </w:pPr>
      <w:bookmarkStart w:id="428" w:name="_Toc155185920"/>
      <w:bookmarkStart w:id="429" w:name="_Toc22730"/>
      <w:r>
        <w:rPr>
          <w:rFonts w:hint="eastAsia"/>
          <w:color w:val="000000" w:themeColor="text1"/>
          <w:lang w:val="zh-CN"/>
          <w14:textFill>
            <w14:solidFill>
              <w14:schemeClr w14:val="tx1"/>
            </w14:solidFill>
          </w14:textFill>
        </w:rPr>
        <w:t>投标函及报价文件</w:t>
      </w:r>
      <w:bookmarkEnd w:id="428"/>
      <w:bookmarkEnd w:id="429"/>
    </w:p>
    <w:p w14:paraId="529D1A8B">
      <w:pPr>
        <w:ind w:firstLine="480" w:firstLineChars="200"/>
        <w:rPr>
          <w:rFonts w:hint="eastAsia" w:cs="仿宋_GB2312"/>
          <w:color w:val="000000" w:themeColor="text1"/>
          <w:szCs w:val="24"/>
          <w:lang w:val="zh-CN"/>
          <w14:textFill>
            <w14:solidFill>
              <w14:schemeClr w14:val="tx1"/>
            </w14:solidFill>
          </w14:textFill>
        </w:rPr>
      </w:pPr>
      <w:r>
        <w:rPr>
          <w:rFonts w:hint="eastAsia" w:cs="仿宋_GB2312"/>
          <w:color w:val="000000" w:themeColor="text1"/>
          <w:szCs w:val="24"/>
          <w:lang w:val="zh-CN"/>
          <w14:textFill>
            <w14:solidFill>
              <w14:schemeClr w14:val="tx1"/>
            </w14:solidFill>
          </w14:textFill>
        </w:rPr>
        <w:t>封面：</w:t>
      </w:r>
    </w:p>
    <w:p w14:paraId="12190D8E">
      <w:pPr>
        <w:autoSpaceDE w:val="0"/>
        <w:autoSpaceDN w:val="0"/>
        <w:adjustRightInd w:val="0"/>
        <w:rPr>
          <w:rFonts w:hint="eastAsia"/>
          <w:color w:val="000000" w:themeColor="text1"/>
          <w:sz w:val="21"/>
          <w:szCs w:val="24"/>
          <w14:textFill>
            <w14:solidFill>
              <w14:schemeClr w14:val="tx1"/>
            </w14:solidFill>
          </w14:textFill>
        </w:rPr>
      </w:pPr>
    </w:p>
    <w:p w14:paraId="26F9A4A4">
      <w:pPr>
        <w:autoSpaceDE w:val="0"/>
        <w:autoSpaceDN w:val="0"/>
        <w:adjustRightInd w:val="0"/>
        <w:rPr>
          <w:rFonts w:hint="eastAsia"/>
          <w:color w:val="000000" w:themeColor="text1"/>
          <w:sz w:val="21"/>
          <w:szCs w:val="24"/>
          <w14:textFill>
            <w14:solidFill>
              <w14:schemeClr w14:val="tx1"/>
            </w14:solidFill>
          </w14:textFill>
        </w:rPr>
      </w:pPr>
    </w:p>
    <w:p w14:paraId="6AABC44B">
      <w:pPr>
        <w:autoSpaceDE w:val="0"/>
        <w:autoSpaceDN w:val="0"/>
        <w:adjustRightInd w:val="0"/>
        <w:jc w:val="center"/>
        <w:rPr>
          <w:rFonts w:hint="eastAsia"/>
          <w:b/>
          <w:color w:val="000000" w:themeColor="text1"/>
          <w:sz w:val="84"/>
          <w:szCs w:val="84"/>
          <w14:textFill>
            <w14:solidFill>
              <w14:schemeClr w14:val="tx1"/>
            </w14:solidFill>
          </w14:textFill>
        </w:rPr>
      </w:pPr>
      <w:r>
        <w:rPr>
          <w:rFonts w:hint="eastAsia"/>
          <w:b/>
          <w:color w:val="000000" w:themeColor="text1"/>
          <w:sz w:val="84"/>
          <w:szCs w:val="84"/>
          <w14:textFill>
            <w14:solidFill>
              <w14:schemeClr w14:val="tx1"/>
            </w14:solidFill>
          </w14:textFill>
        </w:rPr>
        <w:t>投 标 文 件</w:t>
      </w:r>
    </w:p>
    <w:p w14:paraId="2C625DEF">
      <w:pPr>
        <w:autoSpaceDE w:val="0"/>
        <w:autoSpaceDN w:val="0"/>
        <w:adjustRightInd w:val="0"/>
        <w:jc w:val="center"/>
        <w:rPr>
          <w:rFonts w:hint="eastAsia"/>
          <w:b/>
          <w:color w:val="000000" w:themeColor="text1"/>
          <w:sz w:val="56"/>
          <w:szCs w:val="56"/>
          <w14:textFill>
            <w14:solidFill>
              <w14:schemeClr w14:val="tx1"/>
            </w14:solidFill>
          </w14:textFill>
        </w:rPr>
      </w:pPr>
      <w:r>
        <w:rPr>
          <w:rFonts w:hint="eastAsia"/>
          <w:b/>
          <w:color w:val="000000" w:themeColor="text1"/>
          <w:sz w:val="56"/>
          <w:szCs w:val="56"/>
          <w14:textFill>
            <w14:solidFill>
              <w14:schemeClr w14:val="tx1"/>
            </w14:solidFill>
          </w14:textFill>
        </w:rPr>
        <w:t>投标函及报价文件</w:t>
      </w:r>
    </w:p>
    <w:p w14:paraId="1E7541A0">
      <w:pPr>
        <w:autoSpaceDE w:val="0"/>
        <w:autoSpaceDN w:val="0"/>
        <w:adjustRightInd w:val="0"/>
        <w:rPr>
          <w:rFonts w:hint="eastAsia"/>
          <w:b/>
          <w:bCs/>
          <w:color w:val="000000" w:themeColor="text1"/>
          <w:sz w:val="22"/>
          <w14:textFill>
            <w14:solidFill>
              <w14:schemeClr w14:val="tx1"/>
            </w14:solidFill>
          </w14:textFill>
        </w:rPr>
      </w:pPr>
    </w:p>
    <w:p w14:paraId="3160E70A">
      <w:pPr>
        <w:autoSpaceDE w:val="0"/>
        <w:autoSpaceDN w:val="0"/>
        <w:adjustRightInd w:val="0"/>
        <w:rPr>
          <w:rFonts w:hint="eastAsia"/>
          <w:color w:val="000000" w:themeColor="text1"/>
          <w:sz w:val="21"/>
          <w:szCs w:val="21"/>
          <w14:textFill>
            <w14:solidFill>
              <w14:schemeClr w14:val="tx1"/>
            </w14:solidFill>
          </w14:textFill>
        </w:rPr>
      </w:pPr>
    </w:p>
    <w:p w14:paraId="4B5AE1E6">
      <w:pPr>
        <w:autoSpaceDE w:val="0"/>
        <w:autoSpaceDN w:val="0"/>
        <w:adjustRightInd w:val="0"/>
        <w:rPr>
          <w:rFonts w:hint="eastAsia"/>
          <w:color w:val="000000" w:themeColor="text1"/>
          <w:sz w:val="21"/>
          <w:szCs w:val="21"/>
          <w14:textFill>
            <w14:solidFill>
              <w14:schemeClr w14:val="tx1"/>
            </w14:solidFill>
          </w14:textFill>
        </w:rPr>
      </w:pPr>
    </w:p>
    <w:p w14:paraId="0D792F4A">
      <w:pPr>
        <w:pStyle w:val="15"/>
        <w:ind w:left="480" w:firstLine="480"/>
        <w:rPr>
          <w:rFonts w:hint="eastAsia"/>
          <w:color w:val="000000" w:themeColor="text1"/>
          <w14:textFill>
            <w14:solidFill>
              <w14:schemeClr w14:val="tx1"/>
            </w14:solidFill>
          </w14:textFill>
        </w:rPr>
      </w:pPr>
    </w:p>
    <w:p w14:paraId="00B58399">
      <w:pPr>
        <w:autoSpaceDE w:val="0"/>
        <w:autoSpaceDN w:val="0"/>
        <w:adjustRightInd w:val="0"/>
        <w:rPr>
          <w:rFonts w:hint="eastAsia"/>
          <w:color w:val="000000" w:themeColor="text1"/>
          <w:sz w:val="21"/>
          <w:szCs w:val="21"/>
          <w14:textFill>
            <w14:solidFill>
              <w14:schemeClr w14:val="tx1"/>
            </w14:solidFill>
          </w14:textFill>
        </w:rPr>
      </w:pPr>
    </w:p>
    <w:p w14:paraId="4D049559">
      <w:pPr>
        <w:ind w:left="420" w:leftChars="175"/>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采购计划备案号：</w:t>
      </w:r>
      <w:r>
        <w:rPr>
          <w:rFonts w:ascii="黑体" w:hAnsi="黑体" w:eastAsia="黑体"/>
          <w:color w:val="000000" w:themeColor="text1"/>
          <w:sz w:val="32"/>
          <w:szCs w:val="32"/>
          <w:u w:val="single"/>
          <w14:textFill>
            <w14:solidFill>
              <w14:schemeClr w14:val="tx1"/>
            </w14:solidFill>
          </w14:textFill>
        </w:rPr>
        <w:t xml:space="preserve">                                  </w:t>
      </w:r>
    </w:p>
    <w:p w14:paraId="1E4FA2DF">
      <w:pPr>
        <w:ind w:left="420" w:leftChars="175"/>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项目编号：</w:t>
      </w:r>
      <w:r>
        <w:rPr>
          <w:rFonts w:ascii="黑体" w:hAnsi="黑体" w:eastAsia="黑体"/>
          <w:color w:val="000000" w:themeColor="text1"/>
          <w:sz w:val="32"/>
          <w:szCs w:val="32"/>
          <w14:textFill>
            <w14:solidFill>
              <w14:schemeClr w14:val="tx1"/>
            </w14:solidFill>
          </w14:textFill>
        </w:rPr>
        <w:tab/>
      </w:r>
      <w:r>
        <w:rPr>
          <w:rFonts w:ascii="黑体" w:hAnsi="黑体" w:eastAsia="黑体"/>
          <w:color w:val="000000" w:themeColor="text1"/>
          <w:sz w:val="32"/>
          <w:szCs w:val="32"/>
          <w:u w:val="single"/>
          <w14:textFill>
            <w14:solidFill>
              <w14:schemeClr w14:val="tx1"/>
            </w14:solidFill>
          </w14:textFill>
        </w:rPr>
        <w:t xml:space="preserve">                                       </w:t>
      </w:r>
    </w:p>
    <w:p w14:paraId="20601601">
      <w:pPr>
        <w:ind w:left="420" w:leftChars="175"/>
        <w:rPr>
          <w:rFonts w:hint="eastAsia" w:ascii="黑体" w:hAnsi="黑体"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投标供应商</w:t>
      </w:r>
      <w:r>
        <w:rPr>
          <w:rFonts w:hint="eastAsia" w:ascii="黑体" w:hAnsi="黑体" w:eastAsia="黑体"/>
          <w:color w:val="000000" w:themeColor="text1"/>
          <w:sz w:val="32"/>
          <w:szCs w:val="32"/>
          <w14:textFill>
            <w14:solidFill>
              <w14:schemeClr w14:val="tx1"/>
            </w14:solidFill>
          </w14:textFill>
        </w:rPr>
        <w:t>：</w:t>
      </w:r>
      <w:r>
        <w:rPr>
          <w:rFonts w:ascii="黑体" w:hAnsi="黑体" w:eastAsia="黑体"/>
          <w:color w:val="000000" w:themeColor="text1"/>
          <w:sz w:val="32"/>
          <w:szCs w:val="32"/>
          <w:u w:val="single"/>
          <w14:textFill>
            <w14:solidFill>
              <w14:schemeClr w14:val="tx1"/>
            </w14:solidFill>
          </w14:textFill>
        </w:rPr>
        <w:t xml:space="preserve">                                          </w:t>
      </w:r>
    </w:p>
    <w:p w14:paraId="5624ED6A">
      <w:pPr>
        <w:ind w:left="840" w:firstLine="420"/>
        <w:rPr>
          <w:rFonts w:hint="eastAsia"/>
          <w:b/>
          <w:bCs/>
          <w:color w:val="000000" w:themeColor="text1"/>
          <w:sz w:val="28"/>
          <w:szCs w:val="28"/>
          <w14:textFill>
            <w14:solidFill>
              <w14:schemeClr w14:val="tx1"/>
            </w14:solidFill>
          </w14:textFill>
        </w:rPr>
      </w:pPr>
    </w:p>
    <w:p w14:paraId="525AF4C4">
      <w:pPr>
        <w:ind w:left="840" w:firstLine="420"/>
        <w:rPr>
          <w:rFonts w:hint="eastAsia"/>
          <w:b/>
          <w:bCs/>
          <w:color w:val="000000" w:themeColor="text1"/>
          <w:sz w:val="28"/>
          <w:szCs w:val="28"/>
          <w14:textFill>
            <w14:solidFill>
              <w14:schemeClr w14:val="tx1"/>
            </w14:solidFill>
          </w14:textFill>
        </w:rPr>
      </w:pPr>
    </w:p>
    <w:p w14:paraId="2B0A50B9">
      <w:pPr>
        <w:ind w:left="840" w:firstLine="420"/>
        <w:rPr>
          <w:rFonts w:hint="eastAsia"/>
          <w:b/>
          <w:bCs/>
          <w:color w:val="000000" w:themeColor="text1"/>
          <w:sz w:val="28"/>
          <w:szCs w:val="28"/>
          <w14:textFill>
            <w14:solidFill>
              <w14:schemeClr w14:val="tx1"/>
            </w14:solidFill>
          </w14:textFill>
        </w:rPr>
      </w:pPr>
    </w:p>
    <w:p w14:paraId="28D158AD">
      <w:pPr>
        <w:ind w:left="840" w:firstLine="420"/>
        <w:rPr>
          <w:rFonts w:hint="eastAsia"/>
          <w:b/>
          <w:bCs/>
          <w:color w:val="000000" w:themeColor="text1"/>
          <w:sz w:val="28"/>
          <w:szCs w:val="28"/>
          <w14:textFill>
            <w14:solidFill>
              <w14:schemeClr w14:val="tx1"/>
            </w14:solidFill>
          </w14:textFill>
        </w:rPr>
      </w:pPr>
    </w:p>
    <w:p w14:paraId="54D1E9E6">
      <w:pPr>
        <w:jc w:val="center"/>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年 </w:t>
      </w:r>
      <w:r>
        <w:rPr>
          <w:rFonts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 xml:space="preserve">月 </w:t>
      </w:r>
      <w:r>
        <w:rPr>
          <w:rFonts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日</w:t>
      </w:r>
    </w:p>
    <w:p w14:paraId="12EDB60A">
      <w:pPr>
        <w:rPr>
          <w:rFonts w:hint="eastAsia"/>
          <w:color w:val="000000" w:themeColor="text1"/>
          <w:lang w:val="zh-CN"/>
          <w14:textFill>
            <w14:solidFill>
              <w14:schemeClr w14:val="tx1"/>
            </w14:solidFill>
          </w14:textFill>
        </w:rPr>
      </w:pPr>
      <w:r>
        <w:rPr>
          <w:color w:val="000000" w:themeColor="text1"/>
          <w:lang w:val="zh-CN"/>
          <w14:textFill>
            <w14:solidFill>
              <w14:schemeClr w14:val="tx1"/>
            </w14:solidFill>
          </w14:textFill>
        </w:rPr>
        <w:br w:type="page"/>
      </w:r>
    </w:p>
    <w:p w14:paraId="7ACB8A7D">
      <w:pPr>
        <w:pStyle w:val="5"/>
        <w:numPr>
          <w:ilvl w:val="0"/>
          <w:numId w:val="26"/>
        </w:numPr>
        <w:jc w:val="center"/>
        <w:rPr>
          <w:rFonts w:hint="eastAsia"/>
          <w:color w:val="000000" w:themeColor="text1"/>
          <w14:textFill>
            <w14:solidFill>
              <w14:schemeClr w14:val="tx1"/>
            </w14:solidFill>
          </w14:textFill>
        </w:rPr>
      </w:pPr>
      <w:bookmarkStart w:id="430" w:name="_Toc109900327"/>
      <w:bookmarkStart w:id="431" w:name="_Toc155185921"/>
      <w:bookmarkStart w:id="432" w:name="_Toc140132831"/>
      <w:bookmarkStart w:id="433" w:name="_Toc21170"/>
      <w:bookmarkStart w:id="434" w:name="_Toc109899908"/>
      <w:bookmarkStart w:id="435" w:name="_Toc3577"/>
      <w:bookmarkStart w:id="436" w:name="_Toc109899489"/>
      <w:bookmarkStart w:id="437" w:name="_Toc25402"/>
      <w:r>
        <w:rPr>
          <w:rFonts w:hint="eastAsia"/>
          <w:color w:val="000000" w:themeColor="text1"/>
          <w14:textFill>
            <w14:solidFill>
              <w14:schemeClr w14:val="tx1"/>
            </w14:solidFill>
          </w14:textFill>
        </w:rPr>
        <w:t>投标函</w:t>
      </w:r>
      <w:bookmarkEnd w:id="430"/>
      <w:bookmarkEnd w:id="431"/>
      <w:bookmarkEnd w:id="432"/>
      <w:bookmarkEnd w:id="433"/>
      <w:bookmarkEnd w:id="434"/>
      <w:bookmarkEnd w:id="435"/>
      <w:bookmarkEnd w:id="436"/>
      <w:bookmarkEnd w:id="437"/>
    </w:p>
    <w:p w14:paraId="690E4BAD">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致：（采购人和采购代理机构）</w:t>
      </w:r>
    </w:p>
    <w:p w14:paraId="122CBE5D">
      <w:pPr>
        <w:ind w:firstLine="480" w:firstLineChars="200"/>
        <w:rPr>
          <w:rFonts w:hint="eastAsia" w:cs="仿宋_GB2312"/>
          <w:b/>
          <w:bCs/>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根据贵方</w:t>
      </w:r>
      <w:r>
        <w:rPr>
          <w:rFonts w:hint="eastAsia" w:cs="仿宋_GB2312"/>
          <w:color w:val="000000" w:themeColor="text1"/>
          <w:szCs w:val="24"/>
          <w:u w:val="single"/>
          <w14:textFill>
            <w14:solidFill>
              <w14:schemeClr w14:val="tx1"/>
            </w14:solidFill>
          </w14:textFill>
        </w:rPr>
        <w:t>（项目名称）（项目编号）</w:t>
      </w:r>
      <w:r>
        <w:rPr>
          <w:rFonts w:hint="eastAsia" w:cs="仿宋_GB2312"/>
          <w:color w:val="000000" w:themeColor="text1"/>
          <w:szCs w:val="24"/>
          <w14:textFill>
            <w14:solidFill>
              <w14:schemeClr w14:val="tx1"/>
            </w14:solidFill>
          </w14:textFill>
        </w:rPr>
        <w:t>招标的投标邀请，签字代表</w:t>
      </w:r>
      <w:r>
        <w:rPr>
          <w:rFonts w:hint="eastAsia" w:cs="仿宋_GB2312"/>
          <w:color w:val="000000" w:themeColor="text1"/>
          <w:szCs w:val="24"/>
          <w:u w:val="single"/>
          <w14:textFill>
            <w14:solidFill>
              <w14:schemeClr w14:val="tx1"/>
            </w14:solidFill>
          </w14:textFill>
        </w:rPr>
        <w:t>（姓名、职务）</w:t>
      </w:r>
      <w:r>
        <w:rPr>
          <w:rFonts w:hint="eastAsia" w:cs="仿宋_GB2312"/>
          <w:color w:val="000000" w:themeColor="text1"/>
          <w:szCs w:val="24"/>
          <w14:textFill>
            <w14:solidFill>
              <w14:schemeClr w14:val="tx1"/>
            </w14:solidFill>
          </w14:textFill>
        </w:rPr>
        <w:t>经正式授权并代表投标供应商</w:t>
      </w:r>
      <w:r>
        <w:rPr>
          <w:rFonts w:hint="eastAsia" w:cs="仿宋_GB2312"/>
          <w:color w:val="000000" w:themeColor="text1"/>
          <w:szCs w:val="24"/>
          <w:u w:val="single"/>
          <w14:textFill>
            <w14:solidFill>
              <w14:schemeClr w14:val="tx1"/>
            </w14:solidFill>
          </w14:textFill>
        </w:rPr>
        <w:t>（投标供应商名称、地址）</w:t>
      </w:r>
      <w:r>
        <w:rPr>
          <w:rFonts w:hint="eastAsia" w:cs="仿宋_GB2312"/>
          <w:color w:val="000000" w:themeColor="text1"/>
          <w:szCs w:val="24"/>
          <w14:textFill>
            <w14:solidFill>
              <w14:schemeClr w14:val="tx1"/>
            </w14:solidFill>
          </w14:textFill>
        </w:rPr>
        <w:t>提交下述文件</w:t>
      </w:r>
      <w:r>
        <w:rPr>
          <w:rFonts w:hint="eastAsia" w:cs="仿宋_GB2312"/>
          <w:b/>
          <w:bCs/>
          <w:color w:val="000000" w:themeColor="text1"/>
          <w:szCs w:val="24"/>
          <w14:textFill>
            <w14:solidFill>
              <w14:schemeClr w14:val="tx1"/>
            </w14:solidFill>
          </w14:textFill>
        </w:rPr>
        <w:t>：</w:t>
      </w:r>
    </w:p>
    <w:p w14:paraId="6ACE3310">
      <w:pPr>
        <w:numPr>
          <w:ilvl w:val="0"/>
          <w:numId w:val="27"/>
        </w:numPr>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投标报价</w:t>
      </w:r>
      <w:r>
        <w:rPr>
          <w:rFonts w:cs="Arial"/>
          <w:color w:val="000000" w:themeColor="text1"/>
          <w:szCs w:val="24"/>
          <w14:textFill>
            <w14:solidFill>
              <w14:schemeClr w14:val="tx1"/>
            </w14:solidFill>
          </w14:textFill>
        </w:rPr>
        <w:t>文件；</w:t>
      </w:r>
    </w:p>
    <w:p w14:paraId="003EB3BA">
      <w:pPr>
        <w:numPr>
          <w:ilvl w:val="0"/>
          <w:numId w:val="27"/>
        </w:numPr>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资格性响应文件；</w:t>
      </w:r>
    </w:p>
    <w:p w14:paraId="56B3B147">
      <w:pPr>
        <w:numPr>
          <w:ilvl w:val="0"/>
          <w:numId w:val="27"/>
        </w:numPr>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其他响应文件</w:t>
      </w:r>
      <w:r>
        <w:rPr>
          <w:rFonts w:cs="Arial"/>
          <w:color w:val="000000" w:themeColor="text1"/>
          <w:szCs w:val="24"/>
          <w14:textFill>
            <w14:solidFill>
              <w14:schemeClr w14:val="tx1"/>
            </w14:solidFill>
          </w14:textFill>
        </w:rPr>
        <w:t>。</w:t>
      </w:r>
    </w:p>
    <w:p w14:paraId="258B4BE4">
      <w:pPr>
        <w:spacing w:line="324" w:lineRule="auto"/>
        <w:ind w:left="360"/>
        <w:rPr>
          <w:rFonts w:hint="eastAsia" w:cs="Arial"/>
          <w:color w:val="000000" w:themeColor="text1"/>
          <w:szCs w:val="24"/>
          <w14:textFill>
            <w14:solidFill>
              <w14:schemeClr w14:val="tx1"/>
            </w14:solidFill>
          </w14:textFill>
        </w:rPr>
      </w:pPr>
      <w:r>
        <w:rPr>
          <w:rFonts w:cs="Arial"/>
          <w:color w:val="000000" w:themeColor="text1"/>
          <w:szCs w:val="24"/>
          <w14:textFill>
            <w14:solidFill>
              <w14:schemeClr w14:val="tx1"/>
            </w14:solidFill>
          </w14:textFill>
        </w:rPr>
        <w:t>根据此函，签字代表宣布同意如下：</w:t>
      </w:r>
    </w:p>
    <w:p w14:paraId="1E492B4C">
      <w:pPr>
        <w:numPr>
          <w:ilvl w:val="0"/>
          <w:numId w:val="28"/>
        </w:numPr>
        <w:spacing w:line="324" w:lineRule="auto"/>
        <w:jc w:val="both"/>
        <w:rPr>
          <w:rFonts w:hint="eastAsia" w:cs="Arial"/>
          <w:color w:val="000000" w:themeColor="text1"/>
          <w:szCs w:val="24"/>
          <w14:textFill>
            <w14:solidFill>
              <w14:schemeClr w14:val="tx1"/>
            </w14:solidFill>
          </w14:textFill>
        </w:rPr>
      </w:pPr>
      <w:r>
        <w:rPr>
          <w:rFonts w:cs="Arial"/>
          <w:color w:val="000000" w:themeColor="text1"/>
          <w:szCs w:val="24"/>
          <w14:textFill>
            <w14:solidFill>
              <w14:schemeClr w14:val="tx1"/>
            </w14:solidFill>
          </w14:textFill>
        </w:rPr>
        <w:t>所附投标价格表中规定的应提交和交付的服务和</w:t>
      </w:r>
      <w:r>
        <w:rPr>
          <w:rFonts w:hint="eastAsia" w:cs="Arial"/>
          <w:color w:val="000000" w:themeColor="text1"/>
          <w:szCs w:val="24"/>
          <w14:textFill>
            <w14:solidFill>
              <w14:schemeClr w14:val="tx1"/>
            </w14:solidFill>
          </w14:textFill>
        </w:rPr>
        <w:t>货物（如有）</w:t>
      </w:r>
      <w:r>
        <w:rPr>
          <w:rFonts w:cs="Arial"/>
          <w:color w:val="000000" w:themeColor="text1"/>
          <w:szCs w:val="24"/>
          <w14:textFill>
            <w14:solidFill>
              <w14:schemeClr w14:val="tx1"/>
            </w14:solidFill>
          </w14:textFill>
        </w:rPr>
        <w:t>的</w:t>
      </w:r>
      <w:r>
        <w:rPr>
          <w:rFonts w:hint="eastAsia" w:cs="Arial"/>
          <w:color w:val="000000" w:themeColor="text1"/>
          <w:szCs w:val="24"/>
          <w14:textFill>
            <w14:solidFill>
              <w14:schemeClr w14:val="tx1"/>
            </w14:solidFill>
          </w14:textFill>
        </w:rPr>
        <w:t>投标报价</w:t>
      </w:r>
      <w:r>
        <w:rPr>
          <w:rFonts w:cs="Arial"/>
          <w:color w:val="000000" w:themeColor="text1"/>
          <w:szCs w:val="24"/>
          <w14:textFill>
            <w14:solidFill>
              <w14:schemeClr w14:val="tx1"/>
            </w14:solidFill>
          </w14:textFill>
        </w:rPr>
        <w:t>为</w:t>
      </w:r>
      <w:r>
        <w:rPr>
          <w:rFonts w:hint="eastAsia" w:cs="Arial"/>
          <w:color w:val="000000" w:themeColor="text1"/>
          <w:szCs w:val="24"/>
          <w14:textFill>
            <w14:solidFill>
              <w14:schemeClr w14:val="tx1"/>
            </w14:solidFill>
          </w14:textFill>
        </w:rPr>
        <w:t xml:space="preserve"> </w:t>
      </w:r>
      <w:r>
        <w:rPr>
          <w:rFonts w:hint="eastAsia" w:cs="Arial"/>
          <w:color w:val="000000" w:themeColor="text1"/>
          <w:szCs w:val="24"/>
          <w:u w:val="single"/>
          <w14:textFill>
            <w14:solidFill>
              <w14:schemeClr w14:val="tx1"/>
            </w14:solidFill>
          </w14:textFill>
        </w:rPr>
        <w:t xml:space="preserve">                  </w:t>
      </w:r>
      <w:r>
        <w:rPr>
          <w:rFonts w:cs="Arial"/>
          <w:color w:val="000000" w:themeColor="text1"/>
          <w:szCs w:val="24"/>
          <w14:textFill>
            <w14:solidFill>
              <w14:schemeClr w14:val="tx1"/>
            </w14:solidFill>
          </w14:textFill>
        </w:rPr>
        <w:t>。</w:t>
      </w:r>
    </w:p>
    <w:p w14:paraId="1C57980C">
      <w:pPr>
        <w:numPr>
          <w:ilvl w:val="0"/>
          <w:numId w:val="28"/>
        </w:numPr>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我方</w:t>
      </w:r>
      <w:r>
        <w:rPr>
          <w:rFonts w:cs="Arial"/>
          <w:color w:val="000000" w:themeColor="text1"/>
          <w:szCs w:val="24"/>
          <w14:textFill>
            <w14:solidFill>
              <w14:schemeClr w14:val="tx1"/>
            </w14:solidFill>
          </w14:textFill>
        </w:rPr>
        <w:t>将按招标文件的规定履行合同责任和义务。</w:t>
      </w:r>
    </w:p>
    <w:p w14:paraId="6207645D">
      <w:pPr>
        <w:numPr>
          <w:ilvl w:val="0"/>
          <w:numId w:val="28"/>
        </w:numPr>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我方</w:t>
      </w:r>
      <w:r>
        <w:rPr>
          <w:rFonts w:cs="Arial"/>
          <w:color w:val="000000" w:themeColor="text1"/>
          <w:szCs w:val="24"/>
          <w14:textFill>
            <w14:solidFill>
              <w14:schemeClr w14:val="tx1"/>
            </w14:solidFill>
          </w14:textFill>
        </w:rPr>
        <w:t>已详细审查全部招标文件，包括第</w:t>
      </w:r>
      <w:r>
        <w:rPr>
          <w:rFonts w:cs="Arial"/>
          <w:i/>
          <w:color w:val="000000" w:themeColor="text1"/>
          <w:szCs w:val="24"/>
          <w:u w:val="single"/>
          <w14:textFill>
            <w14:solidFill>
              <w14:schemeClr w14:val="tx1"/>
            </w14:solidFill>
          </w14:textFill>
        </w:rPr>
        <w:t>（编号、补遗书）（如果有的话）</w:t>
      </w:r>
      <w:r>
        <w:rPr>
          <w:rFonts w:cs="Arial"/>
          <w:color w:val="000000" w:themeColor="text1"/>
          <w:szCs w:val="24"/>
          <w14:textFill>
            <w14:solidFill>
              <w14:schemeClr w14:val="tx1"/>
            </w14:solidFill>
          </w14:textFill>
        </w:rPr>
        <w:t>。我</w:t>
      </w:r>
      <w:r>
        <w:rPr>
          <w:rFonts w:hint="eastAsia" w:cs="Arial"/>
          <w:color w:val="000000" w:themeColor="text1"/>
          <w:szCs w:val="24"/>
          <w14:textFill>
            <w14:solidFill>
              <w14:schemeClr w14:val="tx1"/>
            </w14:solidFill>
          </w14:textFill>
        </w:rPr>
        <w:t>方</w:t>
      </w:r>
      <w:r>
        <w:rPr>
          <w:rFonts w:cs="Arial"/>
          <w:color w:val="000000" w:themeColor="text1"/>
          <w:szCs w:val="24"/>
          <w14:textFill>
            <w14:solidFill>
              <w14:schemeClr w14:val="tx1"/>
            </w14:solidFill>
          </w14:textFill>
        </w:rPr>
        <w:t>完全理解并同意放弃对这方面有不明及误解的权力。</w:t>
      </w:r>
    </w:p>
    <w:p w14:paraId="78D6022F">
      <w:pPr>
        <w:numPr>
          <w:ilvl w:val="0"/>
          <w:numId w:val="28"/>
        </w:numPr>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投标/响应有效期为自提交投标/响应文件的截止之日起</w:t>
      </w:r>
      <w:r>
        <w:rPr>
          <w:rFonts w:hint="eastAsia" w:cs="Arial"/>
          <w:i/>
          <w:color w:val="000000" w:themeColor="text1"/>
          <w:szCs w:val="24"/>
          <w:u w:val="single"/>
          <w14:textFill>
            <w14:solidFill>
              <w14:schemeClr w14:val="tx1"/>
            </w14:solidFill>
          </w14:textFill>
        </w:rPr>
        <w:t xml:space="preserve"> （由投标供应商填写）</w:t>
      </w:r>
      <w:r>
        <w:rPr>
          <w:rFonts w:cs="Arial"/>
          <w:color w:val="000000" w:themeColor="text1"/>
          <w:szCs w:val="24"/>
          <w14:textFill>
            <w14:solidFill>
              <w14:schemeClr w14:val="tx1"/>
            </w14:solidFill>
          </w14:textFill>
        </w:rPr>
        <w:t>个日历天。</w:t>
      </w:r>
    </w:p>
    <w:p w14:paraId="445EE881">
      <w:pPr>
        <w:numPr>
          <w:ilvl w:val="0"/>
          <w:numId w:val="28"/>
        </w:numPr>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我方</w:t>
      </w:r>
      <w:r>
        <w:rPr>
          <w:rFonts w:cs="Arial"/>
          <w:color w:val="000000" w:themeColor="text1"/>
          <w:szCs w:val="24"/>
          <w14:textFill>
            <w14:solidFill>
              <w14:schemeClr w14:val="tx1"/>
            </w14:solidFill>
          </w14:textFill>
        </w:rPr>
        <w:t>同意提供按照贵方</w:t>
      </w:r>
      <w:r>
        <w:rPr>
          <w:rFonts w:hint="eastAsia" w:cs="Arial"/>
          <w:color w:val="000000" w:themeColor="text1"/>
          <w:szCs w:val="24"/>
          <w14:textFill>
            <w14:solidFill>
              <w14:schemeClr w14:val="tx1"/>
            </w14:solidFill>
          </w14:textFill>
        </w:rPr>
        <w:t>投标文件</w:t>
      </w:r>
      <w:r>
        <w:rPr>
          <w:rFonts w:cs="Arial"/>
          <w:color w:val="000000" w:themeColor="text1"/>
          <w:szCs w:val="24"/>
          <w14:textFill>
            <w14:solidFill>
              <w14:schemeClr w14:val="tx1"/>
            </w14:solidFill>
          </w14:textFill>
        </w:rPr>
        <w:t>要求的与其投标有关的一切数据或资料，</w:t>
      </w:r>
      <w:r>
        <w:rPr>
          <w:rFonts w:hint="eastAsia" w:cs="Arial"/>
          <w:color w:val="000000" w:themeColor="text1"/>
          <w:szCs w:val="24"/>
          <w14:textFill>
            <w14:solidFill>
              <w14:schemeClr w14:val="tx1"/>
            </w14:solidFill>
          </w14:textFill>
        </w:rPr>
        <w:t>采用综合评分法时，我方</w:t>
      </w:r>
      <w:r>
        <w:rPr>
          <w:rFonts w:cs="Arial"/>
          <w:color w:val="000000" w:themeColor="text1"/>
          <w:szCs w:val="24"/>
          <w14:textFill>
            <w14:solidFill>
              <w14:schemeClr w14:val="tx1"/>
            </w14:solidFill>
          </w14:textFill>
        </w:rPr>
        <w:t>完全理解贵方不一定接受最低价的投标。</w:t>
      </w:r>
    </w:p>
    <w:p w14:paraId="4935E729">
      <w:pPr>
        <w:numPr>
          <w:ilvl w:val="0"/>
          <w:numId w:val="28"/>
        </w:numPr>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本项目如由中标人支付采购代理服务费，我方同意按投标供应商须知前附表中规定向采购代理机构支付采购代理服务费。</w:t>
      </w:r>
    </w:p>
    <w:p w14:paraId="7CCC2D3C">
      <w:pPr>
        <w:numPr>
          <w:ilvl w:val="0"/>
          <w:numId w:val="28"/>
        </w:numPr>
        <w:snapToGrid w:val="0"/>
        <w:spacing w:line="324" w:lineRule="auto"/>
        <w:jc w:val="both"/>
        <w:rPr>
          <w:rFonts w:hint="eastAsia" w:cs="Arial"/>
          <w:color w:val="000000" w:themeColor="text1"/>
          <w:szCs w:val="24"/>
          <w14:textFill>
            <w14:solidFill>
              <w14:schemeClr w14:val="tx1"/>
            </w14:solidFill>
          </w14:textFill>
        </w:rPr>
      </w:pPr>
      <w:r>
        <w:rPr>
          <w:rFonts w:hint="eastAsia" w:cs="Arial"/>
          <w:color w:val="000000" w:themeColor="text1"/>
          <w:szCs w:val="24"/>
          <w14:textFill>
            <w14:solidFill>
              <w14:schemeClr w14:val="tx1"/>
            </w14:solidFill>
          </w14:textFill>
        </w:rPr>
        <w:t>重要声明：</w:t>
      </w:r>
    </w:p>
    <w:p w14:paraId="6AE3F308">
      <w:pPr>
        <w:snapToGrid w:val="0"/>
        <w:spacing w:line="324" w:lineRule="auto"/>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1）与我方单位负责人为同一人的其他单位名称：</w:t>
      </w:r>
    </w:p>
    <w:p w14:paraId="322F63C8">
      <w:pPr>
        <w:snapToGrid w:val="0"/>
        <w:spacing w:line="324" w:lineRule="auto"/>
        <w:ind w:left="456" w:leftChars="190" w:firstLine="355" w:firstLineChars="148"/>
        <w:rPr>
          <w:rFonts w:hint="eastAsia"/>
          <w:color w:val="000000" w:themeColor="text1"/>
          <w:szCs w:val="24"/>
          <w14:textFill>
            <w14:solidFill>
              <w14:schemeClr w14:val="tx1"/>
            </w14:solidFill>
          </w14:textFill>
        </w:rPr>
      </w:pPr>
      <w:r>
        <w:rPr>
          <w:rFonts w:hint="eastAsia" w:cs="Arial"/>
          <w:color w:val="000000" w:themeColor="text1"/>
          <w:szCs w:val="24"/>
          <w:bdr w:val="single" w:color="auto" w:sz="4" w:space="0"/>
          <w14:textFill>
            <w14:solidFill>
              <w14:schemeClr w14:val="tx1"/>
            </w14:solidFill>
          </w14:textFill>
        </w:rPr>
        <w:t>√</w:t>
      </w:r>
      <w:r>
        <w:rPr>
          <w:rFonts w:hint="eastAsia"/>
          <w:color w:val="000000" w:themeColor="text1"/>
          <w:szCs w:val="24"/>
          <w14:textFill>
            <w14:solidFill>
              <w14:schemeClr w14:val="tx1"/>
            </w14:solidFill>
          </w14:textFill>
        </w:rPr>
        <w:t>无；□有，具体单位名称为：</w:t>
      </w:r>
      <w:r>
        <w:rPr>
          <w:rFonts w:hint="eastAsia" w:cs="Arial"/>
          <w:i/>
          <w:color w:val="000000" w:themeColor="text1"/>
          <w:szCs w:val="24"/>
          <w:u w:val="single"/>
          <w14:textFill>
            <w14:solidFill>
              <w14:schemeClr w14:val="tx1"/>
            </w14:solidFill>
          </w14:textFill>
        </w:rPr>
        <w:t>（由投标供应商如实填写）</w:t>
      </w:r>
      <w:r>
        <w:rPr>
          <w:rFonts w:hint="eastAsia"/>
          <w:color w:val="000000" w:themeColor="text1"/>
          <w:szCs w:val="24"/>
          <w14:textFill>
            <w14:solidFill>
              <w14:schemeClr w14:val="tx1"/>
            </w14:solidFill>
          </w14:textFill>
        </w:rPr>
        <w:t>。</w:t>
      </w:r>
    </w:p>
    <w:p w14:paraId="13C10106">
      <w:pPr>
        <w:snapToGrid w:val="0"/>
        <w:spacing w:line="324" w:lineRule="auto"/>
        <w:ind w:left="4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2）与我方存在控股、管理关系的其他单位的名称：</w:t>
      </w:r>
    </w:p>
    <w:p w14:paraId="1191ECE1">
      <w:pPr>
        <w:snapToGrid w:val="0"/>
        <w:spacing w:line="324" w:lineRule="auto"/>
        <w:ind w:left="456" w:leftChars="190" w:firstLine="355" w:firstLineChars="148"/>
        <w:rPr>
          <w:rFonts w:hint="eastAsia"/>
          <w:color w:val="000000" w:themeColor="text1"/>
          <w:szCs w:val="24"/>
          <w14:textFill>
            <w14:solidFill>
              <w14:schemeClr w14:val="tx1"/>
            </w14:solidFill>
          </w14:textFill>
        </w:rPr>
      </w:pPr>
      <w:r>
        <w:rPr>
          <w:rFonts w:hint="eastAsia" w:cs="Arial"/>
          <w:color w:val="000000" w:themeColor="text1"/>
          <w:szCs w:val="24"/>
          <w:bdr w:val="single" w:color="auto" w:sz="4" w:space="0"/>
          <w14:textFill>
            <w14:solidFill>
              <w14:schemeClr w14:val="tx1"/>
            </w14:solidFill>
          </w14:textFill>
        </w:rPr>
        <w:t>√</w:t>
      </w:r>
      <w:r>
        <w:rPr>
          <w:rFonts w:hint="eastAsia"/>
          <w:color w:val="000000" w:themeColor="text1"/>
          <w:szCs w:val="24"/>
          <w14:textFill>
            <w14:solidFill>
              <w14:schemeClr w14:val="tx1"/>
            </w14:solidFill>
          </w14:textFill>
        </w:rPr>
        <w:t xml:space="preserve">无；□有，具体单位名称为： </w:t>
      </w:r>
      <w:r>
        <w:rPr>
          <w:rFonts w:hint="eastAsia" w:cs="Arial"/>
          <w:i/>
          <w:color w:val="000000" w:themeColor="text1"/>
          <w:szCs w:val="24"/>
          <w:u w:val="single"/>
          <w14:textFill>
            <w14:solidFill>
              <w14:schemeClr w14:val="tx1"/>
            </w14:solidFill>
          </w14:textFill>
        </w:rPr>
        <w:t>（由投标供应商如实填写）</w:t>
      </w:r>
      <w:r>
        <w:rPr>
          <w:rFonts w:hint="eastAsia"/>
          <w:color w:val="000000" w:themeColor="text1"/>
          <w:szCs w:val="24"/>
          <w14:textFill>
            <w14:solidFill>
              <w14:schemeClr w14:val="tx1"/>
            </w14:solidFill>
          </w14:textFill>
        </w:rPr>
        <w:t>。</w:t>
      </w:r>
    </w:p>
    <w:p w14:paraId="6FAB9025">
      <w:pPr>
        <w:snapToGrid w:val="0"/>
        <w:spacing w:line="324" w:lineRule="auto"/>
        <w:ind w:left="4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3）参与本项目采购活动前，是否为本项目前期准备提供过整体设计、规范编制或者项目管理、监理、检测等服务：</w:t>
      </w:r>
    </w:p>
    <w:p w14:paraId="7881ECB0">
      <w:pPr>
        <w:snapToGrid w:val="0"/>
        <w:spacing w:line="324" w:lineRule="auto"/>
        <w:ind w:left="456" w:leftChars="190" w:firstLine="355" w:firstLineChars="148"/>
        <w:rPr>
          <w:rFonts w:hint="eastAsia"/>
          <w:color w:val="000000" w:themeColor="text1"/>
          <w:szCs w:val="24"/>
          <w14:textFill>
            <w14:solidFill>
              <w14:schemeClr w14:val="tx1"/>
            </w14:solidFill>
          </w14:textFill>
        </w:rPr>
      </w:pPr>
      <w:r>
        <w:rPr>
          <w:rFonts w:hint="eastAsia" w:cs="Arial"/>
          <w:color w:val="000000" w:themeColor="text1"/>
          <w:szCs w:val="24"/>
          <w:bdr w:val="single" w:color="auto" w:sz="4" w:space="0"/>
          <w14:textFill>
            <w14:solidFill>
              <w14:schemeClr w14:val="tx1"/>
            </w14:solidFill>
          </w14:textFill>
        </w:rPr>
        <w:t>√</w:t>
      </w:r>
      <w:r>
        <w:rPr>
          <w:rFonts w:hint="eastAsia"/>
          <w:color w:val="000000" w:themeColor="text1"/>
          <w:szCs w:val="24"/>
          <w14:textFill>
            <w14:solidFill>
              <w14:schemeClr w14:val="tx1"/>
            </w14:solidFill>
          </w14:textFill>
        </w:rPr>
        <w:t xml:space="preserve">无；□有，已提供的具体服务内容为： </w:t>
      </w:r>
      <w:r>
        <w:rPr>
          <w:rFonts w:hint="eastAsia" w:cs="Arial"/>
          <w:i/>
          <w:color w:val="000000" w:themeColor="text1"/>
          <w:szCs w:val="24"/>
          <w:u w:val="single"/>
          <w14:textFill>
            <w14:solidFill>
              <w14:schemeClr w14:val="tx1"/>
            </w14:solidFill>
          </w14:textFill>
        </w:rPr>
        <w:t>（由投标供应商如实填写）</w:t>
      </w:r>
      <w:r>
        <w:rPr>
          <w:rFonts w:hint="eastAsia"/>
          <w:color w:val="000000" w:themeColor="text1"/>
          <w:szCs w:val="24"/>
          <w14:textFill>
            <w14:solidFill>
              <w14:schemeClr w14:val="tx1"/>
            </w14:solidFill>
          </w14:textFill>
        </w:rPr>
        <w:t>。</w:t>
      </w:r>
    </w:p>
    <w:p w14:paraId="70DD7924">
      <w:pPr>
        <w:spacing w:line="324" w:lineRule="auto"/>
        <w:ind w:left="720" w:leftChars="3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（备注：以上</w:t>
      </w:r>
      <w:r>
        <w:rPr>
          <w:color w:val="000000" w:themeColor="text1"/>
          <w:szCs w:val="24"/>
          <w14:textFill>
            <w14:solidFill>
              <w14:schemeClr w14:val="tx1"/>
            </w14:solidFill>
          </w14:textFill>
        </w:rPr>
        <w:t>3</w:t>
      </w:r>
      <w:r>
        <w:rPr>
          <w:rFonts w:hint="eastAsia"/>
          <w:color w:val="000000" w:themeColor="text1"/>
          <w:szCs w:val="24"/>
          <w14:textFill>
            <w14:solidFill>
              <w14:schemeClr w14:val="tx1"/>
            </w14:solidFill>
          </w14:textFill>
        </w:rPr>
        <w:t>项声明，必须如实选择，选中项用</w:t>
      </w:r>
      <w:r>
        <w:rPr>
          <w:rFonts w:hint="eastAsia"/>
          <w:color w:val="000000" w:themeColor="text1"/>
          <w:szCs w:val="24"/>
          <w:bdr w:val="single" w:color="auto" w:sz="4" w:space="0"/>
          <w14:textFill>
            <w14:solidFill>
              <w14:schemeClr w14:val="tx1"/>
            </w14:solidFill>
          </w14:textFill>
        </w:rPr>
        <w:t>√</w:t>
      </w:r>
      <w:r>
        <w:rPr>
          <w:rFonts w:hint="eastAsia"/>
          <w:color w:val="000000" w:themeColor="text1"/>
          <w:szCs w:val="24"/>
          <w14:textFill>
            <w14:solidFill>
              <w14:schemeClr w14:val="tx1"/>
            </w14:solidFill>
          </w14:textFill>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中标，应承担相应法律责任。）</w:t>
      </w:r>
    </w:p>
    <w:p w14:paraId="3B01546F">
      <w:pPr>
        <w:snapToGrid w:val="0"/>
        <w:spacing w:line="324" w:lineRule="auto"/>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4）我方在本投标文件中所提供的全部资料均真实有效，我方承诺对其真实性负责并承担相应后果。</w:t>
      </w:r>
    </w:p>
    <w:p w14:paraId="73CA959E">
      <w:pPr>
        <w:snapToGrid w:val="0"/>
        <w:spacing w:line="324" w:lineRule="auto"/>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w:t>
      </w:r>
      <w:bookmarkStart w:id="438" w:name="_Hlk161604053"/>
      <w:r>
        <w:rPr>
          <w:rFonts w:hint="eastAsia"/>
          <w:color w:val="000000" w:themeColor="text1"/>
          <w:szCs w:val="24"/>
          <w14:textFill>
            <w14:solidFill>
              <w14:schemeClr w14:val="tx1"/>
            </w14:solidFill>
          </w14:textFill>
        </w:rPr>
        <w:t>我方承诺本《投标函》的签章对本投标文件全部内容具有约束力并承担法律责任。</w:t>
      </w:r>
      <w:bookmarkEnd w:id="438"/>
    </w:p>
    <w:p w14:paraId="051B3AB4">
      <w:pPr>
        <w:spacing w:line="300" w:lineRule="auto"/>
        <w:rPr>
          <w:rFonts w:hint="eastAsia" w:cs="Arial"/>
          <w:color w:val="000000" w:themeColor="text1"/>
          <w:szCs w:val="24"/>
          <w14:textFill>
            <w14:solidFill>
              <w14:schemeClr w14:val="tx1"/>
            </w14:solidFill>
          </w14:textFill>
        </w:rPr>
      </w:pPr>
    </w:p>
    <w:p w14:paraId="3375FA83">
      <w:pPr>
        <w:spacing w:line="300" w:lineRule="auto"/>
        <w:rPr>
          <w:rFonts w:hint="eastAsia" w:cs="Arial"/>
          <w:color w:val="000000" w:themeColor="text1"/>
          <w:szCs w:val="24"/>
          <w14:textFill>
            <w14:solidFill>
              <w14:schemeClr w14:val="tx1"/>
            </w14:solidFill>
          </w14:textFill>
        </w:rPr>
      </w:pPr>
    </w:p>
    <w:p w14:paraId="58020D13">
      <w:pPr>
        <w:spacing w:line="300" w:lineRule="auto"/>
        <w:rPr>
          <w:rFonts w:hint="eastAsia" w:cs="Arial"/>
          <w:color w:val="000000" w:themeColor="text1"/>
          <w:szCs w:val="24"/>
          <w14:textFill>
            <w14:solidFill>
              <w14:schemeClr w14:val="tx1"/>
            </w14:solidFill>
          </w14:textFill>
        </w:rPr>
      </w:pPr>
    </w:p>
    <w:p w14:paraId="40D4D1D1">
      <w:pPr>
        <w:autoSpaceDE w:val="0"/>
        <w:autoSpaceDN w:val="0"/>
        <w:adjustRightInd w:val="0"/>
        <w:snapToGrid w:val="0"/>
        <w:ind w:firstLine="480" w:firstLineChars="200"/>
        <w:rPr>
          <w:rFonts w:hint="eastAsia"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 xml:space="preserve">投 </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 xml:space="preserve">标 </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人：（</w:t>
      </w:r>
      <w:r>
        <w:rPr>
          <w:rFonts w:hint="eastAsia" w:cs="宋体"/>
          <w:color w:val="000000" w:themeColor="text1"/>
          <w:lang w:val="en-US" w:eastAsia="zh-CN"/>
          <w14:textFill>
            <w14:solidFill>
              <w14:schemeClr w14:val="tx1"/>
            </w14:solidFill>
          </w14:textFill>
        </w:rPr>
        <w:t>电子签章</w:t>
      </w:r>
      <w:r>
        <w:rPr>
          <w:rFonts w:hint="eastAsia" w:cs="宋体"/>
          <w:color w:val="000000" w:themeColor="text1"/>
          <w14:textFill>
            <w14:solidFill>
              <w14:schemeClr w14:val="tx1"/>
            </w14:solidFill>
          </w14:textFill>
        </w:rPr>
        <w:t>）</w:t>
      </w:r>
    </w:p>
    <w:p w14:paraId="004D1C78">
      <w:pPr>
        <w:autoSpaceDE w:val="0"/>
        <w:autoSpaceDN w:val="0"/>
        <w:adjustRightInd w:val="0"/>
        <w:snapToGrid w:val="0"/>
        <w:ind w:firstLine="480" w:firstLineChars="200"/>
        <w:rPr>
          <w:rFonts w:hint="eastAsia"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通  讯  地  址：</w:t>
      </w:r>
    </w:p>
    <w:p w14:paraId="7A103BD6">
      <w:pPr>
        <w:autoSpaceDE w:val="0"/>
        <w:autoSpaceDN w:val="0"/>
        <w:adjustRightInd w:val="0"/>
        <w:snapToGrid w:val="0"/>
        <w:ind w:firstLine="480" w:firstLineChars="200"/>
        <w:rPr>
          <w:rFonts w:hint="eastAsia"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 xml:space="preserve">传       </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真：</w:t>
      </w:r>
    </w:p>
    <w:p w14:paraId="7C84ECAD">
      <w:pPr>
        <w:autoSpaceDE w:val="0"/>
        <w:autoSpaceDN w:val="0"/>
        <w:adjustRightInd w:val="0"/>
        <w:snapToGrid w:val="0"/>
        <w:ind w:firstLine="480" w:firstLineChars="200"/>
        <w:rPr>
          <w:rFonts w:hint="eastAsia"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电          话：</w:t>
      </w:r>
    </w:p>
    <w:p w14:paraId="206487B6">
      <w:pPr>
        <w:autoSpaceDE w:val="0"/>
        <w:autoSpaceDN w:val="0"/>
        <w:adjustRightInd w:val="0"/>
        <w:snapToGrid w:val="0"/>
        <w:ind w:firstLine="480" w:firstLineChars="200"/>
        <w:rPr>
          <w:rFonts w:hint="eastAsia"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 xml:space="preserve">授 </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 xml:space="preserve">权 </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 xml:space="preserve">代 </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表：</w:t>
      </w:r>
    </w:p>
    <w:p w14:paraId="01E4929C">
      <w:pPr>
        <w:ind w:firstLine="480" w:firstLineChars="200"/>
        <w:rPr>
          <w:rFonts w:hint="eastAsia" w:cs="Arial"/>
          <w:color w:val="000000" w:themeColor="text1"/>
          <w:szCs w:val="24"/>
          <w14:textFill>
            <w14:solidFill>
              <w14:schemeClr w14:val="tx1"/>
            </w14:solidFill>
          </w14:textFill>
        </w:rPr>
      </w:pPr>
      <w:r>
        <w:rPr>
          <w:rFonts w:hint="eastAsia" w:cs="宋体"/>
          <w:color w:val="000000" w:themeColor="text1"/>
          <w14:textFill>
            <w14:solidFill>
              <w14:schemeClr w14:val="tx1"/>
            </w14:solidFill>
          </w14:textFill>
        </w:rPr>
        <w:t xml:space="preserve">日     </w:t>
      </w:r>
      <w:r>
        <w:rPr>
          <w:rFonts w:cs="宋体"/>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 xml:space="preserve">    期：</w:t>
      </w:r>
    </w:p>
    <w:p w14:paraId="21F989BC">
      <w:pPr>
        <w:rPr>
          <w:rFonts w:hint="eastAsia" w:cs="Arial"/>
          <w:color w:val="000000" w:themeColor="text1"/>
          <w:szCs w:val="24"/>
          <w:u w:val="single"/>
          <w14:textFill>
            <w14:solidFill>
              <w14:schemeClr w14:val="tx1"/>
            </w14:solidFill>
          </w14:textFill>
        </w:rPr>
      </w:pPr>
    </w:p>
    <w:p w14:paraId="1F8A6636">
      <w:pPr>
        <w:rPr>
          <w:rFonts w:hint="eastAsia" w:cs="Arial"/>
          <w:color w:val="000000" w:themeColor="text1"/>
          <w:szCs w:val="24"/>
          <w:u w:val="single"/>
          <w14:textFill>
            <w14:solidFill>
              <w14:schemeClr w14:val="tx1"/>
            </w14:solidFill>
          </w14:textFill>
        </w:rPr>
      </w:pPr>
      <w:r>
        <w:rPr>
          <w:rFonts w:cs="Arial"/>
          <w:color w:val="000000" w:themeColor="text1"/>
          <w:szCs w:val="24"/>
          <w:u w:val="single"/>
          <w14:textFill>
            <w14:solidFill>
              <w14:schemeClr w14:val="tx1"/>
            </w14:solidFill>
          </w14:textFill>
        </w:rPr>
        <w:br w:type="page"/>
      </w:r>
    </w:p>
    <w:p w14:paraId="56B4B190">
      <w:pPr>
        <w:pStyle w:val="5"/>
        <w:numPr>
          <w:ilvl w:val="0"/>
          <w:numId w:val="26"/>
        </w:numPr>
        <w:jc w:val="center"/>
        <w:rPr>
          <w:rFonts w:hint="eastAsia"/>
          <w:color w:val="000000" w:themeColor="text1"/>
          <w14:textFill>
            <w14:solidFill>
              <w14:schemeClr w14:val="tx1"/>
            </w14:solidFill>
          </w14:textFill>
        </w:rPr>
      </w:pPr>
      <w:bookmarkStart w:id="439" w:name="_Toc430813349"/>
      <w:bookmarkStart w:id="440" w:name="_Toc432367429"/>
      <w:bookmarkStart w:id="441" w:name="_Toc155185922"/>
      <w:bookmarkStart w:id="442" w:name="_Toc140132832"/>
      <w:bookmarkStart w:id="443" w:name="_Toc109899909"/>
      <w:bookmarkStart w:id="444" w:name="_Toc109900328"/>
      <w:bookmarkStart w:id="445" w:name="_Toc12988"/>
      <w:bookmarkStart w:id="446" w:name="_Toc109899490"/>
      <w:r>
        <w:rPr>
          <w:rFonts w:hint="eastAsia"/>
          <w:color w:val="000000" w:themeColor="text1"/>
          <w14:textFill>
            <w14:solidFill>
              <w14:schemeClr w14:val="tx1"/>
            </w14:solidFill>
          </w14:textFill>
        </w:rPr>
        <w:t>开标一览表</w:t>
      </w:r>
      <w:bookmarkEnd w:id="439"/>
      <w:bookmarkEnd w:id="440"/>
      <w:bookmarkEnd w:id="441"/>
      <w:bookmarkEnd w:id="442"/>
      <w:bookmarkEnd w:id="443"/>
      <w:bookmarkEnd w:id="444"/>
      <w:bookmarkEnd w:id="445"/>
      <w:bookmarkEnd w:id="446"/>
    </w:p>
    <w:p w14:paraId="3EF30381">
      <w:pPr>
        <w:spacing w:line="240" w:lineRule="auto"/>
        <w:ind w:left="58" w:leftChars="24" w:firstLine="470" w:firstLineChars="224"/>
        <w:rPr>
          <w:rFonts w:ascii="Arial" w:hAnsi="Arial" w:cs="Arial"/>
          <w:color w:val="000000" w:themeColor="text1"/>
          <w:sz w:val="28"/>
          <w:szCs w:val="28"/>
          <w14:textFill>
            <w14:solidFill>
              <w14:schemeClr w14:val="tx1"/>
            </w14:solidFill>
          </w14:textFill>
        </w:rPr>
      </w:pPr>
      <w:r>
        <w:rPr>
          <w:rFonts w:hint="eastAsia" w:cs="宋体"/>
          <w:color w:val="000000" w:themeColor="text1"/>
          <w:sz w:val="21"/>
          <w:szCs w:val="21"/>
          <w14:textFill>
            <w14:solidFill>
              <w14:schemeClr w14:val="tx1"/>
            </w14:solidFill>
          </w14:textFill>
        </w:rPr>
        <w:t>项目名称：</w:t>
      </w:r>
    </w:p>
    <w:tbl>
      <w:tblPr>
        <w:tblStyle w:val="33"/>
        <w:tblpPr w:leftFromText="180" w:rightFromText="180" w:vertAnchor="text" w:horzAnchor="page" w:tblpX="2178" w:tblpY="363"/>
        <w:tblOverlap w:val="never"/>
        <w:tblW w:w="78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36"/>
        <w:gridCol w:w="4908"/>
      </w:tblGrid>
      <w:tr w14:paraId="2B41F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936" w:type="dxa"/>
            <w:noWrap/>
          </w:tcPr>
          <w:p w14:paraId="37288B2A">
            <w:pPr>
              <w:pStyle w:val="74"/>
              <w:ind w:right="703"/>
              <w:jc w:val="both"/>
              <w:rPr>
                <w:rFonts w:hint="eastAsia" w:ascii="宋体" w:hAnsi="宋体" w:eastAsia="宋体" w:cs="宋体"/>
                <w:color w:val="auto"/>
                <w:sz w:val="24"/>
                <w:szCs w:val="24"/>
              </w:rPr>
            </w:pPr>
          </w:p>
          <w:p w14:paraId="7C710C14">
            <w:pPr>
              <w:pStyle w:val="74"/>
              <w:ind w:right="703"/>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名称</w:t>
            </w:r>
          </w:p>
        </w:tc>
        <w:tc>
          <w:tcPr>
            <w:tcW w:w="4908" w:type="dxa"/>
            <w:noWrap/>
          </w:tcPr>
          <w:p w14:paraId="6A4B0DC4">
            <w:pPr>
              <w:pStyle w:val="74"/>
              <w:rPr>
                <w:rFonts w:hint="eastAsia" w:ascii="宋体" w:hAnsi="宋体" w:eastAsia="宋体" w:cs="宋体"/>
                <w:color w:val="auto"/>
                <w:sz w:val="24"/>
                <w:szCs w:val="24"/>
              </w:rPr>
            </w:pPr>
          </w:p>
        </w:tc>
      </w:tr>
      <w:tr w14:paraId="31430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8" w:hRule="atLeast"/>
        </w:trPr>
        <w:tc>
          <w:tcPr>
            <w:tcW w:w="2936" w:type="dxa"/>
            <w:noWrap/>
          </w:tcPr>
          <w:p w14:paraId="7C3C06F8">
            <w:pPr>
              <w:pStyle w:val="74"/>
              <w:rPr>
                <w:rFonts w:hint="eastAsia" w:ascii="宋体" w:hAnsi="宋体" w:eastAsia="宋体" w:cs="宋体"/>
                <w:b/>
                <w:color w:val="auto"/>
                <w:sz w:val="24"/>
                <w:szCs w:val="24"/>
              </w:rPr>
            </w:pPr>
          </w:p>
          <w:p w14:paraId="33092B53">
            <w:pPr>
              <w:pStyle w:val="74"/>
              <w:spacing w:before="5"/>
              <w:rPr>
                <w:rFonts w:hint="eastAsia" w:ascii="宋体" w:hAnsi="宋体" w:eastAsia="宋体" w:cs="宋体"/>
                <w:b/>
                <w:color w:val="auto"/>
                <w:sz w:val="24"/>
                <w:szCs w:val="24"/>
              </w:rPr>
            </w:pPr>
          </w:p>
          <w:p w14:paraId="2156126E">
            <w:pPr>
              <w:pStyle w:val="74"/>
              <w:ind w:left="712" w:right="703"/>
              <w:jc w:val="center"/>
              <w:rPr>
                <w:rFonts w:hint="eastAsia" w:ascii="宋体" w:hAnsi="宋体" w:eastAsia="宋体" w:cs="宋体"/>
                <w:color w:val="auto"/>
                <w:sz w:val="24"/>
                <w:szCs w:val="24"/>
                <w:lang w:val="en-US"/>
              </w:rPr>
            </w:pPr>
            <w:r>
              <w:rPr>
                <w:rFonts w:hint="eastAsia" w:cs="宋体"/>
                <w:color w:val="auto"/>
                <w:sz w:val="24"/>
                <w:szCs w:val="24"/>
                <w:lang w:val="en-US" w:eastAsia="zh-CN"/>
              </w:rPr>
              <w:t>软件系统</w:t>
            </w:r>
            <w:r>
              <w:rPr>
                <w:rFonts w:hint="eastAsia" w:ascii="宋体" w:hAnsi="宋体" w:eastAsia="宋体" w:cs="宋体"/>
                <w:color w:val="auto"/>
                <w:sz w:val="24"/>
                <w:szCs w:val="24"/>
                <w:lang w:val="en-US"/>
              </w:rPr>
              <w:t>报价</w:t>
            </w:r>
          </w:p>
          <w:p w14:paraId="628982ED">
            <w:pPr>
              <w:pStyle w:val="74"/>
              <w:ind w:right="121"/>
              <w:jc w:val="both"/>
              <w:rPr>
                <w:rFonts w:hint="eastAsia" w:ascii="宋体" w:hAnsi="宋体" w:eastAsia="宋体" w:cs="宋体"/>
                <w:color w:val="auto"/>
                <w:sz w:val="24"/>
                <w:szCs w:val="24"/>
                <w:lang w:val="en-US"/>
              </w:rPr>
            </w:pPr>
          </w:p>
        </w:tc>
        <w:tc>
          <w:tcPr>
            <w:tcW w:w="4908" w:type="dxa"/>
            <w:tcBorders>
              <w:bottom w:val="single" w:color="auto" w:sz="4" w:space="0"/>
            </w:tcBorders>
            <w:noWrap/>
            <w:vAlign w:val="center"/>
          </w:tcPr>
          <w:p w14:paraId="3DBF712D">
            <w:pPr>
              <w:pStyle w:val="74"/>
              <w:spacing w:before="4"/>
              <w:rPr>
                <w:rFonts w:hint="eastAsia" w:ascii="宋体" w:hAnsi="宋体" w:eastAsia="宋体" w:cs="宋体"/>
                <w:b/>
                <w:color w:val="auto"/>
                <w:sz w:val="24"/>
                <w:szCs w:val="24"/>
              </w:rPr>
            </w:pPr>
          </w:p>
          <w:p w14:paraId="2EE30AB6">
            <w:pPr>
              <w:pStyle w:val="74"/>
              <w:tabs>
                <w:tab w:val="left" w:pos="3202"/>
              </w:tabs>
              <w:spacing w:before="1" w:line="417" w:lineRule="auto"/>
              <w:ind w:left="108" w:right="58"/>
              <w:rPr>
                <w:rFonts w:hint="eastAsia" w:ascii="宋体" w:hAnsi="宋体" w:eastAsia="宋体" w:cs="宋体"/>
                <w:color w:val="auto"/>
                <w:w w:val="95"/>
                <w:sz w:val="24"/>
                <w:szCs w:val="24"/>
                <w:u w:val="single"/>
                <w:lang w:val="en-US"/>
              </w:rPr>
            </w:pPr>
            <w:r>
              <w:rPr>
                <w:rFonts w:hint="eastAsia" w:ascii="宋体" w:hAnsi="宋体" w:eastAsia="宋体" w:cs="宋体"/>
                <w:color w:val="auto"/>
                <w:sz w:val="24"/>
                <w:szCs w:val="24"/>
                <w:lang w:val="en-US"/>
              </w:rPr>
              <w:t>小写</w:t>
            </w:r>
            <w:r>
              <w:rPr>
                <w:rFonts w:hint="eastAsia" w:ascii="宋体" w:hAnsi="宋体" w:eastAsia="宋体" w:cs="宋体"/>
                <w:color w:val="auto"/>
                <w:w w:val="95"/>
                <w:sz w:val="24"/>
                <w:szCs w:val="24"/>
              </w:rPr>
              <w:t>：</w:t>
            </w:r>
            <w:r>
              <w:rPr>
                <w:rFonts w:hint="eastAsia" w:ascii="宋体" w:hAnsi="宋体" w:eastAsia="宋体" w:cs="宋体"/>
                <w:color w:val="auto"/>
                <w:w w:val="95"/>
                <w:sz w:val="24"/>
                <w:szCs w:val="24"/>
                <w:u w:val="single"/>
                <w:lang w:val="en-US" w:eastAsia="zh-CN"/>
              </w:rPr>
              <w:t xml:space="preserve">                    </w:t>
            </w:r>
            <w:r>
              <w:rPr>
                <w:rFonts w:hint="eastAsia" w:ascii="宋体" w:hAnsi="宋体" w:eastAsia="宋体" w:cs="宋体"/>
                <w:color w:val="auto"/>
                <w:w w:val="95"/>
                <w:sz w:val="24"/>
                <w:szCs w:val="24"/>
                <w:u w:val="none"/>
                <w:lang w:val="en-US" w:eastAsia="zh-CN"/>
              </w:rPr>
              <w:t xml:space="preserve"> </w:t>
            </w:r>
            <w:r>
              <w:rPr>
                <w:rFonts w:hint="eastAsia" w:ascii="宋体" w:hAnsi="宋体" w:eastAsia="宋体" w:cs="宋体"/>
                <w:color w:val="auto"/>
                <w:sz w:val="24"/>
                <w:szCs w:val="24"/>
                <w:u w:val="none"/>
              </w:rPr>
              <w:t>元</w:t>
            </w:r>
          </w:p>
          <w:p w14:paraId="2993AE94">
            <w:pPr>
              <w:pStyle w:val="74"/>
              <w:tabs>
                <w:tab w:val="left" w:pos="3202"/>
              </w:tabs>
              <w:spacing w:before="1" w:line="417" w:lineRule="auto"/>
              <w:ind w:left="108" w:right="58"/>
              <w:rPr>
                <w:rFonts w:hint="eastAsia" w:ascii="宋体" w:hAnsi="宋体" w:eastAsia="宋体" w:cs="宋体"/>
                <w:color w:val="auto"/>
                <w:sz w:val="24"/>
                <w:szCs w:val="24"/>
                <w:u w:val="single"/>
                <w:lang w:val="en-US"/>
              </w:rPr>
            </w:pPr>
            <w:r>
              <w:rPr>
                <w:rFonts w:hint="eastAsia" w:ascii="宋体" w:hAnsi="宋体" w:eastAsia="宋体" w:cs="宋体"/>
                <w:color w:val="auto"/>
                <w:sz w:val="24"/>
                <w:szCs w:val="24"/>
                <w:lang w:val="en-US"/>
              </w:rPr>
              <w:t>大写</w:t>
            </w:r>
            <w:r>
              <w:rPr>
                <w:rFonts w:hint="eastAsia" w:ascii="宋体" w:hAnsi="宋体" w:eastAsia="宋体" w:cs="宋体"/>
                <w:color w:val="auto"/>
                <w:w w:val="95"/>
                <w:sz w:val="24"/>
                <w:szCs w:val="24"/>
              </w:rPr>
              <w:t>：</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none"/>
                <w:lang w:val="en-US"/>
              </w:rPr>
              <w:t>元</w:t>
            </w:r>
          </w:p>
        </w:tc>
      </w:tr>
      <w:tr w14:paraId="4CA71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8" w:hRule="atLeast"/>
        </w:trPr>
        <w:tc>
          <w:tcPr>
            <w:tcW w:w="2936" w:type="dxa"/>
            <w:noWrap/>
            <w:vAlign w:val="center"/>
          </w:tcPr>
          <w:p w14:paraId="200FDAD3">
            <w:pPr>
              <w:pStyle w:val="74"/>
              <w:ind w:left="712" w:right="703"/>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质保期满后的年维保费报价</w:t>
            </w:r>
          </w:p>
        </w:tc>
        <w:tc>
          <w:tcPr>
            <w:tcW w:w="4908" w:type="dxa"/>
            <w:tcBorders>
              <w:bottom w:val="single" w:color="auto" w:sz="4" w:space="0"/>
            </w:tcBorders>
            <w:noWrap/>
            <w:vAlign w:val="center"/>
          </w:tcPr>
          <w:p w14:paraId="3C762EE9">
            <w:pPr>
              <w:pStyle w:val="74"/>
              <w:tabs>
                <w:tab w:val="left" w:pos="3202"/>
              </w:tabs>
              <w:spacing w:before="1" w:line="417" w:lineRule="auto"/>
              <w:ind w:right="58" w:firstLine="1200" w:firstLineChars="500"/>
              <w:rPr>
                <w:rFonts w:hint="default" w:ascii="宋体" w:hAnsi="宋体" w:eastAsia="宋体" w:cs="宋体"/>
                <w:color w:val="auto"/>
                <w:sz w:val="24"/>
                <w:szCs w:val="24"/>
                <w:lang w:val="en-US" w:eastAsia="zh-CN"/>
              </w:rPr>
            </w:pPr>
            <w:r>
              <w:rPr>
                <w:rFonts w:hint="eastAsia" w:cs="宋体"/>
                <w:color w:val="auto"/>
                <w:sz w:val="24"/>
                <w:szCs w:val="24"/>
                <w:u w:val="single"/>
                <w:lang w:val="en-US" w:eastAsia="zh-CN"/>
              </w:rPr>
              <w:t xml:space="preserve">        元/年</w:t>
            </w:r>
          </w:p>
        </w:tc>
      </w:tr>
      <w:tr w14:paraId="7483D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1" w:hRule="atLeast"/>
        </w:trPr>
        <w:tc>
          <w:tcPr>
            <w:tcW w:w="2936" w:type="dxa"/>
            <w:noWrap/>
          </w:tcPr>
          <w:p w14:paraId="531CBE8B">
            <w:pPr>
              <w:pStyle w:val="74"/>
              <w:spacing w:before="1"/>
              <w:ind w:left="712" w:right="703"/>
              <w:jc w:val="center"/>
              <w:rPr>
                <w:rFonts w:hint="eastAsia" w:ascii="宋体" w:hAnsi="宋体" w:eastAsia="宋体" w:cs="宋体"/>
                <w:color w:val="auto"/>
                <w:sz w:val="24"/>
                <w:szCs w:val="24"/>
                <w:lang w:val="en-US"/>
              </w:rPr>
            </w:pPr>
          </w:p>
          <w:p w14:paraId="09BAF56F">
            <w:pPr>
              <w:pStyle w:val="74"/>
              <w:spacing w:before="1"/>
              <w:ind w:left="712" w:right="703"/>
              <w:jc w:val="center"/>
              <w:rPr>
                <w:rFonts w:hint="eastAsia" w:ascii="宋体" w:hAnsi="宋体" w:eastAsia="宋体" w:cs="宋体"/>
                <w:color w:val="auto"/>
                <w:sz w:val="24"/>
                <w:szCs w:val="24"/>
                <w:lang w:val="en-US"/>
              </w:rPr>
            </w:pPr>
            <w:r>
              <w:rPr>
                <w:rFonts w:hint="eastAsia" w:cs="宋体"/>
                <w:color w:val="auto"/>
                <w:sz w:val="24"/>
                <w:szCs w:val="24"/>
                <w:lang w:val="en-US" w:eastAsia="zh-CN"/>
              </w:rPr>
              <w:t>合同履行</w:t>
            </w:r>
            <w:r>
              <w:rPr>
                <w:rFonts w:hint="eastAsia" w:ascii="宋体" w:hAnsi="宋体" w:eastAsia="宋体" w:cs="宋体"/>
                <w:color w:val="auto"/>
                <w:sz w:val="24"/>
                <w:szCs w:val="24"/>
                <w:lang w:val="en-US"/>
              </w:rPr>
              <w:t>期限承诺</w:t>
            </w:r>
          </w:p>
        </w:tc>
        <w:tc>
          <w:tcPr>
            <w:tcW w:w="4908" w:type="dxa"/>
            <w:noWrap/>
          </w:tcPr>
          <w:p w14:paraId="1A5E9C3C">
            <w:pPr>
              <w:pStyle w:val="74"/>
              <w:spacing w:before="1"/>
              <w:ind w:right="703"/>
              <w:jc w:val="both"/>
              <w:rPr>
                <w:rFonts w:hint="eastAsia" w:ascii="宋体" w:hAnsi="宋体" w:eastAsia="宋体" w:cs="宋体"/>
                <w:color w:val="auto"/>
                <w:sz w:val="24"/>
                <w:szCs w:val="24"/>
                <w:lang w:val="en-US"/>
              </w:rPr>
            </w:pPr>
          </w:p>
        </w:tc>
      </w:tr>
      <w:tr w14:paraId="4CD5E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2936" w:type="dxa"/>
            <w:noWrap/>
          </w:tcPr>
          <w:p w14:paraId="61047D16">
            <w:pPr>
              <w:pStyle w:val="74"/>
              <w:spacing w:before="3"/>
              <w:rPr>
                <w:rFonts w:hint="eastAsia" w:ascii="宋体" w:hAnsi="宋体" w:eastAsia="宋体" w:cs="宋体"/>
                <w:b/>
                <w:color w:val="auto"/>
                <w:sz w:val="24"/>
                <w:szCs w:val="24"/>
              </w:rPr>
            </w:pPr>
          </w:p>
          <w:p w14:paraId="6D4809C6">
            <w:pPr>
              <w:pStyle w:val="74"/>
              <w:ind w:left="709" w:right="703"/>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质保期限</w:t>
            </w:r>
          </w:p>
        </w:tc>
        <w:tc>
          <w:tcPr>
            <w:tcW w:w="4908" w:type="dxa"/>
            <w:noWrap/>
          </w:tcPr>
          <w:p w14:paraId="3670BF0D">
            <w:pPr>
              <w:pStyle w:val="74"/>
              <w:ind w:left="709" w:right="703"/>
              <w:jc w:val="left"/>
              <w:rPr>
                <w:rFonts w:hint="eastAsia" w:ascii="宋体" w:hAnsi="宋体" w:eastAsia="宋体" w:cs="宋体"/>
                <w:color w:val="auto"/>
                <w:sz w:val="24"/>
                <w:szCs w:val="24"/>
                <w:lang w:val="en-US"/>
              </w:rPr>
            </w:pPr>
          </w:p>
          <w:p w14:paraId="6B8A3DDC">
            <w:pPr>
              <w:pStyle w:val="74"/>
              <w:ind w:right="703"/>
              <w:jc w:val="left"/>
              <w:rPr>
                <w:rFonts w:hint="eastAsia" w:ascii="宋体" w:hAnsi="宋体" w:eastAsia="宋体" w:cs="宋体"/>
                <w:color w:val="auto"/>
                <w:sz w:val="24"/>
                <w:szCs w:val="24"/>
                <w:lang w:val="en-US"/>
              </w:rPr>
            </w:pPr>
          </w:p>
        </w:tc>
      </w:tr>
    </w:tbl>
    <w:p w14:paraId="211C749C">
      <w:pPr>
        <w:pStyle w:val="74"/>
        <w:ind w:left="709" w:right="703"/>
        <w:jc w:val="center"/>
        <w:rPr>
          <w:rFonts w:hint="eastAsia" w:ascii="宋体" w:hAnsi="宋体" w:eastAsia="宋体" w:cs="宋体"/>
          <w:color w:val="auto"/>
          <w:sz w:val="24"/>
          <w:szCs w:val="24"/>
          <w:lang w:val="en-US"/>
        </w:rPr>
      </w:pPr>
    </w:p>
    <w:p w14:paraId="618F8873">
      <w:pPr>
        <w:pStyle w:val="74"/>
        <w:ind w:left="709" w:right="703"/>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rPr>
        <w:t xml:space="preserve"> 注：</w:t>
      </w:r>
      <w:r>
        <w:rPr>
          <w:rFonts w:hint="eastAsia" w:ascii="宋体" w:hAnsi="宋体" w:eastAsia="宋体" w:cs="宋体"/>
          <w:color w:val="auto"/>
          <w:szCs w:val="21"/>
        </w:rPr>
        <w:t>包含但不限于</w:t>
      </w:r>
      <w:r>
        <w:rPr>
          <w:rFonts w:hint="eastAsia" w:ascii="宋体" w:hAnsi="宋体" w:eastAsia="宋体" w:cs="宋体"/>
          <w:color w:val="auto"/>
          <w:szCs w:val="21"/>
          <w:lang w:eastAsia="zh-TW"/>
        </w:rPr>
        <w:t>项目管理费</w:t>
      </w:r>
      <w:r>
        <w:rPr>
          <w:rFonts w:hint="eastAsia" w:ascii="宋体" w:hAnsi="宋体" w:eastAsia="宋体" w:cs="宋体"/>
          <w:color w:val="auto"/>
          <w:szCs w:val="21"/>
        </w:rPr>
        <w:t>、</w:t>
      </w:r>
      <w:r>
        <w:rPr>
          <w:rFonts w:hint="eastAsia" w:ascii="宋体" w:hAnsi="宋体" w:eastAsia="宋体" w:cs="宋体"/>
          <w:color w:val="auto"/>
          <w:szCs w:val="21"/>
          <w:lang w:eastAsia="zh-TW"/>
        </w:rPr>
        <w:t>设备费用、</w:t>
      </w:r>
      <w:r>
        <w:rPr>
          <w:rFonts w:hint="eastAsia" w:ascii="宋体" w:hAnsi="宋体" w:eastAsia="宋体" w:cs="宋体"/>
          <w:color w:val="auto"/>
          <w:szCs w:val="21"/>
          <w:lang w:val="en-US" w:eastAsia="zh-CN"/>
        </w:rPr>
        <w:t>医院</w:t>
      </w:r>
      <w:r>
        <w:rPr>
          <w:rFonts w:hint="eastAsia" w:ascii="宋体" w:hAnsi="宋体" w:eastAsia="宋体" w:cs="宋体"/>
          <w:color w:val="auto"/>
          <w:szCs w:val="21"/>
        </w:rPr>
        <w:t>系统</w:t>
      </w:r>
      <w:r>
        <w:rPr>
          <w:rFonts w:hint="eastAsia" w:ascii="宋体" w:hAnsi="宋体" w:eastAsia="宋体" w:cs="宋体"/>
          <w:color w:val="auto"/>
          <w:szCs w:val="21"/>
          <w:lang w:val="en-US" w:eastAsia="zh-CN"/>
        </w:rPr>
        <w:t>对接费、</w:t>
      </w:r>
      <w:r>
        <w:rPr>
          <w:rFonts w:hint="eastAsia" w:ascii="宋体" w:hAnsi="宋体" w:eastAsia="宋体" w:cs="宋体"/>
          <w:color w:val="auto"/>
          <w:szCs w:val="21"/>
          <w:lang w:eastAsia="zh-TW"/>
        </w:rPr>
        <w:t>技术支持、服务费用、运维服务</w:t>
      </w:r>
      <w:r>
        <w:rPr>
          <w:rFonts w:hint="eastAsia" w:ascii="宋体" w:hAnsi="宋体" w:eastAsia="宋体" w:cs="宋体"/>
          <w:color w:val="auto"/>
          <w:szCs w:val="21"/>
          <w:lang w:eastAsia="zh-CN"/>
        </w:rPr>
        <w:t>、</w:t>
      </w:r>
      <w:r>
        <w:rPr>
          <w:rFonts w:hint="eastAsia" w:ascii="宋体" w:hAnsi="宋体" w:eastAsia="宋体" w:cs="宋体"/>
          <w:color w:val="auto"/>
          <w:szCs w:val="21"/>
        </w:rPr>
        <w:t>人工、利润、税金</w:t>
      </w:r>
      <w:r>
        <w:rPr>
          <w:rFonts w:hint="eastAsia" w:ascii="宋体" w:hAnsi="宋体" w:eastAsia="宋体" w:cs="宋体"/>
          <w:color w:val="auto"/>
          <w:szCs w:val="21"/>
          <w:lang w:eastAsia="zh-CN"/>
        </w:rPr>
        <w:t>、</w:t>
      </w:r>
      <w:r>
        <w:rPr>
          <w:rFonts w:hint="eastAsia" w:cs="宋体"/>
          <w:color w:val="auto"/>
          <w:szCs w:val="21"/>
          <w:lang w:val="en-US" w:eastAsia="zh-CN"/>
        </w:rPr>
        <w:t>软件、</w:t>
      </w:r>
      <w:r>
        <w:rPr>
          <w:rFonts w:hint="eastAsia" w:ascii="宋体" w:hAnsi="宋体" w:eastAsia="宋体" w:cs="宋体"/>
          <w:color w:val="auto"/>
          <w:szCs w:val="21"/>
          <w:lang w:val="en-US" w:eastAsia="zh-CN"/>
        </w:rPr>
        <w:t>采购代理费</w:t>
      </w:r>
      <w:r>
        <w:rPr>
          <w:rFonts w:hint="eastAsia" w:ascii="宋体" w:hAnsi="宋体" w:eastAsia="宋体" w:cs="宋体"/>
          <w:color w:val="auto"/>
          <w:szCs w:val="21"/>
        </w:rPr>
        <w:t>等所有费用</w:t>
      </w:r>
      <w:r>
        <w:rPr>
          <w:rFonts w:hint="eastAsia" w:cs="宋体"/>
          <w:color w:val="auto"/>
          <w:szCs w:val="21"/>
          <w:lang w:eastAsia="zh-CN"/>
        </w:rPr>
        <w:t>。</w:t>
      </w:r>
    </w:p>
    <w:p w14:paraId="41AB9EA0">
      <w:pPr>
        <w:pStyle w:val="74"/>
        <w:ind w:left="709" w:right="703"/>
        <w:jc w:val="center"/>
        <w:rPr>
          <w:rFonts w:hint="eastAsia" w:ascii="宋体" w:hAnsi="宋体" w:eastAsia="宋体" w:cs="宋体"/>
          <w:color w:val="auto"/>
          <w:sz w:val="24"/>
          <w:szCs w:val="24"/>
          <w:lang w:val="en-US" w:eastAsia="zh-CN"/>
        </w:rPr>
      </w:pPr>
    </w:p>
    <w:p w14:paraId="00C29E91">
      <w:pPr>
        <w:pStyle w:val="39"/>
        <w:ind w:left="0" w:leftChars="0" w:firstLine="0" w:firstLineChars="0"/>
        <w:rPr>
          <w:rFonts w:hint="eastAsia" w:ascii="宋体" w:hAnsi="宋体" w:cs="宋体"/>
          <w:color w:val="000000" w:themeColor="text1"/>
          <w:sz w:val="24"/>
          <w:szCs w:val="24"/>
          <w:lang w:eastAsia="zh-CN"/>
          <w14:textFill>
            <w14:solidFill>
              <w14:schemeClr w14:val="tx1"/>
            </w14:solidFill>
          </w14:textFill>
        </w:rPr>
      </w:pPr>
    </w:p>
    <w:p w14:paraId="3A96CB9D">
      <w:pPr>
        <w:spacing w:line="300" w:lineRule="auto"/>
        <w:rPr>
          <w:rFonts w:ascii="Arial" w:hAnsi="Arial" w:cs="Arial"/>
          <w:color w:val="000000" w:themeColor="text1"/>
          <w:sz w:val="21"/>
          <w:szCs w:val="21"/>
          <w14:textFill>
            <w14:solidFill>
              <w14:schemeClr w14:val="tx1"/>
            </w14:solidFill>
          </w14:textFill>
        </w:rPr>
      </w:pPr>
      <w:r>
        <w:rPr>
          <w:rFonts w:hint="eastAsia" w:ascii="Arial" w:hAnsi="Arial" w:cs="Arial"/>
          <w:color w:val="000000" w:themeColor="text1"/>
          <w:sz w:val="21"/>
          <w:szCs w:val="21"/>
          <w14:textFill>
            <w14:solidFill>
              <w14:schemeClr w14:val="tx1"/>
            </w14:solidFill>
          </w14:textFill>
        </w:rPr>
        <w:t>投标供应商</w:t>
      </w:r>
      <w:r>
        <w:rPr>
          <w:rFonts w:ascii="Arial" w:hAnsi="Arial" w:cs="Arial"/>
          <w:color w:val="000000" w:themeColor="text1"/>
          <w:sz w:val="21"/>
          <w:szCs w:val="21"/>
          <w14:textFill>
            <w14:solidFill>
              <w14:schemeClr w14:val="tx1"/>
            </w14:solidFill>
          </w14:textFill>
        </w:rPr>
        <w:t>名称</w:t>
      </w:r>
      <w:r>
        <w:rPr>
          <w:rFonts w:hint="eastAsia" w:ascii="Arial" w:hAnsi="Arial" w:cs="Arial"/>
          <w:color w:val="000000" w:themeColor="text1"/>
          <w:sz w:val="21"/>
          <w:szCs w:val="21"/>
          <w14:textFill>
            <w14:solidFill>
              <w14:schemeClr w14:val="tx1"/>
            </w14:solidFill>
          </w14:textFill>
        </w:rPr>
        <w:t>（</w:t>
      </w:r>
      <w:r>
        <w:rPr>
          <w:rFonts w:hint="eastAsia" w:ascii="Arial" w:hAnsi="Arial" w:cs="Arial"/>
          <w:color w:val="000000" w:themeColor="text1"/>
          <w:sz w:val="21"/>
          <w:szCs w:val="21"/>
          <w:lang w:val="en-US" w:eastAsia="zh-CN"/>
          <w14:textFill>
            <w14:solidFill>
              <w14:schemeClr w14:val="tx1"/>
            </w14:solidFill>
          </w14:textFill>
        </w:rPr>
        <w:t>电子签</w:t>
      </w:r>
      <w:r>
        <w:rPr>
          <w:rFonts w:hint="eastAsia" w:ascii="Arial" w:hAnsi="Arial" w:cs="Arial"/>
          <w:color w:val="000000" w:themeColor="text1"/>
          <w:sz w:val="21"/>
          <w:szCs w:val="21"/>
          <w14:textFill>
            <w14:solidFill>
              <w14:schemeClr w14:val="tx1"/>
            </w14:solidFill>
          </w14:textFill>
        </w:rPr>
        <w:t>章）</w:t>
      </w:r>
      <w:r>
        <w:rPr>
          <w:rFonts w:ascii="Arial" w:hAnsi="Arial" w:cs="Arial"/>
          <w:color w:val="000000" w:themeColor="text1"/>
          <w:sz w:val="21"/>
          <w:szCs w:val="21"/>
          <w14:textFill>
            <w14:solidFill>
              <w14:schemeClr w14:val="tx1"/>
            </w14:solidFill>
          </w14:textFill>
        </w:rPr>
        <w:t>：</w:t>
      </w:r>
    </w:p>
    <w:p w14:paraId="7ECFDBF0">
      <w:pPr>
        <w:pStyle w:val="39"/>
        <w:ind w:left="0" w:leftChars="0" w:firstLine="0" w:firstLineChars="0"/>
      </w:pPr>
      <w:r>
        <w:rPr>
          <w:rFonts w:hint="eastAsia" w:ascii="Arial" w:hAnsi="Arial" w:eastAsia="宋体" w:cs="Arial"/>
          <w:color w:val="000000" w:themeColor="text1"/>
          <w:kern w:val="2"/>
          <w:sz w:val="21"/>
          <w:szCs w:val="21"/>
          <w:lang w:val="en-US" w:eastAsia="zh-CN" w:bidi="ar-SA"/>
          <w14:textFill>
            <w14:solidFill>
              <w14:schemeClr w14:val="tx1"/>
            </w14:solidFill>
          </w14:textFill>
        </w:rPr>
        <w:t>法定代表人（或非法人组织负责人）(电子签章)</w:t>
      </w:r>
      <w:r>
        <w:rPr>
          <w:rFonts w:hint="eastAsia" w:ascii="仿宋" w:hAnsi="仿宋" w:eastAsia="仿宋" w:cs="仿宋"/>
          <w:color w:val="auto"/>
        </w:rPr>
        <w:t>：</w:t>
      </w:r>
    </w:p>
    <w:p w14:paraId="5B93B14E">
      <w:pPr>
        <w:spacing w:line="300" w:lineRule="auto"/>
        <w:rPr>
          <w:rFonts w:hint="eastAsia" w:ascii="Arial" w:hAnsi="Arial" w:eastAsia="宋体" w:cs="Arial"/>
          <w:color w:val="000000" w:themeColor="text1"/>
          <w:sz w:val="21"/>
          <w:szCs w:val="21"/>
          <w14:textFill>
            <w14:solidFill>
              <w14:schemeClr w14:val="tx1"/>
            </w14:solidFill>
          </w14:textFill>
        </w:rPr>
      </w:pPr>
    </w:p>
    <w:p w14:paraId="2D6E9F0E">
      <w:pPr>
        <w:spacing w:line="300" w:lineRule="auto"/>
        <w:rPr>
          <w:rFonts w:hint="eastAsia" w:ascii="Arial" w:hAnsi="Arial" w:eastAsia="宋体" w:cs="Arial"/>
          <w:color w:val="000000" w:themeColor="text1"/>
          <w:sz w:val="21"/>
          <w:szCs w:val="21"/>
          <w14:textFill>
            <w14:solidFill>
              <w14:schemeClr w14:val="tx1"/>
            </w14:solidFill>
          </w14:textFill>
        </w:rPr>
      </w:pPr>
      <w:r>
        <w:rPr>
          <w:rFonts w:hint="eastAsia" w:ascii="Arial" w:hAnsi="Arial" w:eastAsia="宋体" w:cs="Arial"/>
          <w:color w:val="000000" w:themeColor="text1"/>
          <w:sz w:val="21"/>
          <w:szCs w:val="21"/>
          <w14:textFill>
            <w14:solidFill>
              <w14:schemeClr w14:val="tx1"/>
            </w14:solidFill>
          </w14:textFill>
        </w:rPr>
        <w:t>日期：</w:t>
      </w:r>
    </w:p>
    <w:p w14:paraId="18EEC47E">
      <w:pPr>
        <w:spacing w:line="300" w:lineRule="auto"/>
        <w:rPr>
          <w:rFonts w:hint="eastAsia" w:ascii="Arial" w:hAnsi="Arial" w:eastAsia="宋体" w:cs="Arial"/>
          <w:color w:val="000000" w:themeColor="text1"/>
          <w:sz w:val="21"/>
          <w:szCs w:val="21"/>
          <w14:textFill>
            <w14:solidFill>
              <w14:schemeClr w14:val="tx1"/>
            </w14:solidFill>
          </w14:textFill>
        </w:rPr>
        <w:sectPr>
          <w:footerReference r:id="rId8" w:type="default"/>
          <w:pgSz w:w="11905" w:h="16840"/>
          <w:pgMar w:top="1440" w:right="1797" w:bottom="1440" w:left="1797" w:header="851" w:footer="850" w:gutter="0"/>
          <w:pgNumType w:fmt="numberInDash"/>
          <w:cols w:space="720" w:num="1"/>
        </w:sectPr>
      </w:pPr>
    </w:p>
    <w:p w14:paraId="0452B070">
      <w:pPr>
        <w:pStyle w:val="5"/>
        <w:numPr>
          <w:ilvl w:val="0"/>
          <w:numId w:val="26"/>
        </w:numPr>
        <w:jc w:val="center"/>
        <w:rPr>
          <w:rFonts w:hint="eastAsia"/>
          <w:color w:val="000000" w:themeColor="text1"/>
          <w14:textFill>
            <w14:solidFill>
              <w14:schemeClr w14:val="tx1"/>
            </w14:solidFill>
          </w14:textFill>
        </w:rPr>
      </w:pPr>
      <w:bookmarkStart w:id="447" w:name="_Toc1930"/>
      <w:bookmarkStart w:id="448" w:name="_Toc155185924"/>
      <w:r>
        <w:rPr>
          <w:rFonts w:hint="eastAsia"/>
          <w:color w:val="000000" w:themeColor="text1"/>
          <w14:textFill>
            <w14:solidFill>
              <w14:schemeClr w14:val="tx1"/>
            </w14:solidFill>
          </w14:textFill>
        </w:rPr>
        <w:t>法定代表人（负责人）身份证明</w:t>
      </w:r>
      <w:bookmarkEnd w:id="447"/>
      <w:bookmarkEnd w:id="448"/>
    </w:p>
    <w:p w14:paraId="780E5341">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投标供应商名称：</w:t>
      </w:r>
    </w:p>
    <w:p w14:paraId="581ABDE3">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单位性质：                                       </w:t>
      </w:r>
    </w:p>
    <w:p w14:paraId="559BD5B5">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地    址：                                             </w:t>
      </w:r>
    </w:p>
    <w:p w14:paraId="49A920A3">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成立时间：  </w:t>
      </w:r>
    </w:p>
    <w:p w14:paraId="527CB8A9">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经营期限：                                          </w:t>
      </w:r>
    </w:p>
    <w:p w14:paraId="07FD5C15">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姓    名：                性别：                   </w:t>
      </w:r>
    </w:p>
    <w:p w14:paraId="051EA698">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年龄：                    职务：                     </w:t>
      </w:r>
    </w:p>
    <w:p w14:paraId="6B945108">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系                      （投标供应商名称）的法定代表人</w:t>
      </w:r>
      <w:r>
        <w:rPr>
          <w:rFonts w:hint="eastAsia"/>
          <w:color w:val="000000" w:themeColor="text1"/>
          <w14:textFill>
            <w14:solidFill>
              <w14:schemeClr w14:val="tx1"/>
            </w14:solidFill>
          </w14:textFill>
        </w:rPr>
        <w:t>（负责人）</w:t>
      </w:r>
      <w:r>
        <w:rPr>
          <w:rFonts w:hint="eastAsia" w:cs="仿宋_GB2312"/>
          <w:color w:val="000000" w:themeColor="text1"/>
          <w:szCs w:val="24"/>
          <w14:textFill>
            <w14:solidFill>
              <w14:schemeClr w14:val="tx1"/>
            </w14:solidFill>
          </w14:textFill>
        </w:rPr>
        <w:t xml:space="preserve">。 </w:t>
      </w:r>
    </w:p>
    <w:p w14:paraId="586720D1">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特此证明。</w:t>
      </w:r>
    </w:p>
    <w:p w14:paraId="6A50D985">
      <w:pPr>
        <w:ind w:firstLine="480" w:firstLineChars="200"/>
        <w:rPr>
          <w:rFonts w:hint="eastAsia" w:cs="仿宋_GB2312"/>
          <w:color w:val="000000" w:themeColor="text1"/>
          <w:szCs w:val="24"/>
          <w14:textFill>
            <w14:solidFill>
              <w14:schemeClr w14:val="tx1"/>
            </w14:solidFill>
          </w14:textFill>
        </w:rPr>
      </w:pPr>
    </w:p>
    <w:p w14:paraId="4E1162A0">
      <w:pPr>
        <w:widowControl/>
        <w:rPr>
          <w:rFonts w:hint="eastAsia"/>
          <w:color w:val="000000" w:themeColor="text1"/>
          <w:sz w:val="21"/>
          <w14:textFill>
            <w14:solidFill>
              <w14:schemeClr w14:val="tx1"/>
            </w14:solidFill>
          </w14:textFill>
        </w:rPr>
      </w:pPr>
    </w:p>
    <w:p w14:paraId="4D1C7FC6">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投标供应商名称：（</w:t>
      </w:r>
      <w:r>
        <w:rPr>
          <w:rFonts w:hint="eastAsia" w:cs="仿宋_GB2312"/>
          <w:color w:val="000000" w:themeColor="text1"/>
          <w:szCs w:val="24"/>
          <w:lang w:val="en-US" w:eastAsia="zh-CN"/>
          <w14:textFill>
            <w14:solidFill>
              <w14:schemeClr w14:val="tx1"/>
            </w14:solidFill>
          </w14:textFill>
        </w:rPr>
        <w:t>电子签章</w:t>
      </w:r>
      <w:r>
        <w:rPr>
          <w:rFonts w:hint="eastAsia" w:cs="仿宋_GB2312"/>
          <w:color w:val="000000" w:themeColor="text1"/>
          <w:szCs w:val="24"/>
          <w14:textFill>
            <w14:solidFill>
              <w14:schemeClr w14:val="tx1"/>
            </w14:solidFill>
          </w14:textFill>
        </w:rPr>
        <w:t>）</w:t>
      </w:r>
    </w:p>
    <w:p w14:paraId="67329A25">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日      期：   年  月  日</w:t>
      </w:r>
    </w:p>
    <w:p w14:paraId="298BAD0A">
      <w:pPr>
        <w:rPr>
          <w:rFonts w:hint="eastAsia" w:cs="Arial"/>
          <w:color w:val="000000" w:themeColor="text1"/>
          <w:sz w:val="21"/>
          <w:szCs w:val="21"/>
          <w14:textFill>
            <w14:solidFill>
              <w14:schemeClr w14:val="tx1"/>
            </w14:solidFill>
          </w14:textFill>
        </w:rPr>
      </w:pPr>
    </w:p>
    <w:tbl>
      <w:tblPr>
        <w:tblStyle w:val="33"/>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7"/>
      </w:tblGrid>
      <w:tr w14:paraId="7655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7" w:type="dxa"/>
          </w:tcPr>
          <w:p w14:paraId="21F72529">
            <w:pPr>
              <w:rPr>
                <w:rFonts w:hint="eastAsia" w:cs="Arial"/>
                <w:color w:val="000000" w:themeColor="text1"/>
                <w14:textFill>
                  <w14:solidFill>
                    <w14:schemeClr w14:val="tx1"/>
                  </w14:solidFill>
                </w14:textFill>
              </w:rPr>
            </w:pPr>
            <w:r>
              <w:rPr>
                <w:rFonts w:hint="eastAsia" w:cs="仿宋_GB2312"/>
                <w:color w:val="000000" w:themeColor="text1"/>
                <w:szCs w:val="24"/>
                <w14:textFill>
                  <w14:solidFill>
                    <w14:schemeClr w14:val="tx1"/>
                  </w14:solidFill>
                </w14:textFill>
              </w:rPr>
              <w:t>附：法定代表人</w:t>
            </w:r>
            <w:r>
              <w:rPr>
                <w:rFonts w:hint="eastAsia"/>
                <w:color w:val="000000" w:themeColor="text1"/>
                <w14:textFill>
                  <w14:solidFill>
                    <w14:schemeClr w14:val="tx1"/>
                  </w14:solidFill>
                </w14:textFill>
              </w:rPr>
              <w:t>（负责人）</w:t>
            </w:r>
            <w:r>
              <w:rPr>
                <w:rFonts w:hint="eastAsia" w:cs="仿宋_GB2312"/>
                <w:color w:val="000000" w:themeColor="text1"/>
                <w:szCs w:val="24"/>
                <w14:textFill>
                  <w14:solidFill>
                    <w14:schemeClr w14:val="tx1"/>
                  </w14:solidFill>
                </w14:textFill>
              </w:rPr>
              <w:t>身份证复印件</w:t>
            </w:r>
          </w:p>
        </w:tc>
      </w:tr>
    </w:tbl>
    <w:p w14:paraId="3C47EF0C">
      <w:pPr>
        <w:ind w:firstLine="840" w:firstLineChars="350"/>
        <w:jc w:val="center"/>
        <w:rPr>
          <w:rFonts w:hint="eastAsia" w:cs="Arial"/>
          <w:color w:val="000000" w:themeColor="text1"/>
          <w14:textFill>
            <w14:solidFill>
              <w14:schemeClr w14:val="tx1"/>
            </w14:solidFill>
          </w14:textFill>
        </w:rPr>
      </w:pPr>
    </w:p>
    <w:p w14:paraId="2C7574D4">
      <w:pPr>
        <w:rPr>
          <w:rFonts w:hint="eastAsia"/>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注：法定代表人</w:t>
      </w:r>
      <w:r>
        <w:rPr>
          <w:rFonts w:hint="eastAsia"/>
          <w:b/>
          <w:color w:val="000000" w:themeColor="text1"/>
          <w:sz w:val="28"/>
          <w:szCs w:val="28"/>
          <w14:textFill>
            <w14:solidFill>
              <w14:schemeClr w14:val="tx1"/>
            </w14:solidFill>
          </w14:textFill>
        </w:rPr>
        <w:t>（负责人）</w:t>
      </w:r>
      <w:r>
        <w:rPr>
          <w:b/>
          <w:color w:val="000000" w:themeColor="text1"/>
          <w:sz w:val="28"/>
          <w:szCs w:val="28"/>
          <w14:textFill>
            <w14:solidFill>
              <w14:schemeClr w14:val="tx1"/>
            </w14:solidFill>
          </w14:textFill>
        </w:rPr>
        <w:t>参加投标时提供</w:t>
      </w:r>
    </w:p>
    <w:p w14:paraId="4974F53D">
      <w:pPr>
        <w:rPr>
          <w:rFonts w:hint="eastAsia"/>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br w:type="page"/>
      </w:r>
    </w:p>
    <w:p w14:paraId="5D4EFE55">
      <w:pPr>
        <w:pStyle w:val="5"/>
        <w:numPr>
          <w:ilvl w:val="0"/>
          <w:numId w:val="26"/>
        </w:numPr>
        <w:jc w:val="center"/>
        <w:rPr>
          <w:rFonts w:hint="eastAsia"/>
          <w:color w:val="000000" w:themeColor="text1"/>
          <w14:textFill>
            <w14:solidFill>
              <w14:schemeClr w14:val="tx1"/>
            </w14:solidFill>
          </w14:textFill>
        </w:rPr>
      </w:pPr>
      <w:bookmarkStart w:id="449" w:name="_Toc155185925"/>
      <w:bookmarkStart w:id="450" w:name="_Toc20433"/>
      <w:r>
        <w:rPr>
          <w:rFonts w:hint="eastAsia"/>
          <w:color w:val="000000" w:themeColor="text1"/>
          <w14:textFill>
            <w14:solidFill>
              <w14:schemeClr w14:val="tx1"/>
            </w14:solidFill>
          </w14:textFill>
        </w:rPr>
        <w:t>法定代表人（负责人）授权书</w:t>
      </w:r>
      <w:bookmarkEnd w:id="449"/>
      <w:bookmarkEnd w:id="450"/>
    </w:p>
    <w:p w14:paraId="46A75CCE">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本人</w:t>
      </w:r>
      <w:r>
        <w:rPr>
          <w:rFonts w:cs="仿宋_GB2312"/>
          <w:color w:val="000000" w:themeColor="text1"/>
          <w:szCs w:val="24"/>
          <w:u w:val="single"/>
          <w14:textFill>
            <w14:solidFill>
              <w14:schemeClr w14:val="tx1"/>
            </w14:solidFill>
          </w14:textFill>
        </w:rPr>
        <w:t xml:space="preserve">     </w:t>
      </w:r>
      <w:r>
        <w:rPr>
          <w:rFonts w:hint="eastAsia" w:cs="仿宋_GB2312"/>
          <w:color w:val="000000" w:themeColor="text1"/>
          <w:szCs w:val="24"/>
          <w:u w:val="single"/>
          <w14:textFill>
            <w14:solidFill>
              <w14:schemeClr w14:val="tx1"/>
            </w14:solidFill>
          </w14:textFill>
        </w:rPr>
        <w:t>（姓名）</w:t>
      </w:r>
      <w:r>
        <w:rPr>
          <w:rFonts w:hint="eastAsia" w:cs="仿宋_GB2312"/>
          <w:color w:val="000000" w:themeColor="text1"/>
          <w:szCs w:val="24"/>
          <w14:textFill>
            <w14:solidFill>
              <w14:schemeClr w14:val="tx1"/>
            </w14:solidFill>
          </w14:textFill>
        </w:rPr>
        <w:t>系</w:t>
      </w:r>
      <w:r>
        <w:rPr>
          <w:rFonts w:hint="eastAsia" w:cs="仿宋_GB2312"/>
          <w:color w:val="000000" w:themeColor="text1"/>
          <w:szCs w:val="24"/>
          <w:u w:val="single"/>
          <w14:textFill>
            <w14:solidFill>
              <w14:schemeClr w14:val="tx1"/>
            </w14:solidFill>
          </w14:textFill>
        </w:rPr>
        <w:t xml:space="preserve">     （投标供应商名称）</w:t>
      </w:r>
      <w:r>
        <w:rPr>
          <w:rFonts w:hint="eastAsia" w:cs="仿宋_GB2312"/>
          <w:color w:val="000000" w:themeColor="text1"/>
          <w:szCs w:val="24"/>
          <w14:textFill>
            <w14:solidFill>
              <w14:schemeClr w14:val="tx1"/>
            </w14:solidFill>
          </w14:textFill>
        </w:rPr>
        <w:t>的法定代表人</w:t>
      </w:r>
      <w:r>
        <w:rPr>
          <w:rFonts w:hint="eastAsia"/>
          <w:color w:val="000000" w:themeColor="text1"/>
          <w14:textFill>
            <w14:solidFill>
              <w14:schemeClr w14:val="tx1"/>
            </w14:solidFill>
          </w14:textFill>
        </w:rPr>
        <w:t>（负责人）</w:t>
      </w:r>
      <w:r>
        <w:rPr>
          <w:rFonts w:hint="eastAsia" w:cs="仿宋_GB2312"/>
          <w:color w:val="000000" w:themeColor="text1"/>
          <w:szCs w:val="24"/>
          <w14:textFill>
            <w14:solidFill>
              <w14:schemeClr w14:val="tx1"/>
            </w14:solidFill>
          </w14:textFill>
        </w:rPr>
        <w:t>，现委托</w:t>
      </w:r>
      <w:r>
        <w:rPr>
          <w:rFonts w:hint="eastAsia" w:cs="仿宋_GB2312"/>
          <w:color w:val="000000" w:themeColor="text1"/>
          <w:szCs w:val="24"/>
          <w:u w:val="single"/>
          <w14:textFill>
            <w14:solidFill>
              <w14:schemeClr w14:val="tx1"/>
            </w14:solidFill>
          </w14:textFill>
        </w:rPr>
        <w:t xml:space="preserve">     </w:t>
      </w:r>
      <w:r>
        <w:rPr>
          <w:rFonts w:hint="eastAsia" w:cs="仿宋_GB2312"/>
          <w:color w:val="000000" w:themeColor="text1"/>
          <w:szCs w:val="24"/>
          <w14:textFill>
            <w14:solidFill>
              <w14:schemeClr w14:val="tx1"/>
            </w14:solidFill>
          </w14:textFill>
        </w:rPr>
        <w:t>（姓名）为我方代理人。代理人根据授权，以我方名义签署、澄清、说明、补正、递交、撤回、修改</w:t>
      </w:r>
      <w:r>
        <w:rPr>
          <w:rFonts w:hint="eastAsia" w:cs="仿宋_GB2312"/>
          <w:color w:val="000000" w:themeColor="text1"/>
          <w:szCs w:val="24"/>
          <w:u w:val="single"/>
          <w14:textFill>
            <w14:solidFill>
              <w14:schemeClr w14:val="tx1"/>
            </w14:solidFill>
          </w14:textFill>
        </w:rPr>
        <w:t xml:space="preserve">     </w:t>
      </w:r>
      <w:r>
        <w:rPr>
          <w:rFonts w:hint="eastAsia" w:cs="仿宋_GB2312"/>
          <w:color w:val="000000" w:themeColor="text1"/>
          <w:szCs w:val="24"/>
          <w14:textFill>
            <w14:solidFill>
              <w14:schemeClr w14:val="tx1"/>
            </w14:solidFill>
          </w14:textFill>
        </w:rPr>
        <w:t>（项目名称）投标文件、签订合同和处理有关事宜，其法律后果由我方承担。</w:t>
      </w:r>
    </w:p>
    <w:p w14:paraId="5DA3E9D3">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委托期限：                   </w:t>
      </w:r>
    </w:p>
    <w:p w14:paraId="7C9D12F2">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代理人无转委托权。</w:t>
      </w:r>
    </w:p>
    <w:p w14:paraId="31DBB368">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附：法定代表人</w:t>
      </w:r>
      <w:r>
        <w:rPr>
          <w:rFonts w:hint="eastAsia"/>
          <w:color w:val="000000" w:themeColor="text1"/>
          <w14:textFill>
            <w14:solidFill>
              <w14:schemeClr w14:val="tx1"/>
            </w14:solidFill>
          </w14:textFill>
        </w:rPr>
        <w:t>（负责人）</w:t>
      </w:r>
      <w:r>
        <w:rPr>
          <w:rFonts w:hint="eastAsia" w:cs="仿宋_GB2312"/>
          <w:color w:val="000000" w:themeColor="text1"/>
          <w:szCs w:val="24"/>
          <w14:textFill>
            <w14:solidFill>
              <w14:schemeClr w14:val="tx1"/>
            </w14:solidFill>
          </w14:textFill>
        </w:rPr>
        <w:t>身份证明</w:t>
      </w:r>
    </w:p>
    <w:p w14:paraId="7DD4A74D">
      <w:pPr>
        <w:ind w:firstLine="480" w:firstLineChars="200"/>
        <w:rPr>
          <w:rFonts w:hint="eastAsia" w:cs="仿宋_GB2312"/>
          <w:color w:val="000000" w:themeColor="text1"/>
          <w:szCs w:val="24"/>
          <w14:textFill>
            <w14:solidFill>
              <w14:schemeClr w14:val="tx1"/>
            </w14:solidFill>
          </w14:textFill>
        </w:rPr>
      </w:pPr>
    </w:p>
    <w:p w14:paraId="5E188E03">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投标供应商：（</w:t>
      </w:r>
      <w:r>
        <w:rPr>
          <w:rFonts w:hint="eastAsia" w:cs="仿宋_GB2312"/>
          <w:color w:val="000000" w:themeColor="text1"/>
          <w:szCs w:val="24"/>
          <w:lang w:val="en-US" w:eastAsia="zh-CN"/>
          <w14:textFill>
            <w14:solidFill>
              <w14:schemeClr w14:val="tx1"/>
            </w14:solidFill>
          </w14:textFill>
        </w:rPr>
        <w:t>电子签章</w:t>
      </w:r>
      <w:r>
        <w:rPr>
          <w:rFonts w:hint="eastAsia" w:cs="仿宋_GB2312"/>
          <w:color w:val="000000" w:themeColor="text1"/>
          <w:szCs w:val="24"/>
          <w14:textFill>
            <w14:solidFill>
              <w14:schemeClr w14:val="tx1"/>
            </w14:solidFill>
          </w14:textFill>
        </w:rPr>
        <w:t>）</w:t>
      </w:r>
    </w:p>
    <w:p w14:paraId="66DD202E">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法定代表人</w:t>
      </w:r>
      <w:r>
        <w:rPr>
          <w:rFonts w:hint="eastAsia"/>
          <w:color w:val="000000" w:themeColor="text1"/>
          <w14:textFill>
            <w14:solidFill>
              <w14:schemeClr w14:val="tx1"/>
            </w14:solidFill>
          </w14:textFill>
        </w:rPr>
        <w:t>（负责人）</w:t>
      </w:r>
      <w:r>
        <w:rPr>
          <w:rFonts w:hint="eastAsia" w:cs="仿宋_GB2312"/>
          <w:color w:val="000000" w:themeColor="text1"/>
          <w:szCs w:val="24"/>
          <w:lang w:val="en-US" w:eastAsia="zh-CN"/>
          <w14:textFill>
            <w14:solidFill>
              <w14:schemeClr w14:val="tx1"/>
            </w14:solidFill>
          </w14:textFill>
        </w:rPr>
        <w:t>电子签章</w:t>
      </w:r>
      <w:r>
        <w:rPr>
          <w:rFonts w:hint="eastAsia" w:cs="仿宋_GB2312"/>
          <w:color w:val="000000" w:themeColor="text1"/>
          <w:szCs w:val="24"/>
          <w14:textFill>
            <w14:solidFill>
              <w14:schemeClr w14:val="tx1"/>
            </w14:solidFill>
          </w14:textFill>
        </w:rPr>
        <w:t>：</w:t>
      </w:r>
    </w:p>
    <w:p w14:paraId="636DB3A8">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身份证号码：   </w:t>
      </w:r>
    </w:p>
    <w:p w14:paraId="1A21DB31">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委托代理人：</w:t>
      </w:r>
      <w:r>
        <w:rPr>
          <w:rFonts w:cs="仿宋_GB2312"/>
          <w:color w:val="000000" w:themeColor="text1"/>
          <w:szCs w:val="24"/>
          <w14:textFill>
            <w14:solidFill>
              <w14:schemeClr w14:val="tx1"/>
            </w14:solidFill>
          </w14:textFill>
        </w:rPr>
        <w:t xml:space="preserve"> </w:t>
      </w:r>
    </w:p>
    <w:p w14:paraId="0C8C717F">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身份证号码：</w:t>
      </w:r>
    </w:p>
    <w:p w14:paraId="708A1504">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日      期：</w:t>
      </w:r>
    </w:p>
    <w:p w14:paraId="6BED9E0C">
      <w:pPr>
        <w:pStyle w:val="49"/>
        <w:spacing w:line="300" w:lineRule="auto"/>
        <w:ind w:right="480" w:firstLine="3990" w:firstLineChars="1900"/>
        <w:rPr>
          <w:rFonts w:hint="eastAsia" w:ascii="宋体" w:hAnsi="宋体" w:cs="Arial"/>
          <w:color w:val="000000" w:themeColor="text1"/>
          <w:sz w:val="21"/>
          <w:szCs w:val="21"/>
          <w14:textFill>
            <w14:solidFill>
              <w14:schemeClr w14:val="tx1"/>
            </w14:solidFill>
          </w14:textFill>
        </w:rPr>
      </w:pPr>
    </w:p>
    <w:p w14:paraId="3EE7E52B">
      <w:pPr>
        <w:rPr>
          <w:rFonts w:hint="eastAsia" w:cs="Arial"/>
          <w:color w:val="000000" w:themeColor="text1"/>
          <w14:textFill>
            <w14:solidFill>
              <w14:schemeClr w14:val="tx1"/>
            </w14:solidFill>
          </w14:textFill>
        </w:rPr>
      </w:pPr>
    </w:p>
    <w:tbl>
      <w:tblPr>
        <w:tblStyle w:val="33"/>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7"/>
      </w:tblGrid>
      <w:tr w14:paraId="5D83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7" w:type="dxa"/>
          </w:tcPr>
          <w:p w14:paraId="74173D8B">
            <w:pPr>
              <w:rPr>
                <w:rFonts w:hint="eastAsia" w:cs="Arial"/>
                <w:color w:val="000000" w:themeColor="text1"/>
                <w14:textFill>
                  <w14:solidFill>
                    <w14:schemeClr w14:val="tx1"/>
                  </w14:solidFill>
                </w14:textFill>
              </w:rPr>
            </w:pPr>
            <w:r>
              <w:rPr>
                <w:rFonts w:hint="eastAsia" w:cs="仿宋_GB2312"/>
                <w:color w:val="000000" w:themeColor="text1"/>
                <w:szCs w:val="24"/>
                <w14:textFill>
                  <w14:solidFill>
                    <w14:schemeClr w14:val="tx1"/>
                  </w14:solidFill>
                </w14:textFill>
              </w:rPr>
              <w:t>附：法定代表人</w:t>
            </w:r>
            <w:r>
              <w:rPr>
                <w:rFonts w:hint="eastAsia"/>
                <w:color w:val="000000" w:themeColor="text1"/>
                <w14:textFill>
                  <w14:solidFill>
                    <w14:schemeClr w14:val="tx1"/>
                  </w14:solidFill>
                </w14:textFill>
              </w:rPr>
              <w:t>（负责人）</w:t>
            </w:r>
            <w:r>
              <w:rPr>
                <w:rFonts w:hint="eastAsia" w:cs="仿宋_GB2312"/>
                <w:color w:val="000000" w:themeColor="text1"/>
                <w:szCs w:val="24"/>
                <w14:textFill>
                  <w14:solidFill>
                    <w14:schemeClr w14:val="tx1"/>
                  </w14:solidFill>
                </w14:textFill>
              </w:rPr>
              <w:t>和授权代表身份证复印件(正反面)</w:t>
            </w:r>
          </w:p>
        </w:tc>
      </w:tr>
    </w:tbl>
    <w:p w14:paraId="512DAC0C">
      <w:pPr>
        <w:rPr>
          <w:rFonts w:hint="eastAsia"/>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注：</w:t>
      </w:r>
      <w:r>
        <w:rPr>
          <w:rFonts w:hint="eastAsia"/>
          <w:b/>
          <w:color w:val="000000" w:themeColor="text1"/>
          <w:sz w:val="28"/>
          <w:szCs w:val="28"/>
          <w14:textFill>
            <w14:solidFill>
              <w14:schemeClr w14:val="tx1"/>
            </w14:solidFill>
          </w14:textFill>
        </w:rPr>
        <w:t>授权</w:t>
      </w:r>
      <w:r>
        <w:rPr>
          <w:b/>
          <w:color w:val="000000" w:themeColor="text1"/>
          <w:sz w:val="28"/>
          <w:szCs w:val="28"/>
          <w14:textFill>
            <w14:solidFill>
              <w14:schemeClr w14:val="tx1"/>
            </w14:solidFill>
          </w14:textFill>
        </w:rPr>
        <w:t>代表人参加投标时提供</w:t>
      </w:r>
    </w:p>
    <w:p w14:paraId="4A420205">
      <w:pPr>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64AF9FB9">
      <w:pPr>
        <w:pStyle w:val="4"/>
        <w:numPr>
          <w:ilvl w:val="0"/>
          <w:numId w:val="25"/>
        </w:numPr>
        <w:rPr>
          <w:rFonts w:hint="eastAsia"/>
          <w:color w:val="000000" w:themeColor="text1"/>
          <w:lang w:val="zh-CN"/>
          <w14:textFill>
            <w14:solidFill>
              <w14:schemeClr w14:val="tx1"/>
            </w14:solidFill>
          </w14:textFill>
        </w:rPr>
      </w:pPr>
      <w:bookmarkStart w:id="451" w:name="_Toc29339"/>
      <w:bookmarkStart w:id="452" w:name="_Toc155185926"/>
      <w:r>
        <w:rPr>
          <w:rFonts w:hint="eastAsia"/>
          <w:color w:val="000000" w:themeColor="text1"/>
          <w:lang w:val="zh-CN"/>
          <w14:textFill>
            <w14:solidFill>
              <w14:schemeClr w14:val="tx1"/>
            </w14:solidFill>
          </w14:textFill>
        </w:rPr>
        <w:t>资格证明文件</w:t>
      </w:r>
      <w:bookmarkEnd w:id="451"/>
      <w:bookmarkEnd w:id="452"/>
    </w:p>
    <w:p w14:paraId="70D7C4FB">
      <w:pPr>
        <w:ind w:firstLine="480" w:firstLineChars="200"/>
        <w:rPr>
          <w:rFonts w:hint="eastAsia" w:cs="仿宋_GB2312"/>
          <w:color w:val="000000" w:themeColor="text1"/>
          <w:szCs w:val="24"/>
          <w:lang w:val="zh-CN"/>
          <w14:textFill>
            <w14:solidFill>
              <w14:schemeClr w14:val="tx1"/>
            </w14:solidFill>
          </w14:textFill>
        </w:rPr>
      </w:pPr>
      <w:r>
        <w:rPr>
          <w:rFonts w:hint="eastAsia" w:cs="仿宋_GB2312"/>
          <w:color w:val="000000" w:themeColor="text1"/>
          <w:szCs w:val="24"/>
          <w:lang w:val="zh-CN"/>
          <w14:textFill>
            <w14:solidFill>
              <w14:schemeClr w14:val="tx1"/>
            </w14:solidFill>
          </w14:textFill>
        </w:rPr>
        <w:t>封面：</w:t>
      </w:r>
    </w:p>
    <w:p w14:paraId="42DBB7A7">
      <w:pPr>
        <w:autoSpaceDE w:val="0"/>
        <w:autoSpaceDN w:val="0"/>
        <w:adjustRightInd w:val="0"/>
        <w:rPr>
          <w:rFonts w:hint="eastAsia"/>
          <w:color w:val="000000" w:themeColor="text1"/>
          <w:sz w:val="21"/>
          <w:szCs w:val="24"/>
          <w14:textFill>
            <w14:solidFill>
              <w14:schemeClr w14:val="tx1"/>
            </w14:solidFill>
          </w14:textFill>
        </w:rPr>
      </w:pPr>
    </w:p>
    <w:p w14:paraId="215ACF75">
      <w:pPr>
        <w:autoSpaceDE w:val="0"/>
        <w:autoSpaceDN w:val="0"/>
        <w:adjustRightInd w:val="0"/>
        <w:rPr>
          <w:rFonts w:hint="eastAsia"/>
          <w:color w:val="000000" w:themeColor="text1"/>
          <w:sz w:val="21"/>
          <w:szCs w:val="24"/>
          <w14:textFill>
            <w14:solidFill>
              <w14:schemeClr w14:val="tx1"/>
            </w14:solidFill>
          </w14:textFill>
        </w:rPr>
      </w:pPr>
    </w:p>
    <w:p w14:paraId="362A0D44">
      <w:pPr>
        <w:autoSpaceDE w:val="0"/>
        <w:autoSpaceDN w:val="0"/>
        <w:adjustRightInd w:val="0"/>
        <w:jc w:val="center"/>
        <w:rPr>
          <w:rFonts w:hint="eastAsia"/>
          <w:color w:val="000000" w:themeColor="text1"/>
          <w:sz w:val="21"/>
          <w:szCs w:val="24"/>
          <w14:textFill>
            <w14:solidFill>
              <w14:schemeClr w14:val="tx1"/>
            </w14:solidFill>
          </w14:textFill>
        </w:rPr>
      </w:pPr>
    </w:p>
    <w:p w14:paraId="70FE48F8">
      <w:pPr>
        <w:autoSpaceDE w:val="0"/>
        <w:autoSpaceDN w:val="0"/>
        <w:adjustRightInd w:val="0"/>
        <w:jc w:val="center"/>
        <w:rPr>
          <w:rFonts w:hint="eastAsia"/>
          <w:b/>
          <w:color w:val="000000" w:themeColor="text1"/>
          <w:sz w:val="84"/>
          <w:szCs w:val="84"/>
          <w14:textFill>
            <w14:solidFill>
              <w14:schemeClr w14:val="tx1"/>
            </w14:solidFill>
          </w14:textFill>
        </w:rPr>
      </w:pPr>
      <w:r>
        <w:rPr>
          <w:rFonts w:hint="eastAsia"/>
          <w:b/>
          <w:color w:val="000000" w:themeColor="text1"/>
          <w:sz w:val="84"/>
          <w:szCs w:val="84"/>
          <w14:textFill>
            <w14:solidFill>
              <w14:schemeClr w14:val="tx1"/>
            </w14:solidFill>
          </w14:textFill>
        </w:rPr>
        <w:t>投 标 文 件</w:t>
      </w:r>
    </w:p>
    <w:p w14:paraId="45643FB4">
      <w:pPr>
        <w:autoSpaceDE w:val="0"/>
        <w:autoSpaceDN w:val="0"/>
        <w:adjustRightInd w:val="0"/>
        <w:jc w:val="center"/>
        <w:rPr>
          <w:rFonts w:hint="eastAsia"/>
          <w:b/>
          <w:color w:val="000000" w:themeColor="text1"/>
          <w:sz w:val="56"/>
          <w:szCs w:val="56"/>
          <w14:textFill>
            <w14:solidFill>
              <w14:schemeClr w14:val="tx1"/>
            </w14:solidFill>
          </w14:textFill>
        </w:rPr>
      </w:pPr>
      <w:r>
        <w:rPr>
          <w:rFonts w:hint="eastAsia"/>
          <w:b/>
          <w:color w:val="000000" w:themeColor="text1"/>
          <w:sz w:val="56"/>
          <w:szCs w:val="56"/>
          <w14:textFill>
            <w14:solidFill>
              <w14:schemeClr w14:val="tx1"/>
            </w14:solidFill>
          </w14:textFill>
        </w:rPr>
        <w:t>资格证明文件</w:t>
      </w:r>
    </w:p>
    <w:p w14:paraId="6E525D82">
      <w:pPr>
        <w:autoSpaceDE w:val="0"/>
        <w:autoSpaceDN w:val="0"/>
        <w:adjustRightInd w:val="0"/>
        <w:rPr>
          <w:rFonts w:hint="eastAsia"/>
          <w:b/>
          <w:bCs/>
          <w:color w:val="000000" w:themeColor="text1"/>
          <w:sz w:val="22"/>
          <w14:textFill>
            <w14:solidFill>
              <w14:schemeClr w14:val="tx1"/>
            </w14:solidFill>
          </w14:textFill>
        </w:rPr>
      </w:pPr>
    </w:p>
    <w:p w14:paraId="217A44A9">
      <w:pPr>
        <w:autoSpaceDE w:val="0"/>
        <w:autoSpaceDN w:val="0"/>
        <w:adjustRightInd w:val="0"/>
        <w:rPr>
          <w:rFonts w:hint="eastAsia"/>
          <w:color w:val="000000" w:themeColor="text1"/>
          <w:sz w:val="21"/>
          <w:szCs w:val="21"/>
          <w14:textFill>
            <w14:solidFill>
              <w14:schemeClr w14:val="tx1"/>
            </w14:solidFill>
          </w14:textFill>
        </w:rPr>
      </w:pPr>
    </w:p>
    <w:p w14:paraId="526BBC2E">
      <w:pPr>
        <w:autoSpaceDE w:val="0"/>
        <w:autoSpaceDN w:val="0"/>
        <w:adjustRightInd w:val="0"/>
        <w:rPr>
          <w:rFonts w:hint="eastAsia"/>
          <w:color w:val="000000" w:themeColor="text1"/>
          <w:sz w:val="21"/>
          <w:szCs w:val="21"/>
          <w14:textFill>
            <w14:solidFill>
              <w14:schemeClr w14:val="tx1"/>
            </w14:solidFill>
          </w14:textFill>
        </w:rPr>
      </w:pPr>
    </w:p>
    <w:p w14:paraId="69922DFD">
      <w:pPr>
        <w:autoSpaceDE w:val="0"/>
        <w:autoSpaceDN w:val="0"/>
        <w:adjustRightInd w:val="0"/>
        <w:rPr>
          <w:rFonts w:hint="eastAsia"/>
          <w:color w:val="000000" w:themeColor="text1"/>
          <w:sz w:val="21"/>
          <w:szCs w:val="21"/>
          <w14:textFill>
            <w14:solidFill>
              <w14:schemeClr w14:val="tx1"/>
            </w14:solidFill>
          </w14:textFill>
        </w:rPr>
      </w:pPr>
    </w:p>
    <w:p w14:paraId="19B88BBE">
      <w:pPr>
        <w:ind w:left="420" w:leftChars="175"/>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采购计划备案号：</w:t>
      </w:r>
      <w:r>
        <w:rPr>
          <w:rFonts w:ascii="黑体" w:hAnsi="黑体" w:eastAsia="黑体"/>
          <w:color w:val="000000" w:themeColor="text1"/>
          <w:sz w:val="32"/>
          <w:szCs w:val="32"/>
          <w:u w:val="single"/>
          <w14:textFill>
            <w14:solidFill>
              <w14:schemeClr w14:val="tx1"/>
            </w14:solidFill>
          </w14:textFill>
        </w:rPr>
        <w:t xml:space="preserve">                                  </w:t>
      </w:r>
    </w:p>
    <w:p w14:paraId="7FD724E4">
      <w:pPr>
        <w:ind w:left="420" w:leftChars="175"/>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项目编号：</w:t>
      </w:r>
      <w:r>
        <w:rPr>
          <w:rFonts w:ascii="黑体" w:hAnsi="黑体" w:eastAsia="黑体"/>
          <w:color w:val="000000" w:themeColor="text1"/>
          <w:sz w:val="32"/>
          <w:szCs w:val="32"/>
          <w14:textFill>
            <w14:solidFill>
              <w14:schemeClr w14:val="tx1"/>
            </w14:solidFill>
          </w14:textFill>
        </w:rPr>
        <w:tab/>
      </w:r>
      <w:r>
        <w:rPr>
          <w:rFonts w:ascii="黑体" w:hAnsi="黑体" w:eastAsia="黑体"/>
          <w:color w:val="000000" w:themeColor="text1"/>
          <w:sz w:val="32"/>
          <w:szCs w:val="32"/>
          <w:u w:val="single"/>
          <w14:textFill>
            <w14:solidFill>
              <w14:schemeClr w14:val="tx1"/>
            </w14:solidFill>
          </w14:textFill>
        </w:rPr>
        <w:t xml:space="preserve">                                       </w:t>
      </w:r>
    </w:p>
    <w:p w14:paraId="14920FC1">
      <w:pPr>
        <w:ind w:left="420" w:leftChars="175"/>
        <w:rPr>
          <w:rFonts w:hint="eastAsia" w:ascii="黑体" w:hAnsi="黑体" w:eastAsia="黑体"/>
          <w:color w:val="000000" w:themeColor="text1"/>
          <w:sz w:val="32"/>
          <w:szCs w:val="32"/>
          <w14:textFill>
            <w14:solidFill>
              <w14:schemeClr w14:val="tx1"/>
            </w14:solidFill>
          </w14:textFill>
        </w:rPr>
      </w:pPr>
      <w:r>
        <w:rPr>
          <w:rFonts w:hint="eastAsia" w:eastAsia="黑体"/>
          <w:color w:val="000000" w:themeColor="text1"/>
          <w:sz w:val="28"/>
          <w:szCs w:val="28"/>
          <w14:textFill>
            <w14:solidFill>
              <w14:schemeClr w14:val="tx1"/>
            </w14:solidFill>
          </w14:textFill>
        </w:rPr>
        <w:t>投标供应商</w:t>
      </w:r>
      <w:r>
        <w:rPr>
          <w:rFonts w:hint="eastAsia" w:ascii="黑体" w:hAnsi="黑体" w:eastAsia="黑体"/>
          <w:color w:val="000000" w:themeColor="text1"/>
          <w:sz w:val="32"/>
          <w:szCs w:val="32"/>
          <w14:textFill>
            <w14:solidFill>
              <w14:schemeClr w14:val="tx1"/>
            </w14:solidFill>
          </w14:textFill>
        </w:rPr>
        <w:t>：</w:t>
      </w:r>
      <w:r>
        <w:rPr>
          <w:rFonts w:ascii="黑体" w:hAnsi="黑体" w:eastAsia="黑体"/>
          <w:color w:val="000000" w:themeColor="text1"/>
          <w:sz w:val="32"/>
          <w:szCs w:val="32"/>
          <w:u w:val="single"/>
          <w14:textFill>
            <w14:solidFill>
              <w14:schemeClr w14:val="tx1"/>
            </w14:solidFill>
          </w14:textFill>
        </w:rPr>
        <w:t xml:space="preserve">                                          </w:t>
      </w:r>
    </w:p>
    <w:p w14:paraId="671762E7">
      <w:pPr>
        <w:ind w:left="840" w:firstLine="420"/>
        <w:rPr>
          <w:rFonts w:hint="eastAsia"/>
          <w:b/>
          <w:bCs/>
          <w:color w:val="000000" w:themeColor="text1"/>
          <w:sz w:val="28"/>
          <w:szCs w:val="28"/>
          <w14:textFill>
            <w14:solidFill>
              <w14:schemeClr w14:val="tx1"/>
            </w14:solidFill>
          </w14:textFill>
        </w:rPr>
      </w:pPr>
    </w:p>
    <w:p w14:paraId="066B5462">
      <w:pPr>
        <w:ind w:left="840" w:firstLine="420"/>
        <w:rPr>
          <w:rFonts w:hint="eastAsia"/>
          <w:b/>
          <w:bCs/>
          <w:color w:val="000000" w:themeColor="text1"/>
          <w:sz w:val="28"/>
          <w:szCs w:val="28"/>
          <w14:textFill>
            <w14:solidFill>
              <w14:schemeClr w14:val="tx1"/>
            </w14:solidFill>
          </w14:textFill>
        </w:rPr>
      </w:pPr>
    </w:p>
    <w:p w14:paraId="2F6B46A4">
      <w:pPr>
        <w:ind w:left="840" w:firstLine="420"/>
        <w:rPr>
          <w:rFonts w:hint="eastAsia"/>
          <w:b/>
          <w:bCs/>
          <w:color w:val="000000" w:themeColor="text1"/>
          <w:sz w:val="28"/>
          <w:szCs w:val="28"/>
          <w14:textFill>
            <w14:solidFill>
              <w14:schemeClr w14:val="tx1"/>
            </w14:solidFill>
          </w14:textFill>
        </w:rPr>
      </w:pPr>
    </w:p>
    <w:p w14:paraId="29C8D7A2">
      <w:pPr>
        <w:jc w:val="center"/>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年 </w:t>
      </w:r>
      <w:r>
        <w:rPr>
          <w:rFonts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 xml:space="preserve">月 </w:t>
      </w:r>
      <w:r>
        <w:rPr>
          <w:rFonts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日</w:t>
      </w:r>
    </w:p>
    <w:p w14:paraId="2E5D89B9">
      <w:pPr>
        <w:rPr>
          <w:rFonts w:hint="eastAsia"/>
          <w:color w:val="000000" w:themeColor="text1"/>
          <w:lang w:val="zh-CN"/>
          <w14:textFill>
            <w14:solidFill>
              <w14:schemeClr w14:val="tx1"/>
            </w14:solidFill>
          </w14:textFill>
        </w:rPr>
      </w:pPr>
      <w:r>
        <w:rPr>
          <w:color w:val="000000" w:themeColor="text1"/>
          <w:lang w:val="zh-CN"/>
          <w14:textFill>
            <w14:solidFill>
              <w14:schemeClr w14:val="tx1"/>
            </w14:solidFill>
          </w14:textFill>
        </w:rPr>
        <w:br w:type="page"/>
      </w:r>
    </w:p>
    <w:p w14:paraId="55A383F6">
      <w:pPr>
        <w:pStyle w:val="5"/>
        <w:numPr>
          <w:ilvl w:val="0"/>
          <w:numId w:val="29"/>
        </w:numPr>
        <w:rPr>
          <w:rFonts w:hint="eastAsia"/>
          <w:color w:val="000000" w:themeColor="text1"/>
          <w14:textFill>
            <w14:solidFill>
              <w14:schemeClr w14:val="tx1"/>
            </w14:solidFill>
          </w14:textFill>
        </w:rPr>
      </w:pPr>
      <w:bookmarkStart w:id="453" w:name="_Toc26702"/>
      <w:bookmarkStart w:id="454" w:name="_Toc155185927"/>
      <w:r>
        <w:rPr>
          <w:rFonts w:hint="eastAsia"/>
          <w:color w:val="000000" w:themeColor="text1"/>
          <w14:textFill>
            <w14:solidFill>
              <w14:schemeClr w14:val="tx1"/>
            </w14:solidFill>
          </w14:textFill>
        </w:rPr>
        <w:t>企业法人营业执照、事业单位法人证书或团体组织法人证书</w:t>
      </w:r>
      <w:bookmarkEnd w:id="453"/>
      <w:bookmarkEnd w:id="454"/>
    </w:p>
    <w:p w14:paraId="60C24693">
      <w:pPr>
        <w:rPr>
          <w:rFonts w:hint="eastAsia"/>
          <w:color w:val="000000" w:themeColor="text1"/>
          <w14:textFill>
            <w14:solidFill>
              <w14:schemeClr w14:val="tx1"/>
            </w14:solidFill>
          </w14:textFill>
        </w:rPr>
      </w:pPr>
    </w:p>
    <w:p w14:paraId="462F37A0">
      <w:pPr>
        <w:pStyle w:val="2"/>
        <w:rPr>
          <w:rFonts w:hint="eastAsia"/>
          <w:color w:val="000000" w:themeColor="text1"/>
          <w14:textFill>
            <w14:solidFill>
              <w14:schemeClr w14:val="tx1"/>
            </w14:solidFill>
          </w14:textFill>
        </w:rPr>
      </w:pPr>
    </w:p>
    <w:p w14:paraId="7C8CE0A2">
      <w:pPr>
        <w:rPr>
          <w:rFonts w:hint="eastAsia"/>
          <w:color w:val="000000" w:themeColor="text1"/>
          <w14:textFill>
            <w14:solidFill>
              <w14:schemeClr w14:val="tx1"/>
            </w14:solidFill>
          </w14:textFill>
        </w:rPr>
      </w:pPr>
    </w:p>
    <w:p w14:paraId="6CEB81D0">
      <w:pPr>
        <w:pStyle w:val="2"/>
        <w:rPr>
          <w:rFonts w:hint="eastAsia"/>
          <w:color w:val="000000" w:themeColor="text1"/>
          <w14:textFill>
            <w14:solidFill>
              <w14:schemeClr w14:val="tx1"/>
            </w14:solidFill>
          </w14:textFill>
        </w:rPr>
      </w:pPr>
    </w:p>
    <w:p w14:paraId="6DB7AC04">
      <w:pPr>
        <w:rPr>
          <w:rFonts w:hint="eastAsia"/>
          <w:color w:val="000000" w:themeColor="text1"/>
          <w14:textFill>
            <w14:solidFill>
              <w14:schemeClr w14:val="tx1"/>
            </w14:solidFill>
          </w14:textFill>
        </w:rPr>
      </w:pPr>
    </w:p>
    <w:p w14:paraId="7FC1B5F7">
      <w:pPr>
        <w:pStyle w:val="2"/>
        <w:rPr>
          <w:rFonts w:hint="eastAsia"/>
          <w:color w:val="000000" w:themeColor="text1"/>
          <w14:textFill>
            <w14:solidFill>
              <w14:schemeClr w14:val="tx1"/>
            </w14:solidFill>
          </w14:textFill>
        </w:rPr>
      </w:pPr>
    </w:p>
    <w:p w14:paraId="35D8B8D1">
      <w:pPr>
        <w:rPr>
          <w:rFonts w:hint="eastAsia"/>
          <w:color w:val="000000" w:themeColor="text1"/>
          <w14:textFill>
            <w14:solidFill>
              <w14:schemeClr w14:val="tx1"/>
            </w14:solidFill>
          </w14:textFill>
        </w:rPr>
      </w:pPr>
    </w:p>
    <w:p w14:paraId="162474CE">
      <w:pPr>
        <w:pStyle w:val="2"/>
        <w:rPr>
          <w:rFonts w:hint="eastAsia"/>
          <w:color w:val="000000" w:themeColor="text1"/>
          <w14:textFill>
            <w14:solidFill>
              <w14:schemeClr w14:val="tx1"/>
            </w14:solidFill>
          </w14:textFill>
        </w:rPr>
      </w:pPr>
    </w:p>
    <w:p w14:paraId="3C6085B2">
      <w:pPr>
        <w:rPr>
          <w:rFonts w:hint="eastAsia"/>
          <w:color w:val="000000" w:themeColor="text1"/>
          <w14:textFill>
            <w14:solidFill>
              <w14:schemeClr w14:val="tx1"/>
            </w14:solidFill>
          </w14:textFill>
        </w:rPr>
      </w:pPr>
    </w:p>
    <w:p w14:paraId="7583CF8E">
      <w:pPr>
        <w:pStyle w:val="2"/>
        <w:rPr>
          <w:rFonts w:hint="eastAsia"/>
          <w:color w:val="000000" w:themeColor="text1"/>
          <w14:textFill>
            <w14:solidFill>
              <w14:schemeClr w14:val="tx1"/>
            </w14:solidFill>
          </w14:textFill>
        </w:rPr>
      </w:pPr>
    </w:p>
    <w:p w14:paraId="5B082531">
      <w:pPr>
        <w:rPr>
          <w:rFonts w:hint="eastAsia"/>
          <w:color w:val="000000" w:themeColor="text1"/>
          <w14:textFill>
            <w14:solidFill>
              <w14:schemeClr w14:val="tx1"/>
            </w14:solidFill>
          </w14:textFill>
        </w:rPr>
      </w:pPr>
    </w:p>
    <w:p w14:paraId="7074925E">
      <w:pPr>
        <w:pStyle w:val="2"/>
        <w:rPr>
          <w:rFonts w:hint="eastAsia"/>
          <w:color w:val="000000" w:themeColor="text1"/>
          <w14:textFill>
            <w14:solidFill>
              <w14:schemeClr w14:val="tx1"/>
            </w14:solidFill>
          </w14:textFill>
        </w:rPr>
      </w:pPr>
    </w:p>
    <w:p w14:paraId="0B15123E">
      <w:pPr>
        <w:rPr>
          <w:rFonts w:hint="eastAsia"/>
          <w:color w:val="000000" w:themeColor="text1"/>
          <w14:textFill>
            <w14:solidFill>
              <w14:schemeClr w14:val="tx1"/>
            </w14:solidFill>
          </w14:textFill>
        </w:rPr>
      </w:pPr>
    </w:p>
    <w:p w14:paraId="7C36628F">
      <w:pPr>
        <w:pStyle w:val="2"/>
        <w:rPr>
          <w:rFonts w:hint="eastAsia"/>
          <w:color w:val="000000" w:themeColor="text1"/>
          <w14:textFill>
            <w14:solidFill>
              <w14:schemeClr w14:val="tx1"/>
            </w14:solidFill>
          </w14:textFill>
        </w:rPr>
      </w:pPr>
    </w:p>
    <w:p w14:paraId="15891E5D">
      <w:pPr>
        <w:rPr>
          <w:rFonts w:hint="eastAsia"/>
          <w:color w:val="000000" w:themeColor="text1"/>
          <w14:textFill>
            <w14:solidFill>
              <w14:schemeClr w14:val="tx1"/>
            </w14:solidFill>
          </w14:textFill>
        </w:rPr>
      </w:pPr>
    </w:p>
    <w:p w14:paraId="2F62CF71">
      <w:pPr>
        <w:pStyle w:val="2"/>
        <w:rPr>
          <w:rFonts w:hint="eastAsia"/>
          <w:color w:val="000000" w:themeColor="text1"/>
          <w14:textFill>
            <w14:solidFill>
              <w14:schemeClr w14:val="tx1"/>
            </w14:solidFill>
          </w14:textFill>
        </w:rPr>
      </w:pPr>
    </w:p>
    <w:p w14:paraId="0A113856">
      <w:pPr>
        <w:rPr>
          <w:rFonts w:hint="eastAsia"/>
          <w:color w:val="000000" w:themeColor="text1"/>
          <w14:textFill>
            <w14:solidFill>
              <w14:schemeClr w14:val="tx1"/>
            </w14:solidFill>
          </w14:textFill>
        </w:rPr>
      </w:pPr>
    </w:p>
    <w:p w14:paraId="4C2C83F5">
      <w:pPr>
        <w:pStyle w:val="2"/>
        <w:rPr>
          <w:rFonts w:hint="eastAsia"/>
          <w:color w:val="000000" w:themeColor="text1"/>
          <w14:textFill>
            <w14:solidFill>
              <w14:schemeClr w14:val="tx1"/>
            </w14:solidFill>
          </w14:textFill>
        </w:rPr>
      </w:pPr>
    </w:p>
    <w:p w14:paraId="24E8FCBF">
      <w:pPr>
        <w:rPr>
          <w:rFonts w:hint="eastAsia"/>
          <w:color w:val="000000" w:themeColor="text1"/>
          <w14:textFill>
            <w14:solidFill>
              <w14:schemeClr w14:val="tx1"/>
            </w14:solidFill>
          </w14:textFill>
        </w:rPr>
      </w:pPr>
    </w:p>
    <w:p w14:paraId="4DF2BE70">
      <w:pPr>
        <w:pStyle w:val="2"/>
        <w:rPr>
          <w:rFonts w:hint="eastAsia"/>
          <w:color w:val="000000" w:themeColor="text1"/>
          <w14:textFill>
            <w14:solidFill>
              <w14:schemeClr w14:val="tx1"/>
            </w14:solidFill>
          </w14:textFill>
        </w:rPr>
      </w:pPr>
    </w:p>
    <w:p w14:paraId="3D77CEB6">
      <w:pPr>
        <w:rPr>
          <w:rFonts w:hint="eastAsia"/>
          <w:color w:val="000000" w:themeColor="text1"/>
          <w14:textFill>
            <w14:solidFill>
              <w14:schemeClr w14:val="tx1"/>
            </w14:solidFill>
          </w14:textFill>
        </w:rPr>
      </w:pPr>
    </w:p>
    <w:p w14:paraId="445779DD">
      <w:pPr>
        <w:pStyle w:val="2"/>
        <w:rPr>
          <w:rFonts w:hint="eastAsia"/>
          <w:color w:val="000000" w:themeColor="text1"/>
          <w14:textFill>
            <w14:solidFill>
              <w14:schemeClr w14:val="tx1"/>
            </w14:solidFill>
          </w14:textFill>
        </w:rPr>
      </w:pPr>
    </w:p>
    <w:p w14:paraId="1884521A">
      <w:pPr>
        <w:rPr>
          <w:rFonts w:hint="eastAsia"/>
          <w:color w:val="000000" w:themeColor="text1"/>
          <w14:textFill>
            <w14:solidFill>
              <w14:schemeClr w14:val="tx1"/>
            </w14:solidFill>
          </w14:textFill>
        </w:rPr>
      </w:pPr>
    </w:p>
    <w:p w14:paraId="12D94666">
      <w:pPr>
        <w:pStyle w:val="2"/>
        <w:rPr>
          <w:rFonts w:hint="eastAsia"/>
          <w:color w:val="000000" w:themeColor="text1"/>
          <w14:textFill>
            <w14:solidFill>
              <w14:schemeClr w14:val="tx1"/>
            </w14:solidFill>
          </w14:textFill>
        </w:rPr>
      </w:pPr>
    </w:p>
    <w:p w14:paraId="791F1884">
      <w:pPr>
        <w:rPr>
          <w:rFonts w:hint="eastAsia"/>
          <w:color w:val="000000" w:themeColor="text1"/>
          <w14:textFill>
            <w14:solidFill>
              <w14:schemeClr w14:val="tx1"/>
            </w14:solidFill>
          </w14:textFill>
        </w:rPr>
      </w:pPr>
    </w:p>
    <w:p w14:paraId="2983CD11">
      <w:pPr>
        <w:pStyle w:val="5"/>
        <w:numPr>
          <w:ilvl w:val="0"/>
          <w:numId w:val="29"/>
        </w:numPr>
        <w:jc w:val="center"/>
        <w:rPr>
          <w:rFonts w:hint="eastAsia"/>
          <w:color w:val="000000" w:themeColor="text1"/>
          <w14:textFill>
            <w14:solidFill>
              <w14:schemeClr w14:val="tx1"/>
            </w14:solidFill>
          </w14:textFill>
        </w:rPr>
      </w:pPr>
      <w:bookmarkStart w:id="455" w:name="_Toc155185928"/>
      <w:bookmarkStart w:id="456" w:name="_Toc14898"/>
      <w:r>
        <w:rPr>
          <w:rFonts w:hint="eastAsia"/>
          <w:color w:val="000000" w:themeColor="text1"/>
          <w14:textFill>
            <w14:solidFill>
              <w14:schemeClr w14:val="tx1"/>
            </w14:solidFill>
          </w14:textFill>
        </w:rPr>
        <w:t>资格条件承诺书</w:t>
      </w:r>
      <w:bookmarkEnd w:id="455"/>
      <w:bookmarkEnd w:id="456"/>
    </w:p>
    <w:p w14:paraId="7D9D4BE4">
      <w:pPr>
        <w:adjustRightInd w:val="0"/>
        <w:snapToGrid w:val="0"/>
        <w:rPr>
          <w:rFonts w:hint="eastAsia"/>
          <w:color w:val="000000" w:themeColor="text1"/>
          <w:szCs w:val="21"/>
          <w14:textFill>
            <w14:solidFill>
              <w14:schemeClr w14:val="tx1"/>
            </w14:solidFill>
          </w14:textFill>
        </w:rPr>
      </w:pPr>
      <w:bookmarkStart w:id="457" w:name="_Hlk161693574"/>
      <w:bookmarkStart w:id="458" w:name="_Hlk161693525"/>
      <w:r>
        <w:rPr>
          <w:rFonts w:hint="eastAsia"/>
          <w:color w:val="000000" w:themeColor="text1"/>
          <w:szCs w:val="21"/>
          <w14:textFill>
            <w14:solidFill>
              <w14:schemeClr w14:val="tx1"/>
            </w14:solidFill>
          </w14:textFill>
        </w:rPr>
        <w:t>致</w:t>
      </w:r>
      <w:r>
        <w:rPr>
          <w:rFonts w:cs="Arial"/>
          <w:color w:val="000000" w:themeColor="text1"/>
          <w:szCs w:val="21"/>
          <w14:textFill>
            <w14:solidFill>
              <w14:schemeClr w14:val="tx1"/>
            </w14:solidFill>
          </w14:textFill>
        </w:rPr>
        <w:t>：</w:t>
      </w:r>
      <w:r>
        <w:rPr>
          <w:rFonts w:hint="eastAsia" w:cs="Arial"/>
          <w:color w:val="000000" w:themeColor="text1"/>
          <w:szCs w:val="21"/>
          <w:u w:val="single"/>
          <w14:textFill>
            <w14:solidFill>
              <w14:schemeClr w14:val="tx1"/>
            </w14:solidFill>
          </w14:textFill>
        </w:rPr>
        <w:t>采购人/采购代理机构</w:t>
      </w:r>
    </w:p>
    <w:p w14:paraId="6A0B88ED">
      <w:pPr>
        <w:adjustRightInd w:val="0"/>
        <w:snapToGrid w:val="0"/>
        <w:ind w:firstLine="480" w:firstLineChars="200"/>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我方承诺完全</w:t>
      </w:r>
      <w:r>
        <w:rPr>
          <w:color w:val="000000" w:themeColor="text1"/>
          <w:szCs w:val="21"/>
          <w14:textFill>
            <w14:solidFill>
              <w14:schemeClr w14:val="tx1"/>
            </w14:solidFill>
          </w14:textFill>
        </w:rPr>
        <w:t>满足</w:t>
      </w:r>
      <w:r>
        <w:rPr>
          <w:rFonts w:hint="eastAsia"/>
          <w:color w:val="000000" w:themeColor="text1"/>
          <w:szCs w:val="21"/>
          <w14:textFill>
            <w14:solidFill>
              <w14:schemeClr w14:val="tx1"/>
            </w14:solidFill>
          </w14:textFill>
        </w:rPr>
        <w:t>招标文件对投标供应商的资格要求：</w:t>
      </w:r>
    </w:p>
    <w:p w14:paraId="133B5FC7">
      <w:pPr>
        <w:adjustRightInd w:val="0"/>
        <w:snapToGrid w:val="0"/>
        <w:ind w:firstLine="480" w:firstLineChars="200"/>
        <w:rPr>
          <w:rFonts w:hint="eastAsia"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1.满足《中华人民共和国政府采购法》第二十二条规定；</w:t>
      </w:r>
    </w:p>
    <w:p w14:paraId="1DD680C2">
      <w:pPr>
        <w:widowControl/>
        <w:adjustRightInd w:val="0"/>
        <w:snapToGrid w:val="0"/>
        <w:ind w:firstLine="420"/>
        <w:rPr>
          <w:rFonts w:hint="eastAsia" w:cs="Segoe UI"/>
          <w:color w:val="000000" w:themeColor="text1"/>
          <w:szCs w:val="21"/>
          <w14:textFill>
            <w14:solidFill>
              <w14:schemeClr w14:val="tx1"/>
            </w14:solidFill>
          </w14:textFill>
        </w:rPr>
      </w:pPr>
      <w:r>
        <w:rPr>
          <w:rFonts w:hint="eastAsia" w:cs="Segoe UI"/>
          <w:color w:val="000000" w:themeColor="text1"/>
          <w:szCs w:val="21"/>
          <w14:textFill>
            <w14:solidFill>
              <w14:schemeClr w14:val="tx1"/>
            </w14:solidFill>
          </w14:textFill>
        </w:rPr>
        <w:t>（1）</w:t>
      </w:r>
      <w:r>
        <w:rPr>
          <w:rFonts w:cs="Segoe UI"/>
          <w:color w:val="000000" w:themeColor="text1"/>
          <w:szCs w:val="21"/>
          <w14:textFill>
            <w14:solidFill>
              <w14:schemeClr w14:val="tx1"/>
            </w14:solidFill>
          </w14:textFill>
        </w:rPr>
        <w:t>具有独立承担民事责任的能力；</w:t>
      </w:r>
    </w:p>
    <w:p w14:paraId="5E950D89">
      <w:pPr>
        <w:widowControl/>
        <w:adjustRightInd w:val="0"/>
        <w:snapToGrid w:val="0"/>
        <w:ind w:firstLine="420"/>
        <w:rPr>
          <w:rFonts w:hint="eastAsia" w:cs="Segoe UI"/>
          <w:color w:val="000000" w:themeColor="text1"/>
          <w:szCs w:val="21"/>
          <w14:textFill>
            <w14:solidFill>
              <w14:schemeClr w14:val="tx1"/>
            </w14:solidFill>
          </w14:textFill>
        </w:rPr>
      </w:pPr>
      <w:r>
        <w:rPr>
          <w:rFonts w:hint="eastAsia" w:cs="Segoe UI"/>
          <w:color w:val="000000" w:themeColor="text1"/>
          <w:szCs w:val="21"/>
          <w14:textFill>
            <w14:solidFill>
              <w14:schemeClr w14:val="tx1"/>
            </w14:solidFill>
          </w14:textFill>
        </w:rPr>
        <w:t>（2）</w:t>
      </w:r>
      <w:r>
        <w:rPr>
          <w:rFonts w:cs="Segoe UI"/>
          <w:color w:val="000000" w:themeColor="text1"/>
          <w:szCs w:val="21"/>
          <w14:textFill>
            <w14:solidFill>
              <w14:schemeClr w14:val="tx1"/>
            </w14:solidFill>
          </w14:textFill>
        </w:rPr>
        <w:t>具有良好的商业信誉和健全的财务会计制度</w:t>
      </w:r>
      <w:r>
        <w:rPr>
          <w:rFonts w:hint="eastAsia" w:cs="Segoe UI"/>
          <w:color w:val="000000" w:themeColor="text1"/>
          <w:szCs w:val="21"/>
          <w14:textFill>
            <w14:solidFill>
              <w14:schemeClr w14:val="tx1"/>
            </w14:solidFill>
          </w14:textFill>
        </w:rPr>
        <w:t>；</w:t>
      </w:r>
    </w:p>
    <w:p w14:paraId="141978F4">
      <w:pPr>
        <w:widowControl/>
        <w:adjustRightInd w:val="0"/>
        <w:snapToGrid w:val="0"/>
        <w:ind w:firstLine="420"/>
        <w:rPr>
          <w:rFonts w:hint="eastAsia" w:cs="Segoe UI"/>
          <w:color w:val="000000" w:themeColor="text1"/>
          <w:szCs w:val="21"/>
          <w14:textFill>
            <w14:solidFill>
              <w14:schemeClr w14:val="tx1"/>
            </w14:solidFill>
          </w14:textFill>
        </w:rPr>
      </w:pPr>
      <w:r>
        <w:rPr>
          <w:rFonts w:hint="eastAsia" w:cs="Segoe UI"/>
          <w:color w:val="000000" w:themeColor="text1"/>
          <w:szCs w:val="21"/>
          <w14:textFill>
            <w14:solidFill>
              <w14:schemeClr w14:val="tx1"/>
            </w14:solidFill>
          </w14:textFill>
        </w:rPr>
        <w:t>（3）</w:t>
      </w:r>
      <w:r>
        <w:rPr>
          <w:rFonts w:cs="Segoe UI"/>
          <w:color w:val="000000" w:themeColor="text1"/>
          <w:szCs w:val="21"/>
          <w14:textFill>
            <w14:solidFill>
              <w14:schemeClr w14:val="tx1"/>
            </w14:solidFill>
          </w14:textFill>
        </w:rPr>
        <w:t>具有履行合同所必需的设备和专业技术能力；</w:t>
      </w:r>
    </w:p>
    <w:p w14:paraId="1ADFD499">
      <w:pPr>
        <w:widowControl/>
        <w:adjustRightInd w:val="0"/>
        <w:snapToGrid w:val="0"/>
        <w:ind w:firstLine="420"/>
        <w:rPr>
          <w:rFonts w:hint="eastAsia" w:cs="Segoe UI"/>
          <w:color w:val="000000" w:themeColor="text1"/>
          <w:szCs w:val="21"/>
          <w14:textFill>
            <w14:solidFill>
              <w14:schemeClr w14:val="tx1"/>
            </w14:solidFill>
          </w14:textFill>
        </w:rPr>
      </w:pPr>
      <w:r>
        <w:rPr>
          <w:rFonts w:hint="eastAsia" w:cs="Segoe UI"/>
          <w:color w:val="000000" w:themeColor="text1"/>
          <w:szCs w:val="21"/>
          <w14:textFill>
            <w14:solidFill>
              <w14:schemeClr w14:val="tx1"/>
            </w14:solidFill>
          </w14:textFill>
        </w:rPr>
        <w:t>（4）</w:t>
      </w:r>
      <w:r>
        <w:rPr>
          <w:rFonts w:cs="Segoe UI"/>
          <w:color w:val="000000" w:themeColor="text1"/>
          <w:szCs w:val="21"/>
          <w14:textFill>
            <w14:solidFill>
              <w14:schemeClr w14:val="tx1"/>
            </w14:solidFill>
          </w14:textFill>
        </w:rPr>
        <w:t>有依法缴纳税收和社会保障资金的良好记录；</w:t>
      </w:r>
    </w:p>
    <w:p w14:paraId="7494A4BF">
      <w:pPr>
        <w:widowControl/>
        <w:adjustRightInd w:val="0"/>
        <w:snapToGrid w:val="0"/>
        <w:ind w:firstLine="420"/>
        <w:rPr>
          <w:rFonts w:hint="eastAsia" w:cs="Segoe UI"/>
          <w:color w:val="000000" w:themeColor="text1"/>
          <w:szCs w:val="21"/>
          <w14:textFill>
            <w14:solidFill>
              <w14:schemeClr w14:val="tx1"/>
            </w14:solidFill>
          </w14:textFill>
        </w:rPr>
      </w:pPr>
      <w:r>
        <w:rPr>
          <w:rFonts w:hint="eastAsia" w:cs="Segoe UI"/>
          <w:color w:val="000000" w:themeColor="text1"/>
          <w:szCs w:val="21"/>
          <w14:textFill>
            <w14:solidFill>
              <w14:schemeClr w14:val="tx1"/>
            </w14:solidFill>
          </w14:textFill>
        </w:rPr>
        <w:t>（5）</w:t>
      </w:r>
      <w:r>
        <w:rPr>
          <w:rFonts w:cs="Segoe UI"/>
          <w:color w:val="000000" w:themeColor="text1"/>
          <w:szCs w:val="21"/>
          <w14:textFill>
            <w14:solidFill>
              <w14:schemeClr w14:val="tx1"/>
            </w14:solidFill>
          </w14:textFill>
        </w:rPr>
        <w:t>参加政府采购活动前三年内，在经营活动中没有重大违法记录：</w:t>
      </w:r>
    </w:p>
    <w:p w14:paraId="517A140D">
      <w:pPr>
        <w:pStyle w:val="44"/>
        <w:numPr>
          <w:ilvl w:val="0"/>
          <w:numId w:val="30"/>
        </w:numPr>
        <w:adjustRightInd w:val="0"/>
        <w:snapToGrid w:val="0"/>
        <w:rPr>
          <w:rFonts w:hint="eastAsia"/>
          <w:color w:val="000000" w:themeColor="text1"/>
          <w:szCs w:val="21"/>
          <w14:textFill>
            <w14:solidFill>
              <w14:schemeClr w14:val="tx1"/>
            </w14:solidFill>
          </w14:textFill>
        </w:rPr>
      </w:pPr>
      <w:r>
        <w:rPr>
          <w:rFonts w:hint="eastAsia"/>
          <w:color w:val="000000" w:themeColor="text1"/>
          <w:szCs w:val="21"/>
          <w:shd w:val="clear" w:color="auto" w:fill="FFFFFF"/>
          <w14:textFill>
            <w14:solidFill>
              <w14:schemeClr w14:val="tx1"/>
            </w14:solidFill>
          </w14:textFill>
        </w:rPr>
        <w:t>我</w:t>
      </w:r>
      <w:r>
        <w:rPr>
          <w:rFonts w:hint="eastAsia"/>
          <w:color w:val="000000" w:themeColor="text1"/>
          <w:szCs w:val="21"/>
          <w14:textFill>
            <w14:solidFill>
              <w14:schemeClr w14:val="tx1"/>
            </w14:solidFill>
          </w14:textFill>
        </w:rPr>
        <w:t>方</w:t>
      </w:r>
      <w:r>
        <w:rPr>
          <w:rFonts w:hint="eastAsia"/>
          <w:color w:val="000000" w:themeColor="text1"/>
          <w:szCs w:val="21"/>
          <w:shd w:val="clear" w:color="auto" w:fill="FFFFFF"/>
          <w14:textFill>
            <w14:solidFill>
              <w14:schemeClr w14:val="tx1"/>
            </w14:solidFill>
          </w14:textFill>
        </w:rPr>
        <w:t>未因违法经营被追究过刑事责任；</w:t>
      </w:r>
    </w:p>
    <w:p w14:paraId="242F512D">
      <w:pPr>
        <w:pStyle w:val="44"/>
        <w:numPr>
          <w:ilvl w:val="0"/>
          <w:numId w:val="30"/>
        </w:numPr>
        <w:adjustRightInd w:val="0"/>
        <w:snapToGrid w:val="0"/>
        <w:rPr>
          <w:rFonts w:hint="eastAsia"/>
          <w:color w:val="000000" w:themeColor="text1"/>
          <w:szCs w:val="21"/>
          <w14:textFill>
            <w14:solidFill>
              <w14:schemeClr w14:val="tx1"/>
            </w14:solidFill>
          </w14:textFill>
        </w:rPr>
      </w:pPr>
      <w:r>
        <w:rPr>
          <w:rFonts w:hint="eastAsia"/>
          <w:color w:val="000000" w:themeColor="text1"/>
          <w:szCs w:val="21"/>
          <w:shd w:val="clear" w:color="auto" w:fill="FFFFFF"/>
          <w14:textFill>
            <w14:solidFill>
              <w14:schemeClr w14:val="tx1"/>
            </w14:solidFill>
          </w14:textFill>
        </w:rPr>
        <w:t>我</w:t>
      </w:r>
      <w:r>
        <w:rPr>
          <w:rFonts w:hint="eastAsia"/>
          <w:color w:val="000000" w:themeColor="text1"/>
          <w:szCs w:val="21"/>
          <w14:textFill>
            <w14:solidFill>
              <w14:schemeClr w14:val="tx1"/>
            </w14:solidFill>
          </w14:textFill>
        </w:rPr>
        <w:t>方</w:t>
      </w:r>
      <w:r>
        <w:rPr>
          <w:rFonts w:hint="eastAsia"/>
          <w:color w:val="000000" w:themeColor="text1"/>
          <w:szCs w:val="21"/>
          <w:shd w:val="clear" w:color="auto" w:fill="FFFFFF"/>
          <w14:textFill>
            <w14:solidFill>
              <w14:schemeClr w14:val="tx1"/>
            </w14:solidFill>
          </w14:textFill>
        </w:rPr>
        <w:t>未因违法经营被责令停产停业、吊销许可证或者执照；</w:t>
      </w:r>
    </w:p>
    <w:p w14:paraId="5C60E113">
      <w:pPr>
        <w:pStyle w:val="44"/>
        <w:numPr>
          <w:ilvl w:val="0"/>
          <w:numId w:val="30"/>
        </w:numPr>
        <w:adjustRightInd w:val="0"/>
        <w:snapToGrid w:val="0"/>
        <w:rPr>
          <w:rFonts w:hint="eastAsia"/>
          <w:color w:val="000000" w:themeColor="text1"/>
          <w:szCs w:val="21"/>
          <w14:textFill>
            <w14:solidFill>
              <w14:schemeClr w14:val="tx1"/>
            </w14:solidFill>
          </w14:textFill>
        </w:rPr>
      </w:pPr>
      <w:r>
        <w:rPr>
          <w:rFonts w:hint="eastAsia"/>
          <w:color w:val="000000" w:themeColor="text1"/>
          <w:szCs w:val="21"/>
          <w:shd w:val="clear" w:color="auto" w:fill="FFFFFF"/>
          <w14:textFill>
            <w14:solidFill>
              <w14:schemeClr w14:val="tx1"/>
            </w14:solidFill>
          </w14:textFill>
        </w:rPr>
        <w:t>我</w:t>
      </w:r>
      <w:r>
        <w:rPr>
          <w:rFonts w:hint="eastAsia"/>
          <w:color w:val="000000" w:themeColor="text1"/>
          <w:szCs w:val="21"/>
          <w14:textFill>
            <w14:solidFill>
              <w14:schemeClr w14:val="tx1"/>
            </w14:solidFill>
          </w14:textFill>
        </w:rPr>
        <w:t>方</w:t>
      </w:r>
      <w:r>
        <w:rPr>
          <w:rFonts w:hint="eastAsia"/>
          <w:color w:val="000000" w:themeColor="text1"/>
          <w:szCs w:val="21"/>
          <w:shd w:val="clear" w:color="auto" w:fill="FFFFFF"/>
          <w14:textFill>
            <w14:solidFill>
              <w14:schemeClr w14:val="tx1"/>
            </w14:solidFill>
          </w14:textFill>
        </w:rPr>
        <w:t>未因违法经营被处以较大数额罚款等行政处罚。</w:t>
      </w:r>
    </w:p>
    <w:p w14:paraId="24952B5C">
      <w:pPr>
        <w:widowControl/>
        <w:adjustRightInd w:val="0"/>
        <w:snapToGrid w:val="0"/>
        <w:ind w:firstLine="420"/>
        <w:rPr>
          <w:rFonts w:hint="eastAsia" w:cs="Segoe UI"/>
          <w:color w:val="000000" w:themeColor="text1"/>
          <w:szCs w:val="21"/>
          <w14:textFill>
            <w14:solidFill>
              <w14:schemeClr w14:val="tx1"/>
            </w14:solidFill>
          </w14:textFill>
        </w:rPr>
      </w:pPr>
      <w:r>
        <w:rPr>
          <w:rFonts w:hint="eastAsia" w:cs="Segoe UI"/>
          <w:color w:val="000000" w:themeColor="text1"/>
          <w:szCs w:val="21"/>
          <w14:textFill>
            <w14:solidFill>
              <w14:schemeClr w14:val="tx1"/>
            </w14:solidFill>
          </w14:textFill>
        </w:rPr>
        <w:t>（</w:t>
      </w:r>
      <w:r>
        <w:rPr>
          <w:rFonts w:cs="Segoe UI"/>
          <w:color w:val="000000" w:themeColor="text1"/>
          <w:szCs w:val="21"/>
          <w14:textFill>
            <w14:solidFill>
              <w14:schemeClr w14:val="tx1"/>
            </w14:solidFill>
          </w14:textFill>
        </w:rPr>
        <w:t>6</w:t>
      </w:r>
      <w:r>
        <w:rPr>
          <w:rFonts w:hint="eastAsia" w:cs="Segoe UI"/>
          <w:color w:val="000000" w:themeColor="text1"/>
          <w:szCs w:val="21"/>
          <w14:textFill>
            <w14:solidFill>
              <w14:schemeClr w14:val="tx1"/>
            </w14:solidFill>
          </w14:textFill>
        </w:rPr>
        <w:t>）满足</w:t>
      </w:r>
      <w:r>
        <w:rPr>
          <w:rFonts w:cs="Segoe UI"/>
          <w:color w:val="000000" w:themeColor="text1"/>
          <w:szCs w:val="21"/>
          <w14:textFill>
            <w14:solidFill>
              <w14:schemeClr w14:val="tx1"/>
            </w14:solidFill>
          </w14:textFill>
        </w:rPr>
        <w:t>法律、行政法规规定的其他条件。</w:t>
      </w:r>
    </w:p>
    <w:p w14:paraId="35BBCD20">
      <w:pPr>
        <w:adjustRightInd w:val="0"/>
        <w:snapToGrid w:val="0"/>
        <w:ind w:firstLine="480" w:firstLineChars="200"/>
        <w:rPr>
          <w:rFonts w:hint="eastAsia"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2.我</w:t>
      </w:r>
      <w:r>
        <w:rPr>
          <w:rFonts w:hint="eastAsia"/>
          <w:color w:val="000000" w:themeColor="text1"/>
          <w:szCs w:val="21"/>
          <w14:textFill>
            <w14:solidFill>
              <w14:schemeClr w14:val="tx1"/>
            </w14:solidFill>
          </w14:textFill>
        </w:rPr>
        <w:t>方</w:t>
      </w:r>
      <w:r>
        <w:rPr>
          <w:rFonts w:hint="eastAsia" w:cs="宋体"/>
          <w:color w:val="000000" w:themeColor="text1"/>
          <w:szCs w:val="21"/>
          <w14:textFill>
            <w14:solidFill>
              <w14:schemeClr w14:val="tx1"/>
            </w14:solidFill>
          </w14:textFill>
        </w:rPr>
        <w:t>未被列入失信被执行人、重大税收违法案件当事人名单，未被列入政府采购严重违法失信行为记录名单。</w:t>
      </w:r>
    </w:p>
    <w:p w14:paraId="0842346B">
      <w:pPr>
        <w:adjustRightInd w:val="0"/>
        <w:snapToGrid w:val="0"/>
        <w:ind w:firstLine="480" w:firstLineChars="200"/>
        <w:rPr>
          <w:rFonts w:hint="eastAsia"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我</w:t>
      </w:r>
      <w:r>
        <w:rPr>
          <w:rFonts w:hint="eastAsia"/>
          <w:color w:val="000000" w:themeColor="text1"/>
          <w:szCs w:val="21"/>
          <w14:textFill>
            <w14:solidFill>
              <w14:schemeClr w14:val="tx1"/>
            </w14:solidFill>
          </w14:textFill>
        </w:rPr>
        <w:t>方</w:t>
      </w:r>
      <w:r>
        <w:rPr>
          <w:rFonts w:hint="eastAsia" w:cs="宋体"/>
          <w:color w:val="000000" w:themeColor="text1"/>
          <w:szCs w:val="21"/>
          <w14:textFill>
            <w14:solidFill>
              <w14:schemeClr w14:val="tx1"/>
            </w14:solidFill>
          </w14:textFill>
        </w:rPr>
        <w:t>保证上述信息的完整、客观、真实、准确，并愿意承担我</w:t>
      </w:r>
      <w:r>
        <w:rPr>
          <w:rFonts w:hint="eastAsia"/>
          <w:color w:val="000000" w:themeColor="text1"/>
          <w:szCs w:val="21"/>
          <w14:textFill>
            <w14:solidFill>
              <w14:schemeClr w14:val="tx1"/>
            </w14:solidFill>
          </w14:textFill>
        </w:rPr>
        <w:t>方</w:t>
      </w:r>
      <w:r>
        <w:rPr>
          <w:rFonts w:hint="eastAsia" w:cs="宋体"/>
          <w:color w:val="000000" w:themeColor="text1"/>
          <w:szCs w:val="21"/>
          <w14:textFill>
            <w14:solidFill>
              <w14:schemeClr w14:val="tx1"/>
            </w14:solidFill>
          </w14:textFill>
        </w:rPr>
        <w:t>因提供虚假材料谋骗取中标所引起的一切法律后果。</w:t>
      </w:r>
    </w:p>
    <w:bookmarkEnd w:id="457"/>
    <w:p w14:paraId="05881F81">
      <w:pPr>
        <w:adjustRightInd w:val="0"/>
        <w:snapToGrid w:val="0"/>
        <w:ind w:firstLine="480" w:firstLineChars="200"/>
        <w:rPr>
          <w:rFonts w:hint="eastAsia" w:cs="宋体"/>
          <w:color w:val="000000" w:themeColor="text1"/>
          <w:szCs w:val="21"/>
          <w14:textFill>
            <w14:solidFill>
              <w14:schemeClr w14:val="tx1"/>
            </w14:solidFill>
          </w14:textFill>
        </w:rPr>
      </w:pPr>
    </w:p>
    <w:p w14:paraId="1AE416A1">
      <w:pPr>
        <w:adjustRightInd w:val="0"/>
        <w:snapToGrid w:val="0"/>
        <w:ind w:firstLine="480" w:firstLineChars="200"/>
        <w:rPr>
          <w:rFonts w:hint="eastAsia" w:cs="宋体"/>
          <w:color w:val="000000" w:themeColor="text1"/>
          <w:szCs w:val="21"/>
          <w14:textFill>
            <w14:solidFill>
              <w14:schemeClr w14:val="tx1"/>
            </w14:solidFill>
          </w14:textFill>
        </w:rPr>
      </w:pPr>
    </w:p>
    <w:p w14:paraId="47781016">
      <w:pPr>
        <w:adjustRightInd w:val="0"/>
        <w:snapToGrid w:val="0"/>
        <w:ind w:firstLine="480" w:firstLineChars="200"/>
        <w:rPr>
          <w:rFonts w:hint="eastAsia" w:cs="宋体"/>
          <w:color w:val="000000" w:themeColor="text1"/>
          <w:szCs w:val="21"/>
          <w14:textFill>
            <w14:solidFill>
              <w14:schemeClr w14:val="tx1"/>
            </w14:solidFill>
          </w14:textFill>
        </w:rPr>
      </w:pPr>
    </w:p>
    <w:p w14:paraId="7E6D6FFD">
      <w:pPr>
        <w:rPr>
          <w:rFonts w:hint="eastAsia" w:ascii="Arial" w:hAnsi="Arial" w:cs="Arial"/>
          <w:color w:val="000000" w:themeColor="text1"/>
          <w:szCs w:val="21"/>
          <w14:textFill>
            <w14:solidFill>
              <w14:schemeClr w14:val="tx1"/>
            </w14:solidFill>
          </w14:textFill>
        </w:rPr>
      </w:pPr>
      <w:r>
        <w:rPr>
          <w:rFonts w:hint="eastAsia" w:ascii="Arial" w:hAnsi="Arial" w:cs="Arial"/>
          <w:color w:val="000000" w:themeColor="text1"/>
          <w:szCs w:val="21"/>
          <w14:textFill>
            <w14:solidFill>
              <w14:schemeClr w14:val="tx1"/>
            </w14:solidFill>
          </w14:textFill>
        </w:rPr>
        <w:t>投标供应商名称（</w:t>
      </w:r>
      <w:r>
        <w:rPr>
          <w:rFonts w:hint="eastAsia" w:cs="仿宋_GB2312"/>
          <w:color w:val="000000" w:themeColor="text1"/>
          <w:szCs w:val="24"/>
          <w:lang w:val="en-US" w:eastAsia="zh-CN"/>
          <w14:textFill>
            <w14:solidFill>
              <w14:schemeClr w14:val="tx1"/>
            </w14:solidFill>
          </w14:textFill>
        </w:rPr>
        <w:t>电子签章</w:t>
      </w:r>
      <w:r>
        <w:rPr>
          <w:rFonts w:hint="eastAsia" w:ascii="Arial" w:hAnsi="Arial" w:cs="Arial"/>
          <w:color w:val="000000" w:themeColor="text1"/>
          <w:szCs w:val="21"/>
          <w14:textFill>
            <w14:solidFill>
              <w14:schemeClr w14:val="tx1"/>
            </w14:solidFill>
          </w14:textFill>
        </w:rPr>
        <w:t>）</w:t>
      </w:r>
      <w:r>
        <w:rPr>
          <w:rFonts w:ascii="Arial" w:hAnsi="Arial" w:cs="Arial"/>
          <w:color w:val="000000" w:themeColor="text1"/>
          <w:szCs w:val="21"/>
          <w14:textFill>
            <w14:solidFill>
              <w14:schemeClr w14:val="tx1"/>
            </w14:solidFill>
          </w14:textFill>
        </w:rPr>
        <w:t xml:space="preserve"> </w:t>
      </w:r>
      <w:r>
        <w:rPr>
          <w:rFonts w:hint="eastAsia" w:ascii="Arial" w:hAnsi="Arial" w:cs="Arial"/>
          <w:color w:val="000000" w:themeColor="text1"/>
          <w:szCs w:val="21"/>
          <w14:textFill>
            <w14:solidFill>
              <w14:schemeClr w14:val="tx1"/>
            </w14:solidFill>
          </w14:textFill>
        </w:rPr>
        <w:t>：</w:t>
      </w:r>
    </w:p>
    <w:p w14:paraId="36B8F6B7">
      <w:pPr>
        <w:rPr>
          <w:rFonts w:ascii="Arial" w:hAnsi="Arial" w:cs="Arial"/>
          <w:color w:val="000000" w:themeColor="text1"/>
          <w:szCs w:val="21"/>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法定代表人（或非法人组织负责人）(电子签章)</w:t>
      </w:r>
      <w:r>
        <w:rPr>
          <w:rFonts w:ascii="Arial" w:hAnsi="Arial" w:cs="Arial"/>
          <w:color w:val="000000" w:themeColor="text1"/>
          <w:szCs w:val="21"/>
          <w14:textFill>
            <w14:solidFill>
              <w14:schemeClr w14:val="tx1"/>
            </w14:solidFill>
          </w14:textFill>
        </w:rPr>
        <w:br w:type="textWrapping"/>
      </w:r>
      <w:r>
        <w:rPr>
          <w:rFonts w:hint="eastAsia" w:ascii="Arial" w:hAnsi="Arial" w:cs="Arial"/>
          <w:color w:val="000000" w:themeColor="text1"/>
          <w:szCs w:val="21"/>
          <w14:textFill>
            <w14:solidFill>
              <w14:schemeClr w14:val="tx1"/>
            </w14:solidFill>
          </w14:textFill>
        </w:rPr>
        <w:t>日期：</w:t>
      </w:r>
      <w:bookmarkEnd w:id="458"/>
      <w:r>
        <w:rPr>
          <w:rFonts w:ascii="Arial" w:hAnsi="Arial" w:cs="Arial"/>
          <w:color w:val="000000" w:themeColor="text1"/>
          <w:szCs w:val="21"/>
          <w14:textFill>
            <w14:solidFill>
              <w14:schemeClr w14:val="tx1"/>
            </w14:solidFill>
          </w14:textFill>
        </w:rPr>
        <w:br w:type="page"/>
      </w:r>
    </w:p>
    <w:p w14:paraId="43A80500">
      <w:pPr>
        <w:pStyle w:val="5"/>
        <w:numPr>
          <w:ilvl w:val="0"/>
          <w:numId w:val="29"/>
        </w:numPr>
        <w:rPr>
          <w:rFonts w:hint="eastAsia"/>
          <w:color w:val="000000" w:themeColor="text1"/>
          <w14:textFill>
            <w14:solidFill>
              <w14:schemeClr w14:val="tx1"/>
            </w14:solidFill>
          </w14:textFill>
        </w:rPr>
      </w:pPr>
      <w:bookmarkStart w:id="459" w:name="_Toc109899917"/>
      <w:bookmarkStart w:id="460" w:name="_Toc140132840"/>
      <w:bookmarkStart w:id="461" w:name="_Toc1027"/>
      <w:bookmarkStart w:id="462" w:name="_Toc109900336"/>
      <w:bookmarkStart w:id="463" w:name="_Toc155185930"/>
      <w:bookmarkStart w:id="464" w:name="_Toc109899498"/>
      <w:r>
        <w:rPr>
          <w:rFonts w:hint="eastAsia"/>
          <w:color w:val="000000" w:themeColor="text1"/>
          <w14:textFill>
            <w14:solidFill>
              <w14:schemeClr w14:val="tx1"/>
            </w14:solidFill>
          </w14:textFill>
        </w:rPr>
        <w:t>资格证明文件</w:t>
      </w:r>
      <w:bookmarkEnd w:id="459"/>
      <w:bookmarkEnd w:id="460"/>
      <w:bookmarkEnd w:id="461"/>
      <w:bookmarkEnd w:id="462"/>
      <w:bookmarkEnd w:id="463"/>
      <w:bookmarkEnd w:id="464"/>
    </w:p>
    <w:p w14:paraId="328EBB83">
      <w:pPr>
        <w:snapToGrid w:val="0"/>
        <w:ind w:firstLine="480" w:firstLineChars="200"/>
        <w:rPr>
          <w:rFonts w:ascii="Arial" w:hAnsi="Arial" w:cs="Arial"/>
          <w:color w:val="000000" w:themeColor="text1"/>
          <w14:textFill>
            <w14:solidFill>
              <w14:schemeClr w14:val="tx1"/>
            </w14:solidFill>
          </w14:textFill>
        </w:rPr>
      </w:pPr>
      <w:r>
        <w:rPr>
          <w:rFonts w:hint="eastAsia" w:ascii="Arial" w:hAnsi="Arial" w:cs="Arial"/>
          <w:color w:val="000000" w:themeColor="text1"/>
          <w14:textFill>
            <w14:solidFill>
              <w14:schemeClr w14:val="tx1"/>
            </w14:solidFill>
          </w14:textFill>
        </w:rPr>
        <w:t>投标供应商须提供的资格证明文件详见第四章《资格审查表》。</w:t>
      </w:r>
    </w:p>
    <w:p w14:paraId="53DC5176">
      <w:pPr>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1BCAEB35">
      <w:pPr>
        <w:pStyle w:val="5"/>
        <w:numPr>
          <w:ilvl w:val="0"/>
          <w:numId w:val="29"/>
        </w:numPr>
        <w:rPr>
          <w:rFonts w:hint="eastAsia"/>
          <w:color w:val="000000" w:themeColor="text1"/>
          <w14:textFill>
            <w14:solidFill>
              <w14:schemeClr w14:val="tx1"/>
            </w14:solidFill>
          </w14:textFill>
        </w:rPr>
      </w:pPr>
      <w:bookmarkStart w:id="465" w:name="_Toc7876"/>
      <w:bookmarkStart w:id="466" w:name="_Toc155185932"/>
      <w:r>
        <w:rPr>
          <w:rFonts w:hint="eastAsia"/>
          <w:color w:val="000000" w:themeColor="text1"/>
          <w14:textFill>
            <w14:solidFill>
              <w14:schemeClr w14:val="tx1"/>
            </w14:solidFill>
          </w14:textFill>
        </w:rPr>
        <w:t>其他资格证明文件</w:t>
      </w:r>
      <w:bookmarkEnd w:id="465"/>
      <w:bookmarkEnd w:id="466"/>
    </w:p>
    <w:p w14:paraId="3632B200">
      <w:pPr>
        <w:rPr>
          <w:rFonts w:hint="eastAsia" w:cs="Courier New"/>
          <w:color w:val="000000" w:themeColor="text1"/>
          <w:szCs w:val="24"/>
          <w14:textFill>
            <w14:solidFill>
              <w14:schemeClr w14:val="tx1"/>
            </w14:solidFill>
          </w14:textFill>
        </w:rPr>
      </w:pPr>
      <w:r>
        <w:rPr>
          <w:rFonts w:hint="eastAsia" w:cs="Courier New"/>
          <w:color w:val="000000" w:themeColor="text1"/>
          <w:szCs w:val="24"/>
          <w14:textFill>
            <w14:solidFill>
              <w14:schemeClr w14:val="tx1"/>
            </w14:solidFill>
          </w14:textFill>
        </w:rPr>
        <w:t>投标供应商认为需提供的其它相关资格证明材料</w:t>
      </w:r>
      <w:r>
        <w:rPr>
          <w:rFonts w:cs="Courier New"/>
          <w:color w:val="000000" w:themeColor="text1"/>
          <w:szCs w:val="24"/>
          <w14:textFill>
            <w14:solidFill>
              <w14:schemeClr w14:val="tx1"/>
            </w14:solidFill>
          </w14:textFill>
        </w:rPr>
        <w:br w:type="page"/>
      </w:r>
    </w:p>
    <w:p w14:paraId="509FA928">
      <w:pPr>
        <w:pStyle w:val="4"/>
        <w:numPr>
          <w:ilvl w:val="0"/>
          <w:numId w:val="25"/>
        </w:numPr>
        <w:rPr>
          <w:rFonts w:hint="eastAsia"/>
          <w:color w:val="000000" w:themeColor="text1"/>
          <w:lang w:val="zh-CN"/>
          <w14:textFill>
            <w14:solidFill>
              <w14:schemeClr w14:val="tx1"/>
            </w14:solidFill>
          </w14:textFill>
        </w:rPr>
      </w:pPr>
      <w:bookmarkStart w:id="467" w:name="_Toc155185933"/>
      <w:bookmarkStart w:id="468" w:name="_Toc463"/>
      <w:r>
        <w:rPr>
          <w:rFonts w:hint="eastAsia"/>
          <w:color w:val="000000" w:themeColor="text1"/>
          <w:lang w:val="zh-CN"/>
          <w14:textFill>
            <w14:solidFill>
              <w14:schemeClr w14:val="tx1"/>
            </w14:solidFill>
          </w14:textFill>
        </w:rPr>
        <w:t>其他响应文件</w:t>
      </w:r>
      <w:bookmarkEnd w:id="467"/>
      <w:bookmarkEnd w:id="468"/>
    </w:p>
    <w:p w14:paraId="3952C8B1">
      <w:pPr>
        <w:ind w:firstLine="480" w:firstLineChars="200"/>
        <w:rPr>
          <w:rFonts w:hint="eastAsia" w:cs="仿宋_GB2312"/>
          <w:color w:val="000000" w:themeColor="text1"/>
          <w:szCs w:val="24"/>
          <w:lang w:val="zh-CN"/>
          <w14:textFill>
            <w14:solidFill>
              <w14:schemeClr w14:val="tx1"/>
            </w14:solidFill>
          </w14:textFill>
        </w:rPr>
      </w:pPr>
      <w:r>
        <w:rPr>
          <w:rFonts w:hint="eastAsia" w:cs="仿宋_GB2312"/>
          <w:color w:val="000000" w:themeColor="text1"/>
          <w:szCs w:val="24"/>
          <w:lang w:val="zh-CN"/>
          <w14:textFill>
            <w14:solidFill>
              <w14:schemeClr w14:val="tx1"/>
            </w14:solidFill>
          </w14:textFill>
        </w:rPr>
        <w:t>封面：</w:t>
      </w:r>
    </w:p>
    <w:p w14:paraId="32C75E2B">
      <w:pPr>
        <w:autoSpaceDE w:val="0"/>
        <w:autoSpaceDN w:val="0"/>
        <w:adjustRightInd w:val="0"/>
        <w:rPr>
          <w:rFonts w:hint="eastAsia"/>
          <w:color w:val="000000" w:themeColor="text1"/>
          <w:sz w:val="21"/>
          <w:szCs w:val="24"/>
          <w14:textFill>
            <w14:solidFill>
              <w14:schemeClr w14:val="tx1"/>
            </w14:solidFill>
          </w14:textFill>
        </w:rPr>
      </w:pPr>
    </w:p>
    <w:p w14:paraId="227C923B">
      <w:pPr>
        <w:autoSpaceDE w:val="0"/>
        <w:autoSpaceDN w:val="0"/>
        <w:adjustRightInd w:val="0"/>
        <w:rPr>
          <w:rFonts w:hint="eastAsia"/>
          <w:color w:val="000000" w:themeColor="text1"/>
          <w:sz w:val="21"/>
          <w:szCs w:val="24"/>
          <w14:textFill>
            <w14:solidFill>
              <w14:schemeClr w14:val="tx1"/>
            </w14:solidFill>
          </w14:textFill>
        </w:rPr>
      </w:pPr>
    </w:p>
    <w:p w14:paraId="65E6687C">
      <w:pPr>
        <w:autoSpaceDE w:val="0"/>
        <w:autoSpaceDN w:val="0"/>
        <w:adjustRightInd w:val="0"/>
        <w:jc w:val="center"/>
        <w:rPr>
          <w:rFonts w:hint="eastAsia"/>
          <w:color w:val="000000" w:themeColor="text1"/>
          <w:sz w:val="21"/>
          <w:szCs w:val="24"/>
          <w14:textFill>
            <w14:solidFill>
              <w14:schemeClr w14:val="tx1"/>
            </w14:solidFill>
          </w14:textFill>
        </w:rPr>
      </w:pPr>
    </w:p>
    <w:p w14:paraId="42679F80">
      <w:pPr>
        <w:autoSpaceDE w:val="0"/>
        <w:autoSpaceDN w:val="0"/>
        <w:adjustRightInd w:val="0"/>
        <w:jc w:val="center"/>
        <w:rPr>
          <w:rFonts w:hint="eastAsia"/>
          <w:b/>
          <w:color w:val="000000" w:themeColor="text1"/>
          <w:sz w:val="84"/>
          <w:szCs w:val="84"/>
          <w14:textFill>
            <w14:solidFill>
              <w14:schemeClr w14:val="tx1"/>
            </w14:solidFill>
          </w14:textFill>
        </w:rPr>
      </w:pPr>
      <w:r>
        <w:rPr>
          <w:rFonts w:hint="eastAsia"/>
          <w:b/>
          <w:color w:val="000000" w:themeColor="text1"/>
          <w:sz w:val="84"/>
          <w:szCs w:val="84"/>
          <w14:textFill>
            <w14:solidFill>
              <w14:schemeClr w14:val="tx1"/>
            </w14:solidFill>
          </w14:textFill>
        </w:rPr>
        <w:t>投 标 文 件</w:t>
      </w:r>
    </w:p>
    <w:p w14:paraId="6B1C5862">
      <w:pPr>
        <w:autoSpaceDE w:val="0"/>
        <w:autoSpaceDN w:val="0"/>
        <w:adjustRightInd w:val="0"/>
        <w:jc w:val="center"/>
        <w:rPr>
          <w:rFonts w:hint="eastAsia"/>
          <w:b/>
          <w:color w:val="000000" w:themeColor="text1"/>
          <w:sz w:val="56"/>
          <w:szCs w:val="56"/>
          <w14:textFill>
            <w14:solidFill>
              <w14:schemeClr w14:val="tx1"/>
            </w14:solidFill>
          </w14:textFill>
        </w:rPr>
      </w:pPr>
      <w:r>
        <w:rPr>
          <w:rFonts w:hint="eastAsia"/>
          <w:b/>
          <w:color w:val="000000" w:themeColor="text1"/>
          <w:sz w:val="56"/>
          <w:szCs w:val="56"/>
          <w14:textFill>
            <w14:solidFill>
              <w14:schemeClr w14:val="tx1"/>
            </w14:solidFill>
          </w14:textFill>
        </w:rPr>
        <w:t>其他响应文件</w:t>
      </w:r>
    </w:p>
    <w:p w14:paraId="5700AB1C">
      <w:pPr>
        <w:autoSpaceDE w:val="0"/>
        <w:autoSpaceDN w:val="0"/>
        <w:adjustRightInd w:val="0"/>
        <w:rPr>
          <w:rFonts w:hint="eastAsia"/>
          <w:b/>
          <w:bCs/>
          <w:color w:val="000000" w:themeColor="text1"/>
          <w:sz w:val="22"/>
          <w14:textFill>
            <w14:solidFill>
              <w14:schemeClr w14:val="tx1"/>
            </w14:solidFill>
          </w14:textFill>
        </w:rPr>
      </w:pPr>
    </w:p>
    <w:p w14:paraId="033789AE">
      <w:pPr>
        <w:autoSpaceDE w:val="0"/>
        <w:autoSpaceDN w:val="0"/>
        <w:adjustRightInd w:val="0"/>
        <w:rPr>
          <w:rFonts w:hint="eastAsia"/>
          <w:color w:val="000000" w:themeColor="text1"/>
          <w:sz w:val="21"/>
          <w:szCs w:val="21"/>
          <w14:textFill>
            <w14:solidFill>
              <w14:schemeClr w14:val="tx1"/>
            </w14:solidFill>
          </w14:textFill>
        </w:rPr>
      </w:pPr>
    </w:p>
    <w:p w14:paraId="36FA7721">
      <w:pPr>
        <w:autoSpaceDE w:val="0"/>
        <w:autoSpaceDN w:val="0"/>
        <w:adjustRightInd w:val="0"/>
        <w:rPr>
          <w:rFonts w:hint="eastAsia"/>
          <w:color w:val="000000" w:themeColor="text1"/>
          <w:sz w:val="21"/>
          <w:szCs w:val="21"/>
          <w14:textFill>
            <w14:solidFill>
              <w14:schemeClr w14:val="tx1"/>
            </w14:solidFill>
          </w14:textFill>
        </w:rPr>
      </w:pPr>
    </w:p>
    <w:p w14:paraId="06D4E32D">
      <w:pPr>
        <w:autoSpaceDE w:val="0"/>
        <w:autoSpaceDN w:val="0"/>
        <w:adjustRightInd w:val="0"/>
        <w:rPr>
          <w:rFonts w:hint="eastAsia"/>
          <w:color w:val="000000" w:themeColor="text1"/>
          <w:sz w:val="21"/>
          <w:szCs w:val="21"/>
          <w14:textFill>
            <w14:solidFill>
              <w14:schemeClr w14:val="tx1"/>
            </w14:solidFill>
          </w14:textFill>
        </w:rPr>
      </w:pPr>
    </w:p>
    <w:p w14:paraId="356B2C62">
      <w:pPr>
        <w:ind w:left="420" w:leftChars="175"/>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采购计划备案号：</w:t>
      </w:r>
      <w:r>
        <w:rPr>
          <w:rFonts w:ascii="黑体" w:hAnsi="黑体" w:eastAsia="黑体"/>
          <w:color w:val="000000" w:themeColor="text1"/>
          <w:sz w:val="32"/>
          <w:szCs w:val="32"/>
          <w:u w:val="single"/>
          <w14:textFill>
            <w14:solidFill>
              <w14:schemeClr w14:val="tx1"/>
            </w14:solidFill>
          </w14:textFill>
        </w:rPr>
        <w:t xml:space="preserve">                                  </w:t>
      </w:r>
    </w:p>
    <w:p w14:paraId="1E5CB598">
      <w:pPr>
        <w:ind w:left="420" w:leftChars="175"/>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项目编号：</w:t>
      </w:r>
      <w:r>
        <w:rPr>
          <w:rFonts w:ascii="黑体" w:hAnsi="黑体" w:eastAsia="黑体"/>
          <w:color w:val="000000" w:themeColor="text1"/>
          <w:sz w:val="32"/>
          <w:szCs w:val="32"/>
          <w14:textFill>
            <w14:solidFill>
              <w14:schemeClr w14:val="tx1"/>
            </w14:solidFill>
          </w14:textFill>
        </w:rPr>
        <w:tab/>
      </w:r>
      <w:r>
        <w:rPr>
          <w:rFonts w:ascii="黑体" w:hAnsi="黑体" w:eastAsia="黑体"/>
          <w:color w:val="000000" w:themeColor="text1"/>
          <w:sz w:val="32"/>
          <w:szCs w:val="32"/>
          <w:u w:val="single"/>
          <w14:textFill>
            <w14:solidFill>
              <w14:schemeClr w14:val="tx1"/>
            </w14:solidFill>
          </w14:textFill>
        </w:rPr>
        <w:t xml:space="preserve">                                       </w:t>
      </w:r>
    </w:p>
    <w:p w14:paraId="2E7ED311">
      <w:pPr>
        <w:ind w:left="420" w:leftChars="175"/>
        <w:rPr>
          <w:rFonts w:hint="eastAsia" w:ascii="黑体" w:hAnsi="黑体" w:eastAsia="黑体"/>
          <w:color w:val="000000" w:themeColor="text1"/>
          <w:sz w:val="32"/>
          <w:szCs w:val="32"/>
          <w14:textFill>
            <w14:solidFill>
              <w14:schemeClr w14:val="tx1"/>
            </w14:solidFill>
          </w14:textFill>
        </w:rPr>
      </w:pPr>
      <w:r>
        <w:rPr>
          <w:rFonts w:hint="eastAsia" w:eastAsia="黑体"/>
          <w:color w:val="000000" w:themeColor="text1"/>
          <w:sz w:val="28"/>
          <w:szCs w:val="28"/>
          <w14:textFill>
            <w14:solidFill>
              <w14:schemeClr w14:val="tx1"/>
            </w14:solidFill>
          </w14:textFill>
        </w:rPr>
        <w:t>投标供应商</w:t>
      </w:r>
      <w:r>
        <w:rPr>
          <w:rFonts w:hint="eastAsia" w:ascii="黑体" w:hAnsi="黑体" w:eastAsia="黑体"/>
          <w:color w:val="000000" w:themeColor="text1"/>
          <w:sz w:val="32"/>
          <w:szCs w:val="32"/>
          <w14:textFill>
            <w14:solidFill>
              <w14:schemeClr w14:val="tx1"/>
            </w14:solidFill>
          </w14:textFill>
        </w:rPr>
        <w:t>：</w:t>
      </w:r>
      <w:r>
        <w:rPr>
          <w:rFonts w:ascii="黑体" w:hAnsi="黑体" w:eastAsia="黑体"/>
          <w:color w:val="000000" w:themeColor="text1"/>
          <w:sz w:val="32"/>
          <w:szCs w:val="32"/>
          <w:u w:val="single"/>
          <w14:textFill>
            <w14:solidFill>
              <w14:schemeClr w14:val="tx1"/>
            </w14:solidFill>
          </w14:textFill>
        </w:rPr>
        <w:t xml:space="preserve">                                          </w:t>
      </w:r>
    </w:p>
    <w:p w14:paraId="22FF8468">
      <w:pPr>
        <w:ind w:left="840" w:firstLine="420"/>
        <w:rPr>
          <w:rFonts w:hint="eastAsia"/>
          <w:b/>
          <w:bCs/>
          <w:color w:val="000000" w:themeColor="text1"/>
          <w:sz w:val="28"/>
          <w:szCs w:val="28"/>
          <w14:textFill>
            <w14:solidFill>
              <w14:schemeClr w14:val="tx1"/>
            </w14:solidFill>
          </w14:textFill>
        </w:rPr>
      </w:pPr>
    </w:p>
    <w:p w14:paraId="47DA8E56">
      <w:pPr>
        <w:ind w:left="840" w:firstLine="420"/>
        <w:rPr>
          <w:rFonts w:hint="eastAsia"/>
          <w:b/>
          <w:bCs/>
          <w:color w:val="000000" w:themeColor="text1"/>
          <w:sz w:val="28"/>
          <w:szCs w:val="28"/>
          <w14:textFill>
            <w14:solidFill>
              <w14:schemeClr w14:val="tx1"/>
            </w14:solidFill>
          </w14:textFill>
        </w:rPr>
      </w:pPr>
    </w:p>
    <w:p w14:paraId="7C38E878">
      <w:pPr>
        <w:ind w:left="840" w:firstLine="420"/>
        <w:rPr>
          <w:rFonts w:hint="eastAsia"/>
          <w:b/>
          <w:bCs/>
          <w:color w:val="000000" w:themeColor="text1"/>
          <w:sz w:val="28"/>
          <w:szCs w:val="28"/>
          <w14:textFill>
            <w14:solidFill>
              <w14:schemeClr w14:val="tx1"/>
            </w14:solidFill>
          </w14:textFill>
        </w:rPr>
      </w:pPr>
    </w:p>
    <w:p w14:paraId="2AA960C2">
      <w:pPr>
        <w:jc w:val="center"/>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年 </w:t>
      </w:r>
      <w:r>
        <w:rPr>
          <w:rFonts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 xml:space="preserve">月 </w:t>
      </w:r>
      <w:r>
        <w:rPr>
          <w:rFonts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日</w:t>
      </w:r>
    </w:p>
    <w:p w14:paraId="1C7AEEEB">
      <w:pPr>
        <w:rPr>
          <w:rFonts w:hint="eastAsia"/>
          <w:color w:val="000000" w:themeColor="text1"/>
          <w:lang w:val="zh-CN"/>
          <w14:textFill>
            <w14:solidFill>
              <w14:schemeClr w14:val="tx1"/>
            </w14:solidFill>
          </w14:textFill>
        </w:rPr>
      </w:pPr>
      <w:r>
        <w:rPr>
          <w:color w:val="000000" w:themeColor="text1"/>
          <w:lang w:val="zh-CN"/>
          <w14:textFill>
            <w14:solidFill>
              <w14:schemeClr w14:val="tx1"/>
            </w14:solidFill>
          </w14:textFill>
        </w:rPr>
        <w:br w:type="page"/>
      </w:r>
    </w:p>
    <w:p w14:paraId="6F0A438E">
      <w:pPr>
        <w:pStyle w:val="5"/>
        <w:numPr>
          <w:ilvl w:val="0"/>
          <w:numId w:val="31"/>
        </w:numPr>
        <w:rPr>
          <w:rFonts w:hint="eastAsia"/>
          <w:color w:val="000000" w:themeColor="text1"/>
          <w14:textFill>
            <w14:solidFill>
              <w14:schemeClr w14:val="tx1"/>
            </w14:solidFill>
          </w14:textFill>
        </w:rPr>
      </w:pPr>
      <w:bookmarkStart w:id="469" w:name="_Toc11000"/>
      <w:bookmarkStart w:id="470" w:name="_Toc155185934"/>
      <w:r>
        <w:rPr>
          <w:rFonts w:hint="eastAsia"/>
          <w:color w:val="000000" w:themeColor="text1"/>
          <w14:textFill>
            <w14:solidFill>
              <w14:schemeClr w14:val="tx1"/>
            </w14:solidFill>
          </w14:textFill>
        </w:rPr>
        <w:t>商务部分</w:t>
      </w:r>
      <w:bookmarkEnd w:id="469"/>
      <w:bookmarkEnd w:id="470"/>
    </w:p>
    <w:p w14:paraId="4FA98973">
      <w:pPr>
        <w:pStyle w:val="6"/>
        <w:numPr>
          <w:ilvl w:val="0"/>
          <w:numId w:val="32"/>
        </w:numPr>
        <w:rPr>
          <w:rFonts w:hint="eastAsia"/>
          <w:color w:val="000000" w:themeColor="text1"/>
          <w14:textFill>
            <w14:solidFill>
              <w14:schemeClr w14:val="tx1"/>
            </w14:solidFill>
          </w14:textFill>
        </w:rPr>
      </w:pPr>
      <w:bookmarkStart w:id="471" w:name="_Toc13332"/>
      <w:r>
        <w:rPr>
          <w:rFonts w:hint="eastAsia"/>
          <w:color w:val="000000" w:themeColor="text1"/>
          <w14:textFill>
            <w14:solidFill>
              <w14:schemeClr w14:val="tx1"/>
            </w14:solidFill>
          </w14:textFill>
        </w:rPr>
        <w:t>商务响应偏离表</w:t>
      </w:r>
      <w:bookmarkEnd w:id="471"/>
    </w:p>
    <w:p w14:paraId="69C247D7">
      <w:pPr>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项目名称：                                         </w:t>
      </w:r>
    </w:p>
    <w:p w14:paraId="64F86BAB">
      <w:pPr>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项目编号：        </w:t>
      </w:r>
    </w:p>
    <w:tbl>
      <w:tblPr>
        <w:tblStyle w:val="33"/>
        <w:tblW w:w="8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835"/>
        <w:gridCol w:w="2104"/>
        <w:gridCol w:w="1662"/>
        <w:gridCol w:w="993"/>
      </w:tblGrid>
      <w:tr w14:paraId="67FB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4EC053A6">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2835" w:type="dxa"/>
            <w:vAlign w:val="center"/>
          </w:tcPr>
          <w:p w14:paraId="606DB733">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招标文件的商务条款</w:t>
            </w:r>
          </w:p>
        </w:tc>
        <w:tc>
          <w:tcPr>
            <w:tcW w:w="2104" w:type="dxa"/>
            <w:vAlign w:val="center"/>
          </w:tcPr>
          <w:p w14:paraId="1BCFA7C3">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投标文件的响应内容</w:t>
            </w:r>
          </w:p>
        </w:tc>
        <w:tc>
          <w:tcPr>
            <w:tcW w:w="1662" w:type="dxa"/>
          </w:tcPr>
          <w:p w14:paraId="3A76606F">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响应情况</w:t>
            </w:r>
          </w:p>
        </w:tc>
        <w:tc>
          <w:tcPr>
            <w:tcW w:w="993" w:type="dxa"/>
          </w:tcPr>
          <w:p w14:paraId="47BE1AA6">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说明及索引</w:t>
            </w:r>
          </w:p>
        </w:tc>
      </w:tr>
      <w:tr w14:paraId="4376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3275F61B">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835" w:type="dxa"/>
          </w:tcPr>
          <w:p w14:paraId="62D59BDC">
            <w:pPr>
              <w:pStyle w:val="54"/>
              <w:rPr>
                <w:rFonts w:hint="eastAsia"/>
                <w:color w:val="000000" w:themeColor="text1"/>
                <w:sz w:val="21"/>
                <w:szCs w:val="21"/>
                <w14:textFill>
                  <w14:solidFill>
                    <w14:schemeClr w14:val="tx1"/>
                  </w14:solidFill>
                </w14:textFill>
              </w:rPr>
            </w:pPr>
          </w:p>
        </w:tc>
        <w:tc>
          <w:tcPr>
            <w:tcW w:w="2104" w:type="dxa"/>
          </w:tcPr>
          <w:p w14:paraId="1DDC82F7">
            <w:pPr>
              <w:pStyle w:val="54"/>
              <w:rPr>
                <w:rFonts w:hint="eastAsia"/>
                <w:color w:val="000000" w:themeColor="text1"/>
                <w14:textFill>
                  <w14:solidFill>
                    <w14:schemeClr w14:val="tx1"/>
                  </w14:solidFill>
                </w14:textFill>
              </w:rPr>
            </w:pPr>
          </w:p>
        </w:tc>
        <w:tc>
          <w:tcPr>
            <w:tcW w:w="1662" w:type="dxa"/>
          </w:tcPr>
          <w:p w14:paraId="2C511EF7">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响应</w:t>
            </w:r>
            <w:r>
              <w:rPr>
                <w:color w:val="000000" w:themeColor="text1"/>
                <w14:textFill>
                  <w14:solidFill>
                    <w14:schemeClr w14:val="tx1"/>
                  </w14:solidFill>
                </w14:textFill>
              </w:rPr>
              <w:t>/偏离</w:t>
            </w:r>
          </w:p>
        </w:tc>
        <w:tc>
          <w:tcPr>
            <w:tcW w:w="993" w:type="dxa"/>
          </w:tcPr>
          <w:p w14:paraId="1B043928">
            <w:pPr>
              <w:pStyle w:val="54"/>
              <w:rPr>
                <w:rFonts w:hint="eastAsia"/>
                <w:color w:val="000000" w:themeColor="text1"/>
                <w14:textFill>
                  <w14:solidFill>
                    <w14:schemeClr w14:val="tx1"/>
                  </w14:solidFill>
                </w14:textFill>
              </w:rPr>
            </w:pPr>
          </w:p>
        </w:tc>
      </w:tr>
      <w:tr w14:paraId="3F22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1EDC880">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835" w:type="dxa"/>
          </w:tcPr>
          <w:p w14:paraId="4773B654">
            <w:pPr>
              <w:pStyle w:val="54"/>
              <w:rPr>
                <w:rFonts w:hint="eastAsia"/>
                <w:color w:val="000000" w:themeColor="text1"/>
                <w14:textFill>
                  <w14:solidFill>
                    <w14:schemeClr w14:val="tx1"/>
                  </w14:solidFill>
                </w14:textFill>
              </w:rPr>
            </w:pPr>
          </w:p>
        </w:tc>
        <w:tc>
          <w:tcPr>
            <w:tcW w:w="2104" w:type="dxa"/>
          </w:tcPr>
          <w:p w14:paraId="33FD211A">
            <w:pPr>
              <w:pStyle w:val="54"/>
              <w:rPr>
                <w:rFonts w:hint="eastAsia"/>
                <w:color w:val="000000" w:themeColor="text1"/>
                <w14:textFill>
                  <w14:solidFill>
                    <w14:schemeClr w14:val="tx1"/>
                  </w14:solidFill>
                </w14:textFill>
              </w:rPr>
            </w:pPr>
          </w:p>
        </w:tc>
        <w:tc>
          <w:tcPr>
            <w:tcW w:w="1662" w:type="dxa"/>
          </w:tcPr>
          <w:p w14:paraId="51C38425">
            <w:pPr>
              <w:pStyle w:val="54"/>
              <w:rPr>
                <w:rFonts w:hint="eastAsia"/>
                <w:color w:val="000000" w:themeColor="text1"/>
                <w14:textFill>
                  <w14:solidFill>
                    <w14:schemeClr w14:val="tx1"/>
                  </w14:solidFill>
                </w14:textFill>
              </w:rPr>
            </w:pPr>
          </w:p>
        </w:tc>
        <w:tc>
          <w:tcPr>
            <w:tcW w:w="993" w:type="dxa"/>
          </w:tcPr>
          <w:p w14:paraId="57BDD8F2">
            <w:pPr>
              <w:pStyle w:val="54"/>
              <w:rPr>
                <w:rFonts w:hint="eastAsia"/>
                <w:color w:val="000000" w:themeColor="text1"/>
                <w14:textFill>
                  <w14:solidFill>
                    <w14:schemeClr w14:val="tx1"/>
                  </w14:solidFill>
                </w14:textFill>
              </w:rPr>
            </w:pPr>
          </w:p>
        </w:tc>
      </w:tr>
      <w:tr w14:paraId="48FD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F4D5EFA">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2835" w:type="dxa"/>
          </w:tcPr>
          <w:p w14:paraId="7D43EF09">
            <w:pPr>
              <w:pStyle w:val="54"/>
              <w:rPr>
                <w:rFonts w:hint="eastAsia"/>
                <w:color w:val="000000" w:themeColor="text1"/>
                <w14:textFill>
                  <w14:solidFill>
                    <w14:schemeClr w14:val="tx1"/>
                  </w14:solidFill>
                </w14:textFill>
              </w:rPr>
            </w:pPr>
          </w:p>
        </w:tc>
        <w:tc>
          <w:tcPr>
            <w:tcW w:w="2104" w:type="dxa"/>
          </w:tcPr>
          <w:p w14:paraId="64F2049A">
            <w:pPr>
              <w:pStyle w:val="54"/>
              <w:rPr>
                <w:rFonts w:hint="eastAsia"/>
                <w:color w:val="000000" w:themeColor="text1"/>
                <w14:textFill>
                  <w14:solidFill>
                    <w14:schemeClr w14:val="tx1"/>
                  </w14:solidFill>
                </w14:textFill>
              </w:rPr>
            </w:pPr>
          </w:p>
        </w:tc>
        <w:tc>
          <w:tcPr>
            <w:tcW w:w="1662" w:type="dxa"/>
          </w:tcPr>
          <w:p w14:paraId="18C3E4D4">
            <w:pPr>
              <w:pStyle w:val="54"/>
              <w:rPr>
                <w:rFonts w:hint="eastAsia"/>
                <w:color w:val="000000" w:themeColor="text1"/>
                <w14:textFill>
                  <w14:solidFill>
                    <w14:schemeClr w14:val="tx1"/>
                  </w14:solidFill>
                </w14:textFill>
              </w:rPr>
            </w:pPr>
          </w:p>
        </w:tc>
        <w:tc>
          <w:tcPr>
            <w:tcW w:w="993" w:type="dxa"/>
          </w:tcPr>
          <w:p w14:paraId="7FCE8F28">
            <w:pPr>
              <w:pStyle w:val="54"/>
              <w:rPr>
                <w:rFonts w:hint="eastAsia"/>
                <w:color w:val="000000" w:themeColor="text1"/>
                <w14:textFill>
                  <w14:solidFill>
                    <w14:schemeClr w14:val="tx1"/>
                  </w14:solidFill>
                </w14:textFill>
              </w:rPr>
            </w:pPr>
          </w:p>
        </w:tc>
      </w:tr>
      <w:tr w14:paraId="27D3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34AB930">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2835" w:type="dxa"/>
          </w:tcPr>
          <w:p w14:paraId="0BD64CFC">
            <w:pPr>
              <w:pStyle w:val="54"/>
              <w:rPr>
                <w:rFonts w:hint="eastAsia"/>
                <w:color w:val="000000" w:themeColor="text1"/>
                <w14:textFill>
                  <w14:solidFill>
                    <w14:schemeClr w14:val="tx1"/>
                  </w14:solidFill>
                </w14:textFill>
              </w:rPr>
            </w:pPr>
          </w:p>
        </w:tc>
        <w:tc>
          <w:tcPr>
            <w:tcW w:w="2104" w:type="dxa"/>
          </w:tcPr>
          <w:p w14:paraId="7B9F1965">
            <w:pPr>
              <w:pStyle w:val="54"/>
              <w:rPr>
                <w:rFonts w:hint="eastAsia"/>
                <w:color w:val="000000" w:themeColor="text1"/>
                <w14:textFill>
                  <w14:solidFill>
                    <w14:schemeClr w14:val="tx1"/>
                  </w14:solidFill>
                </w14:textFill>
              </w:rPr>
            </w:pPr>
          </w:p>
        </w:tc>
        <w:tc>
          <w:tcPr>
            <w:tcW w:w="1662" w:type="dxa"/>
          </w:tcPr>
          <w:p w14:paraId="6737DEC9">
            <w:pPr>
              <w:pStyle w:val="54"/>
              <w:rPr>
                <w:rFonts w:hint="eastAsia"/>
                <w:color w:val="000000" w:themeColor="text1"/>
                <w14:textFill>
                  <w14:solidFill>
                    <w14:schemeClr w14:val="tx1"/>
                  </w14:solidFill>
                </w14:textFill>
              </w:rPr>
            </w:pPr>
          </w:p>
        </w:tc>
        <w:tc>
          <w:tcPr>
            <w:tcW w:w="993" w:type="dxa"/>
          </w:tcPr>
          <w:p w14:paraId="0C80B349">
            <w:pPr>
              <w:pStyle w:val="54"/>
              <w:rPr>
                <w:rFonts w:hint="eastAsia"/>
                <w:color w:val="000000" w:themeColor="text1"/>
                <w14:textFill>
                  <w14:solidFill>
                    <w14:schemeClr w14:val="tx1"/>
                  </w14:solidFill>
                </w14:textFill>
              </w:rPr>
            </w:pPr>
          </w:p>
        </w:tc>
      </w:tr>
      <w:tr w14:paraId="32B3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0B0EBBA">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2835" w:type="dxa"/>
          </w:tcPr>
          <w:p w14:paraId="2C2650AD">
            <w:pPr>
              <w:pStyle w:val="54"/>
              <w:rPr>
                <w:rFonts w:hint="eastAsia"/>
                <w:color w:val="000000" w:themeColor="text1"/>
                <w14:textFill>
                  <w14:solidFill>
                    <w14:schemeClr w14:val="tx1"/>
                  </w14:solidFill>
                </w14:textFill>
              </w:rPr>
            </w:pPr>
          </w:p>
        </w:tc>
        <w:tc>
          <w:tcPr>
            <w:tcW w:w="2104" w:type="dxa"/>
          </w:tcPr>
          <w:p w14:paraId="509BA404">
            <w:pPr>
              <w:pStyle w:val="54"/>
              <w:rPr>
                <w:rFonts w:hint="eastAsia"/>
                <w:color w:val="000000" w:themeColor="text1"/>
                <w14:textFill>
                  <w14:solidFill>
                    <w14:schemeClr w14:val="tx1"/>
                  </w14:solidFill>
                </w14:textFill>
              </w:rPr>
            </w:pPr>
          </w:p>
        </w:tc>
        <w:tc>
          <w:tcPr>
            <w:tcW w:w="1662" w:type="dxa"/>
          </w:tcPr>
          <w:p w14:paraId="72332983">
            <w:pPr>
              <w:pStyle w:val="54"/>
              <w:rPr>
                <w:rFonts w:hint="eastAsia"/>
                <w:color w:val="000000" w:themeColor="text1"/>
                <w14:textFill>
                  <w14:solidFill>
                    <w14:schemeClr w14:val="tx1"/>
                  </w14:solidFill>
                </w14:textFill>
              </w:rPr>
            </w:pPr>
          </w:p>
        </w:tc>
        <w:tc>
          <w:tcPr>
            <w:tcW w:w="993" w:type="dxa"/>
          </w:tcPr>
          <w:p w14:paraId="085BDEE5">
            <w:pPr>
              <w:pStyle w:val="54"/>
              <w:rPr>
                <w:rFonts w:hint="eastAsia"/>
                <w:color w:val="000000" w:themeColor="text1"/>
                <w14:textFill>
                  <w14:solidFill>
                    <w14:schemeClr w14:val="tx1"/>
                  </w14:solidFill>
                </w14:textFill>
              </w:rPr>
            </w:pPr>
          </w:p>
        </w:tc>
      </w:tr>
      <w:tr w14:paraId="7FE3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194B5C2">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2835" w:type="dxa"/>
          </w:tcPr>
          <w:p w14:paraId="0691C8E7">
            <w:pPr>
              <w:pStyle w:val="54"/>
              <w:rPr>
                <w:rFonts w:hint="eastAsia"/>
                <w:color w:val="000000" w:themeColor="text1"/>
                <w14:textFill>
                  <w14:solidFill>
                    <w14:schemeClr w14:val="tx1"/>
                  </w14:solidFill>
                </w14:textFill>
              </w:rPr>
            </w:pPr>
          </w:p>
        </w:tc>
        <w:tc>
          <w:tcPr>
            <w:tcW w:w="2104" w:type="dxa"/>
          </w:tcPr>
          <w:p w14:paraId="2FB4A307">
            <w:pPr>
              <w:pStyle w:val="54"/>
              <w:rPr>
                <w:rFonts w:hint="eastAsia"/>
                <w:color w:val="000000" w:themeColor="text1"/>
                <w14:textFill>
                  <w14:solidFill>
                    <w14:schemeClr w14:val="tx1"/>
                  </w14:solidFill>
                </w14:textFill>
              </w:rPr>
            </w:pPr>
          </w:p>
        </w:tc>
        <w:tc>
          <w:tcPr>
            <w:tcW w:w="1662" w:type="dxa"/>
          </w:tcPr>
          <w:p w14:paraId="1C982DB4">
            <w:pPr>
              <w:pStyle w:val="54"/>
              <w:rPr>
                <w:rFonts w:hint="eastAsia"/>
                <w:color w:val="000000" w:themeColor="text1"/>
                <w14:textFill>
                  <w14:solidFill>
                    <w14:schemeClr w14:val="tx1"/>
                  </w14:solidFill>
                </w14:textFill>
              </w:rPr>
            </w:pPr>
          </w:p>
        </w:tc>
        <w:tc>
          <w:tcPr>
            <w:tcW w:w="993" w:type="dxa"/>
          </w:tcPr>
          <w:p w14:paraId="759B83BD">
            <w:pPr>
              <w:pStyle w:val="54"/>
              <w:rPr>
                <w:rFonts w:hint="eastAsia"/>
                <w:color w:val="000000" w:themeColor="text1"/>
                <w14:textFill>
                  <w14:solidFill>
                    <w14:schemeClr w14:val="tx1"/>
                  </w14:solidFill>
                </w14:textFill>
              </w:rPr>
            </w:pPr>
          </w:p>
        </w:tc>
      </w:tr>
      <w:tr w14:paraId="10C1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FD5F0A3">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2835" w:type="dxa"/>
          </w:tcPr>
          <w:p w14:paraId="29FFDCE7">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2104" w:type="dxa"/>
          </w:tcPr>
          <w:p w14:paraId="2829112D">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662" w:type="dxa"/>
          </w:tcPr>
          <w:p w14:paraId="60E74148">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93" w:type="dxa"/>
          </w:tcPr>
          <w:p w14:paraId="1E338B3D">
            <w:pPr>
              <w:pStyle w:val="54"/>
              <w:rPr>
                <w:rFonts w:hint="eastAsia"/>
                <w:color w:val="000000" w:themeColor="text1"/>
                <w14:textFill>
                  <w14:solidFill>
                    <w14:schemeClr w14:val="tx1"/>
                  </w14:solidFill>
                </w14:textFill>
              </w:rPr>
            </w:pPr>
          </w:p>
        </w:tc>
      </w:tr>
    </w:tbl>
    <w:p w14:paraId="7312BF6A">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注：</w:t>
      </w:r>
    </w:p>
    <w:p w14:paraId="5756A99A">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投标供应商应按照招标文件采购需求中相关商务要求填写。</w:t>
      </w:r>
    </w:p>
    <w:p w14:paraId="090E9E19">
      <w:pPr>
        <w:rPr>
          <w:rFonts w:hint="eastAsia" w:cs="仿宋_GB2312"/>
          <w:color w:val="000000" w:themeColor="text1"/>
          <w:szCs w:val="24"/>
          <w14:textFill>
            <w14:solidFill>
              <w14:schemeClr w14:val="tx1"/>
            </w14:solidFill>
          </w14:textFill>
        </w:rPr>
      </w:pPr>
    </w:p>
    <w:p w14:paraId="55E2C2F0">
      <w:pPr>
        <w:ind w:firstLine="480" w:firstLineChars="200"/>
        <w:rPr>
          <w:rFonts w:hint="eastAsia" w:cs="仿宋_GB2312"/>
          <w:color w:val="000000" w:themeColor="text1"/>
          <w:szCs w:val="24"/>
          <w14:textFill>
            <w14:solidFill>
              <w14:schemeClr w14:val="tx1"/>
            </w14:solidFill>
          </w14:textFill>
        </w:rPr>
      </w:pPr>
    </w:p>
    <w:p w14:paraId="4772714E">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投标供应商名称（</w:t>
      </w:r>
      <w:r>
        <w:rPr>
          <w:rFonts w:hint="eastAsia" w:cs="仿宋_GB2312"/>
          <w:color w:val="000000" w:themeColor="text1"/>
          <w:szCs w:val="24"/>
          <w:lang w:val="en-US" w:eastAsia="zh-CN"/>
          <w14:textFill>
            <w14:solidFill>
              <w14:schemeClr w14:val="tx1"/>
            </w14:solidFill>
          </w14:textFill>
        </w:rPr>
        <w:t>电子签</w:t>
      </w:r>
      <w:r>
        <w:rPr>
          <w:rFonts w:hint="eastAsia" w:cs="仿宋_GB2312"/>
          <w:color w:val="000000" w:themeColor="text1"/>
          <w:szCs w:val="24"/>
          <w14:textFill>
            <w14:solidFill>
              <w14:schemeClr w14:val="tx1"/>
            </w14:solidFill>
          </w14:textFill>
        </w:rPr>
        <w:t>章）：</w:t>
      </w:r>
    </w:p>
    <w:p w14:paraId="09C4FCF3">
      <w:pPr>
        <w:ind w:firstLine="420" w:firstLineChars="200"/>
        <w:rPr>
          <w:rFonts w:hint="eastAsia" w:cs="仿宋_GB2312"/>
          <w:color w:val="000000" w:themeColor="text1"/>
          <w:szCs w:val="24"/>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法定代表人（或非法人组织负责人）(电子签章)</w:t>
      </w:r>
      <w:r>
        <w:rPr>
          <w:rFonts w:cs="仿宋_GB2312"/>
          <w:color w:val="000000" w:themeColor="text1"/>
          <w:szCs w:val="24"/>
          <w14:textFill>
            <w14:solidFill>
              <w14:schemeClr w14:val="tx1"/>
            </w14:solidFill>
          </w14:textFill>
        </w:rPr>
        <w:t xml:space="preserve"> </w:t>
      </w:r>
    </w:p>
    <w:p w14:paraId="254289AD">
      <w:pPr>
        <w:ind w:firstLine="42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日      期：</w:t>
      </w:r>
    </w:p>
    <w:p w14:paraId="6FF09C98">
      <w:pPr>
        <w:ind w:firstLine="42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br w:type="page"/>
      </w:r>
    </w:p>
    <w:p w14:paraId="28976097">
      <w:pPr>
        <w:pStyle w:val="6"/>
        <w:numPr>
          <w:ilvl w:val="0"/>
          <w:numId w:val="32"/>
        </w:numPr>
        <w:rPr>
          <w:rFonts w:hint="eastAsia"/>
          <w:color w:val="000000" w:themeColor="text1"/>
          <w14:textFill>
            <w14:solidFill>
              <w14:schemeClr w14:val="tx1"/>
            </w14:solidFill>
          </w14:textFill>
        </w:rPr>
      </w:pPr>
      <w:bookmarkStart w:id="472" w:name="_Toc22696"/>
      <w:r>
        <w:rPr>
          <w:rFonts w:hint="eastAsia"/>
          <w:color w:val="000000" w:themeColor="text1"/>
          <w14:textFill>
            <w14:solidFill>
              <w14:schemeClr w14:val="tx1"/>
            </w14:solidFill>
          </w14:textFill>
        </w:rPr>
        <w:t>其他商务文件</w:t>
      </w:r>
      <w:bookmarkEnd w:id="472"/>
    </w:p>
    <w:p w14:paraId="437CFF7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 招标文件要求提供的其它商务资料和证明材料，</w:t>
      </w:r>
      <w:r>
        <w:rPr>
          <w:rFonts w:hint="eastAsia"/>
          <w:color w:val="000000" w:themeColor="text1"/>
          <w:lang w:val="en-US"/>
          <w14:textFill>
            <w14:solidFill>
              <w14:schemeClr w14:val="tx1"/>
            </w14:solidFill>
          </w14:textFill>
        </w:rPr>
        <w:t>供应商结合评分办法内容自行拟定</w:t>
      </w:r>
      <w:r>
        <w:rPr>
          <w:rFonts w:hint="eastAsia"/>
          <w:color w:val="000000" w:themeColor="text1"/>
          <w14:textFill>
            <w14:solidFill>
              <w14:schemeClr w14:val="tx1"/>
            </w14:solidFill>
          </w14:textFill>
        </w:rPr>
        <w:t>；</w:t>
      </w:r>
    </w:p>
    <w:p w14:paraId="3EB9479B">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 投标供应商认为需要提供的其它商务资料和说明。</w:t>
      </w:r>
      <w:r>
        <w:rPr>
          <w:color w:val="000000" w:themeColor="text1"/>
          <w14:textFill>
            <w14:solidFill>
              <w14:schemeClr w14:val="tx1"/>
            </w14:solidFill>
          </w14:textFill>
        </w:rPr>
        <w:br w:type="page"/>
      </w:r>
    </w:p>
    <w:p w14:paraId="6A0591E0">
      <w:pPr>
        <w:pStyle w:val="5"/>
        <w:numPr>
          <w:ilvl w:val="0"/>
          <w:numId w:val="31"/>
        </w:numPr>
        <w:rPr>
          <w:rFonts w:hint="eastAsia"/>
          <w:color w:val="000000" w:themeColor="text1"/>
          <w14:textFill>
            <w14:solidFill>
              <w14:schemeClr w14:val="tx1"/>
            </w14:solidFill>
          </w14:textFill>
        </w:rPr>
      </w:pPr>
      <w:bookmarkStart w:id="473" w:name="_Toc547"/>
      <w:bookmarkStart w:id="474" w:name="_Toc155185935"/>
      <w:r>
        <w:rPr>
          <w:rFonts w:hint="eastAsia"/>
          <w:color w:val="000000" w:themeColor="text1"/>
          <w14:textFill>
            <w14:solidFill>
              <w14:schemeClr w14:val="tx1"/>
            </w14:solidFill>
          </w14:textFill>
        </w:rPr>
        <w:t>技术部分</w:t>
      </w:r>
      <w:bookmarkEnd w:id="473"/>
      <w:bookmarkEnd w:id="474"/>
    </w:p>
    <w:p w14:paraId="40703231">
      <w:pPr>
        <w:pStyle w:val="6"/>
        <w:numPr>
          <w:ilvl w:val="0"/>
          <w:numId w:val="33"/>
        </w:numPr>
        <w:rPr>
          <w:rFonts w:hint="eastAsia"/>
          <w:color w:val="000000" w:themeColor="text1"/>
          <w14:textFill>
            <w14:solidFill>
              <w14:schemeClr w14:val="tx1"/>
            </w14:solidFill>
          </w14:textFill>
        </w:rPr>
      </w:pPr>
      <w:bookmarkStart w:id="475" w:name="_Toc31554"/>
      <w:r>
        <w:rPr>
          <w:rFonts w:hint="eastAsia"/>
          <w:color w:val="000000" w:themeColor="text1"/>
          <w14:textFill>
            <w14:solidFill>
              <w14:schemeClr w14:val="tx1"/>
            </w14:solidFill>
          </w14:textFill>
        </w:rPr>
        <w:t>技术响应偏离表</w:t>
      </w:r>
      <w:bookmarkEnd w:id="475"/>
    </w:p>
    <w:p w14:paraId="4B8051F1">
      <w:pPr>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项目名称：                                         </w:t>
      </w:r>
    </w:p>
    <w:p w14:paraId="3A6E8DDF">
      <w:pPr>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 xml:space="preserve">项目编号：         </w:t>
      </w:r>
    </w:p>
    <w:tbl>
      <w:tblPr>
        <w:tblStyle w:val="33"/>
        <w:tblW w:w="81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551"/>
        <w:gridCol w:w="1691"/>
        <w:gridCol w:w="1669"/>
        <w:gridCol w:w="1549"/>
      </w:tblGrid>
      <w:tr w14:paraId="2D1D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96" w:type="dxa"/>
            <w:vAlign w:val="center"/>
          </w:tcPr>
          <w:p w14:paraId="7AFC34C4">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2551" w:type="dxa"/>
            <w:vAlign w:val="center"/>
          </w:tcPr>
          <w:p w14:paraId="29879474">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招标文件技术、服务要求条款</w:t>
            </w:r>
          </w:p>
        </w:tc>
        <w:tc>
          <w:tcPr>
            <w:tcW w:w="1691" w:type="dxa"/>
            <w:vAlign w:val="center"/>
          </w:tcPr>
          <w:p w14:paraId="614B6739">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投标文件内容</w:t>
            </w:r>
          </w:p>
          <w:p w14:paraId="3BAC867D">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对应简述</w:t>
            </w:r>
          </w:p>
        </w:tc>
        <w:tc>
          <w:tcPr>
            <w:tcW w:w="1669" w:type="dxa"/>
            <w:vAlign w:val="center"/>
          </w:tcPr>
          <w:p w14:paraId="7263335D">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响应情况</w:t>
            </w:r>
          </w:p>
        </w:tc>
        <w:tc>
          <w:tcPr>
            <w:tcW w:w="1549" w:type="dxa"/>
            <w:vAlign w:val="center"/>
          </w:tcPr>
          <w:p w14:paraId="6EA99934">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说明及索引</w:t>
            </w:r>
          </w:p>
        </w:tc>
      </w:tr>
      <w:tr w14:paraId="4F46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vAlign w:val="center"/>
          </w:tcPr>
          <w:p w14:paraId="466B7BF9">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551" w:type="dxa"/>
            <w:vAlign w:val="center"/>
          </w:tcPr>
          <w:p w14:paraId="646F6C98">
            <w:pPr>
              <w:pStyle w:val="54"/>
              <w:rPr>
                <w:rFonts w:hint="eastAsia"/>
                <w:color w:val="000000" w:themeColor="text1"/>
                <w14:textFill>
                  <w14:solidFill>
                    <w14:schemeClr w14:val="tx1"/>
                  </w14:solidFill>
                </w14:textFill>
              </w:rPr>
            </w:pPr>
          </w:p>
        </w:tc>
        <w:tc>
          <w:tcPr>
            <w:tcW w:w="1691" w:type="dxa"/>
            <w:vAlign w:val="center"/>
          </w:tcPr>
          <w:p w14:paraId="5838D0CB">
            <w:pPr>
              <w:pStyle w:val="54"/>
              <w:rPr>
                <w:rFonts w:hint="eastAsia"/>
                <w:color w:val="000000" w:themeColor="text1"/>
                <w14:textFill>
                  <w14:solidFill>
                    <w14:schemeClr w14:val="tx1"/>
                  </w14:solidFill>
                </w14:textFill>
              </w:rPr>
            </w:pPr>
          </w:p>
        </w:tc>
        <w:tc>
          <w:tcPr>
            <w:tcW w:w="1669" w:type="dxa"/>
            <w:vAlign w:val="center"/>
          </w:tcPr>
          <w:p w14:paraId="7B4BF03E">
            <w:pPr>
              <w:pStyle w:val="54"/>
              <w:rPr>
                <w:rFonts w:hint="eastAsia"/>
                <w:color w:val="000000" w:themeColor="text1"/>
                <w14:textFill>
                  <w14:solidFill>
                    <w14:schemeClr w14:val="tx1"/>
                  </w14:solidFill>
                </w14:textFill>
              </w:rPr>
            </w:pPr>
          </w:p>
        </w:tc>
        <w:tc>
          <w:tcPr>
            <w:tcW w:w="1549" w:type="dxa"/>
            <w:vAlign w:val="center"/>
          </w:tcPr>
          <w:p w14:paraId="30B42CB7">
            <w:pPr>
              <w:pStyle w:val="54"/>
              <w:rPr>
                <w:rFonts w:hint="eastAsia"/>
                <w:color w:val="000000" w:themeColor="text1"/>
                <w14:textFill>
                  <w14:solidFill>
                    <w14:schemeClr w14:val="tx1"/>
                  </w14:solidFill>
                </w14:textFill>
              </w:rPr>
            </w:pPr>
          </w:p>
        </w:tc>
      </w:tr>
      <w:tr w14:paraId="01C0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vAlign w:val="center"/>
          </w:tcPr>
          <w:p w14:paraId="2803388F">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551" w:type="dxa"/>
            <w:vAlign w:val="center"/>
          </w:tcPr>
          <w:p w14:paraId="2A5F3238">
            <w:pPr>
              <w:pStyle w:val="54"/>
              <w:rPr>
                <w:rFonts w:hint="eastAsia"/>
                <w:color w:val="000000" w:themeColor="text1"/>
                <w14:textFill>
                  <w14:solidFill>
                    <w14:schemeClr w14:val="tx1"/>
                  </w14:solidFill>
                </w14:textFill>
              </w:rPr>
            </w:pPr>
          </w:p>
        </w:tc>
        <w:tc>
          <w:tcPr>
            <w:tcW w:w="1691" w:type="dxa"/>
            <w:vAlign w:val="center"/>
          </w:tcPr>
          <w:p w14:paraId="6D29EEAD">
            <w:pPr>
              <w:pStyle w:val="54"/>
              <w:rPr>
                <w:rFonts w:hint="eastAsia"/>
                <w:color w:val="000000" w:themeColor="text1"/>
                <w14:textFill>
                  <w14:solidFill>
                    <w14:schemeClr w14:val="tx1"/>
                  </w14:solidFill>
                </w14:textFill>
              </w:rPr>
            </w:pPr>
          </w:p>
        </w:tc>
        <w:tc>
          <w:tcPr>
            <w:tcW w:w="1669" w:type="dxa"/>
            <w:vAlign w:val="center"/>
          </w:tcPr>
          <w:p w14:paraId="23F07BAC">
            <w:pPr>
              <w:pStyle w:val="54"/>
              <w:rPr>
                <w:rFonts w:hint="eastAsia"/>
                <w:color w:val="000000" w:themeColor="text1"/>
                <w14:textFill>
                  <w14:solidFill>
                    <w14:schemeClr w14:val="tx1"/>
                  </w14:solidFill>
                </w14:textFill>
              </w:rPr>
            </w:pPr>
          </w:p>
        </w:tc>
        <w:tc>
          <w:tcPr>
            <w:tcW w:w="1549" w:type="dxa"/>
            <w:vAlign w:val="center"/>
          </w:tcPr>
          <w:p w14:paraId="05C61D61">
            <w:pPr>
              <w:pStyle w:val="54"/>
              <w:rPr>
                <w:rFonts w:hint="eastAsia"/>
                <w:color w:val="000000" w:themeColor="text1"/>
                <w14:textFill>
                  <w14:solidFill>
                    <w14:schemeClr w14:val="tx1"/>
                  </w14:solidFill>
                </w14:textFill>
              </w:rPr>
            </w:pPr>
          </w:p>
        </w:tc>
      </w:tr>
      <w:tr w14:paraId="2086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7FB4D7C6">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2551" w:type="dxa"/>
          </w:tcPr>
          <w:p w14:paraId="0C222C95">
            <w:pPr>
              <w:pStyle w:val="54"/>
              <w:rPr>
                <w:rFonts w:hint="eastAsia"/>
                <w:color w:val="000000" w:themeColor="text1"/>
                <w14:textFill>
                  <w14:solidFill>
                    <w14:schemeClr w14:val="tx1"/>
                  </w14:solidFill>
                </w14:textFill>
              </w:rPr>
            </w:pPr>
          </w:p>
        </w:tc>
        <w:tc>
          <w:tcPr>
            <w:tcW w:w="1691" w:type="dxa"/>
          </w:tcPr>
          <w:p w14:paraId="4B63F3D9">
            <w:pPr>
              <w:pStyle w:val="54"/>
              <w:rPr>
                <w:rFonts w:hint="eastAsia"/>
                <w:color w:val="000000" w:themeColor="text1"/>
                <w14:textFill>
                  <w14:solidFill>
                    <w14:schemeClr w14:val="tx1"/>
                  </w14:solidFill>
                </w14:textFill>
              </w:rPr>
            </w:pPr>
          </w:p>
        </w:tc>
        <w:tc>
          <w:tcPr>
            <w:tcW w:w="1669" w:type="dxa"/>
          </w:tcPr>
          <w:p w14:paraId="5261B9B4">
            <w:pPr>
              <w:pStyle w:val="54"/>
              <w:rPr>
                <w:rFonts w:hint="eastAsia"/>
                <w:color w:val="000000" w:themeColor="text1"/>
                <w14:textFill>
                  <w14:solidFill>
                    <w14:schemeClr w14:val="tx1"/>
                  </w14:solidFill>
                </w14:textFill>
              </w:rPr>
            </w:pPr>
          </w:p>
        </w:tc>
        <w:tc>
          <w:tcPr>
            <w:tcW w:w="1549" w:type="dxa"/>
          </w:tcPr>
          <w:p w14:paraId="0BED255A">
            <w:pPr>
              <w:pStyle w:val="54"/>
              <w:rPr>
                <w:rFonts w:hint="eastAsia"/>
                <w:color w:val="000000" w:themeColor="text1"/>
                <w14:textFill>
                  <w14:solidFill>
                    <w14:schemeClr w14:val="tx1"/>
                  </w14:solidFill>
                </w14:textFill>
              </w:rPr>
            </w:pPr>
          </w:p>
        </w:tc>
      </w:tr>
      <w:tr w14:paraId="4414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0F162E66">
            <w:pPr>
              <w:pStyle w:val="54"/>
              <w:rPr>
                <w:rFonts w:hint="eastAsia"/>
                <w:color w:val="000000" w:themeColor="text1"/>
                <w14:textFill>
                  <w14:solidFill>
                    <w14:schemeClr w14:val="tx1"/>
                  </w14:solidFill>
                </w14:textFill>
              </w:rPr>
            </w:pPr>
          </w:p>
        </w:tc>
        <w:tc>
          <w:tcPr>
            <w:tcW w:w="2551" w:type="dxa"/>
          </w:tcPr>
          <w:p w14:paraId="36664319">
            <w:pPr>
              <w:pStyle w:val="54"/>
              <w:rPr>
                <w:rFonts w:hint="eastAsia"/>
                <w:color w:val="000000" w:themeColor="text1"/>
                <w14:textFill>
                  <w14:solidFill>
                    <w14:schemeClr w14:val="tx1"/>
                  </w14:solidFill>
                </w14:textFill>
              </w:rPr>
            </w:pPr>
          </w:p>
        </w:tc>
        <w:tc>
          <w:tcPr>
            <w:tcW w:w="1691" w:type="dxa"/>
          </w:tcPr>
          <w:p w14:paraId="77B2983E">
            <w:pPr>
              <w:pStyle w:val="54"/>
              <w:rPr>
                <w:rFonts w:hint="eastAsia"/>
                <w:color w:val="000000" w:themeColor="text1"/>
                <w14:textFill>
                  <w14:solidFill>
                    <w14:schemeClr w14:val="tx1"/>
                  </w14:solidFill>
                </w14:textFill>
              </w:rPr>
            </w:pPr>
          </w:p>
        </w:tc>
        <w:tc>
          <w:tcPr>
            <w:tcW w:w="1669" w:type="dxa"/>
          </w:tcPr>
          <w:p w14:paraId="26171990">
            <w:pPr>
              <w:pStyle w:val="54"/>
              <w:rPr>
                <w:rFonts w:hint="eastAsia"/>
                <w:color w:val="000000" w:themeColor="text1"/>
                <w14:textFill>
                  <w14:solidFill>
                    <w14:schemeClr w14:val="tx1"/>
                  </w14:solidFill>
                </w14:textFill>
              </w:rPr>
            </w:pPr>
          </w:p>
        </w:tc>
        <w:tc>
          <w:tcPr>
            <w:tcW w:w="1549" w:type="dxa"/>
          </w:tcPr>
          <w:p w14:paraId="254FFCA1">
            <w:pPr>
              <w:pStyle w:val="54"/>
              <w:rPr>
                <w:rFonts w:hint="eastAsia"/>
                <w:color w:val="000000" w:themeColor="text1"/>
                <w14:textFill>
                  <w14:solidFill>
                    <w14:schemeClr w14:val="tx1"/>
                  </w14:solidFill>
                </w14:textFill>
              </w:rPr>
            </w:pPr>
          </w:p>
        </w:tc>
      </w:tr>
      <w:tr w14:paraId="6B38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73399C41">
            <w:pPr>
              <w:pStyle w:val="54"/>
              <w:rPr>
                <w:rFonts w:hint="eastAsia"/>
                <w:color w:val="000000" w:themeColor="text1"/>
                <w14:textFill>
                  <w14:solidFill>
                    <w14:schemeClr w14:val="tx1"/>
                  </w14:solidFill>
                </w14:textFill>
              </w:rPr>
            </w:pPr>
          </w:p>
        </w:tc>
        <w:tc>
          <w:tcPr>
            <w:tcW w:w="2551" w:type="dxa"/>
          </w:tcPr>
          <w:p w14:paraId="29951764">
            <w:pPr>
              <w:pStyle w:val="54"/>
              <w:rPr>
                <w:rFonts w:hint="eastAsia"/>
                <w:color w:val="000000" w:themeColor="text1"/>
                <w14:textFill>
                  <w14:solidFill>
                    <w14:schemeClr w14:val="tx1"/>
                  </w14:solidFill>
                </w14:textFill>
              </w:rPr>
            </w:pPr>
          </w:p>
        </w:tc>
        <w:tc>
          <w:tcPr>
            <w:tcW w:w="1691" w:type="dxa"/>
          </w:tcPr>
          <w:p w14:paraId="78D1E647">
            <w:pPr>
              <w:pStyle w:val="54"/>
              <w:rPr>
                <w:rFonts w:hint="eastAsia"/>
                <w:color w:val="000000" w:themeColor="text1"/>
                <w14:textFill>
                  <w14:solidFill>
                    <w14:schemeClr w14:val="tx1"/>
                  </w14:solidFill>
                </w14:textFill>
              </w:rPr>
            </w:pPr>
          </w:p>
        </w:tc>
        <w:tc>
          <w:tcPr>
            <w:tcW w:w="1669" w:type="dxa"/>
          </w:tcPr>
          <w:p w14:paraId="13C6380D">
            <w:pPr>
              <w:pStyle w:val="54"/>
              <w:rPr>
                <w:rFonts w:hint="eastAsia"/>
                <w:color w:val="000000" w:themeColor="text1"/>
                <w14:textFill>
                  <w14:solidFill>
                    <w14:schemeClr w14:val="tx1"/>
                  </w14:solidFill>
                </w14:textFill>
              </w:rPr>
            </w:pPr>
          </w:p>
        </w:tc>
        <w:tc>
          <w:tcPr>
            <w:tcW w:w="1549" w:type="dxa"/>
          </w:tcPr>
          <w:p w14:paraId="17975F69">
            <w:pPr>
              <w:pStyle w:val="54"/>
              <w:rPr>
                <w:rFonts w:hint="eastAsia"/>
                <w:color w:val="000000" w:themeColor="text1"/>
                <w14:textFill>
                  <w14:solidFill>
                    <w14:schemeClr w14:val="tx1"/>
                  </w14:solidFill>
                </w14:textFill>
              </w:rPr>
            </w:pPr>
          </w:p>
        </w:tc>
      </w:tr>
      <w:tr w14:paraId="404C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66183371">
            <w:pPr>
              <w:pStyle w:val="54"/>
              <w:rPr>
                <w:rFonts w:hint="eastAsia"/>
                <w:color w:val="000000" w:themeColor="text1"/>
                <w14:textFill>
                  <w14:solidFill>
                    <w14:schemeClr w14:val="tx1"/>
                  </w14:solidFill>
                </w14:textFill>
              </w:rPr>
            </w:pPr>
          </w:p>
        </w:tc>
        <w:tc>
          <w:tcPr>
            <w:tcW w:w="2551" w:type="dxa"/>
          </w:tcPr>
          <w:p w14:paraId="642F0B4C">
            <w:pPr>
              <w:pStyle w:val="54"/>
              <w:rPr>
                <w:rFonts w:hint="eastAsia"/>
                <w:color w:val="000000" w:themeColor="text1"/>
                <w14:textFill>
                  <w14:solidFill>
                    <w14:schemeClr w14:val="tx1"/>
                  </w14:solidFill>
                </w14:textFill>
              </w:rPr>
            </w:pPr>
          </w:p>
        </w:tc>
        <w:tc>
          <w:tcPr>
            <w:tcW w:w="1691" w:type="dxa"/>
          </w:tcPr>
          <w:p w14:paraId="3936E1D9">
            <w:pPr>
              <w:pStyle w:val="54"/>
              <w:rPr>
                <w:rFonts w:hint="eastAsia"/>
                <w:color w:val="000000" w:themeColor="text1"/>
                <w14:textFill>
                  <w14:solidFill>
                    <w14:schemeClr w14:val="tx1"/>
                  </w14:solidFill>
                </w14:textFill>
              </w:rPr>
            </w:pPr>
          </w:p>
        </w:tc>
        <w:tc>
          <w:tcPr>
            <w:tcW w:w="1669" w:type="dxa"/>
          </w:tcPr>
          <w:p w14:paraId="78CED6C9">
            <w:pPr>
              <w:pStyle w:val="54"/>
              <w:rPr>
                <w:rFonts w:hint="eastAsia"/>
                <w:color w:val="000000" w:themeColor="text1"/>
                <w14:textFill>
                  <w14:solidFill>
                    <w14:schemeClr w14:val="tx1"/>
                  </w14:solidFill>
                </w14:textFill>
              </w:rPr>
            </w:pPr>
          </w:p>
        </w:tc>
        <w:tc>
          <w:tcPr>
            <w:tcW w:w="1549" w:type="dxa"/>
          </w:tcPr>
          <w:p w14:paraId="3B7B357D">
            <w:pPr>
              <w:pStyle w:val="54"/>
              <w:rPr>
                <w:rFonts w:hint="eastAsia"/>
                <w:color w:val="000000" w:themeColor="text1"/>
                <w14:textFill>
                  <w14:solidFill>
                    <w14:schemeClr w14:val="tx1"/>
                  </w14:solidFill>
                </w14:textFill>
              </w:rPr>
            </w:pPr>
          </w:p>
        </w:tc>
      </w:tr>
      <w:tr w14:paraId="0571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316A2BFB">
            <w:pPr>
              <w:pStyle w:val="54"/>
              <w:rPr>
                <w:rFonts w:hint="eastAsia"/>
                <w:color w:val="000000" w:themeColor="text1"/>
                <w14:textFill>
                  <w14:solidFill>
                    <w14:schemeClr w14:val="tx1"/>
                  </w14:solidFill>
                </w14:textFill>
              </w:rPr>
            </w:pPr>
          </w:p>
        </w:tc>
        <w:tc>
          <w:tcPr>
            <w:tcW w:w="2551" w:type="dxa"/>
          </w:tcPr>
          <w:p w14:paraId="4C821675">
            <w:pPr>
              <w:pStyle w:val="54"/>
              <w:rPr>
                <w:rFonts w:hint="eastAsia"/>
                <w:color w:val="000000" w:themeColor="text1"/>
                <w14:textFill>
                  <w14:solidFill>
                    <w14:schemeClr w14:val="tx1"/>
                  </w14:solidFill>
                </w14:textFill>
              </w:rPr>
            </w:pPr>
          </w:p>
        </w:tc>
        <w:tc>
          <w:tcPr>
            <w:tcW w:w="1691" w:type="dxa"/>
          </w:tcPr>
          <w:p w14:paraId="25FCF6C9">
            <w:pPr>
              <w:pStyle w:val="54"/>
              <w:rPr>
                <w:rFonts w:hint="eastAsia"/>
                <w:color w:val="000000" w:themeColor="text1"/>
                <w14:textFill>
                  <w14:solidFill>
                    <w14:schemeClr w14:val="tx1"/>
                  </w14:solidFill>
                </w14:textFill>
              </w:rPr>
            </w:pPr>
          </w:p>
        </w:tc>
        <w:tc>
          <w:tcPr>
            <w:tcW w:w="1669" w:type="dxa"/>
          </w:tcPr>
          <w:p w14:paraId="00A23EAB">
            <w:pPr>
              <w:pStyle w:val="54"/>
              <w:rPr>
                <w:rFonts w:hint="eastAsia"/>
                <w:color w:val="000000" w:themeColor="text1"/>
                <w14:textFill>
                  <w14:solidFill>
                    <w14:schemeClr w14:val="tx1"/>
                  </w14:solidFill>
                </w14:textFill>
              </w:rPr>
            </w:pPr>
          </w:p>
        </w:tc>
        <w:tc>
          <w:tcPr>
            <w:tcW w:w="1549" w:type="dxa"/>
          </w:tcPr>
          <w:p w14:paraId="6EDD0BC8">
            <w:pPr>
              <w:pStyle w:val="54"/>
              <w:rPr>
                <w:rFonts w:hint="eastAsia"/>
                <w:color w:val="000000" w:themeColor="text1"/>
                <w14:textFill>
                  <w14:solidFill>
                    <w14:schemeClr w14:val="tx1"/>
                  </w14:solidFill>
                </w14:textFill>
              </w:rPr>
            </w:pPr>
          </w:p>
        </w:tc>
      </w:tr>
      <w:tr w14:paraId="4BD1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7FD38552">
            <w:pPr>
              <w:pStyle w:val="54"/>
              <w:rPr>
                <w:rFonts w:hint="eastAsia"/>
                <w:color w:val="000000" w:themeColor="text1"/>
                <w14:textFill>
                  <w14:solidFill>
                    <w14:schemeClr w14:val="tx1"/>
                  </w14:solidFill>
                </w14:textFill>
              </w:rPr>
            </w:pPr>
          </w:p>
        </w:tc>
        <w:tc>
          <w:tcPr>
            <w:tcW w:w="2551" w:type="dxa"/>
          </w:tcPr>
          <w:p w14:paraId="3C81E7C7">
            <w:pPr>
              <w:pStyle w:val="54"/>
              <w:rPr>
                <w:rFonts w:hint="eastAsia"/>
                <w:color w:val="000000" w:themeColor="text1"/>
                <w14:textFill>
                  <w14:solidFill>
                    <w14:schemeClr w14:val="tx1"/>
                  </w14:solidFill>
                </w14:textFill>
              </w:rPr>
            </w:pPr>
          </w:p>
        </w:tc>
        <w:tc>
          <w:tcPr>
            <w:tcW w:w="1691" w:type="dxa"/>
          </w:tcPr>
          <w:p w14:paraId="58E33CE2">
            <w:pPr>
              <w:pStyle w:val="54"/>
              <w:rPr>
                <w:rFonts w:hint="eastAsia"/>
                <w:color w:val="000000" w:themeColor="text1"/>
                <w14:textFill>
                  <w14:solidFill>
                    <w14:schemeClr w14:val="tx1"/>
                  </w14:solidFill>
                </w14:textFill>
              </w:rPr>
            </w:pPr>
          </w:p>
        </w:tc>
        <w:tc>
          <w:tcPr>
            <w:tcW w:w="1669" w:type="dxa"/>
          </w:tcPr>
          <w:p w14:paraId="6EBDD8EE">
            <w:pPr>
              <w:pStyle w:val="54"/>
              <w:rPr>
                <w:rFonts w:hint="eastAsia"/>
                <w:color w:val="000000" w:themeColor="text1"/>
                <w14:textFill>
                  <w14:solidFill>
                    <w14:schemeClr w14:val="tx1"/>
                  </w14:solidFill>
                </w14:textFill>
              </w:rPr>
            </w:pPr>
          </w:p>
        </w:tc>
        <w:tc>
          <w:tcPr>
            <w:tcW w:w="1549" w:type="dxa"/>
          </w:tcPr>
          <w:p w14:paraId="27C31CA2">
            <w:pPr>
              <w:pStyle w:val="54"/>
              <w:rPr>
                <w:rFonts w:hint="eastAsia"/>
                <w:color w:val="000000" w:themeColor="text1"/>
                <w14:textFill>
                  <w14:solidFill>
                    <w14:schemeClr w14:val="tx1"/>
                  </w14:solidFill>
                </w14:textFill>
              </w:rPr>
            </w:pPr>
          </w:p>
        </w:tc>
      </w:tr>
      <w:tr w14:paraId="65FF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0E6C9440">
            <w:pPr>
              <w:pStyle w:val="54"/>
              <w:rPr>
                <w:rFonts w:hint="eastAsia"/>
                <w:color w:val="000000" w:themeColor="text1"/>
                <w14:textFill>
                  <w14:solidFill>
                    <w14:schemeClr w14:val="tx1"/>
                  </w14:solidFill>
                </w14:textFill>
              </w:rPr>
            </w:pPr>
          </w:p>
        </w:tc>
        <w:tc>
          <w:tcPr>
            <w:tcW w:w="2551" w:type="dxa"/>
          </w:tcPr>
          <w:p w14:paraId="71C74754">
            <w:pPr>
              <w:pStyle w:val="54"/>
              <w:rPr>
                <w:rFonts w:hint="eastAsia"/>
                <w:color w:val="000000" w:themeColor="text1"/>
                <w14:textFill>
                  <w14:solidFill>
                    <w14:schemeClr w14:val="tx1"/>
                  </w14:solidFill>
                </w14:textFill>
              </w:rPr>
            </w:pPr>
          </w:p>
        </w:tc>
        <w:tc>
          <w:tcPr>
            <w:tcW w:w="1691" w:type="dxa"/>
          </w:tcPr>
          <w:p w14:paraId="2A4B1490">
            <w:pPr>
              <w:pStyle w:val="54"/>
              <w:rPr>
                <w:rFonts w:hint="eastAsia"/>
                <w:color w:val="000000" w:themeColor="text1"/>
                <w14:textFill>
                  <w14:solidFill>
                    <w14:schemeClr w14:val="tx1"/>
                  </w14:solidFill>
                </w14:textFill>
              </w:rPr>
            </w:pPr>
          </w:p>
        </w:tc>
        <w:tc>
          <w:tcPr>
            <w:tcW w:w="1669" w:type="dxa"/>
          </w:tcPr>
          <w:p w14:paraId="5EBA2901">
            <w:pPr>
              <w:pStyle w:val="54"/>
              <w:rPr>
                <w:rFonts w:hint="eastAsia"/>
                <w:color w:val="000000" w:themeColor="text1"/>
                <w14:textFill>
                  <w14:solidFill>
                    <w14:schemeClr w14:val="tx1"/>
                  </w14:solidFill>
                </w14:textFill>
              </w:rPr>
            </w:pPr>
          </w:p>
        </w:tc>
        <w:tc>
          <w:tcPr>
            <w:tcW w:w="1549" w:type="dxa"/>
          </w:tcPr>
          <w:p w14:paraId="4B9CAA29">
            <w:pPr>
              <w:pStyle w:val="54"/>
              <w:rPr>
                <w:rFonts w:hint="eastAsia"/>
                <w:color w:val="000000" w:themeColor="text1"/>
                <w14:textFill>
                  <w14:solidFill>
                    <w14:schemeClr w14:val="tx1"/>
                  </w14:solidFill>
                </w14:textFill>
              </w:rPr>
            </w:pPr>
          </w:p>
        </w:tc>
      </w:tr>
      <w:tr w14:paraId="061D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123704D3">
            <w:pPr>
              <w:pStyle w:val="54"/>
              <w:rPr>
                <w:rFonts w:hint="eastAsia"/>
                <w:color w:val="000000" w:themeColor="text1"/>
                <w14:textFill>
                  <w14:solidFill>
                    <w14:schemeClr w14:val="tx1"/>
                  </w14:solidFill>
                </w14:textFill>
              </w:rPr>
            </w:pPr>
          </w:p>
        </w:tc>
        <w:tc>
          <w:tcPr>
            <w:tcW w:w="2551" w:type="dxa"/>
          </w:tcPr>
          <w:p w14:paraId="1A2242C1">
            <w:pPr>
              <w:pStyle w:val="54"/>
              <w:rPr>
                <w:rFonts w:hint="eastAsia"/>
                <w:color w:val="000000" w:themeColor="text1"/>
                <w14:textFill>
                  <w14:solidFill>
                    <w14:schemeClr w14:val="tx1"/>
                  </w14:solidFill>
                </w14:textFill>
              </w:rPr>
            </w:pPr>
          </w:p>
        </w:tc>
        <w:tc>
          <w:tcPr>
            <w:tcW w:w="1691" w:type="dxa"/>
          </w:tcPr>
          <w:p w14:paraId="3C36ABA4">
            <w:pPr>
              <w:pStyle w:val="54"/>
              <w:rPr>
                <w:rFonts w:hint="eastAsia"/>
                <w:color w:val="000000" w:themeColor="text1"/>
                <w14:textFill>
                  <w14:solidFill>
                    <w14:schemeClr w14:val="tx1"/>
                  </w14:solidFill>
                </w14:textFill>
              </w:rPr>
            </w:pPr>
          </w:p>
        </w:tc>
        <w:tc>
          <w:tcPr>
            <w:tcW w:w="1669" w:type="dxa"/>
          </w:tcPr>
          <w:p w14:paraId="6B00EB54">
            <w:pPr>
              <w:pStyle w:val="54"/>
              <w:rPr>
                <w:rFonts w:hint="eastAsia"/>
                <w:color w:val="000000" w:themeColor="text1"/>
                <w14:textFill>
                  <w14:solidFill>
                    <w14:schemeClr w14:val="tx1"/>
                  </w14:solidFill>
                </w14:textFill>
              </w:rPr>
            </w:pPr>
          </w:p>
        </w:tc>
        <w:tc>
          <w:tcPr>
            <w:tcW w:w="1549" w:type="dxa"/>
          </w:tcPr>
          <w:p w14:paraId="4948170A">
            <w:pPr>
              <w:pStyle w:val="54"/>
              <w:rPr>
                <w:rFonts w:hint="eastAsia"/>
                <w:color w:val="000000" w:themeColor="text1"/>
                <w14:textFill>
                  <w14:solidFill>
                    <w14:schemeClr w14:val="tx1"/>
                  </w14:solidFill>
                </w14:textFill>
              </w:rPr>
            </w:pPr>
          </w:p>
        </w:tc>
      </w:tr>
      <w:tr w14:paraId="6F88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7A6F14C8">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2551" w:type="dxa"/>
          </w:tcPr>
          <w:p w14:paraId="4AEA1D24">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691" w:type="dxa"/>
          </w:tcPr>
          <w:p w14:paraId="57DB8CC0">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669" w:type="dxa"/>
          </w:tcPr>
          <w:p w14:paraId="25E482C7">
            <w:pPr>
              <w:pStyle w:val="5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549" w:type="dxa"/>
          </w:tcPr>
          <w:p w14:paraId="3E529156">
            <w:pPr>
              <w:pStyle w:val="54"/>
              <w:rPr>
                <w:rFonts w:hint="eastAsia"/>
                <w:color w:val="000000" w:themeColor="text1"/>
                <w14:textFill>
                  <w14:solidFill>
                    <w14:schemeClr w14:val="tx1"/>
                  </w14:solidFill>
                </w14:textFill>
              </w:rPr>
            </w:pPr>
          </w:p>
        </w:tc>
      </w:tr>
    </w:tbl>
    <w:p w14:paraId="10396EED">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说明：投标供应商应按照招标文件第三章 采购需求填写。</w:t>
      </w:r>
    </w:p>
    <w:p w14:paraId="34D67B9C">
      <w:pPr>
        <w:ind w:firstLine="480" w:firstLineChars="200"/>
        <w:rPr>
          <w:rFonts w:hint="eastAsia" w:cs="仿宋_GB2312"/>
          <w:color w:val="000000" w:themeColor="text1"/>
          <w:szCs w:val="24"/>
          <w14:textFill>
            <w14:solidFill>
              <w14:schemeClr w14:val="tx1"/>
            </w14:solidFill>
          </w14:textFill>
        </w:rPr>
      </w:pPr>
    </w:p>
    <w:p w14:paraId="0A1CEDA0">
      <w:pPr>
        <w:ind w:firstLine="480" w:firstLineChars="20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投标供应商名称（</w:t>
      </w:r>
      <w:r>
        <w:rPr>
          <w:rFonts w:hint="eastAsia" w:cs="仿宋_GB2312"/>
          <w:color w:val="000000" w:themeColor="text1"/>
          <w:szCs w:val="24"/>
          <w:lang w:val="en-US" w:eastAsia="zh-CN"/>
          <w14:textFill>
            <w14:solidFill>
              <w14:schemeClr w14:val="tx1"/>
            </w14:solidFill>
          </w14:textFill>
        </w:rPr>
        <w:t>电子签</w:t>
      </w:r>
      <w:r>
        <w:rPr>
          <w:rFonts w:hint="eastAsia" w:cs="仿宋_GB2312"/>
          <w:color w:val="000000" w:themeColor="text1"/>
          <w:szCs w:val="24"/>
          <w14:textFill>
            <w14:solidFill>
              <w14:schemeClr w14:val="tx1"/>
            </w14:solidFill>
          </w14:textFill>
        </w:rPr>
        <w:t>章）：</w:t>
      </w:r>
    </w:p>
    <w:p w14:paraId="4558AB64">
      <w:pPr>
        <w:ind w:firstLine="420" w:firstLineChars="200"/>
        <w:rPr>
          <w:rFonts w:hint="eastAsia" w:cs="仿宋_GB2312"/>
          <w:color w:val="000000" w:themeColor="text1"/>
          <w:szCs w:val="24"/>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法定代表人（或非法人组织负责人）(电子签章)</w:t>
      </w:r>
      <w:r>
        <w:rPr>
          <w:rFonts w:cs="仿宋_GB2312"/>
          <w:color w:val="000000" w:themeColor="text1"/>
          <w:szCs w:val="24"/>
          <w14:textFill>
            <w14:solidFill>
              <w14:schemeClr w14:val="tx1"/>
            </w14:solidFill>
          </w14:textFill>
        </w:rPr>
        <w:t xml:space="preserve"> </w:t>
      </w:r>
    </w:p>
    <w:p w14:paraId="5142ABE7">
      <w:pPr>
        <w:ind w:firstLine="420"/>
        <w:rPr>
          <w:rFonts w:hint="eastAsia" w:cs="仿宋_GB2312"/>
          <w:color w:val="000000" w:themeColor="text1"/>
          <w:szCs w:val="24"/>
          <w14:textFill>
            <w14:solidFill>
              <w14:schemeClr w14:val="tx1"/>
            </w14:solidFill>
          </w14:textFill>
        </w:rPr>
      </w:pPr>
      <w:r>
        <w:rPr>
          <w:rFonts w:hint="eastAsia" w:cs="仿宋_GB2312"/>
          <w:color w:val="000000" w:themeColor="text1"/>
          <w:szCs w:val="24"/>
          <w14:textFill>
            <w14:solidFill>
              <w14:schemeClr w14:val="tx1"/>
            </w14:solidFill>
          </w14:textFill>
        </w:rPr>
        <w:t>日      期：</w:t>
      </w:r>
    </w:p>
    <w:p w14:paraId="6B084ECA">
      <w:pPr>
        <w:ind w:firstLine="420"/>
        <w:rPr>
          <w:rFonts w:hint="eastAsia" w:cs="仿宋_GB2312"/>
          <w:color w:val="000000" w:themeColor="text1"/>
          <w:szCs w:val="24"/>
          <w14:textFill>
            <w14:solidFill>
              <w14:schemeClr w14:val="tx1"/>
            </w14:solidFill>
          </w14:textFill>
        </w:rPr>
      </w:pPr>
      <w:r>
        <w:rPr>
          <w:rFonts w:cs="仿宋_GB2312"/>
          <w:color w:val="000000" w:themeColor="text1"/>
          <w:szCs w:val="24"/>
          <w14:textFill>
            <w14:solidFill>
              <w14:schemeClr w14:val="tx1"/>
            </w14:solidFill>
          </w14:textFill>
        </w:rPr>
        <w:br w:type="page"/>
      </w:r>
    </w:p>
    <w:p w14:paraId="5BAB7D49">
      <w:pPr>
        <w:pStyle w:val="6"/>
        <w:numPr>
          <w:ilvl w:val="0"/>
          <w:numId w:val="33"/>
        </w:numPr>
        <w:rPr>
          <w:rFonts w:hint="default"/>
          <w:color w:val="000000" w:themeColor="text1"/>
          <w:lang w:val="en-US"/>
          <w14:textFill>
            <w14:solidFill>
              <w14:schemeClr w14:val="tx1"/>
            </w14:solidFill>
          </w14:textFill>
        </w:rPr>
      </w:pPr>
      <w:bookmarkStart w:id="476" w:name="_Toc15777"/>
      <w:r>
        <w:rPr>
          <w:rFonts w:hint="eastAsia" w:eastAsia="宋体"/>
          <w:color w:val="000000" w:themeColor="text1"/>
          <w:lang w:val="en-US" w:eastAsia="zh-CN"/>
          <w14:textFill>
            <w14:solidFill>
              <w14:schemeClr w14:val="tx1"/>
            </w14:solidFill>
          </w14:textFill>
        </w:rPr>
        <w:t>技术、商务服务方案</w:t>
      </w:r>
      <w:bookmarkEnd w:id="476"/>
    </w:p>
    <w:p w14:paraId="6A0BC883">
      <w:pPr>
        <w:spacing w:line="360" w:lineRule="auto"/>
        <w:outlineLvl w:val="1"/>
        <w:rPr>
          <w:rFonts w:hint="eastAsia" w:ascii="宋体" w:hAnsi="宋体" w:eastAsia="宋体" w:cs="宋体"/>
          <w:b w:val="0"/>
          <w:bCs w:val="0"/>
          <w:color w:val="auto"/>
        </w:rPr>
      </w:pPr>
      <w:bookmarkStart w:id="477" w:name="_Toc509"/>
      <w:r>
        <w:rPr>
          <w:rFonts w:hint="eastAsia" w:ascii="宋体" w:hAnsi="宋体" w:eastAsia="宋体" w:cs="宋体"/>
          <w:b w:val="0"/>
          <w:bCs w:val="0"/>
          <w:color w:val="auto"/>
        </w:rPr>
        <w:t>（一）</w:t>
      </w:r>
      <w:r>
        <w:rPr>
          <w:rFonts w:hint="default"/>
          <w:b w:val="0"/>
          <w:bCs w:val="0"/>
          <w:color w:val="000000" w:themeColor="text1"/>
          <w:lang w:val="en-US" w:eastAsia="zh-CN"/>
          <w14:textFill>
            <w14:solidFill>
              <w14:schemeClr w14:val="tx1"/>
            </w14:solidFill>
          </w14:textFill>
        </w:rPr>
        <w:t>技术参数响应</w:t>
      </w:r>
      <w:bookmarkEnd w:id="477"/>
    </w:p>
    <w:p w14:paraId="7272181F">
      <w:pPr>
        <w:spacing w:line="360" w:lineRule="auto"/>
        <w:outlineLvl w:val="1"/>
        <w:rPr>
          <w:rFonts w:hint="eastAsia" w:ascii="宋体" w:hAnsi="宋体" w:eastAsia="宋体" w:cs="宋体"/>
          <w:b w:val="0"/>
          <w:bCs w:val="0"/>
          <w:color w:val="auto"/>
        </w:rPr>
      </w:pPr>
      <w:bookmarkStart w:id="478" w:name="_Toc5234"/>
      <w:r>
        <w:rPr>
          <w:rFonts w:hint="eastAsia" w:ascii="宋体" w:hAnsi="宋体" w:eastAsia="宋体" w:cs="宋体"/>
          <w:b w:val="0"/>
          <w:bCs w:val="0"/>
          <w:color w:val="auto"/>
        </w:rPr>
        <w:t>（二）</w:t>
      </w:r>
      <w:r>
        <w:rPr>
          <w:rFonts w:hint="default"/>
          <w:b w:val="0"/>
          <w:bCs w:val="0"/>
          <w:color w:val="000000" w:themeColor="text1"/>
          <w:lang w:val="en-US" w:eastAsia="zh-CN"/>
          <w14:textFill>
            <w14:solidFill>
              <w14:schemeClr w14:val="tx1"/>
            </w14:solidFill>
          </w14:textFill>
        </w:rPr>
        <w:t>项目实施方案</w:t>
      </w:r>
      <w:bookmarkEnd w:id="478"/>
    </w:p>
    <w:p w14:paraId="4E655F85">
      <w:pPr>
        <w:spacing w:line="360" w:lineRule="auto"/>
        <w:outlineLvl w:val="1"/>
        <w:rPr>
          <w:rFonts w:hint="default"/>
          <w:b w:val="0"/>
          <w:bCs w:val="0"/>
          <w:color w:val="000000" w:themeColor="text1"/>
          <w:lang w:val="en-US" w:eastAsia="zh-CN"/>
          <w14:textFill>
            <w14:solidFill>
              <w14:schemeClr w14:val="tx1"/>
            </w14:solidFill>
          </w14:textFill>
        </w:rPr>
      </w:pPr>
      <w:bookmarkStart w:id="479" w:name="_Toc30888"/>
      <w:r>
        <w:rPr>
          <w:rFonts w:hint="eastAsia" w:ascii="宋体" w:hAnsi="宋体" w:eastAsia="宋体" w:cs="宋体"/>
          <w:b w:val="0"/>
          <w:bCs w:val="0"/>
          <w:color w:val="auto"/>
        </w:rPr>
        <w:t>（三）</w:t>
      </w:r>
      <w:r>
        <w:rPr>
          <w:rFonts w:hint="default"/>
          <w:b w:val="0"/>
          <w:bCs w:val="0"/>
          <w:color w:val="000000" w:themeColor="text1"/>
          <w:lang w:val="en-US" w:eastAsia="zh-CN"/>
          <w14:textFill>
            <w14:solidFill>
              <w14:schemeClr w14:val="tx1"/>
            </w14:solidFill>
          </w14:textFill>
        </w:rPr>
        <w:t>运维服务方案</w:t>
      </w:r>
      <w:bookmarkEnd w:id="479"/>
    </w:p>
    <w:p w14:paraId="729A1882">
      <w:pPr>
        <w:spacing w:line="360" w:lineRule="auto"/>
        <w:outlineLvl w:val="1"/>
        <w:rPr>
          <w:rFonts w:hint="eastAsia" w:ascii="宋体" w:hAnsi="宋体" w:eastAsia="宋体" w:cs="宋体"/>
          <w:b w:val="0"/>
          <w:bCs w:val="0"/>
          <w:color w:val="auto"/>
          <w:lang w:val="en-US" w:eastAsia="zh-CN"/>
        </w:rPr>
      </w:pPr>
      <w:bookmarkStart w:id="480" w:name="_Toc2742"/>
      <w:r>
        <w:rPr>
          <w:rFonts w:hint="eastAsia" w:ascii="宋体" w:hAnsi="宋体" w:eastAsia="宋体" w:cs="宋体"/>
          <w:b w:val="0"/>
          <w:bCs w:val="0"/>
          <w:color w:val="auto"/>
        </w:rPr>
        <w:t>（四）</w:t>
      </w:r>
      <w:r>
        <w:rPr>
          <w:rFonts w:hint="default"/>
          <w:b w:val="0"/>
          <w:bCs w:val="0"/>
          <w:color w:val="000000" w:themeColor="text1"/>
          <w:lang w:val="en-US" w:eastAsia="zh-CN"/>
          <w14:textFill>
            <w14:solidFill>
              <w14:schemeClr w14:val="tx1"/>
            </w14:solidFill>
          </w14:textFill>
        </w:rPr>
        <w:t>培训方案</w:t>
      </w:r>
      <w:bookmarkEnd w:id="480"/>
    </w:p>
    <w:p w14:paraId="3F014CF3">
      <w:pPr>
        <w:spacing w:line="360" w:lineRule="auto"/>
        <w:outlineLvl w:val="1"/>
        <w:rPr>
          <w:rFonts w:hint="eastAsia" w:ascii="宋体" w:hAnsi="宋体" w:eastAsia="宋体" w:cs="宋体"/>
          <w:b w:val="0"/>
          <w:bCs w:val="0"/>
          <w:color w:val="auto"/>
          <w:lang w:val="en-US" w:eastAsia="zh-CN"/>
        </w:rPr>
      </w:pPr>
      <w:bookmarkStart w:id="481" w:name="_Toc9262"/>
      <w:r>
        <w:rPr>
          <w:rFonts w:hint="eastAsia" w:ascii="宋体" w:hAnsi="宋体" w:eastAsia="宋体" w:cs="宋体"/>
          <w:b w:val="0"/>
          <w:bCs w:val="0"/>
          <w:color w:val="auto"/>
          <w:lang w:val="en-US" w:eastAsia="zh-CN"/>
        </w:rPr>
        <w:t>（</w:t>
      </w:r>
      <w:r>
        <w:rPr>
          <w:rFonts w:hint="eastAsia" w:cs="宋体"/>
          <w:b w:val="0"/>
          <w:bCs w:val="0"/>
          <w:color w:val="auto"/>
          <w:lang w:val="en-US" w:eastAsia="zh-CN"/>
        </w:rPr>
        <w:t>五</w:t>
      </w:r>
      <w:r>
        <w:rPr>
          <w:rFonts w:hint="eastAsia" w:ascii="宋体" w:hAnsi="宋体" w:eastAsia="宋体" w:cs="宋体"/>
          <w:b w:val="0"/>
          <w:bCs w:val="0"/>
          <w:color w:val="auto"/>
          <w:lang w:val="en-US" w:eastAsia="zh-CN"/>
        </w:rPr>
        <w:t>）售后服务方案</w:t>
      </w:r>
      <w:bookmarkEnd w:id="481"/>
    </w:p>
    <w:p w14:paraId="022E0717">
      <w:pPr>
        <w:spacing w:line="360" w:lineRule="auto"/>
        <w:outlineLvl w:val="1"/>
        <w:rPr>
          <w:rFonts w:hint="eastAsia" w:ascii="宋体" w:hAnsi="宋体" w:eastAsia="宋体" w:cs="宋体"/>
          <w:b w:val="0"/>
          <w:bCs w:val="0"/>
          <w:color w:val="auto"/>
          <w:lang w:val="en-US" w:eastAsia="zh-CN"/>
        </w:rPr>
      </w:pPr>
      <w:bookmarkStart w:id="482" w:name="_Toc1487"/>
      <w:r>
        <w:rPr>
          <w:rFonts w:hint="eastAsia" w:ascii="宋体" w:hAnsi="宋体" w:eastAsia="宋体" w:cs="宋体"/>
          <w:b w:val="0"/>
          <w:bCs w:val="0"/>
          <w:color w:val="auto"/>
          <w:lang w:val="en-US" w:eastAsia="zh-CN"/>
        </w:rPr>
        <w:t>（</w:t>
      </w:r>
      <w:r>
        <w:rPr>
          <w:rFonts w:hint="eastAsia" w:cs="宋体"/>
          <w:b w:val="0"/>
          <w:bCs w:val="0"/>
          <w:color w:val="auto"/>
          <w:lang w:val="en-US" w:eastAsia="zh-CN"/>
        </w:rPr>
        <w:t>六</w:t>
      </w:r>
      <w:r>
        <w:rPr>
          <w:rFonts w:hint="eastAsia" w:ascii="宋体" w:hAnsi="宋体" w:eastAsia="宋体" w:cs="宋体"/>
          <w:b w:val="0"/>
          <w:bCs w:val="0"/>
          <w:color w:val="auto"/>
          <w:lang w:val="en-US" w:eastAsia="zh-CN"/>
        </w:rPr>
        <w:t>）</w:t>
      </w:r>
      <w:r>
        <w:rPr>
          <w:rFonts w:hint="default"/>
          <w:b w:val="0"/>
          <w:bCs w:val="0"/>
          <w:color w:val="000000" w:themeColor="text1"/>
          <w:lang w:val="en-US" w:eastAsia="zh-CN"/>
          <w14:textFill>
            <w14:solidFill>
              <w14:schemeClr w14:val="tx1"/>
            </w14:solidFill>
          </w14:textFill>
        </w:rPr>
        <w:t>拟派服务团队</w:t>
      </w:r>
      <w:bookmarkEnd w:id="482"/>
    </w:p>
    <w:p w14:paraId="398886A0">
      <w:pPr>
        <w:spacing w:line="360" w:lineRule="auto"/>
        <w:outlineLvl w:val="1"/>
        <w:rPr>
          <w:rFonts w:hint="eastAsia" w:ascii="宋体" w:hAnsi="宋体" w:eastAsia="宋体" w:cs="宋体"/>
          <w:b w:val="0"/>
          <w:bCs w:val="0"/>
          <w:color w:val="auto"/>
          <w:lang w:val="en-US" w:eastAsia="zh-CN"/>
        </w:rPr>
      </w:pPr>
      <w:bookmarkStart w:id="483" w:name="_Toc16387"/>
      <w:r>
        <w:rPr>
          <w:rFonts w:hint="eastAsia" w:ascii="宋体" w:hAnsi="宋体" w:eastAsia="宋体" w:cs="宋体"/>
          <w:b w:val="0"/>
          <w:bCs w:val="0"/>
          <w:color w:val="auto"/>
          <w:lang w:val="en-US" w:eastAsia="zh-CN"/>
        </w:rPr>
        <w:t>（</w:t>
      </w:r>
      <w:r>
        <w:rPr>
          <w:rFonts w:hint="eastAsia" w:cs="宋体"/>
          <w:b w:val="0"/>
          <w:bCs w:val="0"/>
          <w:color w:val="auto"/>
          <w:lang w:val="en-US" w:eastAsia="zh-CN"/>
        </w:rPr>
        <w:t>七</w:t>
      </w:r>
      <w:r>
        <w:rPr>
          <w:rFonts w:hint="eastAsia" w:ascii="宋体" w:hAnsi="宋体" w:eastAsia="宋体" w:cs="宋体"/>
          <w:b w:val="0"/>
          <w:bCs w:val="0"/>
          <w:color w:val="auto"/>
          <w:lang w:val="en-US" w:eastAsia="zh-CN"/>
        </w:rPr>
        <w:t>）类似业绩</w:t>
      </w:r>
      <w:bookmarkEnd w:id="483"/>
    </w:p>
    <w:p w14:paraId="7FFD2A34">
      <w:pPr>
        <w:pStyle w:val="2"/>
        <w:rPr>
          <w:rFonts w:hint="default"/>
          <w:lang w:val="en-US" w:eastAsia="zh-CN"/>
        </w:rPr>
      </w:pPr>
    </w:p>
    <w:p w14:paraId="27A45770">
      <w:pPr>
        <w:pStyle w:val="42"/>
        <w:rPr>
          <w:rFonts w:hint="eastAsia"/>
          <w:color w:val="000000" w:themeColor="text1"/>
          <w14:textFill>
            <w14:solidFill>
              <w14:schemeClr w14:val="tx1"/>
            </w14:solidFill>
          </w14:textFill>
        </w:rPr>
      </w:pPr>
    </w:p>
    <w:p w14:paraId="2CD1414F">
      <w:pPr>
        <w:pStyle w:val="42"/>
        <w:rPr>
          <w:rFonts w:hint="eastAsia" w:ascii="宋体" w:hAnsi="宋体" w:eastAsia="宋体"/>
          <w:color w:val="000000" w:themeColor="text1"/>
          <w14:textFill>
            <w14:solidFill>
              <w14:schemeClr w14:val="tx1"/>
            </w14:solidFill>
          </w14:textFill>
        </w:rPr>
      </w:pPr>
      <w:r>
        <w:rPr>
          <w:rFonts w:hint="eastAsia"/>
          <w:color w:val="000000" w:themeColor="text1"/>
          <w14:textFill>
            <w14:solidFill>
              <w14:schemeClr w14:val="tx1"/>
            </w14:solidFill>
          </w14:textFill>
        </w:rPr>
        <w:t>投标供应商应按照招标文件的要求</w:t>
      </w:r>
      <w:r>
        <w:rPr>
          <w:rFonts w:hint="eastAsia" w:ascii="宋体" w:hAnsi="宋体" w:eastAsia="宋体"/>
          <w:color w:val="000000" w:themeColor="text1"/>
          <w14:textFill>
            <w14:solidFill>
              <w14:schemeClr w14:val="tx1"/>
            </w14:solidFill>
          </w14:textFill>
        </w:rPr>
        <w:t>，结合采购需求和评分办法进行针对性的响应格式自拟。</w:t>
      </w:r>
    </w:p>
    <w:p w14:paraId="4FF382F1">
      <w:pPr>
        <w:pStyle w:val="42"/>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73A4BB60">
      <w:pPr>
        <w:pStyle w:val="6"/>
        <w:numPr>
          <w:ilvl w:val="0"/>
          <w:numId w:val="33"/>
        </w:numPr>
        <w:rPr>
          <w:rFonts w:hint="eastAsia"/>
          <w:color w:val="000000" w:themeColor="text1"/>
          <w14:textFill>
            <w14:solidFill>
              <w14:schemeClr w14:val="tx1"/>
            </w14:solidFill>
          </w14:textFill>
        </w:rPr>
      </w:pPr>
      <w:bookmarkStart w:id="484" w:name="_Toc30867"/>
      <w:r>
        <w:rPr>
          <w:rFonts w:hint="eastAsia"/>
          <w:color w:val="000000" w:themeColor="text1"/>
          <w14:textFill>
            <w14:solidFill>
              <w14:schemeClr w14:val="tx1"/>
            </w14:solidFill>
          </w14:textFill>
        </w:rPr>
        <w:t>其他技术文件</w:t>
      </w:r>
      <w:bookmarkEnd w:id="484"/>
    </w:p>
    <w:p w14:paraId="269081A5">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 招标文件要求提供的其它技术资料和证明材料，</w:t>
      </w:r>
      <w:r>
        <w:rPr>
          <w:rFonts w:hint="eastAsia"/>
          <w:color w:val="000000" w:themeColor="text1"/>
          <w:lang w:val="en-US"/>
          <w14:textFill>
            <w14:solidFill>
              <w14:schemeClr w14:val="tx1"/>
            </w14:solidFill>
          </w14:textFill>
        </w:rPr>
        <w:t>供应商根据评分办法内容自行拟定</w:t>
      </w:r>
      <w:r>
        <w:rPr>
          <w:rFonts w:hint="eastAsia"/>
          <w:color w:val="000000" w:themeColor="text1"/>
          <w14:textFill>
            <w14:solidFill>
              <w14:schemeClr w14:val="tx1"/>
            </w14:solidFill>
          </w14:textFill>
        </w:rPr>
        <w:t>；</w:t>
      </w:r>
    </w:p>
    <w:p w14:paraId="534B1414">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 投标供应商认为需要提供的其它技术资料和说明。</w:t>
      </w:r>
      <w:r>
        <w:rPr>
          <w:color w:val="000000" w:themeColor="text1"/>
          <w14:textFill>
            <w14:solidFill>
              <w14:schemeClr w14:val="tx1"/>
            </w14:solidFill>
          </w14:textFill>
        </w:rPr>
        <w:br w:type="page"/>
      </w:r>
    </w:p>
    <w:p w14:paraId="0DCC1D05">
      <w:pPr>
        <w:pStyle w:val="5"/>
        <w:numPr>
          <w:ilvl w:val="0"/>
          <w:numId w:val="31"/>
        </w:numPr>
        <w:rPr>
          <w:rFonts w:ascii="Arial" w:hAnsi="Arial" w:cs="Arial"/>
          <w:color w:val="000000" w:themeColor="text1"/>
          <w:szCs w:val="21"/>
          <w14:textFill>
            <w14:solidFill>
              <w14:schemeClr w14:val="tx1"/>
            </w14:solidFill>
          </w14:textFill>
        </w:rPr>
      </w:pPr>
      <w:bookmarkStart w:id="485" w:name="_Toc19467"/>
      <w:r>
        <w:rPr>
          <w:rFonts w:hint="eastAsia"/>
          <w:color w:val="000000" w:themeColor="text1"/>
          <w14:textFill>
            <w14:solidFill>
              <w14:schemeClr w14:val="tx1"/>
            </w14:solidFill>
          </w14:textFill>
        </w:rPr>
        <w:t>落实政府采购政策相关证明文件</w:t>
      </w:r>
      <w:bookmarkEnd w:id="485"/>
    </w:p>
    <w:p w14:paraId="23181799">
      <w:pPr>
        <w:pStyle w:val="6"/>
        <w:numPr>
          <w:ilvl w:val="0"/>
          <w:numId w:val="34"/>
        </w:numPr>
        <w:rPr>
          <w:rFonts w:hint="eastAsia"/>
          <w:color w:val="000000" w:themeColor="text1"/>
          <w14:textFill>
            <w14:solidFill>
              <w14:schemeClr w14:val="tx1"/>
            </w14:solidFill>
          </w14:textFill>
        </w:rPr>
      </w:pPr>
      <w:bookmarkStart w:id="486" w:name="_Toc535"/>
      <w:r>
        <w:rPr>
          <w:rFonts w:hint="eastAsia"/>
          <w:color w:val="000000" w:themeColor="text1"/>
          <w14:textFill>
            <w14:solidFill>
              <w14:schemeClr w14:val="tx1"/>
            </w14:solidFill>
          </w14:textFill>
        </w:rPr>
        <w:t>中小企业声明函【如适用】</w:t>
      </w:r>
      <w:bookmarkEnd w:id="486"/>
    </w:p>
    <w:p w14:paraId="7A83D7B6">
      <w:pPr>
        <w:pStyle w:val="44"/>
        <w:numPr>
          <w:ilvl w:val="0"/>
          <w:numId w:val="35"/>
        </w:num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中小企业声明函（服务）</w:t>
      </w:r>
    </w:p>
    <w:p w14:paraId="3BF2789D">
      <w:pPr>
        <w:ind w:firstLine="504" w:firstLineChars="200"/>
        <w:rPr>
          <w:rFonts w:hint="eastAsia" w:cs="宋体"/>
          <w:color w:val="000000" w:themeColor="text1"/>
          <w:spacing w:val="6"/>
          <w:szCs w:val="24"/>
          <w14:textFill>
            <w14:solidFill>
              <w14:schemeClr w14:val="tx1"/>
            </w14:solidFill>
          </w14:textFill>
        </w:rPr>
      </w:pPr>
      <w:r>
        <w:rPr>
          <w:rFonts w:hint="eastAsia" w:cs="宋体"/>
          <w:color w:val="000000" w:themeColor="text1"/>
          <w:spacing w:val="6"/>
          <w:szCs w:val="24"/>
          <w14:textFill>
            <w14:solidFill>
              <w14:schemeClr w14:val="tx1"/>
            </w14:solidFill>
          </w14:textFill>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39FA9D17">
      <w:pPr>
        <w:ind w:firstLine="504" w:firstLineChars="200"/>
        <w:rPr>
          <w:rFonts w:hint="eastAsia" w:cs="宋体"/>
          <w:color w:val="000000" w:themeColor="text1"/>
          <w:spacing w:val="6"/>
          <w:szCs w:val="24"/>
          <w:u w:val="single"/>
          <w14:textFill>
            <w14:solidFill>
              <w14:schemeClr w14:val="tx1"/>
            </w14:solidFill>
          </w14:textFill>
        </w:rPr>
      </w:pPr>
      <w:r>
        <w:rPr>
          <w:rFonts w:hint="eastAsia" w:cs="宋体"/>
          <w:color w:val="000000" w:themeColor="text1"/>
          <w:spacing w:val="6"/>
          <w:szCs w:val="24"/>
          <w14:textFill>
            <w14:solidFill>
              <w14:schemeClr w14:val="tx1"/>
            </w14:solidFill>
          </w14:textFill>
        </w:rPr>
        <w:t>1.</w:t>
      </w:r>
      <w:r>
        <w:rPr>
          <w:rFonts w:hint="eastAsia" w:cs="宋体"/>
          <w:color w:val="000000" w:themeColor="text1"/>
          <w:spacing w:val="6"/>
          <w:szCs w:val="24"/>
          <w:u w:val="single"/>
          <w14:textFill>
            <w14:solidFill>
              <w14:schemeClr w14:val="tx1"/>
            </w14:solidFill>
          </w14:textFill>
        </w:rPr>
        <w:t xml:space="preserve"> </w:t>
      </w:r>
      <w:r>
        <w:rPr>
          <w:rFonts w:hint="eastAsia" w:cs="宋体"/>
          <w:color w:val="000000" w:themeColor="text1"/>
          <w:spacing w:val="6"/>
          <w:szCs w:val="24"/>
          <w:u w:val="single"/>
          <w:lang w:val="en-US" w:eastAsia="zh-CN"/>
          <w14:textFill>
            <w14:solidFill>
              <w14:schemeClr w14:val="tx1"/>
            </w14:solidFill>
          </w14:textFill>
        </w:rPr>
        <w:t xml:space="preserve">   </w:t>
      </w:r>
      <w:r>
        <w:rPr>
          <w:rFonts w:hint="eastAsia" w:cs="宋体"/>
          <w:color w:val="000000" w:themeColor="text1"/>
          <w:spacing w:val="6"/>
          <w:szCs w:val="24"/>
          <w:u w:val="single"/>
          <w14:textFill>
            <w14:solidFill>
              <w14:schemeClr w14:val="tx1"/>
            </w14:solidFill>
          </w14:textFill>
        </w:rPr>
        <w:t xml:space="preserve">（标的名称） </w:t>
      </w:r>
      <w:r>
        <w:rPr>
          <w:rFonts w:hint="eastAsia" w:cs="宋体"/>
          <w:color w:val="000000" w:themeColor="text1"/>
          <w:spacing w:val="6"/>
          <w:szCs w:val="24"/>
          <w14:textFill>
            <w14:solidFill>
              <w14:schemeClr w14:val="tx1"/>
            </w14:solidFill>
          </w14:textFill>
        </w:rPr>
        <w:t>，属于</w:t>
      </w:r>
      <w:r>
        <w:rPr>
          <w:rFonts w:hint="eastAsia" w:cs="宋体"/>
          <w:color w:val="000000" w:themeColor="text1"/>
          <w:spacing w:val="6"/>
          <w:szCs w:val="24"/>
          <w:u w:val="single"/>
          <w14:textFill>
            <w14:solidFill>
              <w14:schemeClr w14:val="tx1"/>
            </w14:solidFill>
          </w14:textFill>
        </w:rPr>
        <w:t xml:space="preserve"> （采购文件中明确的所属行业） </w:t>
      </w:r>
      <w:r>
        <w:rPr>
          <w:rFonts w:hint="eastAsia" w:cs="宋体"/>
          <w:color w:val="000000" w:themeColor="text1"/>
          <w:spacing w:val="6"/>
          <w:szCs w:val="24"/>
          <w14:textFill>
            <w14:solidFill>
              <w14:schemeClr w14:val="tx1"/>
            </w14:solidFill>
          </w14:textFill>
        </w:rPr>
        <w:t>；承建（承接）企业为</w:t>
      </w:r>
      <w:r>
        <w:rPr>
          <w:rFonts w:hint="eastAsia" w:cs="宋体"/>
          <w:color w:val="000000" w:themeColor="text1"/>
          <w:spacing w:val="6"/>
          <w:szCs w:val="24"/>
          <w:u w:val="single"/>
          <w14:textFill>
            <w14:solidFill>
              <w14:schemeClr w14:val="tx1"/>
            </w14:solidFill>
          </w14:textFill>
        </w:rPr>
        <w:t xml:space="preserve"> （企业名称）  </w:t>
      </w:r>
      <w:r>
        <w:rPr>
          <w:rFonts w:hint="eastAsia" w:cs="宋体"/>
          <w:color w:val="000000" w:themeColor="text1"/>
          <w:spacing w:val="6"/>
          <w:szCs w:val="24"/>
          <w14:textFill>
            <w14:solidFill>
              <w14:schemeClr w14:val="tx1"/>
            </w14:solidFill>
          </w14:textFill>
        </w:rPr>
        <w:t>，从业人员人，营业收入为万元，资产总额为万元，属于</w:t>
      </w:r>
      <w:r>
        <w:rPr>
          <w:rFonts w:hint="eastAsia" w:cs="宋体"/>
          <w:color w:val="000000" w:themeColor="text1"/>
          <w:spacing w:val="6"/>
          <w:szCs w:val="24"/>
          <w:u w:val="single"/>
          <w:lang w:val="en-US" w:eastAsia="zh-CN"/>
          <w14:textFill>
            <w14:solidFill>
              <w14:schemeClr w14:val="tx1"/>
            </w14:solidFill>
          </w14:textFill>
        </w:rPr>
        <w:t xml:space="preserve">     </w:t>
      </w:r>
      <w:r>
        <w:rPr>
          <w:rFonts w:hint="eastAsia" w:cs="宋体"/>
          <w:color w:val="000000" w:themeColor="text1"/>
          <w:spacing w:val="6"/>
          <w:szCs w:val="24"/>
          <w:u w:val="single"/>
          <w14:textFill>
            <w14:solidFill>
              <w14:schemeClr w14:val="tx1"/>
            </w14:solidFill>
          </w14:textFill>
        </w:rPr>
        <w:t>（中型企业、小型企业、微型企业）</w:t>
      </w:r>
      <w:r>
        <w:rPr>
          <w:rFonts w:hint="eastAsia" w:cs="宋体"/>
          <w:color w:val="000000" w:themeColor="text1"/>
          <w:spacing w:val="6"/>
          <w:szCs w:val="24"/>
          <w14:textFill>
            <w14:solidFill>
              <w14:schemeClr w14:val="tx1"/>
            </w14:solidFill>
          </w14:textFill>
        </w:rPr>
        <w:t>；</w:t>
      </w:r>
    </w:p>
    <w:p w14:paraId="09CA8DF5">
      <w:pPr>
        <w:ind w:firstLine="504" w:firstLineChars="200"/>
        <w:rPr>
          <w:rFonts w:hint="eastAsia" w:cs="宋体"/>
          <w:color w:val="000000" w:themeColor="text1"/>
          <w:spacing w:val="6"/>
          <w:szCs w:val="24"/>
          <w:u w:val="single"/>
          <w14:textFill>
            <w14:solidFill>
              <w14:schemeClr w14:val="tx1"/>
            </w14:solidFill>
          </w14:textFill>
        </w:rPr>
      </w:pPr>
      <w:r>
        <w:rPr>
          <w:rFonts w:hint="eastAsia" w:cs="宋体"/>
          <w:color w:val="000000" w:themeColor="text1"/>
          <w:spacing w:val="6"/>
          <w:szCs w:val="24"/>
          <w14:textFill>
            <w14:solidFill>
              <w14:schemeClr w14:val="tx1"/>
            </w14:solidFill>
          </w14:textFill>
        </w:rPr>
        <w:t>2.</w:t>
      </w:r>
      <w:r>
        <w:rPr>
          <w:rFonts w:hint="eastAsia" w:cs="宋体"/>
          <w:color w:val="000000" w:themeColor="text1"/>
          <w:spacing w:val="6"/>
          <w:szCs w:val="24"/>
          <w:u w:val="single"/>
          <w14:textFill>
            <w14:solidFill>
              <w14:schemeClr w14:val="tx1"/>
            </w14:solidFill>
          </w14:textFill>
        </w:rPr>
        <w:t xml:space="preserve"> （标的名称） </w:t>
      </w:r>
      <w:r>
        <w:rPr>
          <w:rFonts w:hint="eastAsia" w:cs="宋体"/>
          <w:color w:val="000000" w:themeColor="text1"/>
          <w:spacing w:val="6"/>
          <w:szCs w:val="24"/>
          <w14:textFill>
            <w14:solidFill>
              <w14:schemeClr w14:val="tx1"/>
            </w14:solidFill>
          </w14:textFill>
        </w:rPr>
        <w:t>，属于</w:t>
      </w:r>
      <w:r>
        <w:rPr>
          <w:rFonts w:hint="eastAsia" w:cs="宋体"/>
          <w:color w:val="000000" w:themeColor="text1"/>
          <w:spacing w:val="6"/>
          <w:szCs w:val="24"/>
          <w:u w:val="single"/>
          <w14:textFill>
            <w14:solidFill>
              <w14:schemeClr w14:val="tx1"/>
            </w14:solidFill>
          </w14:textFill>
        </w:rPr>
        <w:t xml:space="preserve"> （采购文件中明确的所属行业） </w:t>
      </w:r>
      <w:r>
        <w:rPr>
          <w:rFonts w:hint="eastAsia" w:cs="宋体"/>
          <w:color w:val="000000" w:themeColor="text1"/>
          <w:spacing w:val="6"/>
          <w:szCs w:val="24"/>
          <w14:textFill>
            <w14:solidFill>
              <w14:schemeClr w14:val="tx1"/>
            </w14:solidFill>
          </w14:textFill>
        </w:rPr>
        <w:t>；承建（承接）企业为</w:t>
      </w:r>
      <w:r>
        <w:rPr>
          <w:rFonts w:hint="eastAsia" w:cs="宋体"/>
          <w:color w:val="000000" w:themeColor="text1"/>
          <w:spacing w:val="6"/>
          <w:szCs w:val="24"/>
          <w:u w:val="single"/>
          <w14:textFill>
            <w14:solidFill>
              <w14:schemeClr w14:val="tx1"/>
            </w14:solidFill>
          </w14:textFill>
        </w:rPr>
        <w:t xml:space="preserve"> （企业名称）  </w:t>
      </w:r>
      <w:r>
        <w:rPr>
          <w:rFonts w:hint="eastAsia" w:cs="宋体"/>
          <w:color w:val="000000" w:themeColor="text1"/>
          <w:spacing w:val="6"/>
          <w:szCs w:val="24"/>
          <w14:textFill>
            <w14:solidFill>
              <w14:schemeClr w14:val="tx1"/>
            </w14:solidFill>
          </w14:textFill>
        </w:rPr>
        <w:t>，从业人员人，营业收入为万元，资产总额为万元，属于</w:t>
      </w:r>
      <w:r>
        <w:rPr>
          <w:rFonts w:hint="eastAsia" w:cs="宋体"/>
          <w:color w:val="000000" w:themeColor="text1"/>
          <w:spacing w:val="6"/>
          <w:szCs w:val="24"/>
          <w:u w:val="single"/>
          <w:lang w:val="en-US" w:eastAsia="zh-CN"/>
          <w14:textFill>
            <w14:solidFill>
              <w14:schemeClr w14:val="tx1"/>
            </w14:solidFill>
          </w14:textFill>
        </w:rPr>
        <w:t xml:space="preserve">     </w:t>
      </w:r>
      <w:r>
        <w:rPr>
          <w:rFonts w:hint="eastAsia" w:cs="宋体"/>
          <w:color w:val="000000" w:themeColor="text1"/>
          <w:spacing w:val="6"/>
          <w:szCs w:val="24"/>
          <w:u w:val="single"/>
          <w14:textFill>
            <w14:solidFill>
              <w14:schemeClr w14:val="tx1"/>
            </w14:solidFill>
          </w14:textFill>
        </w:rPr>
        <w:t>（中型企业、小型企业、微型企业）</w:t>
      </w:r>
      <w:r>
        <w:rPr>
          <w:rFonts w:hint="eastAsia" w:cs="宋体"/>
          <w:color w:val="000000" w:themeColor="text1"/>
          <w:spacing w:val="6"/>
          <w:szCs w:val="24"/>
          <w14:textFill>
            <w14:solidFill>
              <w14:schemeClr w14:val="tx1"/>
            </w14:solidFill>
          </w14:textFill>
        </w:rPr>
        <w:t>；</w:t>
      </w:r>
    </w:p>
    <w:p w14:paraId="2A6126B7">
      <w:pPr>
        <w:ind w:firstLine="504" w:firstLineChars="200"/>
        <w:rPr>
          <w:rFonts w:hint="eastAsia" w:cs="宋体"/>
          <w:color w:val="000000" w:themeColor="text1"/>
          <w:spacing w:val="6"/>
          <w:szCs w:val="24"/>
          <w14:textFill>
            <w14:solidFill>
              <w14:schemeClr w14:val="tx1"/>
            </w14:solidFill>
          </w14:textFill>
        </w:rPr>
      </w:pPr>
      <w:r>
        <w:rPr>
          <w:rFonts w:hint="eastAsia" w:cs="宋体"/>
          <w:color w:val="000000" w:themeColor="text1"/>
          <w:spacing w:val="6"/>
          <w:szCs w:val="24"/>
          <w14:textFill>
            <w14:solidFill>
              <w14:schemeClr w14:val="tx1"/>
            </w14:solidFill>
          </w14:textFill>
        </w:rPr>
        <w:t>……</w:t>
      </w:r>
    </w:p>
    <w:p w14:paraId="7EC940C5">
      <w:pPr>
        <w:ind w:firstLine="504" w:firstLineChars="200"/>
        <w:rPr>
          <w:rFonts w:hint="eastAsia" w:cs="宋体"/>
          <w:color w:val="000000" w:themeColor="text1"/>
          <w:spacing w:val="6"/>
          <w:szCs w:val="24"/>
          <w14:textFill>
            <w14:solidFill>
              <w14:schemeClr w14:val="tx1"/>
            </w14:solidFill>
          </w14:textFill>
        </w:rPr>
      </w:pPr>
      <w:r>
        <w:rPr>
          <w:rFonts w:hint="eastAsia" w:cs="宋体"/>
          <w:color w:val="000000" w:themeColor="text1"/>
          <w:spacing w:val="6"/>
          <w:szCs w:val="24"/>
          <w14:textFill>
            <w14:solidFill>
              <w14:schemeClr w14:val="tx1"/>
            </w14:solidFill>
          </w14:textFill>
        </w:rPr>
        <w:t>以上企业，不属于大企业的分支机构，不存在控股股东为大企业的情形，也不存在与大企业的负责人为同一人的情形。</w:t>
      </w:r>
    </w:p>
    <w:p w14:paraId="4997B72B">
      <w:pPr>
        <w:ind w:firstLine="504" w:firstLineChars="200"/>
        <w:rPr>
          <w:rFonts w:hint="eastAsia" w:cs="宋体"/>
          <w:color w:val="000000" w:themeColor="text1"/>
          <w:spacing w:val="6"/>
          <w:szCs w:val="24"/>
          <w14:textFill>
            <w14:solidFill>
              <w14:schemeClr w14:val="tx1"/>
            </w14:solidFill>
          </w14:textFill>
        </w:rPr>
      </w:pPr>
      <w:r>
        <w:rPr>
          <w:rFonts w:hint="eastAsia" w:cs="宋体"/>
          <w:color w:val="000000" w:themeColor="text1"/>
          <w:spacing w:val="6"/>
          <w:szCs w:val="24"/>
          <w14:textFill>
            <w14:solidFill>
              <w14:schemeClr w14:val="tx1"/>
            </w14:solidFill>
          </w14:textFill>
        </w:rPr>
        <w:t>本企业对上述声明内容的真实性负责。如有虚假，将依法承担相应责任。</w:t>
      </w:r>
    </w:p>
    <w:p w14:paraId="5FF71D2E">
      <w:pPr>
        <w:ind w:right="1008" w:firstLine="4788" w:firstLineChars="1900"/>
        <w:rPr>
          <w:rFonts w:hint="eastAsia" w:cs="宋体"/>
          <w:color w:val="000000" w:themeColor="text1"/>
          <w:spacing w:val="6"/>
          <w:szCs w:val="24"/>
          <w14:textFill>
            <w14:solidFill>
              <w14:schemeClr w14:val="tx1"/>
            </w14:solidFill>
          </w14:textFill>
        </w:rPr>
      </w:pPr>
    </w:p>
    <w:p w14:paraId="16594755">
      <w:pPr>
        <w:ind w:right="1008" w:firstLine="4788" w:firstLineChars="1900"/>
        <w:rPr>
          <w:rFonts w:hint="eastAsia" w:cs="宋体"/>
          <w:color w:val="000000" w:themeColor="text1"/>
          <w:spacing w:val="6"/>
          <w:szCs w:val="24"/>
          <w14:textFill>
            <w14:solidFill>
              <w14:schemeClr w14:val="tx1"/>
            </w14:solidFill>
          </w14:textFill>
        </w:rPr>
      </w:pPr>
      <w:r>
        <w:rPr>
          <w:rFonts w:hint="eastAsia" w:cs="宋体"/>
          <w:color w:val="000000" w:themeColor="text1"/>
          <w:spacing w:val="6"/>
          <w:szCs w:val="24"/>
          <w14:textFill>
            <w14:solidFill>
              <w14:schemeClr w14:val="tx1"/>
            </w14:solidFill>
          </w14:textFill>
        </w:rPr>
        <w:t>企业名称：</w:t>
      </w:r>
    </w:p>
    <w:p w14:paraId="21CC1A3D">
      <w:pPr>
        <w:ind w:right="1008" w:firstLine="4788" w:firstLineChars="1900"/>
        <w:rPr>
          <w:rFonts w:hint="eastAsia" w:cs="宋体"/>
          <w:color w:val="000000" w:themeColor="text1"/>
          <w:spacing w:val="6"/>
          <w:szCs w:val="24"/>
          <w14:textFill>
            <w14:solidFill>
              <w14:schemeClr w14:val="tx1"/>
            </w14:solidFill>
          </w14:textFill>
        </w:rPr>
      </w:pPr>
      <w:r>
        <w:rPr>
          <w:rFonts w:hint="eastAsia" w:cs="宋体"/>
          <w:color w:val="000000" w:themeColor="text1"/>
          <w:spacing w:val="6"/>
          <w:szCs w:val="24"/>
          <w14:textFill>
            <w14:solidFill>
              <w14:schemeClr w14:val="tx1"/>
            </w14:solidFill>
          </w14:textFill>
        </w:rPr>
        <w:t>日 期：</w:t>
      </w:r>
    </w:p>
    <w:p w14:paraId="46CE3EF3">
      <w:pPr>
        <w:ind w:firstLine="504" w:firstLineChars="200"/>
        <w:rPr>
          <w:rFonts w:hint="eastAsia" w:cs="宋体"/>
          <w:color w:val="000000" w:themeColor="text1"/>
          <w:spacing w:val="6"/>
          <w:szCs w:val="24"/>
          <w14:textFill>
            <w14:solidFill>
              <w14:schemeClr w14:val="tx1"/>
            </w14:solidFill>
          </w14:textFill>
        </w:rPr>
      </w:pPr>
    </w:p>
    <w:p w14:paraId="1CDB4E6B">
      <w:pPr>
        <w:rPr>
          <w:rFonts w:hint="eastAsia" w:cs="宋体"/>
          <w:color w:val="000000" w:themeColor="text1"/>
          <w:spacing w:val="6"/>
          <w:sz w:val="21"/>
          <w:szCs w:val="21"/>
          <w14:textFill>
            <w14:solidFill>
              <w14:schemeClr w14:val="tx1"/>
            </w14:solidFill>
          </w14:textFill>
        </w:rPr>
      </w:pPr>
      <w:r>
        <w:rPr>
          <w:rFonts w:hint="eastAsia" w:cs="宋体"/>
          <w:b/>
          <w:bCs/>
          <w:color w:val="000000" w:themeColor="text1"/>
          <w:spacing w:val="6"/>
          <w:sz w:val="21"/>
          <w:szCs w:val="21"/>
          <w14:textFill>
            <w14:solidFill>
              <w14:schemeClr w14:val="tx1"/>
            </w14:solidFill>
          </w14:textFill>
        </w:rPr>
        <w:t>说明：</w:t>
      </w:r>
      <w:r>
        <w:rPr>
          <w:rFonts w:hint="eastAsia" w:cs="宋体"/>
          <w:color w:val="000000" w:themeColor="text1"/>
          <w:spacing w:val="6"/>
          <w:sz w:val="21"/>
          <w:szCs w:val="21"/>
          <w14:textFill>
            <w14:solidFill>
              <w14:schemeClr w14:val="tx1"/>
            </w14:solidFill>
          </w14:textFill>
        </w:rPr>
        <w:t>从业人员、营业收入、资产总额填报上一年度数据，无上一年度数据的新成立企业可不填报。</w:t>
      </w:r>
    </w:p>
    <w:p w14:paraId="7307D895">
      <w:pPr>
        <w:rPr>
          <w:rFonts w:hint="eastAsia" w:cs="宋体"/>
          <w:color w:val="000000" w:themeColor="text1"/>
          <w:spacing w:val="6"/>
          <w:sz w:val="21"/>
          <w:szCs w:val="21"/>
          <w14:textFill>
            <w14:solidFill>
              <w14:schemeClr w14:val="tx1"/>
            </w14:solidFill>
          </w14:textFill>
        </w:rPr>
      </w:pPr>
      <w:r>
        <w:rPr>
          <w:rFonts w:cs="宋体"/>
          <w:color w:val="000000" w:themeColor="text1"/>
          <w:spacing w:val="6"/>
          <w:sz w:val="21"/>
          <w:szCs w:val="21"/>
          <w14:textFill>
            <w14:solidFill>
              <w14:schemeClr w14:val="tx1"/>
            </w14:solidFill>
          </w14:textFill>
        </w:rPr>
        <w:br w:type="page"/>
      </w:r>
    </w:p>
    <w:p w14:paraId="2DFB7CBC">
      <w:pPr>
        <w:pStyle w:val="6"/>
        <w:numPr>
          <w:ilvl w:val="0"/>
          <w:numId w:val="34"/>
        </w:numPr>
        <w:rPr>
          <w:rFonts w:hint="eastAsia"/>
          <w:color w:val="000000" w:themeColor="text1"/>
          <w14:textFill>
            <w14:solidFill>
              <w14:schemeClr w14:val="tx1"/>
            </w14:solidFill>
          </w14:textFill>
        </w:rPr>
      </w:pPr>
      <w:bookmarkStart w:id="487" w:name="_Toc5830"/>
      <w:r>
        <w:rPr>
          <w:rFonts w:hint="eastAsia"/>
          <w:color w:val="000000" w:themeColor="text1"/>
          <w14:textFill>
            <w14:solidFill>
              <w14:schemeClr w14:val="tx1"/>
            </w14:solidFill>
          </w14:textFill>
        </w:rPr>
        <w:t>监狱企业证明文件【如适用】</w:t>
      </w:r>
      <w:bookmarkEnd w:id="487"/>
    </w:p>
    <w:p w14:paraId="2A61AD8A">
      <w:pPr>
        <w:rPr>
          <w:rFonts w:hint="eastAsia" w:cs="仿宋_GB2312"/>
          <w:b/>
          <w:color w:val="000000" w:themeColor="text1"/>
          <w:sz w:val="28"/>
          <w:szCs w:val="28"/>
          <w14:textFill>
            <w14:solidFill>
              <w14:schemeClr w14:val="tx1"/>
            </w14:solidFill>
          </w14:textFill>
        </w:rPr>
      </w:pPr>
    </w:p>
    <w:p w14:paraId="20F57F0C">
      <w:pPr>
        <w:adjustRightInd w:val="0"/>
        <w:snapToGrid w:val="0"/>
        <w:ind w:firstLine="420" w:firstLineChars="200"/>
        <w:rPr>
          <w:rFonts w:ascii="Arial" w:hAnsi="Arial" w:cs="Arial"/>
          <w:color w:val="000000" w:themeColor="text1"/>
          <w:sz w:val="21"/>
          <w:szCs w:val="21"/>
          <w14:textFill>
            <w14:solidFill>
              <w14:schemeClr w14:val="tx1"/>
            </w14:solidFill>
          </w14:textFill>
        </w:rPr>
      </w:pPr>
      <w:r>
        <w:rPr>
          <w:rFonts w:hint="eastAsia" w:ascii="Arial" w:hAnsi="Arial" w:cs="Arial"/>
          <w:color w:val="000000" w:themeColor="text1"/>
          <w:sz w:val="21"/>
          <w:szCs w:val="21"/>
          <w14:textFill>
            <w14:solidFill>
              <w14:schemeClr w14:val="tx1"/>
            </w14:solidFill>
          </w14:textFill>
        </w:rPr>
        <w:t>【</w:t>
      </w:r>
      <w:r>
        <w:rPr>
          <w:rFonts w:hint="eastAsia"/>
          <w:color w:val="000000" w:themeColor="text1"/>
          <w:szCs w:val="24"/>
          <w14:textFill>
            <w14:solidFill>
              <w14:schemeClr w14:val="tx1"/>
            </w14:solidFill>
          </w14:textFill>
        </w:rPr>
        <w:t>（</w:t>
      </w:r>
      <w:r>
        <w:rPr>
          <w:rFonts w:hint="eastAsia" w:ascii="宋体" w:hAnsi="宋体" w:eastAsia="宋体" w:cs="宋体"/>
          <w:color w:val="000000" w:themeColor="text1"/>
          <w:szCs w:val="24"/>
          <w14:textFill>
            <w14:solidFill>
              <w14:schemeClr w14:val="tx1"/>
            </w14:solidFill>
          </w14:textFill>
        </w:rPr>
        <w:t>监狱企业应当提供由省级及以上监狱管理局、戒毒管理局（含新疆生产建设兵团）出具的监狱企业的证明文件，格式自行编写）</w:t>
      </w:r>
      <w:r>
        <w:rPr>
          <w:rFonts w:hint="eastAsia" w:ascii="Arial" w:hAnsi="Arial" w:cs="Arial"/>
          <w:color w:val="000000" w:themeColor="text1"/>
          <w:sz w:val="21"/>
          <w:szCs w:val="21"/>
          <w14:textFill>
            <w14:solidFill>
              <w14:schemeClr w14:val="tx1"/>
            </w14:solidFill>
          </w14:textFill>
        </w:rPr>
        <w:t>】</w:t>
      </w:r>
      <w:r>
        <w:rPr>
          <w:rFonts w:hint="eastAsia" w:cs="Arial"/>
          <w:color w:val="000000" w:themeColor="text1"/>
          <w:sz w:val="21"/>
          <w:szCs w:val="21"/>
          <w14:textFill>
            <w14:solidFill>
              <w14:schemeClr w14:val="tx1"/>
            </w14:solidFill>
          </w14:textFill>
        </w:rPr>
        <w:t>。</w:t>
      </w:r>
    </w:p>
    <w:p w14:paraId="49ED0616">
      <w:pPr>
        <w:widowControl/>
        <w:spacing w:before="100" w:beforeAutospacing="1" w:after="100" w:afterAutospacing="1"/>
        <w:rPr>
          <w:rFonts w:ascii="Arial" w:hAnsi="Arial" w:cs="Arial"/>
          <w:color w:val="000000" w:themeColor="text1"/>
          <w:sz w:val="21"/>
          <w:szCs w:val="21"/>
          <w14:textFill>
            <w14:solidFill>
              <w14:schemeClr w14:val="tx1"/>
            </w14:solidFill>
          </w14:textFill>
        </w:rPr>
      </w:pPr>
    </w:p>
    <w:p w14:paraId="45A379CF">
      <w:pPr>
        <w:widowControl/>
        <w:spacing w:before="100" w:beforeAutospacing="1" w:after="100" w:afterAutospacing="1"/>
        <w:rPr>
          <w:rFonts w:ascii="Arial" w:hAnsi="Arial" w:cs="Arial"/>
          <w:color w:val="000000" w:themeColor="text1"/>
          <w:sz w:val="21"/>
          <w:szCs w:val="21"/>
          <w14:textFill>
            <w14:solidFill>
              <w14:schemeClr w14:val="tx1"/>
            </w14:solidFill>
          </w14:textFill>
        </w:rPr>
      </w:pPr>
    </w:p>
    <w:p w14:paraId="35A98654">
      <w:pPr>
        <w:widowControl/>
        <w:spacing w:before="100" w:beforeAutospacing="1" w:after="100" w:afterAutospacing="1"/>
        <w:rPr>
          <w:rFonts w:ascii="Arial" w:hAnsi="Arial" w:cs="Arial"/>
          <w:color w:val="000000" w:themeColor="text1"/>
          <w:sz w:val="21"/>
          <w:szCs w:val="21"/>
          <w14:textFill>
            <w14:solidFill>
              <w14:schemeClr w14:val="tx1"/>
            </w14:solidFill>
          </w14:textFill>
        </w:rPr>
      </w:pPr>
    </w:p>
    <w:p w14:paraId="05CA9DD6">
      <w:pPr>
        <w:widowControl/>
        <w:spacing w:before="100" w:beforeAutospacing="1" w:after="100" w:afterAutospacing="1"/>
        <w:rPr>
          <w:rFonts w:ascii="Arial" w:hAnsi="Arial" w:cs="Arial"/>
          <w:color w:val="000000" w:themeColor="text1"/>
          <w:sz w:val="21"/>
          <w:szCs w:val="21"/>
          <w14:textFill>
            <w14:solidFill>
              <w14:schemeClr w14:val="tx1"/>
            </w14:solidFill>
          </w14:textFill>
        </w:rPr>
      </w:pPr>
    </w:p>
    <w:p w14:paraId="693BA711">
      <w:pPr>
        <w:widowControl/>
        <w:spacing w:before="100" w:beforeAutospacing="1" w:after="100" w:afterAutospacing="1"/>
        <w:rPr>
          <w:rFonts w:ascii="Arial" w:hAnsi="Arial" w:cs="Arial"/>
          <w:color w:val="000000" w:themeColor="text1"/>
          <w:sz w:val="21"/>
          <w:szCs w:val="21"/>
          <w14:textFill>
            <w14:solidFill>
              <w14:schemeClr w14:val="tx1"/>
            </w14:solidFill>
          </w14:textFill>
        </w:rPr>
      </w:pPr>
    </w:p>
    <w:p w14:paraId="48B4CF5E">
      <w:pPr>
        <w:spacing w:line="300" w:lineRule="auto"/>
        <w:rPr>
          <w:rFonts w:ascii="Arial" w:hAnsi="Arial" w:cs="Arial"/>
          <w:color w:val="000000" w:themeColor="text1"/>
          <w:sz w:val="21"/>
          <w:szCs w:val="21"/>
          <w14:textFill>
            <w14:solidFill>
              <w14:schemeClr w14:val="tx1"/>
            </w14:solidFill>
          </w14:textFill>
        </w:rPr>
      </w:pPr>
      <w:r>
        <w:rPr>
          <w:rFonts w:hint="eastAsia" w:ascii="Arial" w:hAnsi="Arial" w:cs="Arial"/>
          <w:color w:val="000000" w:themeColor="text1"/>
          <w:sz w:val="21"/>
          <w:szCs w:val="21"/>
          <w14:textFill>
            <w14:solidFill>
              <w14:schemeClr w14:val="tx1"/>
            </w14:solidFill>
          </w14:textFill>
        </w:rPr>
        <w:t>投标供应商</w:t>
      </w:r>
      <w:r>
        <w:rPr>
          <w:rFonts w:ascii="Arial" w:hAnsi="Arial" w:cs="Arial"/>
          <w:color w:val="000000" w:themeColor="text1"/>
          <w:sz w:val="21"/>
          <w:szCs w:val="21"/>
          <w14:textFill>
            <w14:solidFill>
              <w14:schemeClr w14:val="tx1"/>
            </w14:solidFill>
          </w14:textFill>
        </w:rPr>
        <w:t>名称[盖章]：</w:t>
      </w:r>
    </w:p>
    <w:p w14:paraId="7D7F3F06">
      <w:pPr>
        <w:widowControl/>
        <w:spacing w:before="100" w:beforeAutospacing="1" w:after="100" w:afterAutospacing="1"/>
        <w:rPr>
          <w:rFonts w:ascii="Arial" w:hAnsi="Arial" w:cs="Arial"/>
          <w:color w:val="000000" w:themeColor="text1"/>
          <w:sz w:val="21"/>
          <w:szCs w:val="21"/>
          <w:u w:val="single"/>
          <w14:textFill>
            <w14:solidFill>
              <w14:schemeClr w14:val="tx1"/>
            </w14:solidFill>
          </w14:textFill>
        </w:rPr>
      </w:pPr>
      <w:r>
        <w:rPr>
          <w:rFonts w:ascii="Arial" w:hAnsi="Arial" w:cs="Arial"/>
          <w:color w:val="000000" w:themeColor="text1"/>
          <w:sz w:val="21"/>
          <w:szCs w:val="21"/>
          <w14:textFill>
            <w14:solidFill>
              <w14:schemeClr w14:val="tx1"/>
            </w14:solidFill>
          </w14:textFill>
        </w:rPr>
        <w:t>日期：</w:t>
      </w:r>
    </w:p>
    <w:p w14:paraId="6FF40CAA">
      <w:pPr>
        <w:rPr>
          <w:rFonts w:hint="eastAsia" w:cs="仿宋_GB2312"/>
          <w:b/>
          <w:color w:val="000000" w:themeColor="text1"/>
          <w:sz w:val="28"/>
          <w:szCs w:val="28"/>
          <w14:textFill>
            <w14:solidFill>
              <w14:schemeClr w14:val="tx1"/>
            </w14:solidFill>
          </w14:textFill>
        </w:rPr>
      </w:pPr>
      <w:r>
        <w:rPr>
          <w:rFonts w:cs="仿宋_GB2312"/>
          <w:b/>
          <w:color w:val="000000" w:themeColor="text1"/>
          <w:sz w:val="28"/>
          <w:szCs w:val="28"/>
          <w14:textFill>
            <w14:solidFill>
              <w14:schemeClr w14:val="tx1"/>
            </w14:solidFill>
          </w14:textFill>
        </w:rPr>
        <w:br w:type="page"/>
      </w:r>
    </w:p>
    <w:p w14:paraId="162D6FD4">
      <w:pPr>
        <w:pStyle w:val="6"/>
        <w:numPr>
          <w:ilvl w:val="0"/>
          <w:numId w:val="34"/>
        </w:numPr>
        <w:rPr>
          <w:rFonts w:hint="eastAsia"/>
          <w:color w:val="000000" w:themeColor="text1"/>
          <w14:textFill>
            <w14:solidFill>
              <w14:schemeClr w14:val="tx1"/>
            </w14:solidFill>
          </w14:textFill>
        </w:rPr>
      </w:pPr>
      <w:bookmarkStart w:id="488" w:name="_Toc7088"/>
      <w:r>
        <w:rPr>
          <w:color w:val="000000" w:themeColor="text1"/>
          <w14:textFill>
            <w14:solidFill>
              <w14:schemeClr w14:val="tx1"/>
            </w14:solidFill>
          </w14:textFill>
        </w:rPr>
        <w:t>残疾人福利性单位声明函</w:t>
      </w:r>
      <w:r>
        <w:rPr>
          <w:rFonts w:hint="eastAsia"/>
          <w:color w:val="000000" w:themeColor="text1"/>
          <w14:textFill>
            <w14:solidFill>
              <w14:schemeClr w14:val="tx1"/>
            </w14:solidFill>
          </w14:textFill>
        </w:rPr>
        <w:t>【如适用】</w:t>
      </w:r>
      <w:bookmarkEnd w:id="488"/>
    </w:p>
    <w:p w14:paraId="5ED42836">
      <w:pPr>
        <w:pStyle w:val="44"/>
        <w:numPr>
          <w:ilvl w:val="0"/>
          <w:numId w:val="36"/>
        </w:numPr>
        <w:rPr>
          <w:rFonts w:hint="eastAsia"/>
          <w:color w:val="000000" w:themeColor="text1"/>
          <w14:textFill>
            <w14:solidFill>
              <w14:schemeClr w14:val="tx1"/>
            </w14:solidFill>
          </w14:textFill>
        </w:rPr>
      </w:pPr>
      <w:r>
        <w:rPr>
          <w:rFonts w:hint="eastAsia"/>
          <w:color w:val="000000" w:themeColor="text1"/>
          <w:szCs w:val="24"/>
          <w14:textFill>
            <w14:solidFill>
              <w14:schemeClr w14:val="tx1"/>
            </w14:solidFill>
          </w14:textFill>
        </w:rPr>
        <w:t>残疾人福利性单位声明函（货物）</w:t>
      </w:r>
    </w:p>
    <w:p w14:paraId="45E4398E">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本公司（联合体）郑重声明，根据《财政部 民政部 中国残疾人联合会关于促进残疾人就业政府采购政策的通知》（财库〔2017〕141号）的规定，本公司（联合体）参加</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（单位名称）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的</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（项目名称）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采购活动，提供的货物</w:t>
      </w:r>
      <w:r>
        <w:rPr>
          <w:rFonts w:hint="eastAsia"/>
          <w:b/>
          <w:color w:val="000000" w:themeColor="text1"/>
          <w:szCs w:val="24"/>
          <w14:textFill>
            <w14:solidFill>
              <w14:schemeClr w14:val="tx1"/>
            </w14:solidFill>
          </w14:textFill>
        </w:rPr>
        <w:t>全部由</w:t>
      </w:r>
      <w:r>
        <w:rPr>
          <w:rFonts w:hint="eastAsia"/>
          <w:color w:val="000000" w:themeColor="text1"/>
          <w:szCs w:val="24"/>
          <w14:textFill>
            <w14:solidFill>
              <w14:schemeClr w14:val="tx1"/>
            </w14:solidFill>
          </w14:textFill>
        </w:rPr>
        <w:t>符合政策要求的</w:t>
      </w:r>
      <w:r>
        <w:rPr>
          <w:rFonts w:hint="eastAsia"/>
          <w:b/>
          <w:color w:val="000000" w:themeColor="text1"/>
          <w:szCs w:val="24"/>
          <w14:textFill>
            <w14:solidFill>
              <w14:schemeClr w14:val="tx1"/>
            </w14:solidFill>
          </w14:textFill>
        </w:rPr>
        <w:t>残疾人福利性单位制造</w:t>
      </w:r>
      <w:r>
        <w:rPr>
          <w:rFonts w:hint="eastAsia"/>
          <w:color w:val="000000" w:themeColor="text1"/>
          <w:szCs w:val="24"/>
          <w14:textFill>
            <w14:solidFill>
              <w14:schemeClr w14:val="tx1"/>
            </w14:solidFill>
          </w14:textFill>
        </w:rPr>
        <w:t>。相关企业（含联合体中的残疾人福利性单位、签订分包意向协议的残疾人福利性单位）的具体情况如下：</w:t>
      </w:r>
    </w:p>
    <w:p w14:paraId="557EA34F">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（标的名称）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 xml:space="preserve">，制造商为 </w:t>
      </w:r>
      <w:r>
        <w:rPr>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（企业名称）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，属于残疾人福利性单位；</w:t>
      </w:r>
    </w:p>
    <w:p w14:paraId="0823ECF6">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 xml:space="preserve">2. </w:t>
      </w:r>
      <w:r>
        <w:rPr>
          <w:rFonts w:hint="eastAsia"/>
          <w:i/>
          <w:color w:val="000000" w:themeColor="text1"/>
          <w:szCs w:val="24"/>
          <w:u w:val="single"/>
          <w14:textFill>
            <w14:solidFill>
              <w14:schemeClr w14:val="tx1"/>
            </w14:solidFill>
          </w14:textFill>
        </w:rPr>
        <w:t>（标的名称）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 xml:space="preserve">，制造商为 </w:t>
      </w:r>
      <w:r>
        <w:rPr>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（企业名称）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，属于残疾人福利性单位；</w:t>
      </w:r>
    </w:p>
    <w:p w14:paraId="294F8966">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w:t>
      </w:r>
    </w:p>
    <w:p w14:paraId="774E0006">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以上企业，不属于大企业的分支机构，不存在控股股东为大企业的情形，也不存在与大企业的负责人为同一人的情形。</w:t>
      </w:r>
    </w:p>
    <w:p w14:paraId="5B07062C">
      <w:pPr>
        <w:wordWrap w:val="0"/>
        <w:ind w:left="1087" w:leftChars="200" w:hanging="607" w:hangingChars="253"/>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本企业对上述声明内容的真实性负责。如有虚假，将依法承担相应责任。</w:t>
      </w:r>
    </w:p>
    <w:p w14:paraId="05EDB89A">
      <w:pPr>
        <w:wordWrap w:val="0"/>
        <w:ind w:left="1091" w:hanging="1091" w:hangingChars="453"/>
        <w:rPr>
          <w:rFonts w:hint="eastAsia"/>
          <w:b/>
          <w:bCs/>
          <w:color w:val="000000" w:themeColor="text1"/>
          <w:szCs w:val="24"/>
          <w14:textFill>
            <w14:solidFill>
              <w14:schemeClr w14:val="tx1"/>
            </w14:solidFill>
          </w14:textFill>
        </w:rPr>
      </w:pPr>
    </w:p>
    <w:p w14:paraId="6B823C79">
      <w:pPr>
        <w:wordWrap w:val="0"/>
        <w:ind w:left="1091" w:hanging="1091" w:hangingChars="453"/>
        <w:rPr>
          <w:rFonts w:hint="eastAsia"/>
          <w:bCs/>
          <w:color w:val="000000" w:themeColor="text1"/>
          <w:szCs w:val="24"/>
          <w14:textFill>
            <w14:solidFill>
              <w14:schemeClr w14:val="tx1"/>
            </w14:solidFill>
          </w14:textFill>
        </w:rPr>
      </w:pPr>
      <w:r>
        <w:rPr>
          <w:rFonts w:hint="eastAsia"/>
          <w:b/>
          <w:bCs/>
          <w:color w:val="000000" w:themeColor="text1"/>
          <w:szCs w:val="24"/>
          <w14:textFill>
            <w14:solidFill>
              <w14:schemeClr w14:val="tx1"/>
            </w14:solidFill>
          </w14:textFill>
        </w:rPr>
        <w:t>说明：</w:t>
      </w:r>
      <w:r>
        <w:rPr>
          <w:rFonts w:hint="eastAsia"/>
          <w:bCs/>
          <w:color w:val="000000" w:themeColor="text1"/>
          <w:szCs w:val="24"/>
          <w14:textFill>
            <w14:solidFill>
              <w14:schemeClr w14:val="tx1"/>
            </w14:solidFill>
          </w14:textFill>
        </w:rPr>
        <w:t>1、</w:t>
      </w:r>
      <w:r>
        <w:rPr>
          <w:rFonts w:hint="eastAsia"/>
          <w:bCs/>
          <w:color w:val="000000" w:themeColor="text1"/>
          <w:szCs w:val="21"/>
          <w:lang w:val="zh-CN"/>
          <w14:textFill>
            <w14:solidFill>
              <w14:schemeClr w14:val="tx1"/>
            </w14:solidFill>
          </w14:textFill>
        </w:rPr>
        <w:t>货物应当全部由符合政策要求的残疾人福利性单位生产且使用该残疾人福利性单位商号或注册商标（与代理商或投标供应商无关）；应当严格按上述格式及内容进行填写（应当明确每个标的的生产企业类型及相关数据），否则导致的后果由投标供应商自行承担；</w:t>
      </w:r>
    </w:p>
    <w:p w14:paraId="45E807C8">
      <w:pPr>
        <w:wordWrap w:val="0"/>
        <w:ind w:left="1087" w:hanging="1087" w:hangingChars="453"/>
        <w:rPr>
          <w:rFonts w:hint="eastAsia" w:cs="Courier New"/>
          <w:color w:val="000000" w:themeColor="text1"/>
          <w:szCs w:val="21"/>
          <w14:textFill>
            <w14:solidFill>
              <w14:schemeClr w14:val="tx1"/>
            </w14:solidFill>
          </w14:textFill>
        </w:rPr>
      </w:pPr>
      <w:r>
        <w:rPr>
          <w:rFonts w:hint="eastAsia"/>
          <w:bCs/>
          <w:color w:val="000000" w:themeColor="text1"/>
          <w:szCs w:val="21"/>
          <w:lang w:val="zh-CN"/>
          <w14:textFill>
            <w14:solidFill>
              <w14:schemeClr w14:val="tx1"/>
            </w14:solidFill>
          </w14:textFill>
        </w:rPr>
        <w:t xml:space="preserve">      2、</w:t>
      </w:r>
      <w:r>
        <w:rPr>
          <w:rFonts w:hint="eastAsia" w:cs="Courier New"/>
          <w:color w:val="000000" w:themeColor="text1"/>
          <w:szCs w:val="21"/>
          <w14:textFill>
            <w14:solidFill>
              <w14:schemeClr w14:val="tx1"/>
            </w14:solidFill>
          </w14:textFill>
        </w:rPr>
        <w:t>以联合体形式参加的，应</w:t>
      </w:r>
      <w:r>
        <w:rPr>
          <w:rFonts w:hint="eastAsia"/>
          <w:bCs/>
          <w:color w:val="000000" w:themeColor="text1"/>
          <w:szCs w:val="21"/>
          <w:lang w:val="zh-CN"/>
          <w14:textFill>
            <w14:solidFill>
              <w14:schemeClr w14:val="tx1"/>
            </w14:solidFill>
          </w14:textFill>
        </w:rPr>
        <w:t>当</w:t>
      </w:r>
      <w:r>
        <w:rPr>
          <w:rFonts w:hint="eastAsia" w:cs="Courier New"/>
          <w:color w:val="000000" w:themeColor="text1"/>
          <w:szCs w:val="21"/>
          <w14:textFill>
            <w14:solidFill>
              <w14:schemeClr w14:val="tx1"/>
            </w14:solidFill>
          </w14:textFill>
        </w:rPr>
        <w:t>由联合体各方盖章。</w:t>
      </w:r>
    </w:p>
    <w:p w14:paraId="5A01B4B2">
      <w:pPr>
        <w:wordWrap w:val="0"/>
        <w:spacing w:before="100" w:beforeAutospacing="1" w:after="100" w:afterAutospacing="1"/>
        <w:ind w:firstLine="3316" w:firstLineChars="1382"/>
        <w:rPr>
          <w:rFonts w:hint="eastAsia"/>
          <w:bCs/>
          <w:color w:val="000000" w:themeColor="text1"/>
          <w:szCs w:val="21"/>
          <w:lang w:val="zh-CN"/>
          <w14:textFill>
            <w14:solidFill>
              <w14:schemeClr w14:val="tx1"/>
            </w14:solidFill>
          </w14:textFill>
        </w:rPr>
      </w:pPr>
      <w:r>
        <w:rPr>
          <w:rFonts w:hint="eastAsia"/>
          <w:bCs/>
          <w:color w:val="000000" w:themeColor="text1"/>
          <w:szCs w:val="21"/>
          <w:lang w:val="zh-CN"/>
          <w14:textFill>
            <w14:solidFill>
              <w14:schemeClr w14:val="tx1"/>
            </w14:solidFill>
          </w14:textFill>
        </w:rPr>
        <w:t>投标供应商：</w:t>
      </w:r>
      <w:r>
        <w:rPr>
          <w:rFonts w:hint="eastAsia"/>
          <w:bCs/>
          <w:color w:val="000000" w:themeColor="text1"/>
          <w:szCs w:val="21"/>
          <w:u w:val="single"/>
          <w:lang w:val="zh-CN"/>
          <w14:textFill>
            <w14:solidFill>
              <w14:schemeClr w14:val="tx1"/>
            </w14:solidFill>
          </w14:textFill>
        </w:rPr>
        <w:t xml:space="preserve">                         </w:t>
      </w:r>
    </w:p>
    <w:p w14:paraId="600154BD">
      <w:pPr>
        <w:wordWrap w:val="0"/>
        <w:spacing w:before="100" w:beforeAutospacing="1" w:after="100" w:afterAutospacing="1"/>
        <w:ind w:firstLine="3316" w:firstLineChars="1382"/>
        <w:rPr>
          <w:rFonts w:hint="eastAsia"/>
          <w:color w:val="000000" w:themeColor="text1"/>
          <w14:textFill>
            <w14:solidFill>
              <w14:schemeClr w14:val="tx1"/>
            </w14:solidFill>
          </w14:textFill>
        </w:rPr>
      </w:pPr>
      <w:r>
        <w:rPr>
          <w:rFonts w:hint="eastAsia"/>
          <w:color w:val="000000" w:themeColor="text1"/>
          <w:szCs w:val="24"/>
          <w14:textFill>
            <w14:solidFill>
              <w14:schemeClr w14:val="tx1"/>
            </w14:solidFill>
          </w14:textFill>
        </w:rPr>
        <w:t>日</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期：</w:t>
      </w:r>
      <w:r>
        <w:rPr>
          <w:bCs/>
          <w:color w:val="000000" w:themeColor="text1"/>
          <w:szCs w:val="24"/>
          <w:u w:val="single"/>
          <w14:textFill>
            <w14:solidFill>
              <w14:schemeClr w14:val="tx1"/>
            </w14:solidFill>
          </w14:textFill>
        </w:rPr>
        <w:t xml:space="preserve">                              </w:t>
      </w:r>
    </w:p>
    <w:p w14:paraId="051EB93C">
      <w:pPr>
        <w:ind w:left="4620" w:firstLine="281" w:firstLineChars="100"/>
        <w:rPr>
          <w:rFonts w:hint="eastAsia" w:cs="仿宋_GB2312"/>
          <w:b/>
          <w:color w:val="000000" w:themeColor="text1"/>
          <w:sz w:val="28"/>
          <w:szCs w:val="28"/>
          <w14:textFill>
            <w14:solidFill>
              <w14:schemeClr w14:val="tx1"/>
            </w14:solidFill>
          </w14:textFill>
        </w:rPr>
      </w:pPr>
      <w:r>
        <w:rPr>
          <w:rFonts w:cs="仿宋_GB2312"/>
          <w:b/>
          <w:color w:val="000000" w:themeColor="text1"/>
          <w:sz w:val="28"/>
          <w:szCs w:val="28"/>
          <w14:textFill>
            <w14:solidFill>
              <w14:schemeClr w14:val="tx1"/>
            </w14:solidFill>
          </w14:textFill>
        </w:rPr>
        <w:br w:type="page"/>
      </w:r>
    </w:p>
    <w:p w14:paraId="0F797EC6">
      <w:pPr>
        <w:pStyle w:val="44"/>
        <w:numPr>
          <w:ilvl w:val="0"/>
          <w:numId w:val="36"/>
        </w:numPr>
        <w:rPr>
          <w:rFonts w:hint="eastAsia"/>
          <w:color w:val="000000" w:themeColor="text1"/>
          <w14:textFill>
            <w14:solidFill>
              <w14:schemeClr w14:val="tx1"/>
            </w14:solidFill>
          </w14:textFill>
        </w:rPr>
      </w:pPr>
      <w:r>
        <w:rPr>
          <w:rFonts w:hint="eastAsia"/>
          <w:color w:val="000000" w:themeColor="text1"/>
          <w:szCs w:val="24"/>
          <w14:textFill>
            <w14:solidFill>
              <w14:schemeClr w14:val="tx1"/>
            </w14:solidFill>
          </w14:textFill>
        </w:rPr>
        <w:t>残疾人福利性单位声明函（服务）</w:t>
      </w:r>
    </w:p>
    <w:p w14:paraId="62E48136">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本公司（联合体）郑重声明，根据《财政部 民政部 中国残疾人联合会关于促进残疾人就业政府采购政策的通知》（财库〔2017〕141号）的规定，本公司（联合体）参加</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（单位名称）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的</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（项目名称）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采购活动，服务</w:t>
      </w:r>
      <w:r>
        <w:rPr>
          <w:rFonts w:hint="eastAsia"/>
          <w:b/>
          <w:color w:val="000000" w:themeColor="text1"/>
          <w:szCs w:val="24"/>
          <w14:textFill>
            <w14:solidFill>
              <w14:schemeClr w14:val="tx1"/>
            </w14:solidFill>
          </w14:textFill>
        </w:rPr>
        <w:t>全部由</w:t>
      </w:r>
      <w:r>
        <w:rPr>
          <w:rFonts w:hint="eastAsia"/>
          <w:color w:val="000000" w:themeColor="text1"/>
          <w:szCs w:val="24"/>
          <w14:textFill>
            <w14:solidFill>
              <w14:schemeClr w14:val="tx1"/>
            </w14:solidFill>
          </w14:textFill>
        </w:rPr>
        <w:t>符合政策要求的</w:t>
      </w:r>
      <w:r>
        <w:rPr>
          <w:rFonts w:hint="eastAsia"/>
          <w:b/>
          <w:color w:val="000000" w:themeColor="text1"/>
          <w:szCs w:val="24"/>
          <w14:textFill>
            <w14:solidFill>
              <w14:schemeClr w14:val="tx1"/>
            </w14:solidFill>
          </w14:textFill>
        </w:rPr>
        <w:t>残疾人福利性单位承接</w:t>
      </w:r>
      <w:r>
        <w:rPr>
          <w:rFonts w:hint="eastAsia"/>
          <w:color w:val="000000" w:themeColor="text1"/>
          <w:szCs w:val="24"/>
          <w14:textFill>
            <w14:solidFill>
              <w14:schemeClr w14:val="tx1"/>
            </w14:solidFill>
          </w14:textFill>
        </w:rPr>
        <w:t>。相关企业（含联合体中的残疾人福利性单位、签订分包意向协议的残疾人福利性单位）的具体情况如下：</w:t>
      </w:r>
    </w:p>
    <w:p w14:paraId="319769E9">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（标的名称）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，承接企业为</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（企业名称）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，属于残疾人福利性单位；</w:t>
      </w:r>
    </w:p>
    <w:p w14:paraId="1FEF1B4A">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2.</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（标的名称）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，承接企业为</w:t>
      </w:r>
      <w:r>
        <w:rPr>
          <w:rFonts w:hint="eastAsia"/>
          <w:color w:val="000000" w:themeColor="text1"/>
          <w:szCs w:val="24"/>
          <w:u w:val="single"/>
          <w14:textFill>
            <w14:solidFill>
              <w14:schemeClr w14:val="tx1"/>
            </w14:solidFill>
          </w14:textFill>
        </w:rPr>
        <w:t xml:space="preserve"> </w:t>
      </w:r>
      <w:r>
        <w:rPr>
          <w:rFonts w:hint="eastAsia"/>
          <w:i/>
          <w:color w:val="000000" w:themeColor="text1"/>
          <w:szCs w:val="24"/>
          <w:u w:val="single"/>
          <w14:textFill>
            <w14:solidFill>
              <w14:schemeClr w14:val="tx1"/>
            </w14:solidFill>
          </w14:textFill>
        </w:rPr>
        <w:t>（企业名称）</w:t>
      </w:r>
      <w:r>
        <w:rPr>
          <w:rFonts w:hint="eastAsia"/>
          <w:color w:val="000000" w:themeColor="text1"/>
          <w:szCs w:val="24"/>
          <w:u w:val="single"/>
          <w14:textFill>
            <w14:solidFill>
              <w14:schemeClr w14:val="tx1"/>
            </w14:solidFill>
          </w14:textFill>
        </w:rPr>
        <w:t xml:space="preserve"> </w:t>
      </w:r>
      <w:r>
        <w:rPr>
          <w:rFonts w:hint="eastAsia"/>
          <w:color w:val="000000" w:themeColor="text1"/>
          <w:szCs w:val="24"/>
          <w14:textFill>
            <w14:solidFill>
              <w14:schemeClr w14:val="tx1"/>
            </w14:solidFill>
          </w14:textFill>
        </w:rPr>
        <w:t>，属于残疾人福利性单位；</w:t>
      </w:r>
    </w:p>
    <w:p w14:paraId="0DDE0D23">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w:t>
      </w:r>
    </w:p>
    <w:p w14:paraId="45096413">
      <w:pPr>
        <w:wordWrap w:val="0"/>
        <w:ind w:firstLine="480" w:firstLineChars="200"/>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以上企业，不属于大企业的分支机构，不存在控股股东为大企业的情形，也不存在与大企业的负责人为同一人的情形。</w:t>
      </w:r>
    </w:p>
    <w:p w14:paraId="45C2B7B4">
      <w:pPr>
        <w:wordWrap w:val="0"/>
        <w:ind w:left="1087" w:leftChars="200" w:hanging="607" w:hangingChars="253"/>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本企业对上述声明内容的真实性负责。如有虚假，将依法承担相应责任。</w:t>
      </w:r>
    </w:p>
    <w:p w14:paraId="2E08C478">
      <w:pPr>
        <w:wordWrap w:val="0"/>
        <w:ind w:left="1091" w:hanging="1091" w:hangingChars="453"/>
        <w:rPr>
          <w:rFonts w:hint="eastAsia"/>
          <w:b/>
          <w:color w:val="000000" w:themeColor="text1"/>
          <w:szCs w:val="21"/>
          <w:lang w:val="zh-CN"/>
          <w14:textFill>
            <w14:solidFill>
              <w14:schemeClr w14:val="tx1"/>
            </w14:solidFill>
          </w14:textFill>
        </w:rPr>
      </w:pPr>
    </w:p>
    <w:p w14:paraId="70873D69">
      <w:pPr>
        <w:wordWrap w:val="0"/>
        <w:ind w:left="1091" w:hanging="1091" w:hangingChars="453"/>
        <w:rPr>
          <w:rFonts w:hint="eastAsia"/>
          <w:bCs/>
          <w:color w:val="000000" w:themeColor="text1"/>
          <w:szCs w:val="24"/>
          <w14:textFill>
            <w14:solidFill>
              <w14:schemeClr w14:val="tx1"/>
            </w14:solidFill>
          </w14:textFill>
        </w:rPr>
      </w:pPr>
      <w:r>
        <w:rPr>
          <w:rFonts w:hint="eastAsia"/>
          <w:b/>
          <w:color w:val="000000" w:themeColor="text1"/>
          <w:szCs w:val="21"/>
          <w:lang w:val="zh-CN"/>
          <w14:textFill>
            <w14:solidFill>
              <w14:schemeClr w14:val="tx1"/>
            </w14:solidFill>
          </w14:textFill>
        </w:rPr>
        <w:t>说明：</w:t>
      </w:r>
      <w:r>
        <w:rPr>
          <w:rFonts w:hint="eastAsia"/>
          <w:bCs/>
          <w:color w:val="000000" w:themeColor="text1"/>
          <w:szCs w:val="24"/>
          <w14:textFill>
            <w14:solidFill>
              <w14:schemeClr w14:val="tx1"/>
            </w14:solidFill>
          </w14:textFill>
        </w:rPr>
        <w:t>1、</w:t>
      </w:r>
      <w:r>
        <w:rPr>
          <w:rFonts w:hint="eastAsia"/>
          <w:bCs/>
          <w:color w:val="000000" w:themeColor="text1"/>
          <w:szCs w:val="21"/>
          <w:lang w:val="zh-CN"/>
          <w14:textFill>
            <w14:solidFill>
              <w14:schemeClr w14:val="tx1"/>
            </w14:solidFill>
          </w14:textFill>
        </w:rPr>
        <w:t>服务应当全部由符合</w:t>
      </w:r>
      <w:r>
        <w:rPr>
          <w:bCs/>
          <w:color w:val="000000" w:themeColor="text1"/>
          <w:szCs w:val="21"/>
          <w:lang w:val="zh-CN"/>
          <w14:textFill>
            <w14:solidFill>
              <w14:schemeClr w14:val="tx1"/>
            </w14:solidFill>
          </w14:textFill>
        </w:rPr>
        <w:t>政策要求的</w:t>
      </w:r>
      <w:r>
        <w:rPr>
          <w:rFonts w:hint="eastAsia"/>
          <w:bCs/>
          <w:color w:val="000000" w:themeColor="text1"/>
          <w:szCs w:val="21"/>
          <w:lang w:val="zh-CN"/>
          <w14:textFill>
            <w14:solidFill>
              <w14:schemeClr w14:val="tx1"/>
            </w14:solidFill>
          </w14:textFill>
        </w:rPr>
        <w:t>残疾人福利性单位承接，应当严格按上述格式及内容进行填写（应当明确每个标的的承接企业类型及相关数据），否则导致的后果由投标供应商自行承担；</w:t>
      </w:r>
    </w:p>
    <w:p w14:paraId="011D1E1D">
      <w:pPr>
        <w:wordWrap w:val="0"/>
        <w:ind w:left="1087" w:hanging="1087" w:hangingChars="453"/>
        <w:rPr>
          <w:rFonts w:hint="eastAsia" w:cs="Courier New"/>
          <w:color w:val="000000" w:themeColor="text1"/>
          <w:szCs w:val="21"/>
          <w14:textFill>
            <w14:solidFill>
              <w14:schemeClr w14:val="tx1"/>
            </w14:solidFill>
          </w14:textFill>
        </w:rPr>
      </w:pPr>
      <w:r>
        <w:rPr>
          <w:rFonts w:hint="eastAsia"/>
          <w:bCs/>
          <w:color w:val="000000" w:themeColor="text1"/>
          <w:szCs w:val="21"/>
          <w:lang w:val="zh-CN"/>
          <w14:textFill>
            <w14:solidFill>
              <w14:schemeClr w14:val="tx1"/>
            </w14:solidFill>
          </w14:textFill>
        </w:rPr>
        <w:t xml:space="preserve">      2、</w:t>
      </w:r>
      <w:r>
        <w:rPr>
          <w:rFonts w:hint="eastAsia" w:cs="Courier New"/>
          <w:color w:val="000000" w:themeColor="text1"/>
          <w:szCs w:val="21"/>
          <w14:textFill>
            <w14:solidFill>
              <w14:schemeClr w14:val="tx1"/>
            </w14:solidFill>
          </w14:textFill>
        </w:rPr>
        <w:t>以联合体形式参加的，应</w:t>
      </w:r>
      <w:r>
        <w:rPr>
          <w:rFonts w:hint="eastAsia"/>
          <w:bCs/>
          <w:color w:val="000000" w:themeColor="text1"/>
          <w:szCs w:val="21"/>
          <w:lang w:val="zh-CN"/>
          <w14:textFill>
            <w14:solidFill>
              <w14:schemeClr w14:val="tx1"/>
            </w14:solidFill>
          </w14:textFill>
        </w:rPr>
        <w:t>当</w:t>
      </w:r>
      <w:r>
        <w:rPr>
          <w:rFonts w:hint="eastAsia" w:cs="Courier New"/>
          <w:color w:val="000000" w:themeColor="text1"/>
          <w:szCs w:val="21"/>
          <w14:textFill>
            <w14:solidFill>
              <w14:schemeClr w14:val="tx1"/>
            </w14:solidFill>
          </w14:textFill>
        </w:rPr>
        <w:t>由联合体各方盖章。</w:t>
      </w:r>
    </w:p>
    <w:p w14:paraId="14A84F4E">
      <w:pPr>
        <w:wordWrap w:val="0"/>
        <w:spacing w:before="100" w:beforeAutospacing="1" w:after="100" w:afterAutospacing="1"/>
        <w:ind w:firstLine="3316" w:firstLineChars="1382"/>
        <w:rPr>
          <w:rFonts w:hint="eastAsia"/>
          <w:bCs/>
          <w:color w:val="000000" w:themeColor="text1"/>
          <w:szCs w:val="21"/>
          <w:lang w:val="zh-CN"/>
          <w14:textFill>
            <w14:solidFill>
              <w14:schemeClr w14:val="tx1"/>
            </w14:solidFill>
          </w14:textFill>
        </w:rPr>
      </w:pPr>
      <w:r>
        <w:rPr>
          <w:rFonts w:hint="eastAsia"/>
          <w:bCs/>
          <w:color w:val="000000" w:themeColor="text1"/>
          <w:szCs w:val="21"/>
          <w:lang w:val="zh-CN"/>
          <w14:textFill>
            <w14:solidFill>
              <w14:schemeClr w14:val="tx1"/>
            </w14:solidFill>
          </w14:textFill>
        </w:rPr>
        <w:t>投标供应商：</w:t>
      </w:r>
      <w:r>
        <w:rPr>
          <w:rFonts w:hint="eastAsia"/>
          <w:bCs/>
          <w:color w:val="000000" w:themeColor="text1"/>
          <w:szCs w:val="21"/>
          <w:u w:val="single"/>
          <w:lang w:val="zh-CN"/>
          <w14:textFill>
            <w14:solidFill>
              <w14:schemeClr w14:val="tx1"/>
            </w14:solidFill>
          </w14:textFill>
        </w:rPr>
        <w:t xml:space="preserve">                         </w:t>
      </w:r>
    </w:p>
    <w:p w14:paraId="4959C910">
      <w:pPr>
        <w:wordWrap w:val="0"/>
        <w:spacing w:before="100" w:beforeAutospacing="1" w:after="100" w:afterAutospacing="1"/>
        <w:ind w:firstLine="3316" w:firstLineChars="1382"/>
        <w:rPr>
          <w:rFonts w:hint="eastAsia"/>
          <w:bCs/>
          <w:color w:val="000000" w:themeColor="text1"/>
          <w:szCs w:val="24"/>
          <w:u w:val="single"/>
          <w14:textFill>
            <w14:solidFill>
              <w14:schemeClr w14:val="tx1"/>
            </w14:solidFill>
          </w14:textFill>
        </w:rPr>
      </w:pPr>
      <w:r>
        <w:rPr>
          <w:rFonts w:hint="eastAsia"/>
          <w:color w:val="000000" w:themeColor="text1"/>
          <w:szCs w:val="24"/>
          <w14:textFill>
            <w14:solidFill>
              <w14:schemeClr w14:val="tx1"/>
            </w14:solidFill>
          </w14:textFill>
        </w:rPr>
        <w:t xml:space="preserve">日 </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期：</w:t>
      </w:r>
      <w:r>
        <w:rPr>
          <w:bCs/>
          <w:color w:val="000000" w:themeColor="text1"/>
          <w:szCs w:val="24"/>
          <w:u w:val="single"/>
          <w14:textFill>
            <w14:solidFill>
              <w14:schemeClr w14:val="tx1"/>
            </w14:solidFill>
          </w14:textFill>
        </w:rPr>
        <w:t xml:space="preserve">                    </w:t>
      </w:r>
      <w:r>
        <w:rPr>
          <w:rFonts w:hint="eastAsia"/>
          <w:bCs/>
          <w:color w:val="000000" w:themeColor="text1"/>
          <w:szCs w:val="24"/>
          <w:u w:val="single"/>
          <w14:textFill>
            <w14:solidFill>
              <w14:schemeClr w14:val="tx1"/>
            </w14:solidFill>
          </w14:textFill>
        </w:rPr>
        <w:t xml:space="preserve"> </w:t>
      </w:r>
      <w:r>
        <w:rPr>
          <w:bCs/>
          <w:color w:val="000000" w:themeColor="text1"/>
          <w:szCs w:val="24"/>
          <w:u w:val="single"/>
          <w14:textFill>
            <w14:solidFill>
              <w14:schemeClr w14:val="tx1"/>
            </w14:solidFill>
          </w14:textFill>
        </w:rPr>
        <w:t xml:space="preserve">         </w:t>
      </w:r>
    </w:p>
    <w:p w14:paraId="4D6F2E1B">
      <w:pPr>
        <w:rPr>
          <w:rFonts w:hint="eastAsia" w:cs="仿宋_GB2312"/>
          <w:b/>
          <w:color w:val="000000" w:themeColor="text1"/>
          <w:sz w:val="28"/>
          <w:szCs w:val="28"/>
          <w14:textFill>
            <w14:solidFill>
              <w14:schemeClr w14:val="tx1"/>
            </w14:solidFill>
          </w14:textFill>
        </w:rPr>
      </w:pPr>
      <w:r>
        <w:rPr>
          <w:color w:val="000000" w:themeColor="text1"/>
          <w14:textFill>
            <w14:solidFill>
              <w14:schemeClr w14:val="tx1"/>
            </w14:solidFill>
          </w14:textFill>
        </w:rPr>
        <w:br w:type="page"/>
      </w:r>
    </w:p>
    <w:p w14:paraId="5E7C88C3">
      <w:pPr>
        <w:pStyle w:val="44"/>
        <w:numPr>
          <w:ilvl w:val="0"/>
          <w:numId w:val="0"/>
        </w:numPr>
        <w:ind w:leftChars="0"/>
        <w:rPr>
          <w:rFonts w:hint="eastAsia" w:eastAsia="宋体" w:asciiTheme="majorHAnsi" w:hAnsiTheme="majorHAnsi" w:cstheme="majorBidi"/>
          <w:b/>
          <w:bCs/>
          <w:color w:val="000000" w:themeColor="text1"/>
          <w:kern w:val="2"/>
          <w:sz w:val="28"/>
          <w:szCs w:val="28"/>
          <w:lang w:val="en-US" w:eastAsia="zh-CN" w:bidi="ar-SA"/>
          <w14:textFill>
            <w14:solidFill>
              <w14:schemeClr w14:val="tx1"/>
            </w14:solidFill>
          </w14:textFill>
        </w:rPr>
      </w:pPr>
      <w:r>
        <w:rPr>
          <w:rFonts w:hint="eastAsia" w:eastAsia="宋体" w:asciiTheme="majorHAnsi" w:hAnsiTheme="majorHAnsi" w:cstheme="majorBidi"/>
          <w:b/>
          <w:bCs/>
          <w:color w:val="000000" w:themeColor="text1"/>
          <w:kern w:val="2"/>
          <w:sz w:val="28"/>
          <w:szCs w:val="28"/>
          <w:lang w:val="en-US" w:eastAsia="zh-CN" w:bidi="ar-SA"/>
          <w14:textFill>
            <w14:solidFill>
              <w14:schemeClr w14:val="tx1"/>
            </w14:solidFill>
          </w14:textFill>
        </w:rPr>
        <w:t>3、其它落实政府采购政策的相关证明文件</w:t>
      </w:r>
    </w:p>
    <w:p w14:paraId="71B7653F">
      <w:pPr>
        <w:rPr>
          <w:rFonts w:hint="eastAsia" w:cs="仿宋_GB2312"/>
          <w:b/>
          <w:color w:val="000000" w:themeColor="text1"/>
          <w:sz w:val="28"/>
          <w:szCs w:val="28"/>
          <w14:textFill>
            <w14:solidFill>
              <w14:schemeClr w14:val="tx1"/>
            </w14:solidFill>
          </w14:textFill>
        </w:rPr>
      </w:pPr>
    </w:p>
    <w:p w14:paraId="76D3EEC2">
      <w:pPr>
        <w:rPr>
          <w:rFonts w:hint="eastAsia" w:cs="仿宋_GB2312"/>
          <w:b/>
          <w:color w:val="000000" w:themeColor="text1"/>
          <w:sz w:val="28"/>
          <w:szCs w:val="28"/>
          <w14:textFill>
            <w14:solidFill>
              <w14:schemeClr w14:val="tx1"/>
            </w14:solidFill>
          </w14:textFill>
        </w:rPr>
      </w:pPr>
      <w:r>
        <w:rPr>
          <w:rFonts w:cs="仿宋_GB2312"/>
          <w:b/>
          <w:color w:val="000000" w:themeColor="text1"/>
          <w:sz w:val="28"/>
          <w:szCs w:val="28"/>
          <w14:textFill>
            <w14:solidFill>
              <w14:schemeClr w14:val="tx1"/>
            </w14:solidFill>
          </w14:textFill>
        </w:rPr>
        <w:br w:type="page"/>
      </w:r>
    </w:p>
    <w:p w14:paraId="5AA89452">
      <w:pPr>
        <w:pStyle w:val="6"/>
        <w:numPr>
          <w:ilvl w:val="0"/>
          <w:numId w:val="34"/>
        </w:numPr>
        <w:rPr>
          <w:rFonts w:hint="eastAsia"/>
          <w:color w:val="000000" w:themeColor="text1"/>
          <w14:textFill>
            <w14:solidFill>
              <w14:schemeClr w14:val="tx1"/>
            </w14:solidFill>
          </w14:textFill>
        </w:rPr>
      </w:pPr>
      <w:bookmarkStart w:id="489" w:name="_Toc19904"/>
      <w:r>
        <w:rPr>
          <w:rFonts w:hint="eastAsia"/>
          <w:color w:val="000000" w:themeColor="text1"/>
          <w14:textFill>
            <w14:solidFill>
              <w14:schemeClr w14:val="tx1"/>
            </w14:solidFill>
          </w14:textFill>
        </w:rPr>
        <w:t>投标供应商认为需要提供的其他资料</w:t>
      </w:r>
      <w:bookmarkEnd w:id="489"/>
    </w:p>
    <w:p w14:paraId="14AAA6C2">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招标文件要求供应商须提交的其它资料；</w:t>
      </w:r>
    </w:p>
    <w:p w14:paraId="525A3636">
      <w:pPr>
        <w:pStyle w:val="4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2.投标供应商认为需加以说明的其它内容。</w:t>
      </w:r>
    </w:p>
    <w:sectPr>
      <w:footerReference r:id="rId9"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B7FEC80-5B03-4969-969E-6CB7C4152158}"/>
  </w:font>
  <w:font w:name="Arial">
    <w:panose1 w:val="020B0604020202020204"/>
    <w:charset w:val="01"/>
    <w:family w:val="swiss"/>
    <w:pitch w:val="default"/>
    <w:sig w:usb0="E0002EFF" w:usb1="C000785B" w:usb2="00000009" w:usb3="00000000" w:csb0="400001FF" w:csb1="FFFF0000"/>
    <w:embedRegular r:id="rId2" w:fontKey="{CB692A27-3D1E-42FA-B365-0842D325870A}"/>
  </w:font>
  <w:font w:name="黑体">
    <w:panose1 w:val="02010609060101010101"/>
    <w:charset w:val="86"/>
    <w:family w:val="auto"/>
    <w:pitch w:val="default"/>
    <w:sig w:usb0="800002BF" w:usb1="38CF7CFA" w:usb2="00000016" w:usb3="00000000" w:csb0="00040001" w:csb1="00000000"/>
    <w:embedRegular r:id="rId3" w:fontKey="{B95235A9-0236-4BB5-AD80-F92CC38F9F7D}"/>
  </w:font>
  <w:font w:name="Courier New">
    <w:panose1 w:val="02070309020205020404"/>
    <w:charset w:val="01"/>
    <w:family w:val="modern"/>
    <w:pitch w:val="default"/>
    <w:sig w:usb0="E0002EFF" w:usb1="C0007843" w:usb2="00000009" w:usb3="00000000" w:csb0="400001FF" w:csb1="FFFF0000"/>
    <w:embedRegular r:id="rId4" w:fontKey="{AA0DDD0F-905E-4F69-9A2B-869AD85AAE3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3B7D2AC8-D5E5-4D5A-A40D-CD4FB42CEB50}"/>
  </w:font>
  <w:font w:name="等线 Light">
    <w:panose1 w:val="02010600030101010101"/>
    <w:charset w:val="86"/>
    <w:family w:val="auto"/>
    <w:pitch w:val="default"/>
    <w:sig w:usb0="A00002BF" w:usb1="38CF7CFA" w:usb2="00000016" w:usb3="00000000" w:csb0="0004000F" w:csb1="00000000"/>
    <w:embedRegular r:id="rId6" w:fontKey="{36AA6DDA-D598-4F13-A3CB-239E95C0B62C}"/>
  </w:font>
  <w:font w:name="等线">
    <w:panose1 w:val="02010600030101010101"/>
    <w:charset w:val="86"/>
    <w:family w:val="auto"/>
    <w:pitch w:val="default"/>
    <w:sig w:usb0="A00002BF" w:usb1="38CF7CFA" w:usb2="00000016" w:usb3="00000000" w:csb0="0004000F" w:csb1="00000000"/>
    <w:embedRegular r:id="rId7" w:fontKey="{FADB1F6A-45C5-4802-AF25-D37159CCA6E5}"/>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8" w:fontKey="{256BEBA2-A4CC-484D-832B-B20DAAEA3529}"/>
  </w:font>
  <w:font w:name="仿宋_GB2312">
    <w:panose1 w:val="02010609030101010101"/>
    <w:charset w:val="86"/>
    <w:family w:val="auto"/>
    <w:pitch w:val="default"/>
    <w:sig w:usb0="00000001" w:usb1="080E0000" w:usb2="00000000" w:usb3="00000000" w:csb0="00040000" w:csb1="00000000"/>
    <w:embedRegular r:id="rId9" w:fontKey="{DDC60E13-8D89-44CE-B2A7-8B7B7C0F8CE3}"/>
  </w:font>
  <w:font w:name="仿宋">
    <w:panose1 w:val="02010609060101010101"/>
    <w:charset w:val="86"/>
    <w:family w:val="auto"/>
    <w:pitch w:val="default"/>
    <w:sig w:usb0="800002BF" w:usb1="38CF7CFA" w:usb2="00000016" w:usb3="00000000" w:csb0="00040001" w:csb1="00000000"/>
    <w:embedRegular r:id="rId10" w:fontKey="{245CCE86-81BE-403B-9FD2-72374ED8B647}"/>
  </w:font>
  <w:font w:name="微软雅黑">
    <w:panose1 w:val="020B0503020204020204"/>
    <w:charset w:val="86"/>
    <w:family w:val="auto"/>
    <w:pitch w:val="default"/>
    <w:sig w:usb0="80000287" w:usb1="2ACF3C50" w:usb2="00000016" w:usb3="00000000" w:csb0="0004001F" w:csb1="00000000"/>
    <w:embedRegular r:id="rId11" w:fontKey="{E87F91E2-FD05-497A-8231-DE6437C22245}"/>
  </w:font>
  <w:font w:name="Helvetica">
    <w:altName w:val="Arial"/>
    <w:panose1 w:val="020B0604020202020204"/>
    <w:charset w:val="00"/>
    <w:family w:val="swiss"/>
    <w:pitch w:val="default"/>
    <w:sig w:usb0="00000000" w:usb1="00000000" w:usb2="00000000" w:usb3="00000000" w:csb0="00000001" w:csb1="00000000"/>
    <w:embedRegular r:id="rId12" w:fontKey="{FBD95BA8-4BC8-49E0-92D2-C30B0D44DB31}"/>
  </w:font>
  <w:font w:name="方正仿宋_GB2312">
    <w:panose1 w:val="02000000000000000000"/>
    <w:charset w:val="86"/>
    <w:family w:val="auto"/>
    <w:pitch w:val="default"/>
    <w:sig w:usb0="A00002BF" w:usb1="184F6CFA" w:usb2="00000012" w:usb3="00000000" w:csb0="00040001" w:csb1="00000000"/>
    <w:embedRegular r:id="rId13" w:fontKey="{46846E8F-DCB9-442A-8332-76A5E5133CEF}"/>
  </w:font>
  <w:font w:name="Segoe UI">
    <w:panose1 w:val="020B0502040204020203"/>
    <w:charset w:val="00"/>
    <w:family w:val="swiss"/>
    <w:pitch w:val="default"/>
    <w:sig w:usb0="E4002EFF" w:usb1="C000E47F" w:usb2="00000009" w:usb3="00000000" w:csb0="200001FF" w:csb1="00000000"/>
    <w:embedRegular r:id="rId14" w:fontKey="{ADBD721D-841C-48BD-ADF0-10893E281D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2C78">
    <w:pPr>
      <w:pStyle w:val="22"/>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961BC">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C961BC">
                    <w:pPr>
                      <w:pStyle w:val="22"/>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top</wp:align>
              </wp:positionV>
              <wp:extent cx="5314950" cy="0"/>
              <wp:effectExtent l="0" t="4445" r="0" b="5080"/>
              <wp:wrapNone/>
              <wp:docPr id="8" name="直接连接符 8"/>
              <wp:cNvGraphicFramePr/>
              <a:graphic xmlns:a="http://schemas.openxmlformats.org/drawingml/2006/main">
                <a:graphicData uri="http://schemas.microsoft.com/office/word/2010/wordprocessingShape">
                  <wps:wsp>
                    <wps:cNvCnPr/>
                    <wps:spPr>
                      <a:xfrm>
                        <a:off x="0" y="0"/>
                        <a:ext cx="53149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70.25pt;height:0pt;width:418.5pt;mso-position-horizontal-relative:page;mso-position-vertical-relative:page;z-index:251660288;mso-width-relative:margin;mso-height-relative:page;mso-width-percent:1000;" filled="f" stroked="t" coordsize="21600,21600" o:gfxdata="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3ni19MAAAACAQAADwAA&#10;AAAAAAABACAAAAAiAAAAZHJzL2Rvd25yZXYueG1sUEsBAhQAFAAAAAgAh07iQH9BalHiAQAAsQMA&#10;AA4AAAAAAAAAAQAgAAAAIgEAAGRycy9lMm9Eb2MueG1sUEsFBgAAAAAGAAYAWQEAAHYFAAAAAA==&#10;">
              <v:fill on="f" focussize="0,0"/>
              <v:stroke color="#000000 [3213]" miterlimit="8" joinstyle="miter"/>
              <v:imagedata o:title=""/>
              <o:lock v:ext="edit" aspectratio="f"/>
            </v:line>
          </w:pict>
        </mc:Fallback>
      </mc:AlternateContent>
    </w:r>
    <w:r>
      <mc:AlternateContent>
        <mc:Choice Requires="wpg">
          <w:drawing>
            <wp:anchor distT="0" distB="0" distL="114300" distR="114300" simplePos="0" relativeHeight="251661312" behindDoc="0" locked="0" layoutInCell="1" allowOverlap="1">
              <wp:simplePos x="0" y="0"/>
              <wp:positionH relativeFrom="margin">
                <wp:posOffset>2078355</wp:posOffset>
              </wp:positionH>
              <wp:positionV relativeFrom="bottomMargin">
                <wp:posOffset>-1905</wp:posOffset>
              </wp:positionV>
              <wp:extent cx="3129280" cy="305435"/>
              <wp:effectExtent l="0" t="0" r="0" b="0"/>
              <wp:wrapNone/>
              <wp:docPr id="3" name="组合 3"/>
              <wp:cNvGraphicFramePr/>
              <a:graphic xmlns:a="http://schemas.openxmlformats.org/drawingml/2006/main">
                <a:graphicData uri="http://schemas.microsoft.com/office/word/2010/wordprocessingGroup">
                  <wpg:wgp>
                    <wpg:cNvGrpSpPr/>
                    <wpg:grpSpPr>
                      <a:xfrm>
                        <a:off x="0" y="0"/>
                        <a:ext cx="3129280" cy="305435"/>
                        <a:chOff x="4728" y="1160"/>
                        <a:chExt cx="4928" cy="481"/>
                      </a:xfrm>
                    </wpg:grpSpPr>
                    <wps:wsp>
                      <wps:cNvPr id="6" name="矩形 2"/>
                      <wps:cNvSpPr/>
                      <wps:spPr>
                        <a:xfrm>
                          <a:off x="4728" y="1163"/>
                          <a:ext cx="1760" cy="47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文本框 3"/>
                      <wps:cNvSpPr txBox="1"/>
                      <wps:spPr>
                        <a:xfrm>
                          <a:off x="5484" y="1160"/>
                          <a:ext cx="4172" cy="46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88CB4">
                            <w:pPr>
                              <w:rPr>
                                <w:rFonts w:hint="eastAsia" w:ascii="宋体" w:hAnsi="宋体" w:eastAsia="宋体" w:cs="宋体"/>
                              </w:rPr>
                            </w:pPr>
                            <w:r>
                              <w:rPr>
                                <w:rFonts w:hint="eastAsia" w:ascii="宋体" w:hAnsi="宋体" w:eastAsia="宋体" w:cs="宋体"/>
                              </w:rPr>
                              <w:t>昆明阔海建设工程咨询有限</w:t>
                            </w:r>
                            <w:r>
                              <w:rPr>
                                <w:rFonts w:hint="eastAsia" w:ascii="宋体" w:hAnsi="宋体" w:eastAsia="宋体" w:cs="宋体"/>
                                <w:lang w:val="en-US" w:eastAsia="zh-CN"/>
                              </w:rPr>
                              <w:t>公司</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53.65pt;margin-top:769.75pt;height:24.05pt;width:246.4pt;mso-position-horizontal-relative:page;mso-position-vertical-relative:page;z-index:251661312;mso-width-relative:page;mso-height-relative:page;" coordorigin="4728,1160" coordsize="4928,481" o:gfxdata="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A4jyG32QAAAAgBAAAPAAAAAAAAAAEAIAAAACIAAABkcnMvZG93bnJldi54bWxQ&#10;SwECFAAUAAAACACHTuJAFqxtgEwDAACfCAAADgAAAAAAAAABACAAAAAoAQAAZHJzL2Uyb0RvYy54&#10;bWxQSwUGAAAAAAYABgBZAQAA5gYAAAAA&#10;">
              <o:lock v:ext="edit" aspectratio="f"/>
              <v:rect id="矩形 2" o:spid="_x0000_s1026" o:spt="1" style="position:absolute;left:4728;top:1163;height:478;width:1760;v-text-anchor:middle;" fillcolor="#FFFFFF [3212]" filled="t" stroked="f" coordsize="21600,21600" o:gfxdata="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3jnsvQAA&#10;ANoAAAAPAAAAAAAAAAEAIAAAACIAAABkcnMvZG93bnJldi54bWxQSwECFAAUAAAACACHTuJAMy8F&#10;njsAAAA5AAAAEAAAAAAAAAABACAAAAAMAQAAZHJzL3NoYXBleG1sLnhtbFBLBQYAAAAABgAGAFsB&#10;AAC2AwAAAAA=&#10;">
                <v:fill on="t" opacity="0f" focussize="0,0"/>
                <v:stroke on="f" weight="1pt" miterlimit="8" joinstyle="miter"/>
                <v:imagedata o:title=""/>
                <o:lock v:ext="edit" aspectratio="f"/>
              </v:rect>
              <v:shape id="文本框 3" o:spid="_x0000_s1026" o:spt="202" type="#_x0000_t202" style="position:absolute;left:5484;top:1160;height:461;width:4172;"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0588CB4">
                      <w:pPr>
                        <w:rPr>
                          <w:rFonts w:hint="eastAsia" w:ascii="宋体" w:hAnsi="宋体" w:eastAsia="宋体" w:cs="宋体"/>
                        </w:rPr>
                      </w:pPr>
                      <w:r>
                        <w:rPr>
                          <w:rFonts w:hint="eastAsia" w:ascii="宋体" w:hAnsi="宋体" w:eastAsia="宋体" w:cs="宋体"/>
                        </w:rPr>
                        <w:t>昆明阔海建设工程咨询有限</w:t>
                      </w:r>
                      <w:r>
                        <w:rPr>
                          <w:rFonts w:hint="eastAsia" w:ascii="宋体" w:hAnsi="宋体" w:eastAsia="宋体" w:cs="宋体"/>
                          <w:lang w:val="en-US" w:eastAsia="zh-CN"/>
                        </w:rPr>
                        <w:t>公司</w:t>
                      </w:r>
                    </w:p>
                  </w:txbxContent>
                </v:textbox>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2F989">
    <w:pPr>
      <w:pStyle w:val="22"/>
      <w:jc w:val="center"/>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899"/>
                          </w:sdtPr>
                          <w:sdtContent>
                            <w:p w14:paraId="66743B48">
                              <w:pPr>
                                <w:pStyle w:val="2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371DC863">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3899"/>
                    </w:sdtPr>
                    <w:sdtContent>
                      <w:p w14:paraId="66743B48">
                        <w:pPr>
                          <w:pStyle w:val="2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371DC863">
                    <w:pPr>
                      <w:pStyle w:val="2"/>
                    </w:pPr>
                  </w:p>
                </w:txbxContent>
              </v:textbox>
            </v:shape>
          </w:pict>
        </mc:Fallback>
      </mc:AlternateContent>
    </w:r>
  </w:p>
  <w:p w14:paraId="7242EFA7">
    <w:pPr>
      <w:pStyle w:val="2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34058">
    <w:pPr>
      <w:spacing w:line="174" w:lineRule="auto"/>
      <w:ind w:left="868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69C59">
                          <w:pPr>
                            <w:pStyle w:val="22"/>
                          </w:pPr>
                          <w:r>
                            <w:fldChar w:fldCharType="begin"/>
                          </w:r>
                          <w:r>
                            <w:instrText xml:space="preserve"> PAGE  \* MERGEFORMAT </w:instrText>
                          </w:r>
                          <w:r>
                            <w:fldChar w:fldCharType="separate"/>
                          </w:r>
                          <w:r>
                            <w:t>- 68 -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769C59">
                    <w:pPr>
                      <w:pStyle w:val="22"/>
                    </w:pPr>
                    <w:r>
                      <w:fldChar w:fldCharType="begin"/>
                    </w:r>
                    <w:r>
                      <w:instrText xml:space="preserve"> PAGE  \* MERGEFORMAT </w:instrText>
                    </w:r>
                    <w:r>
                      <w:fldChar w:fldCharType="separate"/>
                    </w:r>
                    <w:r>
                      <w:t>- 68 -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95348">
    <w:pPr>
      <w:pStyle w:val="22"/>
      <w:jc w:val="center"/>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681"/>
                          </w:sdtPr>
                          <w:sdtContent>
                            <w:p w14:paraId="21E9AC6E">
                              <w:pPr>
                                <w:pStyle w:val="2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7830180A">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147459681"/>
                    </w:sdtPr>
                    <w:sdtContent>
                      <w:p w14:paraId="21E9AC6E">
                        <w:pPr>
                          <w:pStyle w:val="2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7830180A">
                    <w:pPr>
                      <w:pStyle w:val="2"/>
                    </w:pPr>
                  </w:p>
                </w:txbxContent>
              </v:textbox>
            </v:shape>
          </w:pict>
        </mc:Fallback>
      </mc:AlternateContent>
    </w:r>
  </w:p>
  <w:p w14:paraId="09028809">
    <w:pPr>
      <w:pStyle w:val="2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0D197">
    <w:pPr>
      <w:pStyle w:val="24"/>
      <w:jc w:val="both"/>
      <w:rPr>
        <w:rFonts w:hint="eastAsi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3F70D"/>
    <w:multiLevelType w:val="singleLevel"/>
    <w:tmpl w:val="82E3F70D"/>
    <w:lvl w:ilvl="0" w:tentative="0">
      <w:start w:val="5"/>
      <w:numFmt w:val="chineseCounting"/>
      <w:suff w:val="nothing"/>
      <w:lvlText w:val="（%1）"/>
      <w:lvlJc w:val="left"/>
      <w:rPr>
        <w:rFonts w:hint="eastAsia"/>
      </w:rPr>
    </w:lvl>
  </w:abstractNum>
  <w:abstractNum w:abstractNumId="1">
    <w:nsid w:val="C0158C3F"/>
    <w:multiLevelType w:val="singleLevel"/>
    <w:tmpl w:val="C0158C3F"/>
    <w:lvl w:ilvl="0" w:tentative="0">
      <w:start w:val="1"/>
      <w:numFmt w:val="decimal"/>
      <w:lvlText w:val="%1."/>
      <w:lvlJc w:val="left"/>
      <w:pPr>
        <w:tabs>
          <w:tab w:val="left" w:pos="312"/>
        </w:tabs>
      </w:pPr>
    </w:lvl>
  </w:abstractNum>
  <w:abstractNum w:abstractNumId="2">
    <w:nsid w:val="CBCA4387"/>
    <w:multiLevelType w:val="multilevel"/>
    <w:tmpl w:val="CBCA4387"/>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CD2D91FB"/>
    <w:multiLevelType w:val="singleLevel"/>
    <w:tmpl w:val="CD2D91FB"/>
    <w:lvl w:ilvl="0" w:tentative="0">
      <w:start w:val="3"/>
      <w:numFmt w:val="chineseCounting"/>
      <w:suff w:val="nothing"/>
      <w:lvlText w:val="（%1）"/>
      <w:lvlJc w:val="left"/>
      <w:rPr>
        <w:rFonts w:hint="eastAsia"/>
      </w:rPr>
    </w:lvl>
  </w:abstractNum>
  <w:abstractNum w:abstractNumId="4">
    <w:nsid w:val="01D4469D"/>
    <w:multiLevelType w:val="multilevel"/>
    <w:tmpl w:val="01D4469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491CF59"/>
    <w:multiLevelType w:val="singleLevel"/>
    <w:tmpl w:val="0491CF59"/>
    <w:lvl w:ilvl="0" w:tentative="0">
      <w:start w:val="7"/>
      <w:numFmt w:val="chineseCounting"/>
      <w:suff w:val="nothing"/>
      <w:lvlText w:val="（%1）"/>
      <w:lvlJc w:val="left"/>
      <w:rPr>
        <w:rFonts w:hint="eastAsia"/>
        <w:b/>
        <w:bCs/>
      </w:rPr>
    </w:lvl>
  </w:abstractNum>
  <w:abstractNum w:abstractNumId="6">
    <w:nsid w:val="070B6939"/>
    <w:multiLevelType w:val="multilevel"/>
    <w:tmpl w:val="070B6939"/>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9680487"/>
    <w:multiLevelType w:val="multilevel"/>
    <w:tmpl w:val="0968048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A9C383F"/>
    <w:multiLevelType w:val="multilevel"/>
    <w:tmpl w:val="0A9C383F"/>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C2D483C"/>
    <w:multiLevelType w:val="multilevel"/>
    <w:tmpl w:val="0C2D483C"/>
    <w:lvl w:ilvl="0" w:tentative="0">
      <w:start w:val="1"/>
      <w:numFmt w:val="decimal"/>
      <w:lvlText w:val="%1."/>
      <w:lvlJc w:val="left"/>
      <w:pPr>
        <w:tabs>
          <w:tab w:val="left" w:pos="720"/>
        </w:tabs>
        <w:ind w:left="720" w:hanging="360"/>
      </w:pPr>
      <w:rPr>
        <w:rFonts w:hint="eastAsia"/>
      </w:rPr>
    </w:lvl>
    <w:lvl w:ilvl="1" w:tentative="0">
      <w:start w:val="1"/>
      <w:numFmt w:val="decimal"/>
      <w:lvlText w:val="%2."/>
      <w:lvlJc w:val="left"/>
      <w:pPr>
        <w:tabs>
          <w:tab w:val="left" w:pos="1140"/>
        </w:tabs>
        <w:ind w:left="1140" w:hanging="360"/>
      </w:pPr>
      <w:rPr>
        <w:rFonts w:hint="eastAsia"/>
      </w:rPr>
    </w:lvl>
    <w:lvl w:ilvl="2" w:tentative="0">
      <w:start w:val="1"/>
      <w:numFmt w:val="japaneseCounting"/>
      <w:lvlText w:val="%3、"/>
      <w:lvlJc w:val="left"/>
      <w:pPr>
        <w:tabs>
          <w:tab w:val="left" w:pos="1560"/>
        </w:tabs>
        <w:ind w:left="1560" w:hanging="360"/>
      </w:pPr>
      <w:rPr>
        <w:rFonts w:hint="eastAsia"/>
      </w:rPr>
    </w:lvl>
    <w:lvl w:ilvl="3" w:tentative="0">
      <w:start w:val="1"/>
      <w:numFmt w:val="decimal"/>
      <w:lvlText w:val="%4."/>
      <w:lvlJc w:val="left"/>
      <w:pPr>
        <w:tabs>
          <w:tab w:val="left" w:pos="2040"/>
        </w:tabs>
        <w:ind w:left="2040" w:hanging="420"/>
      </w:pPr>
    </w:lvl>
    <w:lvl w:ilvl="4" w:tentative="0">
      <w:start w:val="1"/>
      <w:numFmt w:val="decimal"/>
      <w:lvlText w:val="（%5）"/>
      <w:lvlJc w:val="left"/>
      <w:pPr>
        <w:tabs>
          <w:tab w:val="left" w:pos="2760"/>
        </w:tabs>
        <w:ind w:left="2760" w:hanging="720"/>
      </w:pPr>
      <w:rPr>
        <w:rFonts w:hint="eastAsia"/>
      </w:r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0">
    <w:nsid w:val="18E11C3C"/>
    <w:multiLevelType w:val="multilevel"/>
    <w:tmpl w:val="18E11C3C"/>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12">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5107505"/>
    <w:multiLevelType w:val="multilevel"/>
    <w:tmpl w:val="3510750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62D19BE"/>
    <w:multiLevelType w:val="multilevel"/>
    <w:tmpl w:val="362D19BE"/>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9843CD9"/>
    <w:multiLevelType w:val="multilevel"/>
    <w:tmpl w:val="39843CD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9FE05AD"/>
    <w:multiLevelType w:val="multilevel"/>
    <w:tmpl w:val="39FE05A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A0105B5"/>
    <w:multiLevelType w:val="multilevel"/>
    <w:tmpl w:val="3A0105B5"/>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8">
    <w:nsid w:val="3FA84B13"/>
    <w:multiLevelType w:val="multilevel"/>
    <w:tmpl w:val="3FA84B13"/>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2B56A15"/>
    <w:multiLevelType w:val="multilevel"/>
    <w:tmpl w:val="42B56A1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431E1E9D"/>
    <w:multiLevelType w:val="multilevel"/>
    <w:tmpl w:val="431E1E9D"/>
    <w:lvl w:ilvl="0" w:tentative="0">
      <w:start w:val="1"/>
      <w:numFmt w:val="decimal"/>
      <w:lvlText w:val="（%1）"/>
      <w:lvlJc w:val="left"/>
      <w:pPr>
        <w:tabs>
          <w:tab w:val="left" w:pos="902"/>
        </w:tabs>
        <w:ind w:left="902" w:hanging="420"/>
      </w:pPr>
      <w:rPr>
        <w:rFonts w:hint="eastAsia"/>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1">
    <w:nsid w:val="447B6378"/>
    <w:multiLevelType w:val="multilevel"/>
    <w:tmpl w:val="447B6378"/>
    <w:lvl w:ilvl="0" w:tentative="0">
      <w:start w:val="1"/>
      <w:numFmt w:val="decimal"/>
      <w:pStyle w:val="44"/>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4FD04E75"/>
    <w:multiLevelType w:val="singleLevel"/>
    <w:tmpl w:val="4FD04E75"/>
    <w:lvl w:ilvl="0" w:tentative="0">
      <w:start w:val="6"/>
      <w:numFmt w:val="chineseCounting"/>
      <w:suff w:val="nothing"/>
      <w:lvlText w:val="（%1）"/>
      <w:lvlJc w:val="left"/>
      <w:rPr>
        <w:rFonts w:hint="eastAsia"/>
      </w:rPr>
    </w:lvl>
  </w:abstractNum>
  <w:abstractNum w:abstractNumId="23">
    <w:nsid w:val="519869B7"/>
    <w:multiLevelType w:val="multilevel"/>
    <w:tmpl w:val="519869B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29B3B6E"/>
    <w:multiLevelType w:val="multilevel"/>
    <w:tmpl w:val="529B3B6E"/>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2F7058B"/>
    <w:multiLevelType w:val="multilevel"/>
    <w:tmpl w:val="52F7058B"/>
    <w:lvl w:ilvl="0" w:tentative="0">
      <w:start w:val="1"/>
      <w:numFmt w:val="decimal"/>
      <w:lvlText w:val="%1."/>
      <w:lvlJc w:val="left"/>
      <w:pPr>
        <w:tabs>
          <w:tab w:val="left" w:pos="830"/>
        </w:tabs>
        <w:ind w:left="830" w:hanging="360"/>
      </w:pPr>
      <w:rPr>
        <w:rFonts w:hint="eastAsia" w:ascii="黑体" w:hAnsi="Times New Roman"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6">
    <w:nsid w:val="530F2C8E"/>
    <w:multiLevelType w:val="multilevel"/>
    <w:tmpl w:val="530F2C8E"/>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8B657F2"/>
    <w:multiLevelType w:val="multilevel"/>
    <w:tmpl w:val="68B657F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9A06F9C"/>
    <w:multiLevelType w:val="multilevel"/>
    <w:tmpl w:val="69A06F9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9">
    <w:nsid w:val="6D20426D"/>
    <w:multiLevelType w:val="multilevel"/>
    <w:tmpl w:val="6D20426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04A0C0D"/>
    <w:multiLevelType w:val="multilevel"/>
    <w:tmpl w:val="704A0C0D"/>
    <w:lvl w:ilvl="0" w:tentative="0">
      <w:start w:val="1"/>
      <w:numFmt w:val="decimal"/>
      <w:suff w:val="nothing"/>
      <w:lvlText w:val="（%1）"/>
      <w:lvlJc w:val="left"/>
      <w:pPr>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749D759A"/>
    <w:multiLevelType w:val="multilevel"/>
    <w:tmpl w:val="749D759A"/>
    <w:lvl w:ilvl="0" w:tentative="0">
      <w:start w:val="1"/>
      <w:numFmt w:val="upp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2">
    <w:nsid w:val="79841C79"/>
    <w:multiLevelType w:val="multilevel"/>
    <w:tmpl w:val="79841C7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E9200FF"/>
    <w:multiLevelType w:val="multilevel"/>
    <w:tmpl w:val="7E9200FF"/>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7F01297A"/>
    <w:multiLevelType w:val="multilevel"/>
    <w:tmpl w:val="7F01297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7FA60DCC"/>
    <w:multiLevelType w:val="singleLevel"/>
    <w:tmpl w:val="7FA60DCC"/>
    <w:lvl w:ilvl="0" w:tentative="0">
      <w:start w:val="1"/>
      <w:numFmt w:val="lowerLetter"/>
      <w:suff w:val="space"/>
      <w:lvlText w:val="%1)"/>
      <w:lvlJc w:val="left"/>
    </w:lvl>
  </w:abstractNum>
  <w:num w:numId="1">
    <w:abstractNumId w:val="21"/>
  </w:num>
  <w:num w:numId="2">
    <w:abstractNumId w:val="6"/>
  </w:num>
  <w:num w:numId="3">
    <w:abstractNumId w:val="14"/>
  </w:num>
  <w:num w:numId="4">
    <w:abstractNumId w:val="8"/>
  </w:num>
  <w:num w:numId="5">
    <w:abstractNumId w:val="4"/>
  </w:num>
  <w:num w:numId="6">
    <w:abstractNumId w:val="20"/>
  </w:num>
  <w:num w:numId="7">
    <w:abstractNumId w:val="3"/>
  </w:num>
  <w:num w:numId="8">
    <w:abstractNumId w:val="2"/>
  </w:num>
  <w:num w:numId="9">
    <w:abstractNumId w:val="35"/>
  </w:num>
  <w:num w:numId="10">
    <w:abstractNumId w:val="0"/>
  </w:num>
  <w:num w:numId="11">
    <w:abstractNumId w:val="22"/>
  </w:num>
  <w:num w:numId="12">
    <w:abstractNumId w:val="5"/>
  </w:num>
  <w:num w:numId="13">
    <w:abstractNumId w:val="1"/>
  </w:num>
  <w:num w:numId="14">
    <w:abstractNumId w:val="10"/>
  </w:num>
  <w:num w:numId="15">
    <w:abstractNumId w:val="13"/>
  </w:num>
  <w:num w:numId="16">
    <w:abstractNumId w:val="18"/>
  </w:num>
  <w:num w:numId="17">
    <w:abstractNumId w:val="12"/>
  </w:num>
  <w:num w:numId="18">
    <w:abstractNumId w:val="23"/>
  </w:num>
  <w:num w:numId="19">
    <w:abstractNumId w:val="26"/>
  </w:num>
  <w:num w:numId="20">
    <w:abstractNumId w:val="31"/>
  </w:num>
  <w:num w:numId="21">
    <w:abstractNumId w:val="28"/>
  </w:num>
  <w:num w:numId="22">
    <w:abstractNumId w:val="27"/>
  </w:num>
  <w:num w:numId="23">
    <w:abstractNumId w:val="24"/>
  </w:num>
  <w:num w:numId="24">
    <w:abstractNumId w:val="25"/>
    <w:lvlOverride w:ilvl="0">
      <w:startOverride w:val="1"/>
    </w:lvlOverride>
  </w:num>
  <w:num w:numId="25">
    <w:abstractNumId w:val="15"/>
  </w:num>
  <w:num w:numId="26">
    <w:abstractNumId w:val="19"/>
  </w:num>
  <w:num w:numId="27">
    <w:abstractNumId w:val="9"/>
  </w:num>
  <w:num w:numId="28">
    <w:abstractNumId w:val="17"/>
  </w:num>
  <w:num w:numId="29">
    <w:abstractNumId w:val="7"/>
  </w:num>
  <w:num w:numId="30">
    <w:abstractNumId w:val="11"/>
  </w:num>
  <w:num w:numId="31">
    <w:abstractNumId w:val="33"/>
  </w:num>
  <w:num w:numId="32">
    <w:abstractNumId w:val="32"/>
  </w:num>
  <w:num w:numId="33">
    <w:abstractNumId w:val="29"/>
  </w:num>
  <w:num w:numId="34">
    <w:abstractNumId w:val="16"/>
  </w:num>
  <w:num w:numId="35">
    <w:abstractNumId w:val="30"/>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2MzkxMzMxNzk0Njk1ZWJiNmVlNGQzMmQxYmY1MjAifQ=="/>
  </w:docVars>
  <w:rsids>
    <w:rsidRoot w:val="001022A4"/>
    <w:rsid w:val="0000366A"/>
    <w:rsid w:val="00006F7F"/>
    <w:rsid w:val="00007003"/>
    <w:rsid w:val="000075B7"/>
    <w:rsid w:val="000237EA"/>
    <w:rsid w:val="00027CD2"/>
    <w:rsid w:val="00031E0C"/>
    <w:rsid w:val="00040832"/>
    <w:rsid w:val="00040D23"/>
    <w:rsid w:val="000439DA"/>
    <w:rsid w:val="00063604"/>
    <w:rsid w:val="0006370A"/>
    <w:rsid w:val="00066832"/>
    <w:rsid w:val="00067934"/>
    <w:rsid w:val="000720BF"/>
    <w:rsid w:val="0008641D"/>
    <w:rsid w:val="000B39A0"/>
    <w:rsid w:val="000C3E03"/>
    <w:rsid w:val="000C488D"/>
    <w:rsid w:val="000C52EC"/>
    <w:rsid w:val="000D0230"/>
    <w:rsid w:val="000D0AD3"/>
    <w:rsid w:val="000E45BD"/>
    <w:rsid w:val="000E4E33"/>
    <w:rsid w:val="000E67CF"/>
    <w:rsid w:val="000F20FD"/>
    <w:rsid w:val="000F39B0"/>
    <w:rsid w:val="001008D8"/>
    <w:rsid w:val="001022A4"/>
    <w:rsid w:val="00115EF7"/>
    <w:rsid w:val="0013642D"/>
    <w:rsid w:val="00146410"/>
    <w:rsid w:val="00150D67"/>
    <w:rsid w:val="00156600"/>
    <w:rsid w:val="00160E9C"/>
    <w:rsid w:val="00172190"/>
    <w:rsid w:val="00173480"/>
    <w:rsid w:val="00181988"/>
    <w:rsid w:val="00182557"/>
    <w:rsid w:val="0018304A"/>
    <w:rsid w:val="001904E9"/>
    <w:rsid w:val="001A77DE"/>
    <w:rsid w:val="001B36EC"/>
    <w:rsid w:val="001C1E0C"/>
    <w:rsid w:val="001D7B23"/>
    <w:rsid w:val="001E2F56"/>
    <w:rsid w:val="002062E6"/>
    <w:rsid w:val="00207131"/>
    <w:rsid w:val="0022214D"/>
    <w:rsid w:val="00223585"/>
    <w:rsid w:val="002317DB"/>
    <w:rsid w:val="00232245"/>
    <w:rsid w:val="0023265E"/>
    <w:rsid w:val="00235B5A"/>
    <w:rsid w:val="00251060"/>
    <w:rsid w:val="002514A3"/>
    <w:rsid w:val="00256B32"/>
    <w:rsid w:val="00256D01"/>
    <w:rsid w:val="002706F2"/>
    <w:rsid w:val="00271135"/>
    <w:rsid w:val="00285E30"/>
    <w:rsid w:val="002A1AEC"/>
    <w:rsid w:val="002A1BCB"/>
    <w:rsid w:val="002A5262"/>
    <w:rsid w:val="002A6484"/>
    <w:rsid w:val="002A79C6"/>
    <w:rsid w:val="002C06B9"/>
    <w:rsid w:val="002C0FDD"/>
    <w:rsid w:val="002C5E37"/>
    <w:rsid w:val="002D11F7"/>
    <w:rsid w:val="002D48C5"/>
    <w:rsid w:val="002E0B52"/>
    <w:rsid w:val="002E1CF4"/>
    <w:rsid w:val="002E5FED"/>
    <w:rsid w:val="002F0DA9"/>
    <w:rsid w:val="003113C1"/>
    <w:rsid w:val="00312C3A"/>
    <w:rsid w:val="0031353D"/>
    <w:rsid w:val="0032200D"/>
    <w:rsid w:val="00333B37"/>
    <w:rsid w:val="0034487B"/>
    <w:rsid w:val="00347CC6"/>
    <w:rsid w:val="00347D88"/>
    <w:rsid w:val="00350BCD"/>
    <w:rsid w:val="0035643C"/>
    <w:rsid w:val="00366226"/>
    <w:rsid w:val="003746B0"/>
    <w:rsid w:val="00374A6B"/>
    <w:rsid w:val="00383E1C"/>
    <w:rsid w:val="00390D4A"/>
    <w:rsid w:val="0039222E"/>
    <w:rsid w:val="0039288A"/>
    <w:rsid w:val="00393395"/>
    <w:rsid w:val="0039372E"/>
    <w:rsid w:val="00394AF5"/>
    <w:rsid w:val="003A19A4"/>
    <w:rsid w:val="003A1A1B"/>
    <w:rsid w:val="003A4485"/>
    <w:rsid w:val="003A4878"/>
    <w:rsid w:val="003B4310"/>
    <w:rsid w:val="003B60A6"/>
    <w:rsid w:val="003C5883"/>
    <w:rsid w:val="003C7C49"/>
    <w:rsid w:val="003D3327"/>
    <w:rsid w:val="003E057C"/>
    <w:rsid w:val="003E2B14"/>
    <w:rsid w:val="003E314B"/>
    <w:rsid w:val="003F5655"/>
    <w:rsid w:val="003F5BC6"/>
    <w:rsid w:val="004021C6"/>
    <w:rsid w:val="00406BEF"/>
    <w:rsid w:val="00410595"/>
    <w:rsid w:val="00420F7C"/>
    <w:rsid w:val="00433514"/>
    <w:rsid w:val="00446BB3"/>
    <w:rsid w:val="0045353D"/>
    <w:rsid w:val="004771C7"/>
    <w:rsid w:val="00481C3A"/>
    <w:rsid w:val="004851CA"/>
    <w:rsid w:val="0048656E"/>
    <w:rsid w:val="00493221"/>
    <w:rsid w:val="004A302C"/>
    <w:rsid w:val="004B539D"/>
    <w:rsid w:val="004C1FA1"/>
    <w:rsid w:val="004C3DCC"/>
    <w:rsid w:val="004E0BF9"/>
    <w:rsid w:val="004E0CF9"/>
    <w:rsid w:val="004F3FDD"/>
    <w:rsid w:val="004F46AB"/>
    <w:rsid w:val="00501A4A"/>
    <w:rsid w:val="005032B9"/>
    <w:rsid w:val="005100F2"/>
    <w:rsid w:val="00510300"/>
    <w:rsid w:val="00511D7B"/>
    <w:rsid w:val="00513AD5"/>
    <w:rsid w:val="00523D37"/>
    <w:rsid w:val="00524831"/>
    <w:rsid w:val="0052616B"/>
    <w:rsid w:val="00532F25"/>
    <w:rsid w:val="00541D90"/>
    <w:rsid w:val="00542258"/>
    <w:rsid w:val="0054547C"/>
    <w:rsid w:val="0054632A"/>
    <w:rsid w:val="00551EDC"/>
    <w:rsid w:val="005544D1"/>
    <w:rsid w:val="00554509"/>
    <w:rsid w:val="00561523"/>
    <w:rsid w:val="00561527"/>
    <w:rsid w:val="00594E7A"/>
    <w:rsid w:val="005A146E"/>
    <w:rsid w:val="005A7987"/>
    <w:rsid w:val="005B2C2B"/>
    <w:rsid w:val="005B5936"/>
    <w:rsid w:val="005B6EDA"/>
    <w:rsid w:val="005C0D20"/>
    <w:rsid w:val="005D050C"/>
    <w:rsid w:val="005F7A46"/>
    <w:rsid w:val="00611383"/>
    <w:rsid w:val="00620B1C"/>
    <w:rsid w:val="00626E33"/>
    <w:rsid w:val="006407ED"/>
    <w:rsid w:val="0064251F"/>
    <w:rsid w:val="00643F74"/>
    <w:rsid w:val="006503AE"/>
    <w:rsid w:val="00651EE4"/>
    <w:rsid w:val="00654524"/>
    <w:rsid w:val="00654BCF"/>
    <w:rsid w:val="0066052B"/>
    <w:rsid w:val="006630EF"/>
    <w:rsid w:val="0066446E"/>
    <w:rsid w:val="0066601A"/>
    <w:rsid w:val="006662AB"/>
    <w:rsid w:val="00674212"/>
    <w:rsid w:val="0067621A"/>
    <w:rsid w:val="006815D1"/>
    <w:rsid w:val="00687DD5"/>
    <w:rsid w:val="006923C3"/>
    <w:rsid w:val="006937E9"/>
    <w:rsid w:val="00693EF9"/>
    <w:rsid w:val="006947A5"/>
    <w:rsid w:val="006A1A11"/>
    <w:rsid w:val="006A2C75"/>
    <w:rsid w:val="006A4105"/>
    <w:rsid w:val="006B0C84"/>
    <w:rsid w:val="006B543B"/>
    <w:rsid w:val="006B7E54"/>
    <w:rsid w:val="006C0BD1"/>
    <w:rsid w:val="006C30C8"/>
    <w:rsid w:val="006C5139"/>
    <w:rsid w:val="006C69FC"/>
    <w:rsid w:val="006D069F"/>
    <w:rsid w:val="006D2C95"/>
    <w:rsid w:val="006D5F8F"/>
    <w:rsid w:val="006D6CEA"/>
    <w:rsid w:val="006E3B5C"/>
    <w:rsid w:val="006E3EB8"/>
    <w:rsid w:val="00707B1D"/>
    <w:rsid w:val="00710909"/>
    <w:rsid w:val="00716369"/>
    <w:rsid w:val="00723649"/>
    <w:rsid w:val="007265C3"/>
    <w:rsid w:val="00735F23"/>
    <w:rsid w:val="00740CEF"/>
    <w:rsid w:val="00742261"/>
    <w:rsid w:val="00752C5E"/>
    <w:rsid w:val="007531F9"/>
    <w:rsid w:val="00764378"/>
    <w:rsid w:val="0076591F"/>
    <w:rsid w:val="00766F0F"/>
    <w:rsid w:val="00773B9A"/>
    <w:rsid w:val="0077582F"/>
    <w:rsid w:val="007862C9"/>
    <w:rsid w:val="0079007B"/>
    <w:rsid w:val="007A0F22"/>
    <w:rsid w:val="007B5C1A"/>
    <w:rsid w:val="007C03A0"/>
    <w:rsid w:val="007C2BEF"/>
    <w:rsid w:val="007D3D77"/>
    <w:rsid w:val="007E157B"/>
    <w:rsid w:val="007E4818"/>
    <w:rsid w:val="007E6A7E"/>
    <w:rsid w:val="007F33F3"/>
    <w:rsid w:val="007F6124"/>
    <w:rsid w:val="00801BDF"/>
    <w:rsid w:val="00802B86"/>
    <w:rsid w:val="0082514B"/>
    <w:rsid w:val="00830599"/>
    <w:rsid w:val="008334B0"/>
    <w:rsid w:val="0083496F"/>
    <w:rsid w:val="0083530F"/>
    <w:rsid w:val="00836468"/>
    <w:rsid w:val="00843492"/>
    <w:rsid w:val="00845F16"/>
    <w:rsid w:val="00852AF3"/>
    <w:rsid w:val="00856D2D"/>
    <w:rsid w:val="00856F2E"/>
    <w:rsid w:val="00871560"/>
    <w:rsid w:val="00872D54"/>
    <w:rsid w:val="00872F2D"/>
    <w:rsid w:val="0087585D"/>
    <w:rsid w:val="00880E22"/>
    <w:rsid w:val="00882B6F"/>
    <w:rsid w:val="008834AE"/>
    <w:rsid w:val="00885F4D"/>
    <w:rsid w:val="008962E2"/>
    <w:rsid w:val="008A74EF"/>
    <w:rsid w:val="008B0539"/>
    <w:rsid w:val="008B1C98"/>
    <w:rsid w:val="008B5ADF"/>
    <w:rsid w:val="008D0B3B"/>
    <w:rsid w:val="008D1450"/>
    <w:rsid w:val="008D2E66"/>
    <w:rsid w:val="008D56A5"/>
    <w:rsid w:val="008E1546"/>
    <w:rsid w:val="008E189F"/>
    <w:rsid w:val="008E24ED"/>
    <w:rsid w:val="008E40FE"/>
    <w:rsid w:val="008E57AC"/>
    <w:rsid w:val="008E6D3B"/>
    <w:rsid w:val="00906396"/>
    <w:rsid w:val="0090770A"/>
    <w:rsid w:val="00916E4D"/>
    <w:rsid w:val="00917A63"/>
    <w:rsid w:val="00923C36"/>
    <w:rsid w:val="00924B8E"/>
    <w:rsid w:val="009344DE"/>
    <w:rsid w:val="009357E5"/>
    <w:rsid w:val="00936087"/>
    <w:rsid w:val="009418F8"/>
    <w:rsid w:val="00945D17"/>
    <w:rsid w:val="00965FBF"/>
    <w:rsid w:val="00973941"/>
    <w:rsid w:val="0097751F"/>
    <w:rsid w:val="00980255"/>
    <w:rsid w:val="009804FA"/>
    <w:rsid w:val="00985B78"/>
    <w:rsid w:val="0098649F"/>
    <w:rsid w:val="00993AFA"/>
    <w:rsid w:val="0099686E"/>
    <w:rsid w:val="00996DF2"/>
    <w:rsid w:val="009A41B0"/>
    <w:rsid w:val="009A4756"/>
    <w:rsid w:val="009A4C46"/>
    <w:rsid w:val="009A4DBF"/>
    <w:rsid w:val="009B3513"/>
    <w:rsid w:val="009B39EA"/>
    <w:rsid w:val="009D3FC3"/>
    <w:rsid w:val="009D433D"/>
    <w:rsid w:val="009D4484"/>
    <w:rsid w:val="009D5889"/>
    <w:rsid w:val="009D7755"/>
    <w:rsid w:val="009F1D20"/>
    <w:rsid w:val="00A00548"/>
    <w:rsid w:val="00A00713"/>
    <w:rsid w:val="00A00731"/>
    <w:rsid w:val="00A11A5C"/>
    <w:rsid w:val="00A22235"/>
    <w:rsid w:val="00A22F7B"/>
    <w:rsid w:val="00A23801"/>
    <w:rsid w:val="00A2554C"/>
    <w:rsid w:val="00A33652"/>
    <w:rsid w:val="00A3798C"/>
    <w:rsid w:val="00A42866"/>
    <w:rsid w:val="00A461C1"/>
    <w:rsid w:val="00A46B5C"/>
    <w:rsid w:val="00A50D6E"/>
    <w:rsid w:val="00A51DD8"/>
    <w:rsid w:val="00A647EA"/>
    <w:rsid w:val="00A736C6"/>
    <w:rsid w:val="00A82472"/>
    <w:rsid w:val="00A83F1F"/>
    <w:rsid w:val="00A8416F"/>
    <w:rsid w:val="00AA0223"/>
    <w:rsid w:val="00AB28B8"/>
    <w:rsid w:val="00AB3B77"/>
    <w:rsid w:val="00AC57B7"/>
    <w:rsid w:val="00AC73C5"/>
    <w:rsid w:val="00AC755C"/>
    <w:rsid w:val="00AD0E13"/>
    <w:rsid w:val="00AD5ABF"/>
    <w:rsid w:val="00AF45C5"/>
    <w:rsid w:val="00AF5667"/>
    <w:rsid w:val="00B05DD5"/>
    <w:rsid w:val="00B12477"/>
    <w:rsid w:val="00B13343"/>
    <w:rsid w:val="00B1354B"/>
    <w:rsid w:val="00B220B2"/>
    <w:rsid w:val="00B23942"/>
    <w:rsid w:val="00B4327E"/>
    <w:rsid w:val="00B467A4"/>
    <w:rsid w:val="00B5286D"/>
    <w:rsid w:val="00B545BC"/>
    <w:rsid w:val="00B61032"/>
    <w:rsid w:val="00B61D2E"/>
    <w:rsid w:val="00B71854"/>
    <w:rsid w:val="00B71DA4"/>
    <w:rsid w:val="00B7235B"/>
    <w:rsid w:val="00B76348"/>
    <w:rsid w:val="00B81261"/>
    <w:rsid w:val="00B82556"/>
    <w:rsid w:val="00B87655"/>
    <w:rsid w:val="00B87801"/>
    <w:rsid w:val="00B92871"/>
    <w:rsid w:val="00B928DA"/>
    <w:rsid w:val="00BA5AC3"/>
    <w:rsid w:val="00BA630D"/>
    <w:rsid w:val="00BB06B4"/>
    <w:rsid w:val="00BB2551"/>
    <w:rsid w:val="00BB4892"/>
    <w:rsid w:val="00BB5E9B"/>
    <w:rsid w:val="00BC1A44"/>
    <w:rsid w:val="00BC5C37"/>
    <w:rsid w:val="00BC7ED2"/>
    <w:rsid w:val="00BD0190"/>
    <w:rsid w:val="00BE212E"/>
    <w:rsid w:val="00BE4AAB"/>
    <w:rsid w:val="00BE5086"/>
    <w:rsid w:val="00BF4971"/>
    <w:rsid w:val="00C07F40"/>
    <w:rsid w:val="00C12E85"/>
    <w:rsid w:val="00C16A79"/>
    <w:rsid w:val="00C20278"/>
    <w:rsid w:val="00C22791"/>
    <w:rsid w:val="00C236DC"/>
    <w:rsid w:val="00C32F79"/>
    <w:rsid w:val="00C33FD2"/>
    <w:rsid w:val="00C35271"/>
    <w:rsid w:val="00C4036A"/>
    <w:rsid w:val="00C50E28"/>
    <w:rsid w:val="00C62934"/>
    <w:rsid w:val="00C64428"/>
    <w:rsid w:val="00C74D6F"/>
    <w:rsid w:val="00C842DE"/>
    <w:rsid w:val="00C902FB"/>
    <w:rsid w:val="00C965AE"/>
    <w:rsid w:val="00CA0AED"/>
    <w:rsid w:val="00CA66E6"/>
    <w:rsid w:val="00CC29DE"/>
    <w:rsid w:val="00CC3B64"/>
    <w:rsid w:val="00CD37C6"/>
    <w:rsid w:val="00CD3BA4"/>
    <w:rsid w:val="00CD41AA"/>
    <w:rsid w:val="00CD6943"/>
    <w:rsid w:val="00CE6C2F"/>
    <w:rsid w:val="00CE73CC"/>
    <w:rsid w:val="00CE7E9C"/>
    <w:rsid w:val="00CF2EF3"/>
    <w:rsid w:val="00CF3298"/>
    <w:rsid w:val="00D02F3B"/>
    <w:rsid w:val="00D0657B"/>
    <w:rsid w:val="00D129CB"/>
    <w:rsid w:val="00D16A04"/>
    <w:rsid w:val="00D27C17"/>
    <w:rsid w:val="00D41B89"/>
    <w:rsid w:val="00D47F27"/>
    <w:rsid w:val="00D5212B"/>
    <w:rsid w:val="00D5541F"/>
    <w:rsid w:val="00D57923"/>
    <w:rsid w:val="00D66387"/>
    <w:rsid w:val="00D741B6"/>
    <w:rsid w:val="00D74BD0"/>
    <w:rsid w:val="00D74FED"/>
    <w:rsid w:val="00D75A81"/>
    <w:rsid w:val="00D7761F"/>
    <w:rsid w:val="00D86806"/>
    <w:rsid w:val="00D86C35"/>
    <w:rsid w:val="00DB04FB"/>
    <w:rsid w:val="00DB6DFF"/>
    <w:rsid w:val="00DC003F"/>
    <w:rsid w:val="00DE72B3"/>
    <w:rsid w:val="00DF4668"/>
    <w:rsid w:val="00E00172"/>
    <w:rsid w:val="00E0533A"/>
    <w:rsid w:val="00E0701A"/>
    <w:rsid w:val="00E131D1"/>
    <w:rsid w:val="00E17AA0"/>
    <w:rsid w:val="00E2655B"/>
    <w:rsid w:val="00E311AB"/>
    <w:rsid w:val="00E358BF"/>
    <w:rsid w:val="00E36EC8"/>
    <w:rsid w:val="00E51146"/>
    <w:rsid w:val="00E512A9"/>
    <w:rsid w:val="00E54AF9"/>
    <w:rsid w:val="00E5624E"/>
    <w:rsid w:val="00E601D4"/>
    <w:rsid w:val="00E64C88"/>
    <w:rsid w:val="00E7179D"/>
    <w:rsid w:val="00E74832"/>
    <w:rsid w:val="00E81B04"/>
    <w:rsid w:val="00E820C5"/>
    <w:rsid w:val="00E87550"/>
    <w:rsid w:val="00E9413F"/>
    <w:rsid w:val="00E973D2"/>
    <w:rsid w:val="00EC7C64"/>
    <w:rsid w:val="00ED00D6"/>
    <w:rsid w:val="00EE26DC"/>
    <w:rsid w:val="00EE3FF1"/>
    <w:rsid w:val="00EE5816"/>
    <w:rsid w:val="00F03292"/>
    <w:rsid w:val="00F0565C"/>
    <w:rsid w:val="00F121AE"/>
    <w:rsid w:val="00F15852"/>
    <w:rsid w:val="00F23F4B"/>
    <w:rsid w:val="00F46C50"/>
    <w:rsid w:val="00F56CD7"/>
    <w:rsid w:val="00F60B61"/>
    <w:rsid w:val="00F66852"/>
    <w:rsid w:val="00F66E89"/>
    <w:rsid w:val="00F67822"/>
    <w:rsid w:val="00F70621"/>
    <w:rsid w:val="00F74182"/>
    <w:rsid w:val="00F7607A"/>
    <w:rsid w:val="00F8517B"/>
    <w:rsid w:val="00F90250"/>
    <w:rsid w:val="00F91395"/>
    <w:rsid w:val="00F961D7"/>
    <w:rsid w:val="00F97A2B"/>
    <w:rsid w:val="00FA0CA3"/>
    <w:rsid w:val="00FA3BC5"/>
    <w:rsid w:val="00FA40FE"/>
    <w:rsid w:val="00FB08DC"/>
    <w:rsid w:val="00FB0D30"/>
    <w:rsid w:val="00FB1AE0"/>
    <w:rsid w:val="00FB34C2"/>
    <w:rsid w:val="00FB42F5"/>
    <w:rsid w:val="00FD76E1"/>
    <w:rsid w:val="00FE0970"/>
    <w:rsid w:val="00FF3F3A"/>
    <w:rsid w:val="00FF400F"/>
    <w:rsid w:val="01286028"/>
    <w:rsid w:val="01D40289"/>
    <w:rsid w:val="01FC1052"/>
    <w:rsid w:val="0227136C"/>
    <w:rsid w:val="0233386D"/>
    <w:rsid w:val="028139B3"/>
    <w:rsid w:val="02AD3196"/>
    <w:rsid w:val="02CA7BCA"/>
    <w:rsid w:val="02FF2FAA"/>
    <w:rsid w:val="03E25EBE"/>
    <w:rsid w:val="044F5D72"/>
    <w:rsid w:val="047C1AFE"/>
    <w:rsid w:val="04F52FA5"/>
    <w:rsid w:val="06D73646"/>
    <w:rsid w:val="07727233"/>
    <w:rsid w:val="07737445"/>
    <w:rsid w:val="07C33C3F"/>
    <w:rsid w:val="07D25065"/>
    <w:rsid w:val="08014698"/>
    <w:rsid w:val="082779D0"/>
    <w:rsid w:val="08531220"/>
    <w:rsid w:val="08580961"/>
    <w:rsid w:val="08C63F68"/>
    <w:rsid w:val="08D21531"/>
    <w:rsid w:val="09AC1C5B"/>
    <w:rsid w:val="09C41C01"/>
    <w:rsid w:val="09CE174C"/>
    <w:rsid w:val="09DE0562"/>
    <w:rsid w:val="0A1D5B2D"/>
    <w:rsid w:val="0A89528F"/>
    <w:rsid w:val="0B073859"/>
    <w:rsid w:val="0BB24C22"/>
    <w:rsid w:val="0BBF669C"/>
    <w:rsid w:val="0C0F0EA7"/>
    <w:rsid w:val="0C1741FF"/>
    <w:rsid w:val="0C1B31DE"/>
    <w:rsid w:val="0C2D757F"/>
    <w:rsid w:val="0C535225"/>
    <w:rsid w:val="0C8F0E82"/>
    <w:rsid w:val="0D1A36F5"/>
    <w:rsid w:val="0D2A3ABE"/>
    <w:rsid w:val="0D4738AD"/>
    <w:rsid w:val="0E4746BC"/>
    <w:rsid w:val="0E7C0027"/>
    <w:rsid w:val="0E9A56E1"/>
    <w:rsid w:val="0F0A3BA7"/>
    <w:rsid w:val="0F6861FE"/>
    <w:rsid w:val="0F705A14"/>
    <w:rsid w:val="0F9D2C6D"/>
    <w:rsid w:val="10047D52"/>
    <w:rsid w:val="109127D2"/>
    <w:rsid w:val="111F2762"/>
    <w:rsid w:val="116C7B5C"/>
    <w:rsid w:val="11DF6C1B"/>
    <w:rsid w:val="124B359D"/>
    <w:rsid w:val="12F90B9E"/>
    <w:rsid w:val="132D77D9"/>
    <w:rsid w:val="134F69E2"/>
    <w:rsid w:val="13843111"/>
    <w:rsid w:val="13C15539"/>
    <w:rsid w:val="13E35D7A"/>
    <w:rsid w:val="154E7F02"/>
    <w:rsid w:val="157418B7"/>
    <w:rsid w:val="15EA028F"/>
    <w:rsid w:val="167B4357"/>
    <w:rsid w:val="167D2FDD"/>
    <w:rsid w:val="185C36C6"/>
    <w:rsid w:val="18664544"/>
    <w:rsid w:val="189529A5"/>
    <w:rsid w:val="1A183982"/>
    <w:rsid w:val="1A494B7D"/>
    <w:rsid w:val="1B481EA2"/>
    <w:rsid w:val="1B815B4D"/>
    <w:rsid w:val="1C362480"/>
    <w:rsid w:val="1CD770EC"/>
    <w:rsid w:val="1D217D2A"/>
    <w:rsid w:val="1DB22149"/>
    <w:rsid w:val="1DC064A5"/>
    <w:rsid w:val="1DD728CD"/>
    <w:rsid w:val="1E7459EC"/>
    <w:rsid w:val="1E91399D"/>
    <w:rsid w:val="1F0E2CAF"/>
    <w:rsid w:val="206465BD"/>
    <w:rsid w:val="20745325"/>
    <w:rsid w:val="20F81003"/>
    <w:rsid w:val="217301BA"/>
    <w:rsid w:val="22076385"/>
    <w:rsid w:val="22376565"/>
    <w:rsid w:val="224227C1"/>
    <w:rsid w:val="22AD4B1E"/>
    <w:rsid w:val="23D5432C"/>
    <w:rsid w:val="245324FA"/>
    <w:rsid w:val="24994059"/>
    <w:rsid w:val="24B2219B"/>
    <w:rsid w:val="24B44889"/>
    <w:rsid w:val="25A9221E"/>
    <w:rsid w:val="25C72DAF"/>
    <w:rsid w:val="25D4535E"/>
    <w:rsid w:val="25D6107C"/>
    <w:rsid w:val="25E114CD"/>
    <w:rsid w:val="268329C3"/>
    <w:rsid w:val="28400CE2"/>
    <w:rsid w:val="285726DC"/>
    <w:rsid w:val="28F306BC"/>
    <w:rsid w:val="291C4568"/>
    <w:rsid w:val="2AEE4B12"/>
    <w:rsid w:val="2B74267D"/>
    <w:rsid w:val="2BF86A81"/>
    <w:rsid w:val="2CB86575"/>
    <w:rsid w:val="2D4F46CF"/>
    <w:rsid w:val="2DCC0D34"/>
    <w:rsid w:val="2E277E7A"/>
    <w:rsid w:val="2E342D23"/>
    <w:rsid w:val="2E6A629D"/>
    <w:rsid w:val="2F167CA6"/>
    <w:rsid w:val="2F9B005A"/>
    <w:rsid w:val="2FC40C1D"/>
    <w:rsid w:val="2FC6522B"/>
    <w:rsid w:val="302760F9"/>
    <w:rsid w:val="304E7940"/>
    <w:rsid w:val="30894E1C"/>
    <w:rsid w:val="30B471BD"/>
    <w:rsid w:val="30D77936"/>
    <w:rsid w:val="30E20F06"/>
    <w:rsid w:val="312F7772"/>
    <w:rsid w:val="31B9751F"/>
    <w:rsid w:val="31EB273D"/>
    <w:rsid w:val="32711E60"/>
    <w:rsid w:val="327D078A"/>
    <w:rsid w:val="32843053"/>
    <w:rsid w:val="33150BE9"/>
    <w:rsid w:val="339935C8"/>
    <w:rsid w:val="33F66A11"/>
    <w:rsid w:val="34CD25FA"/>
    <w:rsid w:val="355E7319"/>
    <w:rsid w:val="358552F0"/>
    <w:rsid w:val="362631B4"/>
    <w:rsid w:val="36CA5B5B"/>
    <w:rsid w:val="36ED2B4E"/>
    <w:rsid w:val="371A4A20"/>
    <w:rsid w:val="379F4F25"/>
    <w:rsid w:val="379F7A09"/>
    <w:rsid w:val="39665FBD"/>
    <w:rsid w:val="3A374506"/>
    <w:rsid w:val="3A631110"/>
    <w:rsid w:val="3A774248"/>
    <w:rsid w:val="3B510614"/>
    <w:rsid w:val="3BF67C98"/>
    <w:rsid w:val="3C372D23"/>
    <w:rsid w:val="3C695B5F"/>
    <w:rsid w:val="3D5D2603"/>
    <w:rsid w:val="3D5E0E89"/>
    <w:rsid w:val="3D926692"/>
    <w:rsid w:val="3DA07FFB"/>
    <w:rsid w:val="3E32264F"/>
    <w:rsid w:val="3E7D69AF"/>
    <w:rsid w:val="3E885B96"/>
    <w:rsid w:val="3EE26297"/>
    <w:rsid w:val="40B444DA"/>
    <w:rsid w:val="41263FC1"/>
    <w:rsid w:val="42297828"/>
    <w:rsid w:val="423E7774"/>
    <w:rsid w:val="429C09DF"/>
    <w:rsid w:val="43DB6061"/>
    <w:rsid w:val="43F14D5A"/>
    <w:rsid w:val="44202F4A"/>
    <w:rsid w:val="44791D1E"/>
    <w:rsid w:val="44C11AA6"/>
    <w:rsid w:val="45415D40"/>
    <w:rsid w:val="464A3696"/>
    <w:rsid w:val="466B70DD"/>
    <w:rsid w:val="46833059"/>
    <w:rsid w:val="46886904"/>
    <w:rsid w:val="4753708C"/>
    <w:rsid w:val="47A655F6"/>
    <w:rsid w:val="47C3273A"/>
    <w:rsid w:val="48492ED4"/>
    <w:rsid w:val="487B247F"/>
    <w:rsid w:val="488538B1"/>
    <w:rsid w:val="48E26FDE"/>
    <w:rsid w:val="490B5937"/>
    <w:rsid w:val="490C4C58"/>
    <w:rsid w:val="49A95790"/>
    <w:rsid w:val="49C80DC6"/>
    <w:rsid w:val="49EC4FB2"/>
    <w:rsid w:val="4A6447FC"/>
    <w:rsid w:val="4A866A51"/>
    <w:rsid w:val="4ADA1CF2"/>
    <w:rsid w:val="4B4F76A7"/>
    <w:rsid w:val="4B6A0712"/>
    <w:rsid w:val="4BE8466A"/>
    <w:rsid w:val="4C237A7B"/>
    <w:rsid w:val="4CE02864"/>
    <w:rsid w:val="4D6D763B"/>
    <w:rsid w:val="4D84279B"/>
    <w:rsid w:val="4DB5669C"/>
    <w:rsid w:val="4DCA468F"/>
    <w:rsid w:val="4E063E26"/>
    <w:rsid w:val="4FED287A"/>
    <w:rsid w:val="50067498"/>
    <w:rsid w:val="5039723F"/>
    <w:rsid w:val="50593A6B"/>
    <w:rsid w:val="50926F7D"/>
    <w:rsid w:val="51AE366B"/>
    <w:rsid w:val="52057887"/>
    <w:rsid w:val="5206024C"/>
    <w:rsid w:val="523A34FC"/>
    <w:rsid w:val="52494DBF"/>
    <w:rsid w:val="525261E9"/>
    <w:rsid w:val="52C11263"/>
    <w:rsid w:val="532E2213"/>
    <w:rsid w:val="5332320C"/>
    <w:rsid w:val="538B4884"/>
    <w:rsid w:val="53B34397"/>
    <w:rsid w:val="53FB308C"/>
    <w:rsid w:val="5471551F"/>
    <w:rsid w:val="54E71E04"/>
    <w:rsid w:val="550078C9"/>
    <w:rsid w:val="553300E1"/>
    <w:rsid w:val="558A33FA"/>
    <w:rsid w:val="56537B04"/>
    <w:rsid w:val="56975D64"/>
    <w:rsid w:val="574868BE"/>
    <w:rsid w:val="57B11136"/>
    <w:rsid w:val="58275743"/>
    <w:rsid w:val="58542A76"/>
    <w:rsid w:val="59946C72"/>
    <w:rsid w:val="5A981634"/>
    <w:rsid w:val="5ACE232B"/>
    <w:rsid w:val="5AFA096D"/>
    <w:rsid w:val="5B3F7D02"/>
    <w:rsid w:val="5C433404"/>
    <w:rsid w:val="5C9F6CAA"/>
    <w:rsid w:val="5D4F58C1"/>
    <w:rsid w:val="5D9C77F1"/>
    <w:rsid w:val="5E1A6B31"/>
    <w:rsid w:val="5E9006E9"/>
    <w:rsid w:val="5F2D51B5"/>
    <w:rsid w:val="5F8B79B9"/>
    <w:rsid w:val="603C7EC5"/>
    <w:rsid w:val="60B07E37"/>
    <w:rsid w:val="60F15F42"/>
    <w:rsid w:val="61251748"/>
    <w:rsid w:val="61327568"/>
    <w:rsid w:val="61903065"/>
    <w:rsid w:val="61DC459E"/>
    <w:rsid w:val="62145A44"/>
    <w:rsid w:val="62F031FE"/>
    <w:rsid w:val="631D39FC"/>
    <w:rsid w:val="63D74F7B"/>
    <w:rsid w:val="65AC2C8F"/>
    <w:rsid w:val="65B04D7D"/>
    <w:rsid w:val="661204ED"/>
    <w:rsid w:val="664F1AF2"/>
    <w:rsid w:val="66A52AB3"/>
    <w:rsid w:val="66CD4D5B"/>
    <w:rsid w:val="66D451B4"/>
    <w:rsid w:val="67056EA1"/>
    <w:rsid w:val="67293782"/>
    <w:rsid w:val="67643B73"/>
    <w:rsid w:val="6792766D"/>
    <w:rsid w:val="67AC4971"/>
    <w:rsid w:val="68054845"/>
    <w:rsid w:val="68153625"/>
    <w:rsid w:val="68935378"/>
    <w:rsid w:val="68967D59"/>
    <w:rsid w:val="68D73994"/>
    <w:rsid w:val="69216639"/>
    <w:rsid w:val="697E069E"/>
    <w:rsid w:val="6A482C7A"/>
    <w:rsid w:val="6A5671E8"/>
    <w:rsid w:val="6B80414A"/>
    <w:rsid w:val="6B9C2183"/>
    <w:rsid w:val="6BD821D8"/>
    <w:rsid w:val="6C691082"/>
    <w:rsid w:val="6C7157A2"/>
    <w:rsid w:val="6CB93DB8"/>
    <w:rsid w:val="6D254935"/>
    <w:rsid w:val="6D3B18E0"/>
    <w:rsid w:val="6DAB3D20"/>
    <w:rsid w:val="6E3D4575"/>
    <w:rsid w:val="6E7D1C1C"/>
    <w:rsid w:val="6E8102AC"/>
    <w:rsid w:val="6EA75E92"/>
    <w:rsid w:val="703F7B99"/>
    <w:rsid w:val="7073427E"/>
    <w:rsid w:val="709541F4"/>
    <w:rsid w:val="70D333AE"/>
    <w:rsid w:val="71321FE1"/>
    <w:rsid w:val="718304F0"/>
    <w:rsid w:val="72631049"/>
    <w:rsid w:val="726F7FB0"/>
    <w:rsid w:val="728E195E"/>
    <w:rsid w:val="73F76F74"/>
    <w:rsid w:val="741060F5"/>
    <w:rsid w:val="745135E2"/>
    <w:rsid w:val="74B60BDD"/>
    <w:rsid w:val="752124FA"/>
    <w:rsid w:val="75D3714B"/>
    <w:rsid w:val="76562D52"/>
    <w:rsid w:val="76A57F41"/>
    <w:rsid w:val="7760252B"/>
    <w:rsid w:val="77D3240E"/>
    <w:rsid w:val="77EB35CE"/>
    <w:rsid w:val="78A219DC"/>
    <w:rsid w:val="78A357ED"/>
    <w:rsid w:val="78B72740"/>
    <w:rsid w:val="7B3B62E0"/>
    <w:rsid w:val="7B923E27"/>
    <w:rsid w:val="7C0650B8"/>
    <w:rsid w:val="7CC85844"/>
    <w:rsid w:val="7CE81B50"/>
    <w:rsid w:val="7CF666B5"/>
    <w:rsid w:val="7D406A1E"/>
    <w:rsid w:val="7D6C6966"/>
    <w:rsid w:val="7DD60C5F"/>
    <w:rsid w:val="7E1B6BDD"/>
    <w:rsid w:val="7E436E76"/>
    <w:rsid w:val="7FA402FC"/>
    <w:rsid w:val="7FC05C95"/>
    <w:rsid w:val="7FC963C2"/>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3">
    <w:name w:val="heading 1"/>
    <w:basedOn w:val="1"/>
    <w:next w:val="1"/>
    <w:link w:val="43"/>
    <w:qFormat/>
    <w:uiPriority w:val="9"/>
    <w:pPr>
      <w:keepNext/>
      <w:keepLines/>
      <w:spacing w:before="340" w:after="330" w:line="578" w:lineRule="auto"/>
      <w:jc w:val="center"/>
      <w:outlineLvl w:val="0"/>
    </w:pPr>
    <w:rPr>
      <w:rFonts w:eastAsia="黑体"/>
      <w:b/>
      <w:bCs/>
      <w:kern w:val="44"/>
      <w:sz w:val="44"/>
      <w:szCs w:val="44"/>
    </w:rPr>
  </w:style>
  <w:style w:type="paragraph" w:styleId="4">
    <w:name w:val="heading 2"/>
    <w:basedOn w:val="1"/>
    <w:next w:val="1"/>
    <w:link w:val="47"/>
    <w:unhideWhenUsed/>
    <w:qFormat/>
    <w:uiPriority w:val="9"/>
    <w:pPr>
      <w:keepNext/>
      <w:keepLines/>
      <w:spacing w:before="260" w:after="260" w:line="416" w:lineRule="auto"/>
      <w:outlineLvl w:val="1"/>
    </w:pPr>
    <w:rPr>
      <w:rFonts w:asciiTheme="majorHAnsi" w:hAnsiTheme="majorHAnsi" w:cstheme="majorBidi"/>
      <w:b/>
      <w:bCs/>
      <w:sz w:val="32"/>
      <w:szCs w:val="32"/>
    </w:rPr>
  </w:style>
  <w:style w:type="paragraph" w:styleId="5">
    <w:name w:val="heading 3"/>
    <w:basedOn w:val="1"/>
    <w:next w:val="1"/>
    <w:link w:val="50"/>
    <w:unhideWhenUsed/>
    <w:qFormat/>
    <w:uiPriority w:val="9"/>
    <w:pPr>
      <w:keepNext/>
      <w:keepLines/>
      <w:spacing w:before="260" w:after="260" w:line="416" w:lineRule="auto"/>
      <w:outlineLvl w:val="2"/>
    </w:pPr>
    <w:rPr>
      <w:b/>
      <w:bCs/>
      <w:sz w:val="30"/>
      <w:szCs w:val="32"/>
    </w:rPr>
  </w:style>
  <w:style w:type="paragraph" w:styleId="6">
    <w:name w:val="heading 4"/>
    <w:basedOn w:val="1"/>
    <w:next w:val="1"/>
    <w:link w:val="51"/>
    <w:unhideWhenUsed/>
    <w:qFormat/>
    <w:uiPriority w:val="9"/>
    <w:pPr>
      <w:keepNext/>
      <w:keepLines/>
      <w:spacing w:before="280" w:after="290" w:line="376" w:lineRule="auto"/>
      <w:outlineLvl w:val="3"/>
    </w:pPr>
    <w:rPr>
      <w:rFonts w:asciiTheme="majorHAnsi" w:hAnsiTheme="majorHAnsi" w:cstheme="majorBidi"/>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2"/>
    <w:qFormat/>
    <w:uiPriority w:val="99"/>
    <w:pPr>
      <w:spacing w:after="120" w:line="240" w:lineRule="auto"/>
      <w:jc w:val="both"/>
    </w:pPr>
    <w:rPr>
      <w:rFonts w:eastAsiaTheme="minorEastAsia"/>
      <w:sz w:val="21"/>
      <w:szCs w:val="24"/>
    </w:rPr>
  </w:style>
  <w:style w:type="paragraph" w:styleId="7">
    <w:name w:val="toc 7"/>
    <w:basedOn w:val="1"/>
    <w:next w:val="1"/>
    <w:unhideWhenUsed/>
    <w:qFormat/>
    <w:uiPriority w:val="39"/>
    <w:pPr>
      <w:ind w:left="1440"/>
    </w:pPr>
    <w:rPr>
      <w:rFonts w:asciiTheme="minorHAnsi" w:eastAsiaTheme="minorHAnsi"/>
      <w:sz w:val="18"/>
      <w:szCs w:val="18"/>
    </w:rPr>
  </w:style>
  <w:style w:type="paragraph" w:styleId="8">
    <w:name w:val="Normal Indent"/>
    <w:basedOn w:val="1"/>
    <w:qFormat/>
    <w:uiPriority w:val="0"/>
    <w:pPr>
      <w:ind w:firstLine="420" w:firstLineChars="200"/>
    </w:pPr>
    <w:rPr>
      <w:kern w:val="0"/>
      <w:sz w:val="20"/>
    </w:rPr>
  </w:style>
  <w:style w:type="paragraph" w:styleId="9">
    <w:name w:val="caption"/>
    <w:basedOn w:val="1"/>
    <w:next w:val="1"/>
    <w:unhideWhenUsed/>
    <w:qFormat/>
    <w:uiPriority w:val="0"/>
    <w:pPr>
      <w:keepNext/>
      <w:ind w:firstLine="0" w:firstLineChars="0"/>
      <w:jc w:val="center"/>
    </w:pPr>
    <w:rPr>
      <w:rFonts w:ascii="宋体" w:hAnsi="宋体" w:eastAsia="宋体"/>
    </w:rPr>
  </w:style>
  <w:style w:type="paragraph" w:styleId="10">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cs="Times New Roman"/>
      <w:kern w:val="0"/>
      <w:sz w:val="20"/>
      <w:szCs w:val="20"/>
    </w:rPr>
  </w:style>
  <w:style w:type="paragraph" w:styleId="11">
    <w:name w:val="Document Map"/>
    <w:basedOn w:val="1"/>
    <w:qFormat/>
    <w:uiPriority w:val="0"/>
    <w:rPr>
      <w:sz w:val="18"/>
      <w:szCs w:val="18"/>
    </w:rPr>
  </w:style>
  <w:style w:type="paragraph" w:styleId="12">
    <w:name w:val="annotation text"/>
    <w:basedOn w:val="1"/>
    <w:link w:val="48"/>
    <w:qFormat/>
    <w:uiPriority w:val="0"/>
    <w:pPr>
      <w:spacing w:line="240" w:lineRule="auto"/>
    </w:pPr>
    <w:rPr>
      <w:rFonts w:eastAsiaTheme="minorEastAsia"/>
      <w:sz w:val="21"/>
      <w:szCs w:val="24"/>
    </w:rPr>
  </w:style>
  <w:style w:type="paragraph" w:styleId="13">
    <w:name w:val="Body Text Indent"/>
    <w:basedOn w:val="14"/>
    <w:qFormat/>
    <w:uiPriority w:val="0"/>
    <w:pPr>
      <w:spacing w:after="120"/>
      <w:ind w:left="420" w:leftChars="200"/>
    </w:pPr>
  </w:style>
  <w:style w:type="paragraph" w:customStyle="1" w:styleId="14">
    <w:name w:val="正文_4"/>
    <w:next w:val="15"/>
    <w:qFormat/>
    <w:uiPriority w:val="0"/>
    <w:pPr>
      <w:widowControl w:val="0"/>
      <w:jc w:val="both"/>
    </w:pPr>
    <w:rPr>
      <w:rFonts w:ascii="Times New Roman" w:hAnsi="Times New Roman" w:eastAsia="宋体" w:cs="Times New Roman"/>
      <w:kern w:val="2"/>
      <w:sz w:val="21"/>
      <w:lang w:val="en-US" w:eastAsia="zh-CN" w:bidi="ar-SA"/>
    </w:rPr>
  </w:style>
  <w:style w:type="paragraph" w:styleId="15">
    <w:name w:val="Body Text First Indent 2"/>
    <w:basedOn w:val="13"/>
    <w:qFormat/>
    <w:uiPriority w:val="0"/>
    <w:pPr>
      <w:ind w:firstLine="420" w:firstLineChars="200"/>
    </w:pPr>
  </w:style>
  <w:style w:type="paragraph" w:styleId="16">
    <w:name w:val="toc 5"/>
    <w:basedOn w:val="1"/>
    <w:next w:val="1"/>
    <w:unhideWhenUsed/>
    <w:qFormat/>
    <w:uiPriority w:val="39"/>
    <w:pPr>
      <w:ind w:left="960"/>
    </w:pPr>
    <w:rPr>
      <w:rFonts w:asciiTheme="minorHAnsi" w:eastAsiaTheme="minorHAnsi"/>
      <w:sz w:val="18"/>
      <w:szCs w:val="18"/>
    </w:rPr>
  </w:style>
  <w:style w:type="paragraph" w:styleId="17">
    <w:name w:val="toc 3"/>
    <w:basedOn w:val="1"/>
    <w:next w:val="1"/>
    <w:unhideWhenUsed/>
    <w:qFormat/>
    <w:uiPriority w:val="39"/>
    <w:pPr>
      <w:ind w:left="480"/>
    </w:pPr>
    <w:rPr>
      <w:rFonts w:asciiTheme="minorHAnsi" w:eastAsiaTheme="minorHAnsi"/>
      <w:i/>
      <w:iCs/>
      <w:sz w:val="20"/>
      <w:szCs w:val="20"/>
    </w:rPr>
  </w:style>
  <w:style w:type="paragraph" w:styleId="18">
    <w:name w:val="Plain Text"/>
    <w:basedOn w:val="1"/>
    <w:next w:val="1"/>
    <w:qFormat/>
    <w:uiPriority w:val="0"/>
    <w:pPr>
      <w:jc w:val="both"/>
    </w:pPr>
    <w:rPr>
      <w:rFonts w:hAnsi="Courier New" w:cs="Times New Roman"/>
      <w:sz w:val="21"/>
      <w:szCs w:val="21"/>
    </w:rPr>
  </w:style>
  <w:style w:type="paragraph" w:styleId="19">
    <w:name w:val="toc 8"/>
    <w:basedOn w:val="1"/>
    <w:next w:val="1"/>
    <w:unhideWhenUsed/>
    <w:qFormat/>
    <w:uiPriority w:val="39"/>
    <w:pPr>
      <w:ind w:left="1680"/>
    </w:pPr>
    <w:rPr>
      <w:rFonts w:asciiTheme="minorHAnsi" w:eastAsiaTheme="minorHAnsi"/>
      <w:sz w:val="18"/>
      <w:szCs w:val="18"/>
    </w:rPr>
  </w:style>
  <w:style w:type="paragraph" w:styleId="20">
    <w:name w:val="Body Text Indent 2"/>
    <w:basedOn w:val="1"/>
    <w:next w:val="21"/>
    <w:qFormat/>
    <w:uiPriority w:val="0"/>
    <w:pPr>
      <w:spacing w:line="360" w:lineRule="auto"/>
      <w:ind w:firstLine="540"/>
    </w:pPr>
    <w:rPr>
      <w:rFonts w:ascii="宋体" w:hAnsi="宋体"/>
      <w:sz w:val="24"/>
    </w:rPr>
  </w:style>
  <w:style w:type="paragraph" w:styleId="21">
    <w:name w:val="index 9"/>
    <w:basedOn w:val="1"/>
    <w:next w:val="1"/>
    <w:semiHidden/>
    <w:qFormat/>
    <w:uiPriority w:val="99"/>
    <w:pPr>
      <w:ind w:left="1600"/>
    </w:pPr>
  </w:style>
  <w:style w:type="paragraph" w:styleId="22">
    <w:name w:val="footer"/>
    <w:basedOn w:val="1"/>
    <w:link w:val="46"/>
    <w:unhideWhenUsed/>
    <w:qFormat/>
    <w:uiPriority w:val="99"/>
    <w:pPr>
      <w:tabs>
        <w:tab w:val="center" w:pos="4153"/>
        <w:tab w:val="right" w:pos="8306"/>
      </w:tabs>
      <w:snapToGrid w:val="0"/>
      <w:spacing w:line="240" w:lineRule="auto"/>
    </w:pPr>
    <w:rPr>
      <w:sz w:val="18"/>
      <w:szCs w:val="18"/>
    </w:rPr>
  </w:style>
  <w:style w:type="paragraph" w:styleId="23">
    <w:name w:val="envelope return"/>
    <w:basedOn w:val="1"/>
    <w:qFormat/>
    <w:uiPriority w:val="0"/>
    <w:pPr>
      <w:snapToGrid w:val="0"/>
    </w:pPr>
    <w:rPr>
      <w:rFonts w:ascii="Arial" w:hAnsi="Arial" w:cs="Arial"/>
    </w:rPr>
  </w:style>
  <w:style w:type="paragraph" w:styleId="24">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5">
    <w:name w:val="toc 1"/>
    <w:basedOn w:val="1"/>
    <w:next w:val="1"/>
    <w:unhideWhenUsed/>
    <w:qFormat/>
    <w:uiPriority w:val="39"/>
    <w:pPr>
      <w:spacing w:before="120" w:after="120"/>
    </w:pPr>
    <w:rPr>
      <w:rFonts w:asciiTheme="minorHAnsi" w:eastAsiaTheme="minorHAnsi"/>
      <w:b/>
      <w:bCs/>
      <w:caps/>
      <w:sz w:val="20"/>
      <w:szCs w:val="20"/>
    </w:rPr>
  </w:style>
  <w:style w:type="paragraph" w:styleId="26">
    <w:name w:val="toc 4"/>
    <w:basedOn w:val="1"/>
    <w:next w:val="1"/>
    <w:unhideWhenUsed/>
    <w:qFormat/>
    <w:uiPriority w:val="39"/>
    <w:pPr>
      <w:ind w:left="720"/>
    </w:pPr>
    <w:rPr>
      <w:rFonts w:asciiTheme="minorHAnsi" w:eastAsiaTheme="minorHAnsi"/>
      <w:sz w:val="18"/>
      <w:szCs w:val="18"/>
    </w:rPr>
  </w:style>
  <w:style w:type="paragraph" w:styleId="27">
    <w:name w:val="toc 6"/>
    <w:basedOn w:val="1"/>
    <w:next w:val="1"/>
    <w:unhideWhenUsed/>
    <w:qFormat/>
    <w:uiPriority w:val="39"/>
    <w:pPr>
      <w:ind w:left="1200"/>
    </w:pPr>
    <w:rPr>
      <w:rFonts w:asciiTheme="minorHAnsi" w:eastAsiaTheme="minorHAnsi"/>
      <w:sz w:val="18"/>
      <w:szCs w:val="18"/>
    </w:rPr>
  </w:style>
  <w:style w:type="paragraph" w:styleId="28">
    <w:name w:val="toc 2"/>
    <w:basedOn w:val="1"/>
    <w:next w:val="1"/>
    <w:unhideWhenUsed/>
    <w:qFormat/>
    <w:uiPriority w:val="39"/>
    <w:pPr>
      <w:ind w:left="240"/>
    </w:pPr>
    <w:rPr>
      <w:rFonts w:asciiTheme="minorHAnsi" w:eastAsiaTheme="minorHAnsi"/>
      <w:smallCaps/>
      <w:sz w:val="20"/>
      <w:szCs w:val="20"/>
    </w:rPr>
  </w:style>
  <w:style w:type="paragraph" w:styleId="29">
    <w:name w:val="toc 9"/>
    <w:basedOn w:val="1"/>
    <w:next w:val="1"/>
    <w:unhideWhenUsed/>
    <w:qFormat/>
    <w:uiPriority w:val="39"/>
    <w:pPr>
      <w:ind w:left="1920"/>
    </w:pPr>
    <w:rPr>
      <w:rFonts w:asciiTheme="minorHAnsi" w:eastAsiaTheme="minorHAnsi"/>
      <w:sz w:val="18"/>
      <w:szCs w:val="18"/>
    </w:rPr>
  </w:style>
  <w:style w:type="paragraph" w:styleId="30">
    <w:name w:val="Body Text 2"/>
    <w:basedOn w:val="1"/>
    <w:qFormat/>
    <w:uiPriority w:val="0"/>
    <w:pPr>
      <w:adjustRightInd w:val="0"/>
      <w:snapToGrid w:val="0"/>
      <w:spacing w:after="120" w:line="480" w:lineRule="auto"/>
    </w:pPr>
  </w:style>
  <w:style w:type="paragraph" w:styleId="31">
    <w:name w:val="Normal (Web)"/>
    <w:basedOn w:val="1"/>
    <w:qFormat/>
    <w:uiPriority w:val="99"/>
    <w:pPr>
      <w:widowControl/>
      <w:spacing w:before="100" w:beforeAutospacing="1" w:after="100" w:afterAutospacing="1"/>
    </w:pPr>
    <w:rPr>
      <w:rFonts w:cs="宋体"/>
      <w:color w:val="000000"/>
      <w:kern w:val="0"/>
      <w:szCs w:val="24"/>
    </w:rPr>
  </w:style>
  <w:style w:type="paragraph" w:styleId="32">
    <w:name w:val="annotation subject"/>
    <w:basedOn w:val="12"/>
    <w:next w:val="12"/>
    <w:link w:val="56"/>
    <w:semiHidden/>
    <w:unhideWhenUsed/>
    <w:qFormat/>
    <w:uiPriority w:val="99"/>
    <w:pPr>
      <w:spacing w:line="360" w:lineRule="auto"/>
    </w:pPr>
    <w:rPr>
      <w:rFonts w:eastAsia="宋体"/>
      <w:b/>
      <w:bCs/>
      <w:sz w:val="24"/>
      <w:szCs w:val="22"/>
    </w:rPr>
  </w:style>
  <w:style w:type="table" w:styleId="34">
    <w:name w:val="Table Grid"/>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qFormat/>
    <w:uiPriority w:val="0"/>
  </w:style>
  <w:style w:type="character" w:styleId="37">
    <w:name w:val="Hyperlink"/>
    <w:basedOn w:val="35"/>
    <w:unhideWhenUsed/>
    <w:qFormat/>
    <w:uiPriority w:val="99"/>
    <w:rPr>
      <w:color w:val="0563C1" w:themeColor="hyperlink"/>
      <w:u w:val="single"/>
      <w14:textFill>
        <w14:solidFill>
          <w14:schemeClr w14:val="hlink"/>
        </w14:solidFill>
      </w14:textFill>
    </w:rPr>
  </w:style>
  <w:style w:type="character" w:styleId="38">
    <w:name w:val="annotation reference"/>
    <w:qFormat/>
    <w:uiPriority w:val="0"/>
    <w:rPr>
      <w:sz w:val="21"/>
      <w:szCs w:val="21"/>
    </w:rPr>
  </w:style>
  <w:style w:type="paragraph" w:customStyle="1" w:styleId="39">
    <w:name w:val="正文文本首行缩进 21"/>
    <w:basedOn w:val="40"/>
    <w:qFormat/>
    <w:uiPriority w:val="0"/>
    <w:pPr>
      <w:spacing w:after="0" w:line="500" w:lineRule="exact"/>
      <w:ind w:left="0" w:leftChars="0" w:firstLine="420" w:firstLineChars="200"/>
    </w:pPr>
  </w:style>
  <w:style w:type="paragraph" w:customStyle="1" w:styleId="40">
    <w:name w:val="正文文本缩进1"/>
    <w:basedOn w:val="14"/>
    <w:qFormat/>
    <w:uiPriority w:val="0"/>
    <w:pPr>
      <w:spacing w:after="120"/>
      <w:ind w:left="420" w:leftChars="200"/>
    </w:pPr>
  </w:style>
  <w:style w:type="paragraph" w:customStyle="1" w:styleId="41">
    <w:name w:val="正文 缩进2字符"/>
    <w:qFormat/>
    <w:uiPriority w:val="0"/>
    <w:pPr>
      <w:widowControl w:val="0"/>
      <w:spacing w:line="288" w:lineRule="auto"/>
      <w:jc w:val="both"/>
    </w:pPr>
    <w:rPr>
      <w:rFonts w:ascii="宋体" w:hAnsi="宋体" w:eastAsia="宋体" w:cs="Times New Roman"/>
      <w:kern w:val="2"/>
      <w:sz w:val="28"/>
      <w:szCs w:val="28"/>
      <w:lang w:val="en-US" w:eastAsia="zh-CN" w:bidi="ar-SA"/>
    </w:rPr>
  </w:style>
  <w:style w:type="paragraph" w:customStyle="1" w:styleId="42">
    <w:name w:val="正文缩进2"/>
    <w:basedOn w:val="1"/>
    <w:qFormat/>
    <w:uiPriority w:val="0"/>
    <w:pPr>
      <w:wordWrap w:val="0"/>
      <w:ind w:firstLine="480"/>
    </w:pPr>
    <w:rPr>
      <w:iCs/>
      <w:shd w:val="clear" w:color="auto" w:fill="FFFFFF" w:themeFill="background1"/>
      <w:lang w:val="zh-CN"/>
    </w:rPr>
  </w:style>
  <w:style w:type="character" w:customStyle="1" w:styleId="43">
    <w:name w:val="标题 1 字符"/>
    <w:basedOn w:val="35"/>
    <w:link w:val="3"/>
    <w:qFormat/>
    <w:uiPriority w:val="9"/>
    <w:rPr>
      <w:rFonts w:eastAsia="黑体"/>
      <w:b/>
      <w:bCs/>
      <w:kern w:val="44"/>
      <w:sz w:val="44"/>
      <w:szCs w:val="44"/>
    </w:rPr>
  </w:style>
  <w:style w:type="paragraph" w:styleId="44">
    <w:name w:val="List Paragraph"/>
    <w:basedOn w:val="1"/>
    <w:qFormat/>
    <w:uiPriority w:val="34"/>
    <w:pPr>
      <w:numPr>
        <w:ilvl w:val="0"/>
        <w:numId w:val="1"/>
      </w:numPr>
    </w:pPr>
  </w:style>
  <w:style w:type="character" w:customStyle="1" w:styleId="45">
    <w:name w:val="页眉 字符"/>
    <w:basedOn w:val="35"/>
    <w:link w:val="24"/>
    <w:qFormat/>
    <w:uiPriority w:val="99"/>
    <w:rPr>
      <w:rFonts w:eastAsia="宋体"/>
      <w:sz w:val="18"/>
      <w:szCs w:val="18"/>
    </w:rPr>
  </w:style>
  <w:style w:type="character" w:customStyle="1" w:styleId="46">
    <w:name w:val="页脚 字符"/>
    <w:basedOn w:val="35"/>
    <w:link w:val="22"/>
    <w:qFormat/>
    <w:uiPriority w:val="99"/>
    <w:rPr>
      <w:rFonts w:eastAsia="宋体"/>
      <w:sz w:val="18"/>
      <w:szCs w:val="18"/>
    </w:rPr>
  </w:style>
  <w:style w:type="character" w:customStyle="1" w:styleId="47">
    <w:name w:val="标题 2 字符"/>
    <w:basedOn w:val="35"/>
    <w:link w:val="4"/>
    <w:qFormat/>
    <w:uiPriority w:val="0"/>
    <w:rPr>
      <w:rFonts w:eastAsia="宋体" w:asciiTheme="majorHAnsi" w:hAnsiTheme="majorHAnsi" w:cstheme="majorBidi"/>
      <w:b/>
      <w:bCs/>
      <w:sz w:val="32"/>
      <w:szCs w:val="32"/>
    </w:rPr>
  </w:style>
  <w:style w:type="character" w:customStyle="1" w:styleId="48">
    <w:name w:val="批注文字 字符"/>
    <w:basedOn w:val="35"/>
    <w:link w:val="12"/>
    <w:qFormat/>
    <w:uiPriority w:val="0"/>
    <w:rPr>
      <w:szCs w:val="24"/>
    </w:rPr>
  </w:style>
  <w:style w:type="paragraph" w:customStyle="1" w:styleId="49">
    <w:name w:val="Char1 Char Char Char"/>
    <w:basedOn w:val="1"/>
    <w:qFormat/>
    <w:uiPriority w:val="0"/>
    <w:pPr>
      <w:adjustRightInd w:val="0"/>
      <w:jc w:val="both"/>
    </w:pPr>
    <w:rPr>
      <w:rFonts w:ascii="Times New Roman" w:hAnsi="Times New Roman" w:cs="Times New Roman"/>
      <w:kern w:val="0"/>
      <w:szCs w:val="20"/>
    </w:rPr>
  </w:style>
  <w:style w:type="character" w:customStyle="1" w:styleId="50">
    <w:name w:val="标题 3 字符"/>
    <w:basedOn w:val="35"/>
    <w:link w:val="5"/>
    <w:qFormat/>
    <w:uiPriority w:val="9"/>
    <w:rPr>
      <w:rFonts w:eastAsia="宋体"/>
      <w:b/>
      <w:bCs/>
      <w:sz w:val="30"/>
      <w:szCs w:val="32"/>
    </w:rPr>
  </w:style>
  <w:style w:type="character" w:customStyle="1" w:styleId="51">
    <w:name w:val="标题 4 字符"/>
    <w:basedOn w:val="35"/>
    <w:link w:val="6"/>
    <w:qFormat/>
    <w:uiPriority w:val="9"/>
    <w:rPr>
      <w:rFonts w:eastAsia="宋体" w:asciiTheme="majorHAnsi" w:hAnsiTheme="majorHAnsi" w:cstheme="majorBidi"/>
      <w:b/>
      <w:bCs/>
      <w:sz w:val="28"/>
      <w:szCs w:val="28"/>
    </w:rPr>
  </w:style>
  <w:style w:type="character" w:customStyle="1" w:styleId="52">
    <w:name w:val="正文文本 字符"/>
    <w:basedOn w:val="35"/>
    <w:link w:val="2"/>
    <w:qFormat/>
    <w:uiPriority w:val="99"/>
    <w:rPr>
      <w:szCs w:val="24"/>
    </w:rPr>
  </w:style>
  <w:style w:type="paragraph" w:customStyle="1" w:styleId="53">
    <w:name w:val="样式"/>
    <w:basedOn w:val="1"/>
    <w:qFormat/>
    <w:uiPriority w:val="0"/>
    <w:pPr>
      <w:autoSpaceDE w:val="0"/>
      <w:autoSpaceDN w:val="0"/>
      <w:snapToGrid w:val="0"/>
      <w:spacing w:before="120" w:after="120"/>
      <w:jc w:val="both"/>
    </w:pPr>
    <w:rPr>
      <w:rFonts w:hAnsi="Times New Roman" w:cs="Times New Roman"/>
      <w:kern w:val="0"/>
      <w:szCs w:val="20"/>
    </w:rPr>
  </w:style>
  <w:style w:type="paragraph" w:styleId="54">
    <w:name w:val="No Spacing"/>
    <w:qFormat/>
    <w:uiPriority w:val="1"/>
    <w:pPr>
      <w:widowControl w:val="0"/>
    </w:pPr>
    <w:rPr>
      <w:rFonts w:ascii="宋体" w:hAnsi="宋体" w:eastAsia="宋体" w:cstheme="minorBidi"/>
      <w:kern w:val="2"/>
      <w:sz w:val="24"/>
      <w:szCs w:val="22"/>
      <w:lang w:val="en-US" w:eastAsia="zh-CN" w:bidi="ar-SA"/>
    </w:rPr>
  </w:style>
  <w:style w:type="character" w:customStyle="1" w:styleId="55">
    <w:name w:val="未处理的提及1"/>
    <w:basedOn w:val="35"/>
    <w:semiHidden/>
    <w:unhideWhenUsed/>
    <w:qFormat/>
    <w:uiPriority w:val="99"/>
    <w:rPr>
      <w:color w:val="605E5C"/>
      <w:shd w:val="clear" w:color="auto" w:fill="E1DFDD"/>
    </w:rPr>
  </w:style>
  <w:style w:type="character" w:customStyle="1" w:styleId="56">
    <w:name w:val="批注主题 字符"/>
    <w:basedOn w:val="48"/>
    <w:link w:val="32"/>
    <w:semiHidden/>
    <w:qFormat/>
    <w:uiPriority w:val="99"/>
    <w:rPr>
      <w:rFonts w:ascii="宋体" w:hAnsi="宋体" w:cstheme="minorBidi"/>
      <w:b/>
      <w:bCs/>
      <w:kern w:val="2"/>
      <w:sz w:val="24"/>
      <w:szCs w:val="22"/>
    </w:rPr>
  </w:style>
  <w:style w:type="character" w:customStyle="1" w:styleId="57">
    <w:name w:val="未处理的提及2"/>
    <w:basedOn w:val="35"/>
    <w:semiHidden/>
    <w:unhideWhenUsed/>
    <w:qFormat/>
    <w:uiPriority w:val="99"/>
    <w:rPr>
      <w:color w:val="605E5C"/>
      <w:shd w:val="clear" w:color="auto" w:fill="E1DFDD"/>
    </w:rPr>
  </w:style>
  <w:style w:type="paragraph" w:customStyle="1" w:styleId="58">
    <w:name w:val="标题 21"/>
    <w:basedOn w:val="1"/>
    <w:qFormat/>
    <w:uiPriority w:val="0"/>
    <w:pPr>
      <w:keepNext/>
      <w:keepLines/>
      <w:spacing w:line="600" w:lineRule="exact"/>
      <w:jc w:val="center"/>
      <w:outlineLvl w:val="1"/>
    </w:pPr>
    <w:rPr>
      <w:rFonts w:ascii="Cambria" w:hAnsi="Cambria"/>
      <w:b/>
      <w:bCs/>
      <w:sz w:val="32"/>
      <w:szCs w:val="32"/>
    </w:rPr>
  </w:style>
  <w:style w:type="paragraph" w:customStyle="1" w:styleId="59">
    <w:name w:val="标准中文版式_正文"/>
    <w:basedOn w:val="1"/>
    <w:qFormat/>
    <w:uiPriority w:val="0"/>
    <w:pPr>
      <w:spacing w:before="30"/>
      <w:ind w:firstLine="200" w:firstLineChars="200"/>
    </w:pPr>
    <w:rPr>
      <w:rFonts w:ascii="Arial" w:hAnsi="Arial"/>
    </w:rPr>
  </w:style>
  <w:style w:type="paragraph" w:customStyle="1" w:styleId="60">
    <w:name w:val="正文首行缩进 21"/>
    <w:basedOn w:val="13"/>
    <w:qFormat/>
    <w:uiPriority w:val="0"/>
    <w:pPr>
      <w:ind w:firstLine="420" w:firstLineChars="200"/>
    </w:pPr>
  </w:style>
  <w:style w:type="paragraph" w:customStyle="1" w:styleId="61">
    <w:name w:val="纯文本11"/>
    <w:basedOn w:val="1"/>
    <w:qFormat/>
    <w:uiPriority w:val="0"/>
    <w:rPr>
      <w:rFonts w:hAnsi="Courier New"/>
      <w:color w:val="000000"/>
      <w:szCs w:val="20"/>
    </w:rPr>
  </w:style>
  <w:style w:type="character" w:customStyle="1" w:styleId="62">
    <w:name w:val="font51"/>
    <w:basedOn w:val="35"/>
    <w:qFormat/>
    <w:uiPriority w:val="0"/>
    <w:rPr>
      <w:rFonts w:hint="eastAsia" w:ascii="宋体" w:hAnsi="宋体" w:eastAsia="宋体" w:cs="宋体"/>
      <w:color w:val="auto"/>
      <w:sz w:val="18"/>
      <w:szCs w:val="18"/>
      <w:u w:val="none"/>
    </w:rPr>
  </w:style>
  <w:style w:type="character" w:customStyle="1" w:styleId="63">
    <w:name w:val="font61"/>
    <w:basedOn w:val="35"/>
    <w:qFormat/>
    <w:uiPriority w:val="0"/>
    <w:rPr>
      <w:rFonts w:hint="eastAsia" w:ascii="宋体" w:hAnsi="宋体" w:eastAsia="宋体" w:cs="宋体"/>
      <w:color w:val="auto"/>
      <w:sz w:val="18"/>
      <w:szCs w:val="18"/>
      <w:u w:val="none"/>
    </w:rPr>
  </w:style>
  <w:style w:type="paragraph" w:customStyle="1" w:styleId="64">
    <w:name w:val="null3"/>
    <w:hidden/>
    <w:qFormat/>
    <w:uiPriority w:val="0"/>
    <w:rPr>
      <w:rFonts w:hint="eastAsia" w:asciiTheme="minorHAnsi" w:hAnsiTheme="minorHAnsi" w:eastAsiaTheme="minorEastAsia" w:cstheme="minorBidi"/>
      <w:lang w:val="en-US" w:eastAsia="zh-Hans" w:bidi="ar-SA"/>
    </w:rPr>
  </w:style>
  <w:style w:type="paragraph" w:customStyle="1" w:styleId="6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szCs w:val="20"/>
    </w:rPr>
  </w:style>
  <w:style w:type="paragraph" w:customStyle="1" w:styleId="66">
    <w:name w:val="Revision"/>
    <w:hidden/>
    <w:unhideWhenUsed/>
    <w:qFormat/>
    <w:uiPriority w:val="99"/>
    <w:rPr>
      <w:rFonts w:ascii="宋体" w:hAnsi="宋体" w:eastAsia="宋体" w:cstheme="minorBidi"/>
      <w:kern w:val="2"/>
      <w:sz w:val="24"/>
      <w:szCs w:val="22"/>
      <w:lang w:val="en-US" w:eastAsia="zh-CN" w:bidi="ar-SA"/>
    </w:rPr>
  </w:style>
  <w:style w:type="paragraph" w:customStyle="1" w:styleId="67">
    <w:name w:val="Normal_0_3"/>
    <w:qFormat/>
    <w:uiPriority w:val="0"/>
    <w:rPr>
      <w:rFonts w:hint="default" w:ascii="Calibri" w:hAnsi="Calibri" w:eastAsia="Times New Roman" w:cs="Times New Roman"/>
      <w:sz w:val="24"/>
      <w:szCs w:val="24"/>
    </w:rPr>
  </w:style>
  <w:style w:type="character" w:customStyle="1" w:styleId="68">
    <w:name w:val="默认段落字体11"/>
    <w:semiHidden/>
    <w:qFormat/>
    <w:uiPriority w:val="0"/>
    <w:rPr>
      <w:rFonts w:ascii="Times New Roman" w:hAnsi="Times New Roman" w:eastAsia="宋体"/>
      <w:kern w:val="2"/>
      <w:sz w:val="24"/>
      <w:lang w:val="en-US" w:eastAsia="zh-CN" w:bidi="ar-SA"/>
    </w:rPr>
  </w:style>
  <w:style w:type="table" w:customStyle="1" w:styleId="69">
    <w:name w:val="网格型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0">
    <w:name w:val="2"/>
    <w:basedOn w:val="3"/>
    <w:qFormat/>
    <w:uiPriority w:val="0"/>
    <w:pPr>
      <w:keepNext w:val="0"/>
      <w:keepLines w:val="0"/>
      <w:spacing w:before="240" w:after="60" w:line="480" w:lineRule="auto"/>
    </w:pPr>
    <w:rPr>
      <w:rFonts w:ascii="Cambria" w:hAnsi="Cambria"/>
      <w:kern w:val="2"/>
      <w:szCs w:val="28"/>
    </w:rPr>
  </w:style>
  <w:style w:type="paragraph" w:customStyle="1" w:styleId="71">
    <w:name w:val="首行缩进"/>
    <w:basedOn w:val="1"/>
    <w:next w:val="1"/>
    <w:qFormat/>
    <w:uiPriority w:val="99"/>
    <w:pPr>
      <w:ind w:firstLine="480"/>
    </w:pPr>
    <w:rPr>
      <w:szCs w:val="20"/>
      <w:lang w:val="zh-CN"/>
    </w:rPr>
  </w:style>
  <w:style w:type="paragraph" w:customStyle="1" w:styleId="72">
    <w:name w:val="*正文"/>
    <w:basedOn w:val="1"/>
    <w:qFormat/>
    <w:uiPriority w:val="0"/>
    <w:pPr>
      <w:spacing w:line="360" w:lineRule="auto"/>
      <w:ind w:firstLine="480" w:firstLineChars="200"/>
    </w:pPr>
    <w:rPr>
      <w:rFonts w:hAnsi="宋体"/>
      <w:sz w:val="24"/>
      <w:szCs w:val="24"/>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Table Paragraph"/>
    <w:basedOn w:val="1"/>
    <w:qFormat/>
    <w:uiPriority w:val="1"/>
    <w:rPr>
      <w:rFonts w:ascii="宋体" w:hAnsi="宋体" w:cs="宋体"/>
      <w:lang w:val="zh-CN" w:bidi="zh-CN"/>
    </w:rPr>
  </w:style>
  <w:style w:type="paragraph" w:customStyle="1" w:styleId="75">
    <w:name w:val="UserStyle_0"/>
    <w:basedOn w:val="1"/>
    <w:qFormat/>
    <w:uiPriority w:val="0"/>
    <w:pPr>
      <w:snapToGrid w:val="0"/>
      <w:spacing w:line="480" w:lineRule="auto"/>
      <w:ind w:firstLine="200" w:firstLineChars="200"/>
      <w:jc w:val="left"/>
      <w:textAlignment w:val="baseline"/>
    </w:pPr>
    <w:rPr>
      <w:rFonts w:ascii="Times New Roman" w:hAnsi="Times New Roman" w:eastAsia="黑体" w:cs="Times New Roman"/>
      <w:sz w:val="32"/>
    </w:rPr>
  </w:style>
  <w:style w:type="table" w:customStyle="1" w:styleId="7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229D71-619A-49B8-A7C1-3174082E72C1}">
  <ds:schemaRefs/>
</ds:datastoreItem>
</file>

<file path=docProps/app.xml><?xml version="1.0" encoding="utf-8"?>
<Properties xmlns="http://schemas.openxmlformats.org/officeDocument/2006/extended-properties" xmlns:vt="http://schemas.openxmlformats.org/officeDocument/2006/docPropsVTypes">
  <Template>Normal</Template>
  <Pages>103</Pages>
  <Words>17208</Words>
  <Characters>18821</Characters>
  <Lines>311</Lines>
  <Paragraphs>87</Paragraphs>
  <TotalTime>1</TotalTime>
  <ScaleCrop>false</ScaleCrop>
  <LinksUpToDate>false</LinksUpToDate>
  <CharactersWithSpaces>19660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2024-01-02T05:57:00Z</dcterms:created>
  <dc:creator>admin</dc:creator>
  <cp:lastModifiedBy>李小洁</cp:lastModifiedBy>
  <cp:lastPrinted>2026-06-24T01:44:14Z</cp:lastPrinted>
  <dcterms:modified xsi:type="dcterms:W3CDTF">2026-06-24T01:48:40Z</dcterms:modified>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ECF2DE47FC954F55B3FE9390B3E6A5B5_13</vt:lpwstr>
  </property>
  <property fmtid="{D5CDD505-2E9C-101B-9397-08002B2CF9AE}" pid="4" name="KSOTemplateDocerSaveRecord">
    <vt:lpwstr>eyJoZGlkIjoiMGUzYmFiODdhN2NmZDMxNTJiOGU1MDg1NmRiNjM1YzgiLCJ1c2VySWQiOiI1MzMzODg2MTcifQ==</vt:lpwstr>
  </property>
</Properties>
</file>