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DEEAC">
      <w:pPr>
        <w:pStyle w:val="12"/>
        <w:jc w:val="center"/>
        <w:rPr>
          <w:rFonts w:hint="eastAsia" w:eastAsia="宋体" w:cs="宋体"/>
          <w:b/>
          <w:bCs/>
          <w:color w:val="auto"/>
          <w:kern w:val="2"/>
          <w:sz w:val="44"/>
          <w:szCs w:val="44"/>
          <w:lang w:val="en-US" w:eastAsia="zh-CN" w:bidi="ar-SA"/>
        </w:rPr>
      </w:pPr>
      <w:r>
        <w:rPr>
          <w:rFonts w:hint="eastAsia" w:ascii="宋体" w:hAnsi="宋体" w:eastAsia="宋体" w:cs="宋体"/>
          <w:b/>
          <w:bCs/>
          <w:color w:val="auto"/>
          <w:kern w:val="2"/>
          <w:sz w:val="44"/>
          <w:szCs w:val="44"/>
          <w:lang w:val="en-US" w:eastAsia="zh-CN" w:bidi="ar-SA"/>
        </w:rPr>
        <w:drawing>
          <wp:anchor distT="0" distB="0" distL="114300" distR="114300" simplePos="0" relativeHeight="251659264" behindDoc="0" locked="0" layoutInCell="1" allowOverlap="1">
            <wp:simplePos x="0" y="0"/>
            <wp:positionH relativeFrom="column">
              <wp:posOffset>-574040</wp:posOffset>
            </wp:positionH>
            <wp:positionV relativeFrom="paragraph">
              <wp:posOffset>-349250</wp:posOffset>
            </wp:positionV>
            <wp:extent cx="6327775" cy="8378825"/>
            <wp:effectExtent l="0" t="0" r="15875" b="3175"/>
            <wp:wrapNone/>
            <wp:docPr id="1" name="图片 1" descr="06c3e8b42b868c30799d6713e1d378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6c3e8b42b868c30799d6713e1d378e3"/>
                    <pic:cNvPicPr>
                      <a:picLocks noChangeAspect="1"/>
                    </pic:cNvPicPr>
                  </pic:nvPicPr>
                  <pic:blipFill>
                    <a:blip r:embed="rId11"/>
                    <a:stretch>
                      <a:fillRect/>
                    </a:stretch>
                  </pic:blipFill>
                  <pic:spPr>
                    <a:xfrm>
                      <a:off x="0" y="0"/>
                      <a:ext cx="6327775" cy="8378825"/>
                    </a:xfrm>
                    <a:prstGeom prst="rect">
                      <a:avLst/>
                    </a:prstGeom>
                  </pic:spPr>
                </pic:pic>
              </a:graphicData>
            </a:graphic>
          </wp:anchor>
        </w:drawing>
      </w:r>
      <w:r>
        <w:rPr>
          <w:rFonts w:hint="eastAsia" w:ascii="宋体" w:hAnsi="宋体" w:eastAsia="宋体" w:cs="宋体"/>
          <w:b/>
          <w:bCs/>
          <w:color w:val="auto"/>
          <w:kern w:val="2"/>
          <w:sz w:val="44"/>
          <w:szCs w:val="44"/>
          <w:lang w:val="en-US" w:eastAsia="zh-CN" w:bidi="ar-SA"/>
        </w:rPr>
        <w:t>晋宁区医疗卫生强基工程项目（资源共享中 心：医共体中心药房系统、医共体审方</w:t>
      </w:r>
      <w:r>
        <w:rPr>
          <w:rFonts w:hint="eastAsia" w:eastAsia="宋体" w:cs="宋体"/>
          <w:b/>
          <w:bCs/>
          <w:color w:val="auto"/>
          <w:kern w:val="2"/>
          <w:sz w:val="44"/>
          <w:szCs w:val="44"/>
          <w:lang w:val="en-US" w:eastAsia="zh-CN" w:bidi="ar-SA"/>
        </w:rPr>
        <w:t>中</w:t>
      </w:r>
    </w:p>
    <w:p w14:paraId="750CE38C">
      <w:pPr>
        <w:pStyle w:val="12"/>
        <w:jc w:val="center"/>
        <w:rPr>
          <w:rFonts w:hint="eastAsia"/>
          <w:color w:val="auto"/>
        </w:rPr>
      </w:pPr>
      <w:r>
        <w:rPr>
          <w:rFonts w:hint="eastAsia" w:eastAsia="宋体" w:cs="宋体"/>
          <w:b/>
          <w:bCs/>
          <w:color w:val="auto"/>
          <w:kern w:val="2"/>
          <w:sz w:val="44"/>
          <w:szCs w:val="44"/>
          <w:lang w:val="en-US" w:eastAsia="zh-CN" w:bidi="ar-SA"/>
        </w:rPr>
        <w:t>心</w:t>
      </w:r>
      <w:r>
        <w:rPr>
          <w:rFonts w:hint="eastAsia" w:ascii="宋体" w:hAnsi="宋体" w:eastAsia="宋体" w:cs="宋体"/>
          <w:b/>
          <w:bCs/>
          <w:color w:val="auto"/>
          <w:kern w:val="2"/>
          <w:sz w:val="44"/>
          <w:szCs w:val="44"/>
          <w:lang w:val="en-US" w:eastAsia="zh-CN" w:bidi="ar-SA"/>
        </w:rPr>
        <w:t>系统）A包：医共体中心药房系统</w:t>
      </w:r>
    </w:p>
    <w:p w14:paraId="6E096C29">
      <w:pPr>
        <w:jc w:val="both"/>
        <w:rPr>
          <w:rFonts w:hint="eastAsia" w:ascii="宋体" w:hAnsi="宋体" w:eastAsia="宋体" w:cs="宋体"/>
          <w:b/>
          <w:bCs/>
          <w:color w:val="auto"/>
          <w:sz w:val="72"/>
          <w:szCs w:val="72"/>
        </w:rPr>
      </w:pPr>
    </w:p>
    <w:p w14:paraId="1EB8CCA4">
      <w:pPr>
        <w:jc w:val="both"/>
        <w:rPr>
          <w:rFonts w:hint="eastAsia" w:ascii="宋体" w:hAnsi="宋体" w:eastAsia="宋体" w:cs="宋体"/>
          <w:b/>
          <w:bCs/>
          <w:color w:val="auto"/>
          <w:sz w:val="72"/>
          <w:szCs w:val="72"/>
        </w:rPr>
      </w:pPr>
    </w:p>
    <w:p w14:paraId="3D98BCB0">
      <w:pPr>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公开招标文件</w:t>
      </w:r>
    </w:p>
    <w:p w14:paraId="3F041864">
      <w:pPr>
        <w:tabs>
          <w:tab w:val="left" w:pos="1123"/>
          <w:tab w:val="center" w:pos="4212"/>
        </w:tabs>
        <w:jc w:val="left"/>
        <w:rPr>
          <w:rFonts w:hint="default" w:ascii="宋体" w:hAnsi="宋体" w:eastAsia="宋体" w:cs="宋体"/>
          <w:b/>
          <w:bCs/>
          <w:color w:val="auto"/>
          <w:sz w:val="30"/>
          <w:szCs w:val="30"/>
          <w:lang w:val="en-US" w:eastAsia="zh-CN"/>
        </w:rPr>
      </w:pPr>
      <w:bookmarkStart w:id="0" w:name="_Hlk164181180"/>
      <w:r>
        <w:rPr>
          <w:rFonts w:hint="eastAsia" w:cs="宋体"/>
          <w:b/>
          <w:bCs/>
          <w:color w:val="auto"/>
          <w:sz w:val="44"/>
          <w:szCs w:val="44"/>
          <w:lang w:eastAsia="zh-CN"/>
        </w:rPr>
        <w:tab/>
      </w:r>
      <w:r>
        <w:rPr>
          <w:rFonts w:hint="eastAsia" w:cs="宋体"/>
          <w:b/>
          <w:bCs/>
          <w:color w:val="auto"/>
          <w:sz w:val="44"/>
          <w:szCs w:val="44"/>
          <w:lang w:eastAsia="zh-CN"/>
        </w:rPr>
        <w:tab/>
      </w:r>
      <w:r>
        <w:rPr>
          <w:rFonts w:hint="eastAsia" w:ascii="宋体" w:hAnsi="宋体" w:eastAsia="宋体" w:cs="宋体"/>
          <w:b/>
          <w:bCs/>
          <w:color w:val="auto"/>
          <w:sz w:val="30"/>
          <w:szCs w:val="30"/>
        </w:rPr>
        <w:t>项目编号：KMKHZB[2026]1-03</w:t>
      </w:r>
      <w:r>
        <w:rPr>
          <w:rFonts w:hint="eastAsia" w:cs="宋体"/>
          <w:b/>
          <w:bCs/>
          <w:color w:val="auto"/>
          <w:sz w:val="30"/>
          <w:szCs w:val="30"/>
          <w:lang w:val="en-US" w:eastAsia="zh-CN"/>
        </w:rPr>
        <w:t>9（A)</w:t>
      </w:r>
    </w:p>
    <w:p w14:paraId="2A705FDD">
      <w:pPr>
        <w:jc w:val="center"/>
        <w:rPr>
          <w:rFonts w:hint="eastAsia" w:ascii="宋体" w:hAnsi="宋体" w:eastAsia="宋体" w:cs="宋体"/>
          <w:b/>
          <w:bCs/>
          <w:color w:val="auto"/>
          <w:sz w:val="44"/>
          <w:szCs w:val="44"/>
        </w:rPr>
      </w:pPr>
    </w:p>
    <w:p w14:paraId="1BDE179C">
      <w:pPr>
        <w:pStyle w:val="12"/>
        <w:rPr>
          <w:rFonts w:hint="eastAsia"/>
          <w:color w:val="auto"/>
        </w:rPr>
      </w:pPr>
    </w:p>
    <w:p w14:paraId="2B73F89C">
      <w:pPr>
        <w:jc w:val="center"/>
        <w:rPr>
          <w:rFonts w:hint="eastAsia" w:ascii="宋体" w:hAnsi="宋体" w:eastAsia="宋体" w:cs="宋体"/>
          <w:b/>
          <w:bCs/>
          <w:color w:val="auto"/>
          <w:sz w:val="44"/>
          <w:szCs w:val="44"/>
          <w:lang w:eastAsia="zh-CN"/>
        </w:rPr>
      </w:pPr>
    </w:p>
    <w:bookmarkEnd w:id="0"/>
    <w:p w14:paraId="16F7BCA7">
      <w:pPr>
        <w:spacing w:line="600" w:lineRule="auto"/>
        <w:ind w:left="420" w:leftChars="175"/>
        <w:rPr>
          <w:rFonts w:hint="eastAsia" w:ascii="宋体" w:hAnsi="宋体" w:cs="宋体"/>
          <w:b/>
          <w:color w:val="auto"/>
          <w:sz w:val="32"/>
          <w:szCs w:val="32"/>
          <w:u w:val="single"/>
          <w:lang w:val="en-US" w:eastAsia="zh-CN"/>
        </w:rPr>
      </w:pPr>
      <w:r>
        <w:rPr>
          <w:rFonts w:hint="eastAsia" w:ascii="宋体" w:hAnsi="宋体" w:eastAsia="宋体" w:cs="宋体"/>
          <w:b/>
          <w:bCs/>
          <w:color w:val="auto"/>
          <w:sz w:val="30"/>
          <w:szCs w:val="30"/>
        </w:rPr>
        <w:t>采购计划备案号：</w:t>
      </w:r>
      <w:r>
        <w:rPr>
          <w:rFonts w:hint="eastAsia" w:ascii="宋体" w:hAnsi="宋体" w:cs="宋体"/>
          <w:b/>
          <w:color w:val="auto"/>
          <w:sz w:val="32"/>
          <w:szCs w:val="32"/>
          <w:u w:val="single"/>
          <w:lang w:val="en-US" w:eastAsia="zh-CN"/>
        </w:rPr>
        <w:t xml:space="preserve"> 4530122JH202600541    </w:t>
      </w:r>
    </w:p>
    <w:p w14:paraId="5F0E794F">
      <w:pPr>
        <w:ind w:left="2227" w:leftChars="175" w:hanging="1807" w:hangingChars="600"/>
        <w:rPr>
          <w:rFonts w:hint="default" w:ascii="宋体" w:hAnsi="宋体" w:cs="宋体"/>
          <w:b/>
          <w:color w:val="auto"/>
          <w:sz w:val="32"/>
          <w:szCs w:val="32"/>
          <w:u w:val="single"/>
          <w:lang w:val="en-US" w:eastAsia="zh-CN"/>
        </w:rPr>
      </w:pPr>
      <w:r>
        <w:rPr>
          <w:rFonts w:hint="eastAsia" w:ascii="宋体" w:hAnsi="宋体" w:eastAsia="宋体" w:cs="宋体"/>
          <w:b/>
          <w:bCs/>
          <w:color w:val="auto"/>
          <w:sz w:val="30"/>
          <w:szCs w:val="30"/>
        </w:rPr>
        <w:t>采购</w:t>
      </w:r>
      <w:r>
        <w:rPr>
          <w:rFonts w:hint="eastAsia" w:ascii="宋体" w:hAnsi="宋体" w:eastAsia="宋体" w:cs="宋体"/>
          <w:b/>
          <w:bCs/>
          <w:color w:val="auto"/>
          <w:sz w:val="30"/>
          <w:szCs w:val="30"/>
          <w:lang w:val="en-US" w:eastAsia="zh-CN"/>
        </w:rPr>
        <w:t>包</w:t>
      </w:r>
      <w:r>
        <w:rPr>
          <w:rFonts w:hint="eastAsia" w:ascii="宋体" w:hAnsi="宋体" w:eastAsia="宋体" w:cs="宋体"/>
          <w:b/>
          <w:bCs/>
          <w:color w:val="auto"/>
          <w:sz w:val="30"/>
          <w:szCs w:val="30"/>
        </w:rPr>
        <w:t>名称：</w:t>
      </w:r>
      <w:r>
        <w:rPr>
          <w:rFonts w:hint="eastAsia" w:ascii="宋体" w:hAnsi="宋体" w:cs="宋体"/>
          <w:b/>
          <w:color w:val="auto"/>
          <w:sz w:val="32"/>
          <w:szCs w:val="32"/>
          <w:u w:val="single"/>
          <w:lang w:val="en-US" w:eastAsia="zh-CN"/>
        </w:rPr>
        <w:t>A包：</w:t>
      </w:r>
      <w:r>
        <w:rPr>
          <w:rFonts w:hint="eastAsia" w:ascii="宋体" w:hAnsi="宋体" w:cs="宋体"/>
          <w:b/>
          <w:color w:val="auto"/>
          <w:sz w:val="32"/>
          <w:szCs w:val="32"/>
          <w:u w:val="single"/>
          <w:lang w:val="zh-CN" w:eastAsia="zh-CN"/>
        </w:rPr>
        <w:t>医共体中心药房系统</w:t>
      </w:r>
      <w:r>
        <w:rPr>
          <w:rFonts w:hint="eastAsia" w:ascii="宋体" w:hAnsi="宋体" w:cs="宋体"/>
          <w:b/>
          <w:color w:val="auto"/>
          <w:sz w:val="32"/>
          <w:szCs w:val="32"/>
          <w:u w:val="single"/>
          <w:lang w:val="en-US" w:eastAsia="zh-CN"/>
        </w:rPr>
        <w:t xml:space="preserve"> </w:t>
      </w:r>
    </w:p>
    <w:p w14:paraId="01736305">
      <w:pPr>
        <w:spacing w:line="360" w:lineRule="auto"/>
        <w:ind w:firstLine="602" w:firstLineChars="200"/>
        <w:rPr>
          <w:rFonts w:hint="eastAsia" w:cs="宋体"/>
          <w:b/>
          <w:color w:val="auto"/>
          <w:sz w:val="32"/>
          <w:szCs w:val="32"/>
          <w:u w:val="single"/>
          <w:lang w:val="zh-CN"/>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r>
        <w:rPr>
          <w:rFonts w:hint="eastAsia" w:cs="宋体"/>
          <w:b/>
          <w:color w:val="auto"/>
          <w:sz w:val="32"/>
          <w:szCs w:val="32"/>
          <w:u w:val="single"/>
          <w:lang w:val="zh-CN"/>
        </w:rPr>
        <w:t>昆明市晋宁区人民医院(昆明市晋宁区紧密</w:t>
      </w:r>
    </w:p>
    <w:p w14:paraId="15AB1D84">
      <w:pPr>
        <w:spacing w:line="360" w:lineRule="auto"/>
        <w:ind w:left="919" w:leftChars="383" w:firstLine="1205" w:firstLineChars="375"/>
        <w:rPr>
          <w:rFonts w:hint="eastAsia" w:ascii="宋体" w:hAnsi="宋体" w:cs="宋体"/>
          <w:b/>
          <w:color w:val="auto"/>
          <w:sz w:val="32"/>
          <w:szCs w:val="32"/>
          <w:u w:val="single"/>
          <w:lang w:val="zh-CN"/>
        </w:rPr>
      </w:pPr>
      <w:r>
        <w:rPr>
          <w:rFonts w:hint="eastAsia" w:cs="宋体"/>
          <w:b/>
          <w:color w:val="auto"/>
          <w:sz w:val="32"/>
          <w:szCs w:val="32"/>
          <w:u w:val="single"/>
          <w:lang w:val="zh-CN"/>
        </w:rPr>
        <w:t>型医共体总医院)</w:t>
      </w:r>
    </w:p>
    <w:p w14:paraId="78D6062B">
      <w:pPr>
        <w:spacing w:line="600" w:lineRule="auto"/>
        <w:ind w:left="420" w:leftChars="175"/>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昆明阔海建设工程咨询有限公司  </w:t>
      </w:r>
    </w:p>
    <w:p w14:paraId="7B63A6D1">
      <w:pPr>
        <w:spacing w:line="600" w:lineRule="auto"/>
        <w:ind w:left="420" w:leftChars="175" w:firstLine="2108" w:firstLineChars="700"/>
        <w:jc w:val="both"/>
        <w:rPr>
          <w:rFonts w:hint="eastAsia" w:ascii="宋体" w:hAnsi="宋体" w:eastAsia="宋体" w:cs="宋体"/>
          <w:b/>
          <w:bCs/>
          <w:color w:val="auto"/>
          <w:sz w:val="30"/>
          <w:szCs w:val="30"/>
        </w:rPr>
        <w:sectPr>
          <w:footerReference r:id="rId5"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b/>
          <w:bCs/>
          <w:color w:val="auto"/>
          <w:sz w:val="30"/>
          <w:szCs w:val="30"/>
        </w:rPr>
        <w:t>二〇二</w:t>
      </w:r>
      <w:r>
        <w:rPr>
          <w:rFonts w:hint="eastAsia" w:cs="宋体"/>
          <w:b/>
          <w:bCs/>
          <w:color w:val="auto"/>
          <w:sz w:val="30"/>
          <w:szCs w:val="30"/>
          <w:lang w:val="en-US" w:eastAsia="zh-CN"/>
        </w:rPr>
        <w:t>六</w:t>
      </w:r>
      <w:r>
        <w:rPr>
          <w:rFonts w:hint="eastAsia" w:ascii="宋体" w:hAnsi="宋体" w:eastAsia="宋体" w:cs="宋体"/>
          <w:b/>
          <w:bCs/>
          <w:color w:val="auto"/>
          <w:sz w:val="30"/>
          <w:szCs w:val="30"/>
        </w:rPr>
        <w:t>年</w:t>
      </w:r>
      <w:r>
        <w:rPr>
          <w:rFonts w:hint="eastAsia" w:cs="宋体"/>
          <w:b/>
          <w:bCs/>
          <w:color w:val="auto"/>
          <w:sz w:val="30"/>
          <w:szCs w:val="30"/>
          <w:lang w:val="en-US" w:eastAsia="zh-CN"/>
        </w:rPr>
        <w:t>六</w:t>
      </w:r>
      <w:r>
        <w:rPr>
          <w:rFonts w:hint="eastAsia" w:ascii="宋体" w:hAnsi="宋体" w:eastAsia="宋体" w:cs="宋体"/>
          <w:b/>
          <w:bCs/>
          <w:color w:val="auto"/>
          <w:sz w:val="30"/>
          <w:szCs w:val="30"/>
        </w:rPr>
        <w:t>月</w:t>
      </w:r>
    </w:p>
    <w:p w14:paraId="669E59BE">
      <w:pPr>
        <w:jc w:val="center"/>
        <w:rPr>
          <w:rFonts w:hint="eastAsia" w:ascii="黑体" w:hAnsi="黑体" w:eastAsia="黑体"/>
          <w:b/>
          <w:bCs/>
          <w:color w:val="auto"/>
          <w:sz w:val="32"/>
          <w:szCs w:val="32"/>
        </w:rPr>
      </w:pPr>
      <w:r>
        <w:rPr>
          <w:rFonts w:hint="eastAsia" w:ascii="黑体" w:hAnsi="黑体" w:eastAsia="黑体"/>
          <w:b/>
          <w:bCs/>
          <w:color w:val="auto"/>
          <w:sz w:val="32"/>
          <w:szCs w:val="32"/>
        </w:rPr>
        <w:t>目 录</w:t>
      </w:r>
    </w:p>
    <w:p w14:paraId="4C2C66B2">
      <w:pPr>
        <w:pStyle w:val="26"/>
        <w:tabs>
          <w:tab w:val="right" w:leader="dot" w:pos="8306"/>
        </w:tabs>
        <w:rPr>
          <w:rFonts w:hint="eastAsia"/>
          <w:color w:val="auto"/>
        </w:rPr>
      </w:pPr>
      <w:r>
        <w:rPr>
          <w:color w:val="auto"/>
        </w:rPr>
        <w:fldChar w:fldCharType="begin"/>
      </w:r>
      <w:r>
        <w:rPr>
          <w:color w:val="auto"/>
        </w:rPr>
        <w:instrText xml:space="preserve"> </w:instrText>
      </w:r>
      <w:r>
        <w:rPr>
          <w:rFonts w:hint="eastAsia"/>
          <w:color w:val="auto"/>
        </w:rPr>
        <w:instrText xml:space="preserve">TOC \o "1-4" \h \z \u</w:instrText>
      </w:r>
      <w:r>
        <w:rPr>
          <w:color w:val="auto"/>
        </w:rPr>
        <w:instrText xml:space="preserve"> </w:instrText>
      </w:r>
      <w:r>
        <w:rPr>
          <w:color w:val="auto"/>
        </w:rPr>
        <w:fldChar w:fldCharType="separate"/>
      </w:r>
      <w:r>
        <w:rPr>
          <w:color w:val="auto"/>
        </w:rPr>
        <w:fldChar w:fldCharType="begin"/>
      </w:r>
      <w:r>
        <w:rPr>
          <w:color w:val="auto"/>
        </w:rPr>
        <w:instrText xml:space="preserve"> HYPERLINK \l "_Toc20705" </w:instrText>
      </w:r>
      <w:r>
        <w:rPr>
          <w:color w:val="auto"/>
        </w:rPr>
        <w:fldChar w:fldCharType="separate"/>
      </w:r>
      <w:r>
        <w:rPr>
          <w:rFonts w:hint="eastAsia" w:cs="仿宋_GB2312"/>
          <w:color w:val="auto"/>
          <w:szCs w:val="24"/>
        </w:rPr>
        <w:t xml:space="preserve">第一章 </w:t>
      </w:r>
      <w:r>
        <w:rPr>
          <w:rFonts w:hint="eastAsia"/>
          <w:color w:val="auto"/>
        </w:rPr>
        <w:t>投标邀请</w:t>
      </w:r>
      <w:r>
        <w:rPr>
          <w:color w:val="auto"/>
        </w:rPr>
        <w:tab/>
      </w:r>
      <w:r>
        <w:rPr>
          <w:color w:val="auto"/>
        </w:rPr>
        <w:fldChar w:fldCharType="begin"/>
      </w:r>
      <w:r>
        <w:rPr>
          <w:color w:val="auto"/>
        </w:rPr>
        <w:instrText xml:space="preserve"> PAGEREF _Toc20705 \h </w:instrText>
      </w:r>
      <w:r>
        <w:rPr>
          <w:color w:val="auto"/>
        </w:rPr>
        <w:fldChar w:fldCharType="separate"/>
      </w:r>
      <w:r>
        <w:rPr>
          <w:color w:val="auto"/>
        </w:rPr>
        <w:t>5</w:t>
      </w:r>
      <w:r>
        <w:rPr>
          <w:color w:val="auto"/>
        </w:rPr>
        <w:fldChar w:fldCharType="end"/>
      </w:r>
      <w:r>
        <w:rPr>
          <w:color w:val="auto"/>
        </w:rPr>
        <w:fldChar w:fldCharType="end"/>
      </w:r>
    </w:p>
    <w:p w14:paraId="1F2EFE1C">
      <w:pPr>
        <w:pStyle w:val="26"/>
        <w:tabs>
          <w:tab w:val="right" w:leader="dot" w:pos="8306"/>
        </w:tabs>
        <w:rPr>
          <w:rFonts w:hint="eastAsia"/>
          <w:color w:val="auto"/>
        </w:rPr>
      </w:pPr>
      <w:r>
        <w:rPr>
          <w:color w:val="auto"/>
        </w:rPr>
        <w:fldChar w:fldCharType="begin"/>
      </w:r>
      <w:r>
        <w:rPr>
          <w:color w:val="auto"/>
        </w:rPr>
        <w:instrText xml:space="preserve"> HYPERLINK \l "_Toc26411" </w:instrText>
      </w:r>
      <w:r>
        <w:rPr>
          <w:color w:val="auto"/>
        </w:rPr>
        <w:fldChar w:fldCharType="separate"/>
      </w:r>
      <w:r>
        <w:rPr>
          <w:rFonts w:hint="eastAsia"/>
          <w:b w:val="0"/>
          <w:bCs w:val="0"/>
          <w:caps w:val="0"/>
          <w:smallCaps/>
          <w:color w:val="auto"/>
        </w:rPr>
        <w:t>招标公告</w:t>
      </w:r>
      <w:r>
        <w:rPr>
          <w:color w:val="auto"/>
        </w:rPr>
        <w:tab/>
      </w:r>
      <w:r>
        <w:rPr>
          <w:color w:val="auto"/>
        </w:rPr>
        <w:fldChar w:fldCharType="begin"/>
      </w:r>
      <w:r>
        <w:rPr>
          <w:color w:val="auto"/>
        </w:rPr>
        <w:instrText xml:space="preserve"> PAGEREF _Toc26411 \h </w:instrText>
      </w:r>
      <w:r>
        <w:rPr>
          <w:color w:val="auto"/>
        </w:rPr>
        <w:fldChar w:fldCharType="separate"/>
      </w:r>
      <w:r>
        <w:rPr>
          <w:color w:val="auto"/>
        </w:rPr>
        <w:t>6</w:t>
      </w:r>
      <w:r>
        <w:rPr>
          <w:color w:val="auto"/>
        </w:rPr>
        <w:fldChar w:fldCharType="end"/>
      </w:r>
      <w:r>
        <w:rPr>
          <w:color w:val="auto"/>
        </w:rPr>
        <w:fldChar w:fldCharType="end"/>
      </w:r>
    </w:p>
    <w:p w14:paraId="783FB1B8">
      <w:pPr>
        <w:pStyle w:val="29"/>
        <w:tabs>
          <w:tab w:val="right" w:leader="dot" w:pos="8306"/>
        </w:tabs>
        <w:rPr>
          <w:rFonts w:hint="eastAsia"/>
          <w:color w:val="auto"/>
        </w:rPr>
      </w:pPr>
      <w:r>
        <w:rPr>
          <w:color w:val="auto"/>
        </w:rPr>
        <w:fldChar w:fldCharType="begin"/>
      </w:r>
      <w:r>
        <w:rPr>
          <w:color w:val="auto"/>
        </w:rPr>
        <w:instrText xml:space="preserve"> HYPERLINK \l "_Toc352" </w:instrText>
      </w:r>
      <w:r>
        <w:rPr>
          <w:color w:val="auto"/>
        </w:rPr>
        <w:fldChar w:fldCharType="separate"/>
      </w:r>
      <w:r>
        <w:rPr>
          <w:rFonts w:hint="eastAsia"/>
          <w:color w:val="auto"/>
        </w:rPr>
        <w:t>一、项目基本情况</w:t>
      </w:r>
      <w:r>
        <w:rPr>
          <w:rFonts w:hint="eastAsia"/>
          <w:color w:val="auto"/>
        </w:rPr>
        <w:tab/>
      </w:r>
      <w:r>
        <w:rPr>
          <w:rFonts w:hint="eastAsia"/>
          <w:color w:val="auto"/>
        </w:rPr>
        <w:fldChar w:fldCharType="begin"/>
      </w:r>
      <w:r>
        <w:rPr>
          <w:rFonts w:hint="eastAsia"/>
          <w:color w:val="auto"/>
        </w:rPr>
        <w:instrText xml:space="preserve"> PAGEREF _Toc352 \h </w:instrText>
      </w:r>
      <w:r>
        <w:rPr>
          <w:rFonts w:hint="eastAsia"/>
          <w:color w:val="auto"/>
        </w:rPr>
        <w:fldChar w:fldCharType="separate"/>
      </w:r>
      <w:r>
        <w:rPr>
          <w:rFonts w:hint="eastAsia"/>
          <w:color w:val="auto"/>
        </w:rPr>
        <w:t>6</w:t>
      </w:r>
      <w:r>
        <w:rPr>
          <w:rFonts w:hint="eastAsia"/>
          <w:color w:val="auto"/>
        </w:rPr>
        <w:fldChar w:fldCharType="end"/>
      </w:r>
      <w:r>
        <w:rPr>
          <w:rFonts w:hint="eastAsia"/>
          <w:color w:val="auto"/>
        </w:rPr>
        <w:fldChar w:fldCharType="end"/>
      </w:r>
    </w:p>
    <w:p w14:paraId="15ACE3DE">
      <w:pPr>
        <w:pStyle w:val="29"/>
        <w:tabs>
          <w:tab w:val="right" w:leader="dot" w:pos="8306"/>
        </w:tabs>
        <w:rPr>
          <w:rFonts w:hint="eastAsia"/>
          <w:color w:val="auto"/>
        </w:rPr>
      </w:pPr>
      <w:r>
        <w:rPr>
          <w:color w:val="auto"/>
        </w:rPr>
        <w:fldChar w:fldCharType="begin"/>
      </w:r>
      <w:r>
        <w:rPr>
          <w:color w:val="auto"/>
        </w:rPr>
        <w:instrText xml:space="preserve"> HYPERLINK \l "_Toc28854" </w:instrText>
      </w:r>
      <w:r>
        <w:rPr>
          <w:color w:val="auto"/>
        </w:rPr>
        <w:fldChar w:fldCharType="separate"/>
      </w:r>
      <w:r>
        <w:rPr>
          <w:rFonts w:hint="eastAsia"/>
          <w:color w:val="auto"/>
        </w:rPr>
        <w:t>二、投标供应商的资格要求：</w:t>
      </w:r>
      <w:r>
        <w:rPr>
          <w:rFonts w:hint="eastAsia"/>
          <w:color w:val="auto"/>
        </w:rPr>
        <w:tab/>
      </w:r>
      <w:r>
        <w:rPr>
          <w:rFonts w:hint="eastAsia"/>
          <w:color w:val="auto"/>
        </w:rPr>
        <w:fldChar w:fldCharType="begin"/>
      </w:r>
      <w:r>
        <w:rPr>
          <w:rFonts w:hint="eastAsia"/>
          <w:color w:val="auto"/>
        </w:rPr>
        <w:instrText xml:space="preserve"> PAGEREF _Toc28854 \h </w:instrText>
      </w:r>
      <w:r>
        <w:rPr>
          <w:rFonts w:hint="eastAsia"/>
          <w:color w:val="auto"/>
        </w:rPr>
        <w:fldChar w:fldCharType="separate"/>
      </w:r>
      <w:r>
        <w:rPr>
          <w:rFonts w:hint="eastAsia"/>
          <w:color w:val="auto"/>
        </w:rPr>
        <w:t>7</w:t>
      </w:r>
      <w:r>
        <w:rPr>
          <w:rFonts w:hint="eastAsia"/>
          <w:color w:val="auto"/>
        </w:rPr>
        <w:fldChar w:fldCharType="end"/>
      </w:r>
      <w:r>
        <w:rPr>
          <w:rFonts w:hint="eastAsia"/>
          <w:color w:val="auto"/>
        </w:rPr>
        <w:fldChar w:fldCharType="end"/>
      </w:r>
    </w:p>
    <w:p w14:paraId="7CD4558C">
      <w:pPr>
        <w:pStyle w:val="29"/>
        <w:tabs>
          <w:tab w:val="right" w:leader="dot" w:pos="8306"/>
        </w:tabs>
        <w:rPr>
          <w:rFonts w:hint="eastAsia"/>
          <w:color w:val="auto"/>
        </w:rPr>
      </w:pPr>
      <w:r>
        <w:rPr>
          <w:color w:val="auto"/>
        </w:rPr>
        <w:fldChar w:fldCharType="begin"/>
      </w:r>
      <w:r>
        <w:rPr>
          <w:color w:val="auto"/>
        </w:rPr>
        <w:instrText xml:space="preserve"> HYPERLINK \l "_Toc10562" </w:instrText>
      </w:r>
      <w:r>
        <w:rPr>
          <w:color w:val="auto"/>
        </w:rPr>
        <w:fldChar w:fldCharType="separate"/>
      </w:r>
      <w:r>
        <w:rPr>
          <w:rFonts w:hint="eastAsia"/>
          <w:color w:val="auto"/>
        </w:rPr>
        <w:t>三、获取招标文件</w:t>
      </w:r>
      <w:r>
        <w:rPr>
          <w:rFonts w:hint="eastAsia"/>
          <w:color w:val="auto"/>
        </w:rPr>
        <w:tab/>
      </w:r>
      <w:r>
        <w:rPr>
          <w:rFonts w:hint="eastAsia"/>
          <w:color w:val="auto"/>
        </w:rPr>
        <w:fldChar w:fldCharType="begin"/>
      </w:r>
      <w:r>
        <w:rPr>
          <w:rFonts w:hint="eastAsia"/>
          <w:color w:val="auto"/>
        </w:rPr>
        <w:instrText xml:space="preserve"> PAGEREF _Toc10562 \h </w:instrText>
      </w:r>
      <w:r>
        <w:rPr>
          <w:rFonts w:hint="eastAsia"/>
          <w:color w:val="auto"/>
        </w:rPr>
        <w:fldChar w:fldCharType="separate"/>
      </w:r>
      <w:r>
        <w:rPr>
          <w:rFonts w:hint="eastAsia"/>
          <w:color w:val="auto"/>
        </w:rPr>
        <w:t>7</w:t>
      </w:r>
      <w:r>
        <w:rPr>
          <w:rFonts w:hint="eastAsia"/>
          <w:color w:val="auto"/>
        </w:rPr>
        <w:fldChar w:fldCharType="end"/>
      </w:r>
      <w:r>
        <w:rPr>
          <w:rFonts w:hint="eastAsia"/>
          <w:color w:val="auto"/>
        </w:rPr>
        <w:fldChar w:fldCharType="end"/>
      </w:r>
    </w:p>
    <w:p w14:paraId="366330EC">
      <w:pPr>
        <w:pStyle w:val="29"/>
        <w:tabs>
          <w:tab w:val="right" w:leader="dot" w:pos="8306"/>
        </w:tabs>
        <w:rPr>
          <w:rFonts w:hint="eastAsia"/>
          <w:color w:val="auto"/>
        </w:rPr>
      </w:pPr>
      <w:r>
        <w:rPr>
          <w:color w:val="auto"/>
        </w:rPr>
        <w:fldChar w:fldCharType="begin"/>
      </w:r>
      <w:r>
        <w:rPr>
          <w:color w:val="auto"/>
        </w:rPr>
        <w:instrText xml:space="preserve"> HYPERLINK \l "_Toc27295" </w:instrText>
      </w:r>
      <w:r>
        <w:rPr>
          <w:color w:val="auto"/>
        </w:rPr>
        <w:fldChar w:fldCharType="separate"/>
      </w:r>
      <w:r>
        <w:rPr>
          <w:rFonts w:hint="eastAsia"/>
          <w:color w:val="auto"/>
        </w:rPr>
        <w:t>四、提交投标文件截止时间、时间和地点</w:t>
      </w:r>
      <w:r>
        <w:rPr>
          <w:rFonts w:hint="eastAsia"/>
          <w:color w:val="auto"/>
        </w:rPr>
        <w:tab/>
      </w:r>
      <w:r>
        <w:rPr>
          <w:rFonts w:hint="eastAsia"/>
          <w:color w:val="auto"/>
        </w:rPr>
        <w:fldChar w:fldCharType="begin"/>
      </w:r>
      <w:r>
        <w:rPr>
          <w:rFonts w:hint="eastAsia"/>
          <w:color w:val="auto"/>
        </w:rPr>
        <w:instrText xml:space="preserve"> PAGEREF _Toc27295 \h </w:instrText>
      </w:r>
      <w:r>
        <w:rPr>
          <w:rFonts w:hint="eastAsia"/>
          <w:color w:val="auto"/>
        </w:rPr>
        <w:fldChar w:fldCharType="separate"/>
      </w:r>
      <w:r>
        <w:rPr>
          <w:rFonts w:hint="eastAsia"/>
          <w:color w:val="auto"/>
        </w:rPr>
        <w:t>8</w:t>
      </w:r>
      <w:r>
        <w:rPr>
          <w:rFonts w:hint="eastAsia"/>
          <w:color w:val="auto"/>
        </w:rPr>
        <w:fldChar w:fldCharType="end"/>
      </w:r>
      <w:r>
        <w:rPr>
          <w:rFonts w:hint="eastAsia"/>
          <w:color w:val="auto"/>
        </w:rPr>
        <w:fldChar w:fldCharType="end"/>
      </w:r>
    </w:p>
    <w:p w14:paraId="225FA376">
      <w:pPr>
        <w:pStyle w:val="29"/>
        <w:tabs>
          <w:tab w:val="right" w:leader="dot" w:pos="8306"/>
        </w:tabs>
        <w:rPr>
          <w:rFonts w:hint="eastAsia"/>
          <w:color w:val="auto"/>
        </w:rPr>
      </w:pPr>
      <w:r>
        <w:rPr>
          <w:color w:val="auto"/>
        </w:rPr>
        <w:fldChar w:fldCharType="begin"/>
      </w:r>
      <w:r>
        <w:rPr>
          <w:color w:val="auto"/>
        </w:rPr>
        <w:instrText xml:space="preserve"> HYPERLINK \l "_Toc10617" </w:instrText>
      </w:r>
      <w:r>
        <w:rPr>
          <w:color w:val="auto"/>
        </w:rPr>
        <w:fldChar w:fldCharType="separate"/>
      </w:r>
      <w:r>
        <w:rPr>
          <w:rFonts w:hint="eastAsia"/>
          <w:color w:val="auto"/>
        </w:rPr>
        <w:t>五、公告期限</w:t>
      </w:r>
      <w:r>
        <w:rPr>
          <w:rFonts w:hint="eastAsia"/>
          <w:color w:val="auto"/>
        </w:rPr>
        <w:tab/>
      </w:r>
      <w:r>
        <w:rPr>
          <w:rFonts w:hint="eastAsia"/>
          <w:color w:val="auto"/>
        </w:rPr>
        <w:fldChar w:fldCharType="begin"/>
      </w:r>
      <w:r>
        <w:rPr>
          <w:rFonts w:hint="eastAsia"/>
          <w:color w:val="auto"/>
        </w:rPr>
        <w:instrText xml:space="preserve"> PAGEREF _Toc10617 \h </w:instrText>
      </w:r>
      <w:r>
        <w:rPr>
          <w:rFonts w:hint="eastAsia"/>
          <w:color w:val="auto"/>
        </w:rPr>
        <w:fldChar w:fldCharType="separate"/>
      </w:r>
      <w:r>
        <w:rPr>
          <w:rFonts w:hint="eastAsia"/>
          <w:color w:val="auto"/>
        </w:rPr>
        <w:t>8</w:t>
      </w:r>
      <w:r>
        <w:rPr>
          <w:rFonts w:hint="eastAsia"/>
          <w:color w:val="auto"/>
        </w:rPr>
        <w:fldChar w:fldCharType="end"/>
      </w:r>
      <w:r>
        <w:rPr>
          <w:rFonts w:hint="eastAsia"/>
          <w:color w:val="auto"/>
        </w:rPr>
        <w:fldChar w:fldCharType="end"/>
      </w:r>
    </w:p>
    <w:p w14:paraId="798E82B2">
      <w:pPr>
        <w:pStyle w:val="29"/>
        <w:tabs>
          <w:tab w:val="right" w:leader="dot" w:pos="8306"/>
        </w:tabs>
        <w:rPr>
          <w:rFonts w:hint="eastAsia"/>
          <w:color w:val="auto"/>
        </w:rPr>
      </w:pPr>
      <w:r>
        <w:rPr>
          <w:color w:val="auto"/>
        </w:rPr>
        <w:fldChar w:fldCharType="begin"/>
      </w:r>
      <w:r>
        <w:rPr>
          <w:color w:val="auto"/>
        </w:rPr>
        <w:instrText xml:space="preserve"> HYPERLINK \l "_Toc22605" </w:instrText>
      </w:r>
      <w:r>
        <w:rPr>
          <w:color w:val="auto"/>
        </w:rPr>
        <w:fldChar w:fldCharType="separate"/>
      </w:r>
      <w:r>
        <w:rPr>
          <w:rFonts w:hint="eastAsia"/>
          <w:color w:val="auto"/>
        </w:rPr>
        <w:t>六、其他补充事宜</w:t>
      </w:r>
      <w:r>
        <w:rPr>
          <w:rFonts w:hint="eastAsia"/>
          <w:color w:val="auto"/>
        </w:rPr>
        <w:tab/>
      </w:r>
      <w:r>
        <w:rPr>
          <w:rFonts w:hint="eastAsia"/>
          <w:color w:val="auto"/>
        </w:rPr>
        <w:fldChar w:fldCharType="begin"/>
      </w:r>
      <w:r>
        <w:rPr>
          <w:rFonts w:hint="eastAsia"/>
          <w:color w:val="auto"/>
        </w:rPr>
        <w:instrText xml:space="preserve"> PAGEREF _Toc22605 \h </w:instrText>
      </w:r>
      <w:r>
        <w:rPr>
          <w:rFonts w:hint="eastAsia"/>
          <w:color w:val="auto"/>
        </w:rPr>
        <w:fldChar w:fldCharType="separate"/>
      </w:r>
      <w:r>
        <w:rPr>
          <w:rFonts w:hint="eastAsia"/>
          <w:color w:val="auto"/>
        </w:rPr>
        <w:t>8</w:t>
      </w:r>
      <w:r>
        <w:rPr>
          <w:rFonts w:hint="eastAsia"/>
          <w:color w:val="auto"/>
        </w:rPr>
        <w:fldChar w:fldCharType="end"/>
      </w:r>
      <w:r>
        <w:rPr>
          <w:rFonts w:hint="eastAsia"/>
          <w:color w:val="auto"/>
        </w:rPr>
        <w:fldChar w:fldCharType="end"/>
      </w:r>
    </w:p>
    <w:p w14:paraId="018CC556">
      <w:pPr>
        <w:pStyle w:val="29"/>
        <w:tabs>
          <w:tab w:val="right" w:leader="dot" w:pos="8306"/>
        </w:tabs>
        <w:rPr>
          <w:rFonts w:hint="eastAsia"/>
          <w:color w:val="auto"/>
        </w:rPr>
      </w:pPr>
      <w:r>
        <w:rPr>
          <w:color w:val="auto"/>
        </w:rPr>
        <w:fldChar w:fldCharType="begin"/>
      </w:r>
      <w:r>
        <w:rPr>
          <w:color w:val="auto"/>
        </w:rPr>
        <w:instrText xml:space="preserve"> HYPERLINK \l "_Toc27929" </w:instrText>
      </w:r>
      <w:r>
        <w:rPr>
          <w:color w:val="auto"/>
        </w:rPr>
        <w:fldChar w:fldCharType="separate"/>
      </w:r>
      <w:r>
        <w:rPr>
          <w:rFonts w:hint="eastAsia"/>
          <w:color w:val="auto"/>
        </w:rPr>
        <w:t>七、对本次招标提出询问，请按以下方式联系。</w:t>
      </w:r>
      <w:r>
        <w:rPr>
          <w:rFonts w:hint="eastAsia"/>
          <w:color w:val="auto"/>
        </w:rPr>
        <w:tab/>
      </w:r>
      <w:r>
        <w:rPr>
          <w:rFonts w:hint="eastAsia"/>
          <w:color w:val="auto"/>
        </w:rPr>
        <w:fldChar w:fldCharType="begin"/>
      </w:r>
      <w:r>
        <w:rPr>
          <w:rFonts w:hint="eastAsia"/>
          <w:color w:val="auto"/>
        </w:rPr>
        <w:instrText xml:space="preserve"> PAGEREF _Toc27929 \h </w:instrText>
      </w:r>
      <w:r>
        <w:rPr>
          <w:rFonts w:hint="eastAsia"/>
          <w:color w:val="auto"/>
        </w:rPr>
        <w:fldChar w:fldCharType="separate"/>
      </w:r>
      <w:r>
        <w:rPr>
          <w:rFonts w:hint="eastAsia"/>
          <w:color w:val="auto"/>
        </w:rPr>
        <w:t>8</w:t>
      </w:r>
      <w:r>
        <w:rPr>
          <w:rFonts w:hint="eastAsia"/>
          <w:color w:val="auto"/>
        </w:rPr>
        <w:fldChar w:fldCharType="end"/>
      </w:r>
      <w:r>
        <w:rPr>
          <w:rFonts w:hint="eastAsia"/>
          <w:color w:val="auto"/>
        </w:rPr>
        <w:fldChar w:fldCharType="end"/>
      </w:r>
    </w:p>
    <w:p w14:paraId="32392B81">
      <w:pPr>
        <w:pStyle w:val="26"/>
        <w:tabs>
          <w:tab w:val="right" w:leader="dot" w:pos="8306"/>
        </w:tabs>
        <w:rPr>
          <w:rFonts w:hint="eastAsia"/>
          <w:color w:val="auto"/>
        </w:rPr>
      </w:pPr>
      <w:r>
        <w:rPr>
          <w:color w:val="auto"/>
        </w:rPr>
        <w:fldChar w:fldCharType="begin"/>
      </w:r>
      <w:r>
        <w:rPr>
          <w:color w:val="auto"/>
        </w:rPr>
        <w:instrText xml:space="preserve"> HYPERLINK \l "_Toc24712" </w:instrText>
      </w:r>
      <w:r>
        <w:rPr>
          <w:color w:val="auto"/>
        </w:rPr>
        <w:fldChar w:fldCharType="separate"/>
      </w:r>
      <w:r>
        <w:rPr>
          <w:rFonts w:hint="eastAsia"/>
          <w:color w:val="auto"/>
        </w:rPr>
        <w:t>第二章 投标供应商须知</w:t>
      </w:r>
      <w:r>
        <w:rPr>
          <w:color w:val="auto"/>
        </w:rPr>
        <w:tab/>
      </w:r>
      <w:r>
        <w:rPr>
          <w:color w:val="auto"/>
        </w:rPr>
        <w:fldChar w:fldCharType="begin"/>
      </w:r>
      <w:r>
        <w:rPr>
          <w:color w:val="auto"/>
        </w:rPr>
        <w:instrText xml:space="preserve"> PAGEREF _Toc24712 \h </w:instrText>
      </w:r>
      <w:r>
        <w:rPr>
          <w:color w:val="auto"/>
        </w:rPr>
        <w:fldChar w:fldCharType="separate"/>
      </w:r>
      <w:r>
        <w:rPr>
          <w:color w:val="auto"/>
        </w:rPr>
        <w:t>11</w:t>
      </w:r>
      <w:r>
        <w:rPr>
          <w:color w:val="auto"/>
        </w:rPr>
        <w:fldChar w:fldCharType="end"/>
      </w:r>
      <w:r>
        <w:rPr>
          <w:color w:val="auto"/>
        </w:rPr>
        <w:fldChar w:fldCharType="end"/>
      </w:r>
    </w:p>
    <w:p w14:paraId="7FF91835">
      <w:pPr>
        <w:pStyle w:val="29"/>
        <w:tabs>
          <w:tab w:val="right" w:leader="dot" w:pos="8306"/>
        </w:tabs>
        <w:rPr>
          <w:rFonts w:hint="eastAsia"/>
          <w:color w:val="auto"/>
        </w:rPr>
      </w:pPr>
      <w:r>
        <w:rPr>
          <w:color w:val="auto"/>
        </w:rPr>
        <w:fldChar w:fldCharType="begin"/>
      </w:r>
      <w:r>
        <w:rPr>
          <w:color w:val="auto"/>
        </w:rPr>
        <w:instrText xml:space="preserve"> HYPERLINK \l "_Toc28594" </w:instrText>
      </w:r>
      <w:r>
        <w:rPr>
          <w:color w:val="auto"/>
        </w:rPr>
        <w:fldChar w:fldCharType="separate"/>
      </w:r>
      <w:r>
        <w:rPr>
          <w:rFonts w:hint="eastAsia"/>
          <w:color w:val="auto"/>
        </w:rPr>
        <w:t>一、 投标供应商须知前附表</w:t>
      </w:r>
      <w:r>
        <w:rPr>
          <w:color w:val="auto"/>
        </w:rPr>
        <w:tab/>
      </w:r>
      <w:r>
        <w:rPr>
          <w:color w:val="auto"/>
        </w:rPr>
        <w:fldChar w:fldCharType="begin"/>
      </w:r>
      <w:r>
        <w:rPr>
          <w:color w:val="auto"/>
        </w:rPr>
        <w:instrText xml:space="preserve"> PAGEREF _Toc28594 \h </w:instrText>
      </w:r>
      <w:r>
        <w:rPr>
          <w:color w:val="auto"/>
        </w:rPr>
        <w:fldChar w:fldCharType="separate"/>
      </w:r>
      <w:r>
        <w:rPr>
          <w:color w:val="auto"/>
        </w:rPr>
        <w:t>11</w:t>
      </w:r>
      <w:r>
        <w:rPr>
          <w:color w:val="auto"/>
        </w:rPr>
        <w:fldChar w:fldCharType="end"/>
      </w:r>
      <w:r>
        <w:rPr>
          <w:color w:val="auto"/>
        </w:rPr>
        <w:fldChar w:fldCharType="end"/>
      </w:r>
    </w:p>
    <w:p w14:paraId="6DE03F3E">
      <w:pPr>
        <w:pStyle w:val="29"/>
        <w:tabs>
          <w:tab w:val="right" w:leader="dot" w:pos="8306"/>
        </w:tabs>
        <w:rPr>
          <w:rFonts w:hint="eastAsia"/>
          <w:color w:val="auto"/>
        </w:rPr>
      </w:pPr>
      <w:r>
        <w:rPr>
          <w:color w:val="auto"/>
        </w:rPr>
        <w:fldChar w:fldCharType="begin"/>
      </w:r>
      <w:r>
        <w:rPr>
          <w:color w:val="auto"/>
        </w:rPr>
        <w:instrText xml:space="preserve"> HYPERLINK \l "_Toc18687" </w:instrText>
      </w:r>
      <w:r>
        <w:rPr>
          <w:color w:val="auto"/>
        </w:rPr>
        <w:fldChar w:fldCharType="separate"/>
      </w:r>
      <w:r>
        <w:rPr>
          <w:rFonts w:hint="eastAsia"/>
          <w:color w:val="auto"/>
        </w:rPr>
        <w:t>二、 投标供应商须知</w:t>
      </w:r>
      <w:r>
        <w:rPr>
          <w:color w:val="auto"/>
        </w:rPr>
        <w:tab/>
      </w:r>
      <w:r>
        <w:rPr>
          <w:color w:val="auto"/>
        </w:rPr>
        <w:fldChar w:fldCharType="begin"/>
      </w:r>
      <w:r>
        <w:rPr>
          <w:color w:val="auto"/>
        </w:rPr>
        <w:instrText xml:space="preserve"> PAGEREF _Toc18687 \h </w:instrText>
      </w:r>
      <w:r>
        <w:rPr>
          <w:color w:val="auto"/>
        </w:rPr>
        <w:fldChar w:fldCharType="separate"/>
      </w:r>
      <w:r>
        <w:rPr>
          <w:color w:val="auto"/>
        </w:rPr>
        <w:t>20</w:t>
      </w:r>
      <w:r>
        <w:rPr>
          <w:color w:val="auto"/>
        </w:rPr>
        <w:fldChar w:fldCharType="end"/>
      </w:r>
      <w:r>
        <w:rPr>
          <w:color w:val="auto"/>
        </w:rPr>
        <w:fldChar w:fldCharType="end"/>
      </w:r>
    </w:p>
    <w:p w14:paraId="55BD1604">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"_Toc7977" </w:instrText>
      </w:r>
      <w:r>
        <w:rPr>
          <w:i w:val="0"/>
          <w:iCs w:val="0"/>
          <w:color w:val="auto"/>
        </w:rPr>
        <w:fldChar w:fldCharType="separate"/>
      </w:r>
      <w:r>
        <w:rPr>
          <w:rFonts w:hint="eastAsia"/>
          <w:i w:val="0"/>
          <w:iCs w:val="0"/>
          <w:color w:val="auto"/>
        </w:rPr>
        <w:t>（一） 总则</w:t>
      </w:r>
      <w:r>
        <w:rPr>
          <w:i w:val="0"/>
          <w:iCs w:val="0"/>
          <w:color w:val="auto"/>
        </w:rPr>
        <w:tab/>
      </w:r>
      <w:r>
        <w:rPr>
          <w:i w:val="0"/>
          <w:iCs w:val="0"/>
          <w:color w:val="auto"/>
        </w:rPr>
        <w:fldChar w:fldCharType="begin"/>
      </w:r>
      <w:r>
        <w:rPr>
          <w:i w:val="0"/>
          <w:iCs w:val="0"/>
          <w:color w:val="auto"/>
        </w:rPr>
        <w:instrText xml:space="preserve"> PAGEREF _Toc7977 \h </w:instrText>
      </w:r>
      <w:r>
        <w:rPr>
          <w:i w:val="0"/>
          <w:iCs w:val="0"/>
          <w:color w:val="auto"/>
        </w:rPr>
        <w:fldChar w:fldCharType="separate"/>
      </w:r>
      <w:r>
        <w:rPr>
          <w:i w:val="0"/>
          <w:iCs w:val="0"/>
          <w:color w:val="auto"/>
        </w:rPr>
        <w:t>20</w:t>
      </w:r>
      <w:r>
        <w:rPr>
          <w:i w:val="0"/>
          <w:iCs w:val="0"/>
          <w:color w:val="auto"/>
        </w:rPr>
        <w:fldChar w:fldCharType="end"/>
      </w:r>
      <w:r>
        <w:rPr>
          <w:i w:val="0"/>
          <w:iCs w:val="0"/>
          <w:color w:val="auto"/>
        </w:rPr>
        <w:fldChar w:fldCharType="end"/>
      </w:r>
    </w:p>
    <w:p w14:paraId="5B0C972F">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"_Toc19657" </w:instrText>
      </w:r>
      <w:r>
        <w:rPr>
          <w:i w:val="0"/>
          <w:iCs w:val="0"/>
          <w:color w:val="auto"/>
        </w:rPr>
        <w:fldChar w:fldCharType="separate"/>
      </w:r>
      <w:r>
        <w:rPr>
          <w:rFonts w:hint="eastAsia"/>
          <w:i w:val="0"/>
          <w:iCs w:val="0"/>
          <w:color w:val="auto"/>
        </w:rPr>
        <w:t>（二） 招标文件</w:t>
      </w:r>
      <w:r>
        <w:rPr>
          <w:i w:val="0"/>
          <w:iCs w:val="0"/>
          <w:color w:val="auto"/>
        </w:rPr>
        <w:tab/>
      </w:r>
      <w:r>
        <w:rPr>
          <w:i w:val="0"/>
          <w:iCs w:val="0"/>
          <w:color w:val="auto"/>
        </w:rPr>
        <w:fldChar w:fldCharType="begin"/>
      </w:r>
      <w:r>
        <w:rPr>
          <w:i w:val="0"/>
          <w:iCs w:val="0"/>
          <w:color w:val="auto"/>
        </w:rPr>
        <w:instrText xml:space="preserve"> PAGEREF _Toc19657 \h </w:instrText>
      </w:r>
      <w:r>
        <w:rPr>
          <w:i w:val="0"/>
          <w:iCs w:val="0"/>
          <w:color w:val="auto"/>
        </w:rPr>
        <w:fldChar w:fldCharType="separate"/>
      </w:r>
      <w:r>
        <w:rPr>
          <w:i w:val="0"/>
          <w:iCs w:val="0"/>
          <w:color w:val="auto"/>
        </w:rPr>
        <w:t>23</w:t>
      </w:r>
      <w:r>
        <w:rPr>
          <w:i w:val="0"/>
          <w:iCs w:val="0"/>
          <w:color w:val="auto"/>
        </w:rPr>
        <w:fldChar w:fldCharType="end"/>
      </w:r>
      <w:r>
        <w:rPr>
          <w:i w:val="0"/>
          <w:iCs w:val="0"/>
          <w:color w:val="auto"/>
        </w:rPr>
        <w:fldChar w:fldCharType="end"/>
      </w:r>
    </w:p>
    <w:p w14:paraId="60CD40B7">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"_Toc23618" </w:instrText>
      </w:r>
      <w:r>
        <w:rPr>
          <w:i w:val="0"/>
          <w:iCs w:val="0"/>
          <w:color w:val="auto"/>
        </w:rPr>
        <w:fldChar w:fldCharType="separate"/>
      </w:r>
      <w:r>
        <w:rPr>
          <w:rFonts w:hint="eastAsia"/>
          <w:i w:val="0"/>
          <w:iCs w:val="0"/>
          <w:color w:val="auto"/>
        </w:rPr>
        <w:t>（三） 投标文件</w:t>
      </w:r>
      <w:r>
        <w:rPr>
          <w:i w:val="0"/>
          <w:iCs w:val="0"/>
          <w:color w:val="auto"/>
        </w:rPr>
        <w:tab/>
      </w:r>
      <w:r>
        <w:rPr>
          <w:i w:val="0"/>
          <w:iCs w:val="0"/>
          <w:color w:val="auto"/>
        </w:rPr>
        <w:fldChar w:fldCharType="begin"/>
      </w:r>
      <w:r>
        <w:rPr>
          <w:i w:val="0"/>
          <w:iCs w:val="0"/>
          <w:color w:val="auto"/>
        </w:rPr>
        <w:instrText xml:space="preserve"> PAGEREF _Toc23618 \h </w:instrText>
      </w:r>
      <w:r>
        <w:rPr>
          <w:i w:val="0"/>
          <w:iCs w:val="0"/>
          <w:color w:val="auto"/>
        </w:rPr>
        <w:fldChar w:fldCharType="separate"/>
      </w:r>
      <w:r>
        <w:rPr>
          <w:i w:val="0"/>
          <w:iCs w:val="0"/>
          <w:color w:val="auto"/>
        </w:rPr>
        <w:t>24</w:t>
      </w:r>
      <w:r>
        <w:rPr>
          <w:i w:val="0"/>
          <w:iCs w:val="0"/>
          <w:color w:val="auto"/>
        </w:rPr>
        <w:fldChar w:fldCharType="end"/>
      </w:r>
      <w:r>
        <w:rPr>
          <w:i w:val="0"/>
          <w:iCs w:val="0"/>
          <w:color w:val="auto"/>
        </w:rPr>
        <w:fldChar w:fldCharType="end"/>
      </w:r>
    </w:p>
    <w:p w14:paraId="67D19630">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"_Toc4873" </w:instrText>
      </w:r>
      <w:r>
        <w:rPr>
          <w:i w:val="0"/>
          <w:iCs w:val="0"/>
          <w:color w:val="auto"/>
        </w:rPr>
        <w:fldChar w:fldCharType="separate"/>
      </w:r>
      <w:r>
        <w:rPr>
          <w:rFonts w:hint="eastAsia"/>
          <w:i w:val="0"/>
          <w:iCs w:val="0"/>
          <w:color w:val="auto"/>
        </w:rPr>
        <w:t xml:space="preserve">（四） </w:t>
      </w:r>
      <w:r>
        <w:rPr>
          <w:rFonts w:hint="eastAsia" w:hAnsiTheme="minorHAnsi"/>
          <w:i w:val="0"/>
          <w:iCs w:val="0"/>
          <w:color w:val="auto"/>
        </w:rPr>
        <w:t>投标</w:t>
      </w:r>
      <w:r>
        <w:rPr>
          <w:i w:val="0"/>
          <w:iCs w:val="0"/>
          <w:color w:val="auto"/>
        </w:rPr>
        <w:tab/>
      </w:r>
      <w:r>
        <w:rPr>
          <w:i w:val="0"/>
          <w:iCs w:val="0"/>
          <w:color w:val="auto"/>
        </w:rPr>
        <w:fldChar w:fldCharType="begin"/>
      </w:r>
      <w:r>
        <w:rPr>
          <w:i w:val="0"/>
          <w:iCs w:val="0"/>
          <w:color w:val="auto"/>
        </w:rPr>
        <w:instrText xml:space="preserve"> PAGEREF _Toc4873 \h </w:instrText>
      </w:r>
      <w:r>
        <w:rPr>
          <w:i w:val="0"/>
          <w:iCs w:val="0"/>
          <w:color w:val="auto"/>
        </w:rPr>
        <w:fldChar w:fldCharType="separate"/>
      </w:r>
      <w:r>
        <w:rPr>
          <w:i w:val="0"/>
          <w:iCs w:val="0"/>
          <w:color w:val="auto"/>
        </w:rPr>
        <w:t>27</w:t>
      </w:r>
      <w:r>
        <w:rPr>
          <w:i w:val="0"/>
          <w:iCs w:val="0"/>
          <w:color w:val="auto"/>
        </w:rPr>
        <w:fldChar w:fldCharType="end"/>
      </w:r>
      <w:r>
        <w:rPr>
          <w:i w:val="0"/>
          <w:iCs w:val="0"/>
          <w:color w:val="auto"/>
        </w:rPr>
        <w:fldChar w:fldCharType="end"/>
      </w:r>
    </w:p>
    <w:p w14:paraId="5547D3E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"_Toc29358" </w:instrText>
      </w:r>
      <w:r>
        <w:rPr>
          <w:i w:val="0"/>
          <w:iCs w:val="0"/>
          <w:color w:val="auto"/>
        </w:rPr>
        <w:fldChar w:fldCharType="separate"/>
      </w:r>
      <w:r>
        <w:rPr>
          <w:rFonts w:hint="eastAsia" w:hAnsiTheme="minorHAnsi"/>
          <w:i w:val="0"/>
          <w:iCs w:val="0"/>
          <w:color w:val="auto"/>
        </w:rPr>
        <w:t>（五） 开标</w:t>
      </w:r>
      <w:r>
        <w:rPr>
          <w:i w:val="0"/>
          <w:iCs w:val="0"/>
          <w:color w:val="auto"/>
        </w:rPr>
        <w:tab/>
      </w:r>
      <w:r>
        <w:rPr>
          <w:i w:val="0"/>
          <w:iCs w:val="0"/>
          <w:color w:val="auto"/>
        </w:rPr>
        <w:fldChar w:fldCharType="begin"/>
      </w:r>
      <w:r>
        <w:rPr>
          <w:i w:val="0"/>
          <w:iCs w:val="0"/>
          <w:color w:val="auto"/>
        </w:rPr>
        <w:instrText xml:space="preserve"> PAGEREF _Toc29358 \h </w:instrText>
      </w:r>
      <w:r>
        <w:rPr>
          <w:i w:val="0"/>
          <w:iCs w:val="0"/>
          <w:color w:val="auto"/>
        </w:rPr>
        <w:fldChar w:fldCharType="separate"/>
      </w:r>
      <w:r>
        <w:rPr>
          <w:i w:val="0"/>
          <w:iCs w:val="0"/>
          <w:color w:val="auto"/>
        </w:rPr>
        <w:t>29</w:t>
      </w:r>
      <w:r>
        <w:rPr>
          <w:i w:val="0"/>
          <w:iCs w:val="0"/>
          <w:color w:val="auto"/>
        </w:rPr>
        <w:fldChar w:fldCharType="end"/>
      </w:r>
      <w:r>
        <w:rPr>
          <w:i w:val="0"/>
          <w:iCs w:val="0"/>
          <w:color w:val="auto"/>
        </w:rPr>
        <w:fldChar w:fldCharType="end"/>
      </w:r>
    </w:p>
    <w:p w14:paraId="148B90F0">
      <w:pPr>
        <w:pStyle w:val="18"/>
        <w:tabs>
          <w:tab w:val="right" w:leader="dot" w:pos="8306"/>
        </w:tabs>
        <w:rPr>
          <w:rFonts w:hint="eastAsia"/>
          <w:i w:val="0"/>
          <w:iCs w:val="0"/>
          <w:color w:val="auto"/>
        </w:rPr>
      </w:pPr>
      <w:bookmarkStart w:id="399" w:name="_GoBack"/>
      <w:bookmarkEnd w:id="399"/>
      <w:r>
        <w:rPr>
          <w:i w:val="0"/>
          <w:iCs w:val="0"/>
          <w:color w:val="auto"/>
        </w:rPr>
        <w:fldChar w:fldCharType="begin"/>
      </w:r>
      <w:r>
        <w:rPr>
          <w:i w:val="0"/>
          <w:iCs w:val="0"/>
          <w:color w:val="auto"/>
        </w:rPr>
        <w:instrText xml:space="preserve"> HYPERLINK \l "_Toc19601" </w:instrText>
      </w:r>
      <w:r>
        <w:rPr>
          <w:i w:val="0"/>
          <w:iCs w:val="0"/>
          <w:color w:val="auto"/>
        </w:rPr>
        <w:fldChar w:fldCharType="separate"/>
      </w:r>
      <w:r>
        <w:rPr>
          <w:rFonts w:hint="eastAsia" w:hAnsiTheme="minorHAnsi"/>
          <w:i w:val="0"/>
          <w:iCs w:val="0"/>
          <w:color w:val="auto"/>
        </w:rPr>
        <w:t>（六） 资格审查</w:t>
      </w:r>
      <w:r>
        <w:rPr>
          <w:i w:val="0"/>
          <w:iCs w:val="0"/>
          <w:color w:val="auto"/>
        </w:rPr>
        <w:tab/>
      </w:r>
      <w:r>
        <w:rPr>
          <w:i w:val="0"/>
          <w:iCs w:val="0"/>
          <w:color w:val="auto"/>
        </w:rPr>
        <w:fldChar w:fldCharType="begin"/>
      </w:r>
      <w:r>
        <w:rPr>
          <w:i w:val="0"/>
          <w:iCs w:val="0"/>
          <w:color w:val="auto"/>
        </w:rPr>
        <w:instrText xml:space="preserve"> PAGEREF _Toc19601 \h </w:instrText>
      </w:r>
      <w:r>
        <w:rPr>
          <w:i w:val="0"/>
          <w:iCs w:val="0"/>
          <w:color w:val="auto"/>
        </w:rPr>
        <w:fldChar w:fldCharType="separate"/>
      </w:r>
      <w:r>
        <w:rPr>
          <w:i w:val="0"/>
          <w:iCs w:val="0"/>
          <w:color w:val="auto"/>
        </w:rPr>
        <w:t>30</w:t>
      </w:r>
      <w:r>
        <w:rPr>
          <w:i w:val="0"/>
          <w:iCs w:val="0"/>
          <w:color w:val="auto"/>
        </w:rPr>
        <w:fldChar w:fldCharType="end"/>
      </w:r>
      <w:r>
        <w:rPr>
          <w:i w:val="0"/>
          <w:iCs w:val="0"/>
          <w:color w:val="auto"/>
        </w:rPr>
        <w:fldChar w:fldCharType="end"/>
      </w:r>
    </w:p>
    <w:p w14:paraId="7764907C">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"_Toc17002" </w:instrText>
      </w:r>
      <w:r>
        <w:rPr>
          <w:i w:val="0"/>
          <w:iCs w:val="0"/>
          <w:color w:val="auto"/>
        </w:rPr>
        <w:fldChar w:fldCharType="separate"/>
      </w:r>
      <w:r>
        <w:rPr>
          <w:rFonts w:hint="eastAsia" w:hAnsiTheme="minorHAnsi"/>
          <w:i w:val="0"/>
          <w:iCs w:val="0"/>
          <w:color w:val="auto"/>
        </w:rPr>
        <w:t>（七） 评标</w:t>
      </w:r>
      <w:r>
        <w:rPr>
          <w:i w:val="0"/>
          <w:iCs w:val="0"/>
          <w:color w:val="auto"/>
        </w:rPr>
        <w:tab/>
      </w:r>
      <w:r>
        <w:rPr>
          <w:i w:val="0"/>
          <w:iCs w:val="0"/>
          <w:color w:val="auto"/>
        </w:rPr>
        <w:fldChar w:fldCharType="begin"/>
      </w:r>
      <w:r>
        <w:rPr>
          <w:i w:val="0"/>
          <w:iCs w:val="0"/>
          <w:color w:val="auto"/>
        </w:rPr>
        <w:instrText xml:space="preserve"> PAGEREF _Toc17002 \h </w:instrText>
      </w:r>
      <w:r>
        <w:rPr>
          <w:i w:val="0"/>
          <w:iCs w:val="0"/>
          <w:color w:val="auto"/>
        </w:rPr>
        <w:fldChar w:fldCharType="separate"/>
      </w:r>
      <w:r>
        <w:rPr>
          <w:i w:val="0"/>
          <w:iCs w:val="0"/>
          <w:color w:val="auto"/>
        </w:rPr>
        <w:t>30</w:t>
      </w:r>
      <w:r>
        <w:rPr>
          <w:i w:val="0"/>
          <w:iCs w:val="0"/>
          <w:color w:val="auto"/>
        </w:rPr>
        <w:fldChar w:fldCharType="end"/>
      </w:r>
      <w:r>
        <w:rPr>
          <w:i w:val="0"/>
          <w:iCs w:val="0"/>
          <w:color w:val="auto"/>
        </w:rPr>
        <w:fldChar w:fldCharType="end"/>
      </w:r>
    </w:p>
    <w:p w14:paraId="50BA729F">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"_Toc524" </w:instrText>
      </w:r>
      <w:r>
        <w:rPr>
          <w:i w:val="0"/>
          <w:iCs w:val="0"/>
          <w:color w:val="auto"/>
        </w:rPr>
        <w:fldChar w:fldCharType="separate"/>
      </w:r>
      <w:r>
        <w:rPr>
          <w:rFonts w:hint="eastAsia" w:hAnsiTheme="minorHAnsi"/>
          <w:i w:val="0"/>
          <w:iCs w:val="0"/>
          <w:color w:val="auto"/>
        </w:rPr>
        <w:t>（八） 中标</w:t>
      </w:r>
      <w:r>
        <w:rPr>
          <w:i w:val="0"/>
          <w:iCs w:val="0"/>
          <w:color w:val="auto"/>
        </w:rPr>
        <w:tab/>
      </w:r>
      <w:r>
        <w:rPr>
          <w:i w:val="0"/>
          <w:iCs w:val="0"/>
          <w:color w:val="auto"/>
        </w:rPr>
        <w:fldChar w:fldCharType="begin"/>
      </w:r>
      <w:r>
        <w:rPr>
          <w:i w:val="0"/>
          <w:iCs w:val="0"/>
          <w:color w:val="auto"/>
        </w:rPr>
        <w:instrText xml:space="preserve"> PAGEREF _Toc524 \h </w:instrText>
      </w:r>
      <w:r>
        <w:rPr>
          <w:i w:val="0"/>
          <w:iCs w:val="0"/>
          <w:color w:val="auto"/>
        </w:rPr>
        <w:fldChar w:fldCharType="separate"/>
      </w:r>
      <w:r>
        <w:rPr>
          <w:i w:val="0"/>
          <w:iCs w:val="0"/>
          <w:color w:val="auto"/>
        </w:rPr>
        <w:t>31</w:t>
      </w:r>
      <w:r>
        <w:rPr>
          <w:i w:val="0"/>
          <w:iCs w:val="0"/>
          <w:color w:val="auto"/>
        </w:rPr>
        <w:fldChar w:fldCharType="end"/>
      </w:r>
      <w:r>
        <w:rPr>
          <w:i w:val="0"/>
          <w:iCs w:val="0"/>
          <w:color w:val="auto"/>
        </w:rPr>
        <w:fldChar w:fldCharType="end"/>
      </w:r>
    </w:p>
    <w:p w14:paraId="4C6548E2">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"_Toc4541" </w:instrText>
      </w:r>
      <w:r>
        <w:rPr>
          <w:i w:val="0"/>
          <w:iCs w:val="0"/>
          <w:color w:val="auto"/>
        </w:rPr>
        <w:fldChar w:fldCharType="separate"/>
      </w:r>
      <w:r>
        <w:rPr>
          <w:rFonts w:hint="eastAsia" w:hAnsiTheme="minorHAnsi"/>
          <w:i w:val="0"/>
          <w:iCs w:val="0"/>
          <w:color w:val="auto"/>
        </w:rPr>
        <w:t>（九） 签订合同</w:t>
      </w:r>
      <w:r>
        <w:rPr>
          <w:i w:val="0"/>
          <w:iCs w:val="0"/>
          <w:color w:val="auto"/>
        </w:rPr>
        <w:tab/>
      </w:r>
      <w:r>
        <w:rPr>
          <w:i w:val="0"/>
          <w:iCs w:val="0"/>
          <w:color w:val="auto"/>
        </w:rPr>
        <w:fldChar w:fldCharType="begin"/>
      </w:r>
      <w:r>
        <w:rPr>
          <w:i w:val="0"/>
          <w:iCs w:val="0"/>
          <w:color w:val="auto"/>
        </w:rPr>
        <w:instrText xml:space="preserve"> PAGEREF _Toc4541 \h </w:instrText>
      </w:r>
      <w:r>
        <w:rPr>
          <w:i w:val="0"/>
          <w:iCs w:val="0"/>
          <w:color w:val="auto"/>
        </w:rPr>
        <w:fldChar w:fldCharType="separate"/>
      </w:r>
      <w:r>
        <w:rPr>
          <w:i w:val="0"/>
          <w:iCs w:val="0"/>
          <w:color w:val="auto"/>
        </w:rPr>
        <w:t>32</w:t>
      </w:r>
      <w:r>
        <w:rPr>
          <w:i w:val="0"/>
          <w:iCs w:val="0"/>
          <w:color w:val="auto"/>
        </w:rPr>
        <w:fldChar w:fldCharType="end"/>
      </w:r>
      <w:r>
        <w:rPr>
          <w:i w:val="0"/>
          <w:iCs w:val="0"/>
          <w:color w:val="auto"/>
        </w:rPr>
        <w:fldChar w:fldCharType="end"/>
      </w:r>
    </w:p>
    <w:p w14:paraId="09F66DB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"_Toc5916" </w:instrText>
      </w:r>
      <w:r>
        <w:rPr>
          <w:i w:val="0"/>
          <w:iCs w:val="0"/>
          <w:color w:val="auto"/>
        </w:rPr>
        <w:fldChar w:fldCharType="separate"/>
      </w:r>
      <w:r>
        <w:rPr>
          <w:rFonts w:hint="eastAsia" w:hAnsiTheme="minorHAnsi"/>
          <w:i w:val="0"/>
          <w:iCs w:val="0"/>
          <w:color w:val="auto"/>
        </w:rPr>
        <w:t>（十） 质疑和投诉</w:t>
      </w:r>
      <w:r>
        <w:rPr>
          <w:i w:val="0"/>
          <w:iCs w:val="0"/>
          <w:color w:val="auto"/>
        </w:rPr>
        <w:tab/>
      </w:r>
      <w:r>
        <w:rPr>
          <w:i w:val="0"/>
          <w:iCs w:val="0"/>
          <w:color w:val="auto"/>
        </w:rPr>
        <w:fldChar w:fldCharType="begin"/>
      </w:r>
      <w:r>
        <w:rPr>
          <w:i w:val="0"/>
          <w:iCs w:val="0"/>
          <w:color w:val="auto"/>
        </w:rPr>
        <w:instrText xml:space="preserve"> PAGEREF _Toc5916 \h </w:instrText>
      </w:r>
      <w:r>
        <w:rPr>
          <w:i w:val="0"/>
          <w:iCs w:val="0"/>
          <w:color w:val="auto"/>
        </w:rPr>
        <w:fldChar w:fldCharType="separate"/>
      </w:r>
      <w:r>
        <w:rPr>
          <w:i w:val="0"/>
          <w:iCs w:val="0"/>
          <w:color w:val="auto"/>
        </w:rPr>
        <w:t>32</w:t>
      </w:r>
      <w:r>
        <w:rPr>
          <w:i w:val="0"/>
          <w:iCs w:val="0"/>
          <w:color w:val="auto"/>
        </w:rPr>
        <w:fldChar w:fldCharType="end"/>
      </w:r>
      <w:r>
        <w:rPr>
          <w:i w:val="0"/>
          <w:iCs w:val="0"/>
          <w:color w:val="auto"/>
        </w:rPr>
        <w:fldChar w:fldCharType="end"/>
      </w:r>
    </w:p>
    <w:p w14:paraId="6E6A36D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"_Toc24814" </w:instrText>
      </w:r>
      <w:r>
        <w:rPr>
          <w:i w:val="0"/>
          <w:iCs w:val="0"/>
          <w:color w:val="auto"/>
        </w:rPr>
        <w:fldChar w:fldCharType="separate"/>
      </w:r>
      <w:r>
        <w:rPr>
          <w:rFonts w:hint="eastAsia" w:hAnsiTheme="minorHAnsi"/>
          <w:i w:val="0"/>
          <w:iCs w:val="0"/>
          <w:color w:val="auto"/>
        </w:rPr>
        <w:t>（十一） 采购代理服务费</w:t>
      </w:r>
      <w:r>
        <w:rPr>
          <w:i w:val="0"/>
          <w:iCs w:val="0"/>
          <w:color w:val="auto"/>
        </w:rPr>
        <w:tab/>
      </w:r>
      <w:r>
        <w:rPr>
          <w:i w:val="0"/>
          <w:iCs w:val="0"/>
          <w:color w:val="auto"/>
        </w:rPr>
        <w:fldChar w:fldCharType="begin"/>
      </w:r>
      <w:r>
        <w:rPr>
          <w:i w:val="0"/>
          <w:iCs w:val="0"/>
          <w:color w:val="auto"/>
        </w:rPr>
        <w:instrText xml:space="preserve"> PAGEREF _Toc24814 \h </w:instrText>
      </w:r>
      <w:r>
        <w:rPr>
          <w:i w:val="0"/>
          <w:iCs w:val="0"/>
          <w:color w:val="auto"/>
        </w:rPr>
        <w:fldChar w:fldCharType="separate"/>
      </w:r>
      <w:r>
        <w:rPr>
          <w:i w:val="0"/>
          <w:iCs w:val="0"/>
          <w:color w:val="auto"/>
        </w:rPr>
        <w:t>34</w:t>
      </w:r>
      <w:r>
        <w:rPr>
          <w:i w:val="0"/>
          <w:iCs w:val="0"/>
          <w:color w:val="auto"/>
        </w:rPr>
        <w:fldChar w:fldCharType="end"/>
      </w:r>
      <w:r>
        <w:rPr>
          <w:i w:val="0"/>
          <w:iCs w:val="0"/>
          <w:color w:val="auto"/>
        </w:rPr>
        <w:fldChar w:fldCharType="end"/>
      </w:r>
    </w:p>
    <w:p w14:paraId="32865796">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"_Toc17917" </w:instrText>
      </w:r>
      <w:r>
        <w:rPr>
          <w:i w:val="0"/>
          <w:iCs w:val="0"/>
          <w:color w:val="auto"/>
        </w:rPr>
        <w:fldChar w:fldCharType="separate"/>
      </w:r>
      <w:r>
        <w:rPr>
          <w:rFonts w:hint="eastAsia" w:hAnsiTheme="minorHAnsi"/>
          <w:i w:val="0"/>
          <w:iCs w:val="0"/>
          <w:color w:val="auto"/>
        </w:rPr>
        <w:t>（十二） 无效投标和废标</w:t>
      </w:r>
      <w:r>
        <w:rPr>
          <w:i w:val="0"/>
          <w:iCs w:val="0"/>
          <w:color w:val="auto"/>
        </w:rPr>
        <w:tab/>
      </w:r>
      <w:r>
        <w:rPr>
          <w:i w:val="0"/>
          <w:iCs w:val="0"/>
          <w:color w:val="auto"/>
        </w:rPr>
        <w:fldChar w:fldCharType="begin"/>
      </w:r>
      <w:r>
        <w:rPr>
          <w:i w:val="0"/>
          <w:iCs w:val="0"/>
          <w:color w:val="auto"/>
        </w:rPr>
        <w:instrText xml:space="preserve"> PAGEREF _Toc17917 \h </w:instrText>
      </w:r>
      <w:r>
        <w:rPr>
          <w:i w:val="0"/>
          <w:iCs w:val="0"/>
          <w:color w:val="auto"/>
        </w:rPr>
        <w:fldChar w:fldCharType="separate"/>
      </w:r>
      <w:r>
        <w:rPr>
          <w:i w:val="0"/>
          <w:iCs w:val="0"/>
          <w:color w:val="auto"/>
        </w:rPr>
        <w:t>34</w:t>
      </w:r>
      <w:r>
        <w:rPr>
          <w:i w:val="0"/>
          <w:iCs w:val="0"/>
          <w:color w:val="auto"/>
        </w:rPr>
        <w:fldChar w:fldCharType="end"/>
      </w:r>
      <w:r>
        <w:rPr>
          <w:i w:val="0"/>
          <w:iCs w:val="0"/>
          <w:color w:val="auto"/>
        </w:rPr>
        <w:fldChar w:fldCharType="end"/>
      </w:r>
    </w:p>
    <w:p w14:paraId="64311CD3">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"_Toc20788" </w:instrText>
      </w:r>
      <w:r>
        <w:rPr>
          <w:i w:val="0"/>
          <w:iCs w:val="0"/>
          <w:color w:val="auto"/>
        </w:rPr>
        <w:fldChar w:fldCharType="separate"/>
      </w:r>
      <w:r>
        <w:rPr>
          <w:rFonts w:hint="eastAsia" w:hAnsiTheme="minorHAnsi"/>
          <w:i w:val="0"/>
          <w:iCs w:val="0"/>
          <w:color w:val="auto"/>
        </w:rPr>
        <w:t>（十三） 落实政府采购政策</w:t>
      </w:r>
      <w:r>
        <w:rPr>
          <w:i w:val="0"/>
          <w:iCs w:val="0"/>
          <w:color w:val="auto"/>
        </w:rPr>
        <w:tab/>
      </w:r>
      <w:r>
        <w:rPr>
          <w:i w:val="0"/>
          <w:iCs w:val="0"/>
          <w:color w:val="auto"/>
        </w:rPr>
        <w:fldChar w:fldCharType="begin"/>
      </w:r>
      <w:r>
        <w:rPr>
          <w:i w:val="0"/>
          <w:iCs w:val="0"/>
          <w:color w:val="auto"/>
        </w:rPr>
        <w:instrText xml:space="preserve"> PAGEREF _Toc20788 \h </w:instrText>
      </w:r>
      <w:r>
        <w:rPr>
          <w:i w:val="0"/>
          <w:iCs w:val="0"/>
          <w:color w:val="auto"/>
        </w:rPr>
        <w:fldChar w:fldCharType="separate"/>
      </w:r>
      <w:r>
        <w:rPr>
          <w:i w:val="0"/>
          <w:iCs w:val="0"/>
          <w:color w:val="auto"/>
        </w:rPr>
        <w:t>35</w:t>
      </w:r>
      <w:r>
        <w:rPr>
          <w:i w:val="0"/>
          <w:iCs w:val="0"/>
          <w:color w:val="auto"/>
        </w:rPr>
        <w:fldChar w:fldCharType="end"/>
      </w:r>
      <w:r>
        <w:rPr>
          <w:i w:val="0"/>
          <w:iCs w:val="0"/>
          <w:color w:val="auto"/>
        </w:rPr>
        <w:fldChar w:fldCharType="end"/>
      </w:r>
    </w:p>
    <w:p w14:paraId="00DE07A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"_Toc21590" </w:instrText>
      </w:r>
      <w:r>
        <w:rPr>
          <w:i w:val="0"/>
          <w:iCs w:val="0"/>
          <w:color w:val="auto"/>
        </w:rPr>
        <w:fldChar w:fldCharType="separate"/>
      </w:r>
      <w:r>
        <w:rPr>
          <w:rFonts w:hint="eastAsia" w:hAnsiTheme="minorHAnsi"/>
          <w:i w:val="0"/>
          <w:iCs w:val="0"/>
          <w:color w:val="auto"/>
        </w:rPr>
        <w:t>（十四） 政府采购合同融资政策</w:t>
      </w:r>
      <w:r>
        <w:rPr>
          <w:i w:val="0"/>
          <w:iCs w:val="0"/>
          <w:color w:val="auto"/>
        </w:rPr>
        <w:tab/>
      </w:r>
      <w:r>
        <w:rPr>
          <w:i w:val="0"/>
          <w:iCs w:val="0"/>
          <w:color w:val="auto"/>
        </w:rPr>
        <w:fldChar w:fldCharType="begin"/>
      </w:r>
      <w:r>
        <w:rPr>
          <w:i w:val="0"/>
          <w:iCs w:val="0"/>
          <w:color w:val="auto"/>
        </w:rPr>
        <w:instrText xml:space="preserve"> PAGEREF _Toc21590 \h </w:instrText>
      </w:r>
      <w:r>
        <w:rPr>
          <w:i w:val="0"/>
          <w:iCs w:val="0"/>
          <w:color w:val="auto"/>
        </w:rPr>
        <w:fldChar w:fldCharType="separate"/>
      </w:r>
      <w:r>
        <w:rPr>
          <w:i w:val="0"/>
          <w:iCs w:val="0"/>
          <w:color w:val="auto"/>
        </w:rPr>
        <w:t>36</w:t>
      </w:r>
      <w:r>
        <w:rPr>
          <w:i w:val="0"/>
          <w:iCs w:val="0"/>
          <w:color w:val="auto"/>
        </w:rPr>
        <w:fldChar w:fldCharType="end"/>
      </w:r>
      <w:r>
        <w:rPr>
          <w:i w:val="0"/>
          <w:iCs w:val="0"/>
          <w:color w:val="auto"/>
        </w:rPr>
        <w:fldChar w:fldCharType="end"/>
      </w:r>
    </w:p>
    <w:p w14:paraId="01BD8D87">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"_Toc10687" </w:instrText>
      </w:r>
      <w:r>
        <w:rPr>
          <w:i w:val="0"/>
          <w:iCs w:val="0"/>
          <w:color w:val="auto"/>
        </w:rPr>
        <w:fldChar w:fldCharType="separate"/>
      </w:r>
      <w:r>
        <w:rPr>
          <w:rFonts w:hint="eastAsia" w:hAnsiTheme="minorHAnsi"/>
          <w:i w:val="0"/>
          <w:iCs w:val="0"/>
          <w:color w:val="auto"/>
        </w:rPr>
        <w:t>（十五） 其他</w:t>
      </w:r>
      <w:r>
        <w:rPr>
          <w:i w:val="0"/>
          <w:iCs w:val="0"/>
          <w:color w:val="auto"/>
        </w:rPr>
        <w:tab/>
      </w:r>
      <w:r>
        <w:rPr>
          <w:i w:val="0"/>
          <w:iCs w:val="0"/>
          <w:color w:val="auto"/>
        </w:rPr>
        <w:fldChar w:fldCharType="begin"/>
      </w:r>
      <w:r>
        <w:rPr>
          <w:i w:val="0"/>
          <w:iCs w:val="0"/>
          <w:color w:val="auto"/>
        </w:rPr>
        <w:instrText xml:space="preserve"> PAGEREF _Toc10687 \h </w:instrText>
      </w:r>
      <w:r>
        <w:rPr>
          <w:i w:val="0"/>
          <w:iCs w:val="0"/>
          <w:color w:val="auto"/>
        </w:rPr>
        <w:fldChar w:fldCharType="separate"/>
      </w:r>
      <w:r>
        <w:rPr>
          <w:i w:val="0"/>
          <w:iCs w:val="0"/>
          <w:color w:val="auto"/>
        </w:rPr>
        <w:t>36</w:t>
      </w:r>
      <w:r>
        <w:rPr>
          <w:i w:val="0"/>
          <w:iCs w:val="0"/>
          <w:color w:val="auto"/>
        </w:rPr>
        <w:fldChar w:fldCharType="end"/>
      </w:r>
      <w:r>
        <w:rPr>
          <w:i w:val="0"/>
          <w:iCs w:val="0"/>
          <w:color w:val="auto"/>
        </w:rPr>
        <w:fldChar w:fldCharType="end"/>
      </w:r>
    </w:p>
    <w:p w14:paraId="692E9654">
      <w:pPr>
        <w:pStyle w:val="26"/>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"_Toc29493" </w:instrText>
      </w:r>
      <w:r>
        <w:rPr>
          <w:i w:val="0"/>
          <w:iCs w:val="0"/>
          <w:color w:val="auto"/>
        </w:rPr>
        <w:fldChar w:fldCharType="separate"/>
      </w:r>
      <w:r>
        <w:rPr>
          <w:rFonts w:hint="eastAsia"/>
          <w:i w:val="0"/>
          <w:iCs w:val="0"/>
          <w:color w:val="auto"/>
        </w:rPr>
        <w:t>第三章 采购需求</w:t>
      </w:r>
      <w:r>
        <w:rPr>
          <w:i w:val="0"/>
          <w:iCs w:val="0"/>
          <w:color w:val="auto"/>
        </w:rPr>
        <w:tab/>
      </w:r>
      <w:r>
        <w:rPr>
          <w:i w:val="0"/>
          <w:iCs w:val="0"/>
          <w:color w:val="auto"/>
        </w:rPr>
        <w:fldChar w:fldCharType="begin"/>
      </w:r>
      <w:r>
        <w:rPr>
          <w:i w:val="0"/>
          <w:iCs w:val="0"/>
          <w:color w:val="auto"/>
        </w:rPr>
        <w:instrText xml:space="preserve"> PAGEREF _Toc29493 \h </w:instrText>
      </w:r>
      <w:r>
        <w:rPr>
          <w:i w:val="0"/>
          <w:iCs w:val="0"/>
          <w:color w:val="auto"/>
        </w:rPr>
        <w:fldChar w:fldCharType="separate"/>
      </w:r>
      <w:r>
        <w:rPr>
          <w:i w:val="0"/>
          <w:iCs w:val="0"/>
          <w:color w:val="auto"/>
        </w:rPr>
        <w:t>37</w:t>
      </w:r>
      <w:r>
        <w:rPr>
          <w:i w:val="0"/>
          <w:iCs w:val="0"/>
          <w:color w:val="auto"/>
        </w:rPr>
        <w:fldChar w:fldCharType="end"/>
      </w:r>
      <w:r>
        <w:rPr>
          <w:i w:val="0"/>
          <w:iCs w:val="0"/>
          <w:color w:val="auto"/>
        </w:rPr>
        <w:fldChar w:fldCharType="end"/>
      </w:r>
    </w:p>
    <w:p w14:paraId="43879508">
      <w:pPr>
        <w:pStyle w:val="26"/>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"_Toc24211" </w:instrText>
      </w:r>
      <w:r>
        <w:rPr>
          <w:i w:val="0"/>
          <w:iCs w:val="0"/>
          <w:color w:val="auto"/>
        </w:rPr>
        <w:fldChar w:fldCharType="separate"/>
      </w:r>
      <w:r>
        <w:rPr>
          <w:rFonts w:hint="eastAsia"/>
          <w:i w:val="0"/>
          <w:iCs w:val="0"/>
          <w:color w:val="auto"/>
        </w:rPr>
        <w:t>第四章 资格审查方法及标准</w:t>
      </w:r>
      <w:r>
        <w:rPr>
          <w:i w:val="0"/>
          <w:iCs w:val="0"/>
          <w:color w:val="auto"/>
        </w:rPr>
        <w:tab/>
      </w:r>
      <w:r>
        <w:rPr>
          <w:i w:val="0"/>
          <w:iCs w:val="0"/>
          <w:color w:val="auto"/>
        </w:rPr>
        <w:fldChar w:fldCharType="begin"/>
      </w:r>
      <w:r>
        <w:rPr>
          <w:i w:val="0"/>
          <w:iCs w:val="0"/>
          <w:color w:val="auto"/>
        </w:rPr>
        <w:instrText xml:space="preserve"> PAGEREF _Toc24211 \h </w:instrText>
      </w:r>
      <w:r>
        <w:rPr>
          <w:i w:val="0"/>
          <w:iCs w:val="0"/>
          <w:color w:val="auto"/>
        </w:rPr>
        <w:fldChar w:fldCharType="separate"/>
      </w:r>
      <w:r>
        <w:rPr>
          <w:i w:val="0"/>
          <w:iCs w:val="0"/>
          <w:color w:val="auto"/>
        </w:rPr>
        <w:t>47</w:t>
      </w:r>
      <w:r>
        <w:rPr>
          <w:i w:val="0"/>
          <w:iCs w:val="0"/>
          <w:color w:val="auto"/>
        </w:rPr>
        <w:fldChar w:fldCharType="end"/>
      </w:r>
      <w:r>
        <w:rPr>
          <w:i w:val="0"/>
          <w:iCs w:val="0"/>
          <w:color w:val="auto"/>
        </w:rPr>
        <w:fldChar w:fldCharType="end"/>
      </w:r>
    </w:p>
    <w:p w14:paraId="33C9F1E6">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"_Toc20166" </w:instrText>
      </w:r>
      <w:r>
        <w:rPr>
          <w:i w:val="0"/>
          <w:iCs w:val="0"/>
          <w:color w:val="auto"/>
        </w:rPr>
        <w:fldChar w:fldCharType="separate"/>
      </w:r>
      <w:r>
        <w:rPr>
          <w:rFonts w:hint="eastAsia"/>
          <w:i w:val="0"/>
          <w:iCs w:val="0"/>
          <w:color w:val="auto"/>
          <w:lang w:val="zh-CN"/>
        </w:rPr>
        <w:t>一、 资格审查</w:t>
      </w:r>
      <w:r>
        <w:rPr>
          <w:rFonts w:hint="eastAsia"/>
          <w:i w:val="0"/>
          <w:iCs w:val="0"/>
          <w:color w:val="auto"/>
        </w:rPr>
        <w:t>方法</w:t>
      </w:r>
      <w:r>
        <w:rPr>
          <w:i w:val="0"/>
          <w:iCs w:val="0"/>
          <w:color w:val="auto"/>
        </w:rPr>
        <w:tab/>
      </w:r>
      <w:r>
        <w:rPr>
          <w:i w:val="0"/>
          <w:iCs w:val="0"/>
          <w:color w:val="auto"/>
        </w:rPr>
        <w:fldChar w:fldCharType="begin"/>
      </w:r>
      <w:r>
        <w:rPr>
          <w:i w:val="0"/>
          <w:iCs w:val="0"/>
          <w:color w:val="auto"/>
        </w:rPr>
        <w:instrText xml:space="preserve"> PAGEREF _Toc20166 \h </w:instrText>
      </w:r>
      <w:r>
        <w:rPr>
          <w:i w:val="0"/>
          <w:iCs w:val="0"/>
          <w:color w:val="auto"/>
        </w:rPr>
        <w:fldChar w:fldCharType="separate"/>
      </w:r>
      <w:r>
        <w:rPr>
          <w:i w:val="0"/>
          <w:iCs w:val="0"/>
          <w:color w:val="auto"/>
        </w:rPr>
        <w:t>47</w:t>
      </w:r>
      <w:r>
        <w:rPr>
          <w:i w:val="0"/>
          <w:iCs w:val="0"/>
          <w:color w:val="auto"/>
        </w:rPr>
        <w:fldChar w:fldCharType="end"/>
      </w:r>
      <w:r>
        <w:rPr>
          <w:i w:val="0"/>
          <w:iCs w:val="0"/>
          <w:color w:val="auto"/>
        </w:rPr>
        <w:fldChar w:fldCharType="end"/>
      </w:r>
    </w:p>
    <w:p w14:paraId="798E2B2D">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"_Toc16693" </w:instrText>
      </w:r>
      <w:r>
        <w:rPr>
          <w:i w:val="0"/>
          <w:iCs w:val="0"/>
          <w:color w:val="auto"/>
        </w:rPr>
        <w:fldChar w:fldCharType="separate"/>
      </w:r>
      <w:r>
        <w:rPr>
          <w:rFonts w:hint="eastAsia"/>
          <w:i w:val="0"/>
          <w:iCs w:val="0"/>
          <w:color w:val="auto"/>
          <w:lang w:val="zh-CN"/>
        </w:rPr>
        <w:t>二、 资格审查程序</w:t>
      </w:r>
      <w:r>
        <w:rPr>
          <w:i w:val="0"/>
          <w:iCs w:val="0"/>
          <w:color w:val="auto"/>
        </w:rPr>
        <w:tab/>
      </w:r>
      <w:r>
        <w:rPr>
          <w:i w:val="0"/>
          <w:iCs w:val="0"/>
          <w:color w:val="auto"/>
        </w:rPr>
        <w:fldChar w:fldCharType="begin"/>
      </w:r>
      <w:r>
        <w:rPr>
          <w:i w:val="0"/>
          <w:iCs w:val="0"/>
          <w:color w:val="auto"/>
        </w:rPr>
        <w:instrText xml:space="preserve"> PAGEREF _Toc16693 \h </w:instrText>
      </w:r>
      <w:r>
        <w:rPr>
          <w:i w:val="0"/>
          <w:iCs w:val="0"/>
          <w:color w:val="auto"/>
        </w:rPr>
        <w:fldChar w:fldCharType="separate"/>
      </w:r>
      <w:r>
        <w:rPr>
          <w:i w:val="0"/>
          <w:iCs w:val="0"/>
          <w:color w:val="auto"/>
        </w:rPr>
        <w:t>47</w:t>
      </w:r>
      <w:r>
        <w:rPr>
          <w:i w:val="0"/>
          <w:iCs w:val="0"/>
          <w:color w:val="auto"/>
        </w:rPr>
        <w:fldChar w:fldCharType="end"/>
      </w:r>
      <w:r>
        <w:rPr>
          <w:i w:val="0"/>
          <w:iCs w:val="0"/>
          <w:color w:val="auto"/>
        </w:rPr>
        <w:fldChar w:fldCharType="end"/>
      </w:r>
    </w:p>
    <w:p w14:paraId="432018D9">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"_Toc21252" </w:instrText>
      </w:r>
      <w:r>
        <w:rPr>
          <w:i w:val="0"/>
          <w:iCs w:val="0"/>
          <w:color w:val="auto"/>
        </w:rPr>
        <w:fldChar w:fldCharType="separate"/>
      </w:r>
      <w:r>
        <w:rPr>
          <w:rFonts w:hint="eastAsia"/>
          <w:i w:val="0"/>
          <w:iCs w:val="0"/>
          <w:color w:val="auto"/>
        </w:rPr>
        <w:t xml:space="preserve">（一） </w:t>
      </w:r>
      <w:r>
        <w:rPr>
          <w:rFonts w:hint="eastAsia"/>
          <w:i w:val="0"/>
          <w:iCs w:val="0"/>
          <w:color w:val="auto"/>
          <w:lang w:val="zh-CN"/>
        </w:rPr>
        <w:t>资格审查</w:t>
      </w:r>
      <w:r>
        <w:rPr>
          <w:i w:val="0"/>
          <w:iCs w:val="0"/>
          <w:color w:val="auto"/>
        </w:rPr>
        <w:tab/>
      </w:r>
      <w:r>
        <w:rPr>
          <w:i w:val="0"/>
          <w:iCs w:val="0"/>
          <w:color w:val="auto"/>
        </w:rPr>
        <w:fldChar w:fldCharType="begin"/>
      </w:r>
      <w:r>
        <w:rPr>
          <w:i w:val="0"/>
          <w:iCs w:val="0"/>
          <w:color w:val="auto"/>
        </w:rPr>
        <w:instrText xml:space="preserve"> PAGEREF _Toc21252 \h </w:instrText>
      </w:r>
      <w:r>
        <w:rPr>
          <w:i w:val="0"/>
          <w:iCs w:val="0"/>
          <w:color w:val="auto"/>
        </w:rPr>
        <w:fldChar w:fldCharType="separate"/>
      </w:r>
      <w:r>
        <w:rPr>
          <w:i w:val="0"/>
          <w:iCs w:val="0"/>
          <w:color w:val="auto"/>
        </w:rPr>
        <w:t>47</w:t>
      </w:r>
      <w:r>
        <w:rPr>
          <w:i w:val="0"/>
          <w:iCs w:val="0"/>
          <w:color w:val="auto"/>
        </w:rPr>
        <w:fldChar w:fldCharType="end"/>
      </w:r>
      <w:r>
        <w:rPr>
          <w:i w:val="0"/>
          <w:iCs w:val="0"/>
          <w:color w:val="auto"/>
        </w:rPr>
        <w:fldChar w:fldCharType="end"/>
      </w:r>
    </w:p>
    <w:p w14:paraId="6DD0A4FB">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"_Toc2997" </w:instrText>
      </w:r>
      <w:r>
        <w:rPr>
          <w:i w:val="0"/>
          <w:iCs w:val="0"/>
          <w:color w:val="auto"/>
        </w:rPr>
        <w:fldChar w:fldCharType="separate"/>
      </w:r>
      <w:r>
        <w:rPr>
          <w:rFonts w:hint="eastAsia"/>
          <w:i w:val="0"/>
          <w:iCs w:val="0"/>
          <w:color w:val="auto"/>
          <w:lang w:val="zh-CN"/>
        </w:rPr>
        <w:t>（二） 信用信息核查</w:t>
      </w:r>
      <w:r>
        <w:rPr>
          <w:i w:val="0"/>
          <w:iCs w:val="0"/>
          <w:color w:val="auto"/>
        </w:rPr>
        <w:tab/>
      </w:r>
      <w:r>
        <w:rPr>
          <w:i w:val="0"/>
          <w:iCs w:val="0"/>
          <w:color w:val="auto"/>
        </w:rPr>
        <w:fldChar w:fldCharType="begin"/>
      </w:r>
      <w:r>
        <w:rPr>
          <w:i w:val="0"/>
          <w:iCs w:val="0"/>
          <w:color w:val="auto"/>
        </w:rPr>
        <w:instrText xml:space="preserve"> PAGEREF _Toc2997 \h </w:instrText>
      </w:r>
      <w:r>
        <w:rPr>
          <w:i w:val="0"/>
          <w:iCs w:val="0"/>
          <w:color w:val="auto"/>
        </w:rPr>
        <w:fldChar w:fldCharType="separate"/>
      </w:r>
      <w:r>
        <w:rPr>
          <w:i w:val="0"/>
          <w:iCs w:val="0"/>
          <w:color w:val="auto"/>
        </w:rPr>
        <w:t>47</w:t>
      </w:r>
      <w:r>
        <w:rPr>
          <w:i w:val="0"/>
          <w:iCs w:val="0"/>
          <w:color w:val="auto"/>
        </w:rPr>
        <w:fldChar w:fldCharType="end"/>
      </w:r>
      <w:r>
        <w:rPr>
          <w:i w:val="0"/>
          <w:iCs w:val="0"/>
          <w:color w:val="auto"/>
        </w:rPr>
        <w:fldChar w:fldCharType="end"/>
      </w:r>
    </w:p>
    <w:p w14:paraId="3B97C2DC">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"_Toc23290" </w:instrText>
      </w:r>
      <w:r>
        <w:rPr>
          <w:i w:val="0"/>
          <w:iCs w:val="0"/>
          <w:color w:val="auto"/>
        </w:rPr>
        <w:fldChar w:fldCharType="separate"/>
      </w:r>
      <w:r>
        <w:rPr>
          <w:rFonts w:hint="eastAsia"/>
          <w:i w:val="0"/>
          <w:iCs w:val="0"/>
          <w:color w:val="auto"/>
          <w:lang w:val="zh-CN"/>
        </w:rPr>
        <w:t>（三） 资格审查结果</w:t>
      </w:r>
      <w:r>
        <w:rPr>
          <w:i w:val="0"/>
          <w:iCs w:val="0"/>
          <w:color w:val="auto"/>
        </w:rPr>
        <w:tab/>
      </w:r>
      <w:r>
        <w:rPr>
          <w:i w:val="0"/>
          <w:iCs w:val="0"/>
          <w:color w:val="auto"/>
        </w:rPr>
        <w:fldChar w:fldCharType="begin"/>
      </w:r>
      <w:r>
        <w:rPr>
          <w:i w:val="0"/>
          <w:iCs w:val="0"/>
          <w:color w:val="auto"/>
        </w:rPr>
        <w:instrText xml:space="preserve"> PAGEREF _Toc23290 \h </w:instrText>
      </w:r>
      <w:r>
        <w:rPr>
          <w:i w:val="0"/>
          <w:iCs w:val="0"/>
          <w:color w:val="auto"/>
        </w:rPr>
        <w:fldChar w:fldCharType="separate"/>
      </w:r>
      <w:r>
        <w:rPr>
          <w:i w:val="0"/>
          <w:iCs w:val="0"/>
          <w:color w:val="auto"/>
        </w:rPr>
        <w:t>48</w:t>
      </w:r>
      <w:r>
        <w:rPr>
          <w:i w:val="0"/>
          <w:iCs w:val="0"/>
          <w:color w:val="auto"/>
        </w:rPr>
        <w:fldChar w:fldCharType="end"/>
      </w:r>
      <w:r>
        <w:rPr>
          <w:i w:val="0"/>
          <w:iCs w:val="0"/>
          <w:color w:val="auto"/>
        </w:rPr>
        <w:fldChar w:fldCharType="end"/>
      </w:r>
    </w:p>
    <w:p w14:paraId="3660D8BE">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"_Toc30225" </w:instrText>
      </w:r>
      <w:r>
        <w:rPr>
          <w:i w:val="0"/>
          <w:iCs w:val="0"/>
          <w:color w:val="auto"/>
        </w:rPr>
        <w:fldChar w:fldCharType="separate"/>
      </w:r>
      <w:r>
        <w:rPr>
          <w:rFonts w:hint="eastAsia"/>
          <w:i w:val="0"/>
          <w:iCs w:val="0"/>
          <w:color w:val="auto"/>
        </w:rPr>
        <w:t xml:space="preserve">三、 </w:t>
      </w:r>
      <w:r>
        <w:rPr>
          <w:rFonts w:hint="eastAsia" w:cs="宋体" w:asciiTheme="majorEastAsia" w:hAnsiTheme="majorEastAsia" w:eastAsiaTheme="majorEastAsia"/>
          <w:i w:val="0"/>
          <w:iCs w:val="0"/>
          <w:color w:val="auto"/>
          <w:kern w:val="0"/>
          <w:szCs w:val="21"/>
        </w:rPr>
        <w:t>资格审查标准</w:t>
      </w:r>
      <w:r>
        <w:rPr>
          <w:i w:val="0"/>
          <w:iCs w:val="0"/>
          <w:color w:val="auto"/>
        </w:rPr>
        <w:tab/>
      </w:r>
      <w:r>
        <w:rPr>
          <w:i w:val="0"/>
          <w:iCs w:val="0"/>
          <w:color w:val="auto"/>
        </w:rPr>
        <w:fldChar w:fldCharType="begin"/>
      </w:r>
      <w:r>
        <w:rPr>
          <w:i w:val="0"/>
          <w:iCs w:val="0"/>
          <w:color w:val="auto"/>
        </w:rPr>
        <w:instrText xml:space="preserve"> PAGEREF _Toc30225 \h </w:instrText>
      </w:r>
      <w:r>
        <w:rPr>
          <w:i w:val="0"/>
          <w:iCs w:val="0"/>
          <w:color w:val="auto"/>
        </w:rPr>
        <w:fldChar w:fldCharType="separate"/>
      </w:r>
      <w:r>
        <w:rPr>
          <w:i w:val="0"/>
          <w:iCs w:val="0"/>
          <w:color w:val="auto"/>
        </w:rPr>
        <w:t>49</w:t>
      </w:r>
      <w:r>
        <w:rPr>
          <w:i w:val="0"/>
          <w:iCs w:val="0"/>
          <w:color w:val="auto"/>
        </w:rPr>
        <w:fldChar w:fldCharType="end"/>
      </w:r>
      <w:r>
        <w:rPr>
          <w:i w:val="0"/>
          <w:iCs w:val="0"/>
          <w:color w:val="auto"/>
        </w:rPr>
        <w:fldChar w:fldCharType="end"/>
      </w:r>
    </w:p>
    <w:p w14:paraId="662284E6">
      <w:pPr>
        <w:pStyle w:val="26"/>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"_Toc27463" </w:instrText>
      </w:r>
      <w:r>
        <w:rPr>
          <w:i w:val="0"/>
          <w:iCs w:val="0"/>
          <w:color w:val="auto"/>
        </w:rPr>
        <w:fldChar w:fldCharType="separate"/>
      </w:r>
      <w:r>
        <w:rPr>
          <w:rFonts w:hint="eastAsia"/>
          <w:i w:val="0"/>
          <w:iCs w:val="0"/>
          <w:color w:val="auto"/>
        </w:rPr>
        <w:t>第五章 评标办法及标准</w:t>
      </w:r>
      <w:r>
        <w:rPr>
          <w:i w:val="0"/>
          <w:iCs w:val="0"/>
          <w:color w:val="auto"/>
        </w:rPr>
        <w:tab/>
      </w:r>
      <w:r>
        <w:rPr>
          <w:i w:val="0"/>
          <w:iCs w:val="0"/>
          <w:color w:val="auto"/>
        </w:rPr>
        <w:fldChar w:fldCharType="begin"/>
      </w:r>
      <w:r>
        <w:rPr>
          <w:i w:val="0"/>
          <w:iCs w:val="0"/>
          <w:color w:val="auto"/>
        </w:rPr>
        <w:instrText xml:space="preserve"> PAGEREF _Toc27463 \h </w:instrText>
      </w:r>
      <w:r>
        <w:rPr>
          <w:i w:val="0"/>
          <w:iCs w:val="0"/>
          <w:color w:val="auto"/>
        </w:rPr>
        <w:fldChar w:fldCharType="separate"/>
      </w:r>
      <w:r>
        <w:rPr>
          <w:i w:val="0"/>
          <w:iCs w:val="0"/>
          <w:color w:val="auto"/>
        </w:rPr>
        <w:t>52</w:t>
      </w:r>
      <w:r>
        <w:rPr>
          <w:i w:val="0"/>
          <w:iCs w:val="0"/>
          <w:color w:val="auto"/>
        </w:rPr>
        <w:fldChar w:fldCharType="end"/>
      </w:r>
      <w:r>
        <w:rPr>
          <w:i w:val="0"/>
          <w:iCs w:val="0"/>
          <w:color w:val="auto"/>
        </w:rPr>
        <w:fldChar w:fldCharType="end"/>
      </w:r>
    </w:p>
    <w:p w14:paraId="75A80994">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"_Toc21664" </w:instrText>
      </w:r>
      <w:r>
        <w:rPr>
          <w:i w:val="0"/>
          <w:iCs w:val="0"/>
          <w:color w:val="auto"/>
        </w:rPr>
        <w:fldChar w:fldCharType="separate"/>
      </w:r>
      <w:r>
        <w:rPr>
          <w:rFonts w:hint="eastAsia"/>
          <w:i w:val="0"/>
          <w:iCs w:val="0"/>
          <w:color w:val="auto"/>
          <w:lang w:val="zh-CN"/>
        </w:rPr>
        <w:t>一、 评标办法前附表</w:t>
      </w:r>
      <w:r>
        <w:rPr>
          <w:i w:val="0"/>
          <w:iCs w:val="0"/>
          <w:color w:val="auto"/>
        </w:rPr>
        <w:tab/>
      </w:r>
      <w:r>
        <w:rPr>
          <w:i w:val="0"/>
          <w:iCs w:val="0"/>
          <w:color w:val="auto"/>
        </w:rPr>
        <w:fldChar w:fldCharType="begin"/>
      </w:r>
      <w:r>
        <w:rPr>
          <w:i w:val="0"/>
          <w:iCs w:val="0"/>
          <w:color w:val="auto"/>
        </w:rPr>
        <w:instrText xml:space="preserve"> PAGEREF _Toc21664 \h </w:instrText>
      </w:r>
      <w:r>
        <w:rPr>
          <w:i w:val="0"/>
          <w:iCs w:val="0"/>
          <w:color w:val="auto"/>
        </w:rPr>
        <w:fldChar w:fldCharType="separate"/>
      </w:r>
      <w:r>
        <w:rPr>
          <w:i w:val="0"/>
          <w:iCs w:val="0"/>
          <w:color w:val="auto"/>
        </w:rPr>
        <w:t>52</w:t>
      </w:r>
      <w:r>
        <w:rPr>
          <w:i w:val="0"/>
          <w:iCs w:val="0"/>
          <w:color w:val="auto"/>
        </w:rPr>
        <w:fldChar w:fldCharType="end"/>
      </w:r>
      <w:r>
        <w:rPr>
          <w:i w:val="0"/>
          <w:iCs w:val="0"/>
          <w:color w:val="auto"/>
        </w:rPr>
        <w:fldChar w:fldCharType="end"/>
      </w:r>
    </w:p>
    <w:p w14:paraId="31E64B92">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"_Toc10327" </w:instrText>
      </w:r>
      <w:r>
        <w:rPr>
          <w:i w:val="0"/>
          <w:iCs w:val="0"/>
          <w:color w:val="auto"/>
        </w:rPr>
        <w:fldChar w:fldCharType="separate"/>
      </w:r>
      <w:r>
        <w:rPr>
          <w:rFonts w:hint="eastAsia"/>
          <w:i w:val="0"/>
          <w:iCs w:val="0"/>
          <w:color w:val="auto"/>
          <w:lang w:val="zh-CN"/>
        </w:rPr>
        <w:t>二、 评标程序</w:t>
      </w:r>
      <w:r>
        <w:rPr>
          <w:i w:val="0"/>
          <w:iCs w:val="0"/>
          <w:color w:val="auto"/>
        </w:rPr>
        <w:tab/>
      </w:r>
      <w:r>
        <w:rPr>
          <w:i w:val="0"/>
          <w:iCs w:val="0"/>
          <w:color w:val="auto"/>
        </w:rPr>
        <w:fldChar w:fldCharType="begin"/>
      </w:r>
      <w:r>
        <w:rPr>
          <w:i w:val="0"/>
          <w:iCs w:val="0"/>
          <w:color w:val="auto"/>
        </w:rPr>
        <w:instrText xml:space="preserve"> PAGEREF _Toc10327 \h </w:instrText>
      </w:r>
      <w:r>
        <w:rPr>
          <w:i w:val="0"/>
          <w:iCs w:val="0"/>
          <w:color w:val="auto"/>
        </w:rPr>
        <w:fldChar w:fldCharType="separate"/>
      </w:r>
      <w:r>
        <w:rPr>
          <w:i w:val="0"/>
          <w:iCs w:val="0"/>
          <w:color w:val="auto"/>
        </w:rPr>
        <w:t>53</w:t>
      </w:r>
      <w:r>
        <w:rPr>
          <w:i w:val="0"/>
          <w:iCs w:val="0"/>
          <w:color w:val="auto"/>
        </w:rPr>
        <w:fldChar w:fldCharType="end"/>
      </w:r>
      <w:r>
        <w:rPr>
          <w:i w:val="0"/>
          <w:iCs w:val="0"/>
          <w:color w:val="auto"/>
        </w:rPr>
        <w:fldChar w:fldCharType="end"/>
      </w:r>
    </w:p>
    <w:p w14:paraId="2129CA66">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"_Toc32228" </w:instrText>
      </w:r>
      <w:r>
        <w:rPr>
          <w:i w:val="0"/>
          <w:iCs w:val="0"/>
          <w:color w:val="auto"/>
        </w:rPr>
        <w:fldChar w:fldCharType="separate"/>
      </w:r>
      <w:r>
        <w:rPr>
          <w:rFonts w:hint="eastAsia"/>
          <w:i w:val="0"/>
          <w:iCs w:val="0"/>
          <w:color w:val="auto"/>
          <w:lang w:val="zh-CN"/>
        </w:rPr>
        <w:t>（一） 符合性审查</w:t>
      </w:r>
      <w:r>
        <w:rPr>
          <w:i w:val="0"/>
          <w:iCs w:val="0"/>
          <w:color w:val="auto"/>
        </w:rPr>
        <w:tab/>
      </w:r>
      <w:r>
        <w:rPr>
          <w:i w:val="0"/>
          <w:iCs w:val="0"/>
          <w:color w:val="auto"/>
        </w:rPr>
        <w:fldChar w:fldCharType="begin"/>
      </w:r>
      <w:r>
        <w:rPr>
          <w:i w:val="0"/>
          <w:iCs w:val="0"/>
          <w:color w:val="auto"/>
        </w:rPr>
        <w:instrText xml:space="preserve"> PAGEREF _Toc32228 \h </w:instrText>
      </w:r>
      <w:r>
        <w:rPr>
          <w:i w:val="0"/>
          <w:iCs w:val="0"/>
          <w:color w:val="auto"/>
        </w:rPr>
        <w:fldChar w:fldCharType="separate"/>
      </w:r>
      <w:r>
        <w:rPr>
          <w:i w:val="0"/>
          <w:iCs w:val="0"/>
          <w:color w:val="auto"/>
        </w:rPr>
        <w:t>53</w:t>
      </w:r>
      <w:r>
        <w:rPr>
          <w:i w:val="0"/>
          <w:iCs w:val="0"/>
          <w:color w:val="auto"/>
        </w:rPr>
        <w:fldChar w:fldCharType="end"/>
      </w:r>
      <w:r>
        <w:rPr>
          <w:i w:val="0"/>
          <w:iCs w:val="0"/>
          <w:color w:val="auto"/>
        </w:rPr>
        <w:fldChar w:fldCharType="end"/>
      </w:r>
    </w:p>
    <w:p w14:paraId="4F1DA061">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"_Toc19286" </w:instrText>
      </w:r>
      <w:r>
        <w:rPr>
          <w:i w:val="0"/>
          <w:iCs w:val="0"/>
          <w:color w:val="auto"/>
        </w:rPr>
        <w:fldChar w:fldCharType="separate"/>
      </w:r>
      <w:r>
        <w:rPr>
          <w:rFonts w:hint="eastAsia"/>
          <w:i w:val="0"/>
          <w:iCs w:val="0"/>
          <w:color w:val="auto"/>
          <w:lang w:val="zh-CN"/>
        </w:rPr>
        <w:t>（二） 投标文件澄清</w:t>
      </w:r>
      <w:r>
        <w:rPr>
          <w:rFonts w:hint="eastAsia"/>
          <w:i w:val="0"/>
          <w:iCs w:val="0"/>
          <w:color w:val="auto"/>
        </w:rPr>
        <w:t>及修正</w:t>
      </w:r>
      <w:r>
        <w:rPr>
          <w:i w:val="0"/>
          <w:iCs w:val="0"/>
          <w:color w:val="auto"/>
        </w:rPr>
        <w:tab/>
      </w:r>
      <w:r>
        <w:rPr>
          <w:i w:val="0"/>
          <w:iCs w:val="0"/>
          <w:color w:val="auto"/>
        </w:rPr>
        <w:fldChar w:fldCharType="begin"/>
      </w:r>
      <w:r>
        <w:rPr>
          <w:i w:val="0"/>
          <w:iCs w:val="0"/>
          <w:color w:val="auto"/>
        </w:rPr>
        <w:instrText xml:space="preserve"> PAGEREF _Toc19286 \h </w:instrText>
      </w:r>
      <w:r>
        <w:rPr>
          <w:i w:val="0"/>
          <w:iCs w:val="0"/>
          <w:color w:val="auto"/>
        </w:rPr>
        <w:fldChar w:fldCharType="separate"/>
      </w:r>
      <w:r>
        <w:rPr>
          <w:i w:val="0"/>
          <w:iCs w:val="0"/>
          <w:color w:val="auto"/>
        </w:rPr>
        <w:t>53</w:t>
      </w:r>
      <w:r>
        <w:rPr>
          <w:i w:val="0"/>
          <w:iCs w:val="0"/>
          <w:color w:val="auto"/>
        </w:rPr>
        <w:fldChar w:fldCharType="end"/>
      </w:r>
      <w:r>
        <w:rPr>
          <w:i w:val="0"/>
          <w:iCs w:val="0"/>
          <w:color w:val="auto"/>
        </w:rPr>
        <w:fldChar w:fldCharType="end"/>
      </w:r>
    </w:p>
    <w:p w14:paraId="0EA893D6">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"_Toc30757" </w:instrText>
      </w:r>
      <w:r>
        <w:rPr>
          <w:i w:val="0"/>
          <w:iCs w:val="0"/>
          <w:color w:val="auto"/>
        </w:rPr>
        <w:fldChar w:fldCharType="separate"/>
      </w:r>
      <w:r>
        <w:rPr>
          <w:rFonts w:hint="eastAsia"/>
          <w:i w:val="0"/>
          <w:iCs w:val="0"/>
          <w:color w:val="auto"/>
        </w:rPr>
        <w:t>（三） 比较和评价</w:t>
      </w:r>
      <w:r>
        <w:rPr>
          <w:i w:val="0"/>
          <w:iCs w:val="0"/>
          <w:color w:val="auto"/>
        </w:rPr>
        <w:tab/>
      </w:r>
      <w:r>
        <w:rPr>
          <w:i w:val="0"/>
          <w:iCs w:val="0"/>
          <w:color w:val="auto"/>
        </w:rPr>
        <w:fldChar w:fldCharType="begin"/>
      </w:r>
      <w:r>
        <w:rPr>
          <w:i w:val="0"/>
          <w:iCs w:val="0"/>
          <w:color w:val="auto"/>
        </w:rPr>
        <w:instrText xml:space="preserve"> PAGEREF _Toc30757 \h </w:instrText>
      </w:r>
      <w:r>
        <w:rPr>
          <w:i w:val="0"/>
          <w:iCs w:val="0"/>
          <w:color w:val="auto"/>
        </w:rPr>
        <w:fldChar w:fldCharType="separate"/>
      </w:r>
      <w:r>
        <w:rPr>
          <w:i w:val="0"/>
          <w:iCs w:val="0"/>
          <w:color w:val="auto"/>
        </w:rPr>
        <w:t>53</w:t>
      </w:r>
      <w:r>
        <w:rPr>
          <w:i w:val="0"/>
          <w:iCs w:val="0"/>
          <w:color w:val="auto"/>
        </w:rPr>
        <w:fldChar w:fldCharType="end"/>
      </w:r>
      <w:r>
        <w:rPr>
          <w:i w:val="0"/>
          <w:iCs w:val="0"/>
          <w:color w:val="auto"/>
        </w:rPr>
        <w:fldChar w:fldCharType="end"/>
      </w:r>
    </w:p>
    <w:p w14:paraId="02015012">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"_Toc29689" </w:instrText>
      </w:r>
      <w:r>
        <w:rPr>
          <w:i w:val="0"/>
          <w:iCs w:val="0"/>
          <w:color w:val="auto"/>
        </w:rPr>
        <w:fldChar w:fldCharType="separate"/>
      </w:r>
      <w:r>
        <w:rPr>
          <w:rFonts w:hint="eastAsia"/>
          <w:i w:val="0"/>
          <w:iCs w:val="0"/>
          <w:color w:val="auto"/>
          <w:lang w:val="zh-CN"/>
        </w:rPr>
        <w:t>（四） 评标报告</w:t>
      </w:r>
      <w:r>
        <w:rPr>
          <w:i w:val="0"/>
          <w:iCs w:val="0"/>
          <w:color w:val="auto"/>
        </w:rPr>
        <w:tab/>
      </w:r>
      <w:r>
        <w:rPr>
          <w:i w:val="0"/>
          <w:iCs w:val="0"/>
          <w:color w:val="auto"/>
        </w:rPr>
        <w:fldChar w:fldCharType="begin"/>
      </w:r>
      <w:r>
        <w:rPr>
          <w:i w:val="0"/>
          <w:iCs w:val="0"/>
          <w:color w:val="auto"/>
        </w:rPr>
        <w:instrText xml:space="preserve"> PAGEREF _Toc29689 \h </w:instrText>
      </w:r>
      <w:r>
        <w:rPr>
          <w:i w:val="0"/>
          <w:iCs w:val="0"/>
          <w:color w:val="auto"/>
        </w:rPr>
        <w:fldChar w:fldCharType="separate"/>
      </w:r>
      <w:r>
        <w:rPr>
          <w:i w:val="0"/>
          <w:iCs w:val="0"/>
          <w:color w:val="auto"/>
        </w:rPr>
        <w:t>55</w:t>
      </w:r>
      <w:r>
        <w:rPr>
          <w:i w:val="0"/>
          <w:iCs w:val="0"/>
          <w:color w:val="auto"/>
        </w:rPr>
        <w:fldChar w:fldCharType="end"/>
      </w:r>
      <w:r>
        <w:rPr>
          <w:i w:val="0"/>
          <w:iCs w:val="0"/>
          <w:color w:val="auto"/>
        </w:rPr>
        <w:fldChar w:fldCharType="end"/>
      </w:r>
    </w:p>
    <w:p w14:paraId="10A32218">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"_Toc29863" </w:instrText>
      </w:r>
      <w:r>
        <w:rPr>
          <w:i w:val="0"/>
          <w:iCs w:val="0"/>
          <w:color w:val="auto"/>
        </w:rPr>
        <w:fldChar w:fldCharType="separate"/>
      </w:r>
      <w:r>
        <w:rPr>
          <w:rFonts w:hint="eastAsia"/>
          <w:i w:val="0"/>
          <w:iCs w:val="0"/>
          <w:color w:val="auto"/>
          <w:lang w:val="zh-CN"/>
        </w:rPr>
        <w:t>（五） 应予废标的情形</w:t>
      </w:r>
      <w:r>
        <w:rPr>
          <w:i w:val="0"/>
          <w:iCs w:val="0"/>
          <w:color w:val="auto"/>
        </w:rPr>
        <w:tab/>
      </w:r>
      <w:r>
        <w:rPr>
          <w:i w:val="0"/>
          <w:iCs w:val="0"/>
          <w:color w:val="auto"/>
        </w:rPr>
        <w:fldChar w:fldCharType="begin"/>
      </w:r>
      <w:r>
        <w:rPr>
          <w:i w:val="0"/>
          <w:iCs w:val="0"/>
          <w:color w:val="auto"/>
        </w:rPr>
        <w:instrText xml:space="preserve"> PAGEREF _Toc29863 \h </w:instrText>
      </w:r>
      <w:r>
        <w:rPr>
          <w:i w:val="0"/>
          <w:iCs w:val="0"/>
          <w:color w:val="auto"/>
        </w:rPr>
        <w:fldChar w:fldCharType="separate"/>
      </w:r>
      <w:r>
        <w:rPr>
          <w:i w:val="0"/>
          <w:iCs w:val="0"/>
          <w:color w:val="auto"/>
        </w:rPr>
        <w:t>56</w:t>
      </w:r>
      <w:r>
        <w:rPr>
          <w:i w:val="0"/>
          <w:iCs w:val="0"/>
          <w:color w:val="auto"/>
        </w:rPr>
        <w:fldChar w:fldCharType="end"/>
      </w:r>
      <w:r>
        <w:rPr>
          <w:i w:val="0"/>
          <w:iCs w:val="0"/>
          <w:color w:val="auto"/>
        </w:rPr>
        <w:fldChar w:fldCharType="end"/>
      </w:r>
    </w:p>
    <w:p w14:paraId="5C47275C">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"_Toc25935" </w:instrText>
      </w:r>
      <w:r>
        <w:rPr>
          <w:i w:val="0"/>
          <w:iCs w:val="0"/>
          <w:color w:val="auto"/>
        </w:rPr>
        <w:fldChar w:fldCharType="separate"/>
      </w:r>
      <w:r>
        <w:rPr>
          <w:rFonts w:hint="eastAsia"/>
          <w:i w:val="0"/>
          <w:iCs w:val="0"/>
          <w:color w:val="auto"/>
          <w:lang w:val="zh-CN"/>
        </w:rPr>
        <w:t>（六） 停止评标的情形</w:t>
      </w:r>
      <w:r>
        <w:rPr>
          <w:i w:val="0"/>
          <w:iCs w:val="0"/>
          <w:color w:val="auto"/>
        </w:rPr>
        <w:tab/>
      </w:r>
      <w:r>
        <w:rPr>
          <w:i w:val="0"/>
          <w:iCs w:val="0"/>
          <w:color w:val="auto"/>
        </w:rPr>
        <w:fldChar w:fldCharType="begin"/>
      </w:r>
      <w:r>
        <w:rPr>
          <w:i w:val="0"/>
          <w:iCs w:val="0"/>
          <w:color w:val="auto"/>
        </w:rPr>
        <w:instrText xml:space="preserve"> PAGEREF _Toc25935 \h </w:instrText>
      </w:r>
      <w:r>
        <w:rPr>
          <w:i w:val="0"/>
          <w:iCs w:val="0"/>
          <w:color w:val="auto"/>
        </w:rPr>
        <w:fldChar w:fldCharType="separate"/>
      </w:r>
      <w:r>
        <w:rPr>
          <w:i w:val="0"/>
          <w:iCs w:val="0"/>
          <w:color w:val="auto"/>
        </w:rPr>
        <w:t>56</w:t>
      </w:r>
      <w:r>
        <w:rPr>
          <w:i w:val="0"/>
          <w:iCs w:val="0"/>
          <w:color w:val="auto"/>
        </w:rPr>
        <w:fldChar w:fldCharType="end"/>
      </w:r>
      <w:r>
        <w:rPr>
          <w:i w:val="0"/>
          <w:iCs w:val="0"/>
          <w:color w:val="auto"/>
        </w:rPr>
        <w:fldChar w:fldCharType="end"/>
      </w:r>
    </w:p>
    <w:p w14:paraId="467BA92A">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"_Toc3505" </w:instrText>
      </w:r>
      <w:r>
        <w:rPr>
          <w:i w:val="0"/>
          <w:iCs w:val="0"/>
          <w:color w:val="auto"/>
        </w:rPr>
        <w:fldChar w:fldCharType="separate"/>
      </w:r>
      <w:r>
        <w:rPr>
          <w:rFonts w:hint="eastAsia"/>
          <w:i w:val="0"/>
          <w:iCs w:val="0"/>
          <w:color w:val="auto"/>
          <w:lang w:val="zh-CN"/>
        </w:rPr>
        <w:t>三、 评标标准</w:t>
      </w:r>
      <w:r>
        <w:rPr>
          <w:i w:val="0"/>
          <w:iCs w:val="0"/>
          <w:color w:val="auto"/>
        </w:rPr>
        <w:tab/>
      </w:r>
      <w:r>
        <w:rPr>
          <w:i w:val="0"/>
          <w:iCs w:val="0"/>
          <w:color w:val="auto"/>
        </w:rPr>
        <w:fldChar w:fldCharType="begin"/>
      </w:r>
      <w:r>
        <w:rPr>
          <w:i w:val="0"/>
          <w:iCs w:val="0"/>
          <w:color w:val="auto"/>
        </w:rPr>
        <w:instrText xml:space="preserve"> PAGEREF _Toc3505 \h </w:instrText>
      </w:r>
      <w:r>
        <w:rPr>
          <w:i w:val="0"/>
          <w:iCs w:val="0"/>
          <w:color w:val="auto"/>
        </w:rPr>
        <w:fldChar w:fldCharType="separate"/>
      </w:r>
      <w:r>
        <w:rPr>
          <w:i w:val="0"/>
          <w:iCs w:val="0"/>
          <w:color w:val="auto"/>
        </w:rPr>
        <w:t>57</w:t>
      </w:r>
      <w:r>
        <w:rPr>
          <w:i w:val="0"/>
          <w:iCs w:val="0"/>
          <w:color w:val="auto"/>
        </w:rPr>
        <w:fldChar w:fldCharType="end"/>
      </w:r>
      <w:r>
        <w:rPr>
          <w:i w:val="0"/>
          <w:iCs w:val="0"/>
          <w:color w:val="auto"/>
        </w:rPr>
        <w:fldChar w:fldCharType="end"/>
      </w:r>
    </w:p>
    <w:p w14:paraId="126ACC29">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"_Toc28203" </w:instrText>
      </w:r>
      <w:r>
        <w:rPr>
          <w:i w:val="0"/>
          <w:iCs w:val="0"/>
          <w:color w:val="auto"/>
        </w:rPr>
        <w:fldChar w:fldCharType="separate"/>
      </w:r>
      <w:r>
        <w:rPr>
          <w:rFonts w:hint="eastAsia"/>
          <w:i w:val="0"/>
          <w:iCs w:val="0"/>
          <w:color w:val="auto"/>
          <w:lang w:val="zh-CN"/>
        </w:rPr>
        <w:t>（一） 符合性审查表</w:t>
      </w:r>
      <w:r>
        <w:rPr>
          <w:i w:val="0"/>
          <w:iCs w:val="0"/>
          <w:color w:val="auto"/>
        </w:rPr>
        <w:tab/>
      </w:r>
      <w:r>
        <w:rPr>
          <w:i w:val="0"/>
          <w:iCs w:val="0"/>
          <w:color w:val="auto"/>
        </w:rPr>
        <w:fldChar w:fldCharType="begin"/>
      </w:r>
      <w:r>
        <w:rPr>
          <w:i w:val="0"/>
          <w:iCs w:val="0"/>
          <w:color w:val="auto"/>
        </w:rPr>
        <w:instrText xml:space="preserve"> PAGEREF _Toc28203 \h </w:instrText>
      </w:r>
      <w:r>
        <w:rPr>
          <w:i w:val="0"/>
          <w:iCs w:val="0"/>
          <w:color w:val="auto"/>
        </w:rPr>
        <w:fldChar w:fldCharType="separate"/>
      </w:r>
      <w:r>
        <w:rPr>
          <w:i w:val="0"/>
          <w:iCs w:val="0"/>
          <w:color w:val="auto"/>
        </w:rPr>
        <w:t>57</w:t>
      </w:r>
      <w:r>
        <w:rPr>
          <w:i w:val="0"/>
          <w:iCs w:val="0"/>
          <w:color w:val="auto"/>
        </w:rPr>
        <w:fldChar w:fldCharType="end"/>
      </w:r>
      <w:r>
        <w:rPr>
          <w:i w:val="0"/>
          <w:iCs w:val="0"/>
          <w:color w:val="auto"/>
        </w:rPr>
        <w:fldChar w:fldCharType="end"/>
      </w:r>
    </w:p>
    <w:p w14:paraId="3A2BAA60">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"_Toc9674" </w:instrText>
      </w:r>
      <w:r>
        <w:rPr>
          <w:i w:val="0"/>
          <w:iCs w:val="0"/>
          <w:color w:val="auto"/>
        </w:rPr>
        <w:fldChar w:fldCharType="separate"/>
      </w:r>
      <w:r>
        <w:rPr>
          <w:rFonts w:hint="eastAsia"/>
          <w:i w:val="0"/>
          <w:iCs w:val="0"/>
          <w:color w:val="auto"/>
          <w:lang w:val="zh-CN"/>
        </w:rPr>
        <w:t>（二） 评分标准【综合评标法适用】</w:t>
      </w:r>
      <w:r>
        <w:rPr>
          <w:i w:val="0"/>
          <w:iCs w:val="0"/>
          <w:color w:val="auto"/>
        </w:rPr>
        <w:tab/>
      </w:r>
      <w:r>
        <w:rPr>
          <w:i w:val="0"/>
          <w:iCs w:val="0"/>
          <w:color w:val="auto"/>
        </w:rPr>
        <w:fldChar w:fldCharType="begin"/>
      </w:r>
      <w:r>
        <w:rPr>
          <w:i w:val="0"/>
          <w:iCs w:val="0"/>
          <w:color w:val="auto"/>
        </w:rPr>
        <w:instrText xml:space="preserve"> PAGEREF _Toc9674 \h </w:instrText>
      </w:r>
      <w:r>
        <w:rPr>
          <w:i w:val="0"/>
          <w:iCs w:val="0"/>
          <w:color w:val="auto"/>
        </w:rPr>
        <w:fldChar w:fldCharType="separate"/>
      </w:r>
      <w:r>
        <w:rPr>
          <w:i w:val="0"/>
          <w:iCs w:val="0"/>
          <w:color w:val="auto"/>
        </w:rPr>
        <w:t>58</w:t>
      </w:r>
      <w:r>
        <w:rPr>
          <w:i w:val="0"/>
          <w:iCs w:val="0"/>
          <w:color w:val="auto"/>
        </w:rPr>
        <w:fldChar w:fldCharType="end"/>
      </w:r>
      <w:r>
        <w:rPr>
          <w:i w:val="0"/>
          <w:iCs w:val="0"/>
          <w:color w:val="auto"/>
        </w:rPr>
        <w:fldChar w:fldCharType="end"/>
      </w:r>
    </w:p>
    <w:p w14:paraId="5E08234F">
      <w:pPr>
        <w:pStyle w:val="26"/>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"_Toc501" </w:instrText>
      </w:r>
      <w:r>
        <w:rPr>
          <w:i w:val="0"/>
          <w:iCs w:val="0"/>
          <w:color w:val="auto"/>
        </w:rPr>
        <w:fldChar w:fldCharType="separate"/>
      </w:r>
      <w:r>
        <w:rPr>
          <w:rFonts w:hint="eastAsia"/>
          <w:i w:val="0"/>
          <w:iCs w:val="0"/>
          <w:color w:val="auto"/>
          <w:lang w:val="zh-CN"/>
        </w:rPr>
        <w:t>第六章 合同草案</w:t>
      </w:r>
      <w:r>
        <w:rPr>
          <w:i w:val="0"/>
          <w:iCs w:val="0"/>
          <w:color w:val="auto"/>
        </w:rPr>
        <w:tab/>
      </w:r>
      <w:r>
        <w:rPr>
          <w:i w:val="0"/>
          <w:iCs w:val="0"/>
          <w:color w:val="auto"/>
        </w:rPr>
        <w:fldChar w:fldCharType="begin"/>
      </w:r>
      <w:r>
        <w:rPr>
          <w:i w:val="0"/>
          <w:iCs w:val="0"/>
          <w:color w:val="auto"/>
        </w:rPr>
        <w:instrText xml:space="preserve"> PAGEREF _Toc501 \h </w:instrText>
      </w:r>
      <w:r>
        <w:rPr>
          <w:i w:val="0"/>
          <w:iCs w:val="0"/>
          <w:color w:val="auto"/>
        </w:rPr>
        <w:fldChar w:fldCharType="separate"/>
      </w:r>
      <w:r>
        <w:rPr>
          <w:i w:val="0"/>
          <w:iCs w:val="0"/>
          <w:color w:val="auto"/>
        </w:rPr>
        <w:t>63</w:t>
      </w:r>
      <w:r>
        <w:rPr>
          <w:i w:val="0"/>
          <w:iCs w:val="0"/>
          <w:color w:val="auto"/>
        </w:rPr>
        <w:fldChar w:fldCharType="end"/>
      </w:r>
      <w:r>
        <w:rPr>
          <w:i w:val="0"/>
          <w:iCs w:val="0"/>
          <w:color w:val="auto"/>
        </w:rPr>
        <w:fldChar w:fldCharType="end"/>
      </w:r>
    </w:p>
    <w:p w14:paraId="3AAAD6AF">
      <w:pPr>
        <w:pStyle w:val="26"/>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"_Toc31184" </w:instrText>
      </w:r>
      <w:r>
        <w:rPr>
          <w:i w:val="0"/>
          <w:iCs w:val="0"/>
          <w:color w:val="auto"/>
        </w:rPr>
        <w:fldChar w:fldCharType="separate"/>
      </w:r>
      <w:r>
        <w:rPr>
          <w:rFonts w:hint="eastAsia"/>
          <w:i w:val="0"/>
          <w:iCs w:val="0"/>
          <w:color w:val="auto"/>
        </w:rPr>
        <w:t xml:space="preserve">第七章 </w:t>
      </w:r>
      <w:r>
        <w:rPr>
          <w:i w:val="0"/>
          <w:iCs w:val="0"/>
          <w:color w:val="auto"/>
        </w:rPr>
        <w:t>投标文件的格式</w:t>
      </w:r>
      <w:r>
        <w:rPr>
          <w:i w:val="0"/>
          <w:iCs w:val="0"/>
          <w:color w:val="auto"/>
        </w:rPr>
        <w:tab/>
      </w:r>
      <w:r>
        <w:rPr>
          <w:i w:val="0"/>
          <w:iCs w:val="0"/>
          <w:color w:val="auto"/>
        </w:rPr>
        <w:fldChar w:fldCharType="begin"/>
      </w:r>
      <w:r>
        <w:rPr>
          <w:i w:val="0"/>
          <w:iCs w:val="0"/>
          <w:color w:val="auto"/>
        </w:rPr>
        <w:instrText xml:space="preserve"> PAGEREF _Toc31184 \h </w:instrText>
      </w:r>
      <w:r>
        <w:rPr>
          <w:i w:val="0"/>
          <w:iCs w:val="0"/>
          <w:color w:val="auto"/>
        </w:rPr>
        <w:fldChar w:fldCharType="separate"/>
      </w:r>
      <w:r>
        <w:rPr>
          <w:i w:val="0"/>
          <w:iCs w:val="0"/>
          <w:color w:val="auto"/>
        </w:rPr>
        <w:t>71</w:t>
      </w:r>
      <w:r>
        <w:rPr>
          <w:i w:val="0"/>
          <w:iCs w:val="0"/>
          <w:color w:val="auto"/>
        </w:rPr>
        <w:fldChar w:fldCharType="end"/>
      </w:r>
      <w:r>
        <w:rPr>
          <w:i w:val="0"/>
          <w:iCs w:val="0"/>
          <w:color w:val="auto"/>
        </w:rPr>
        <w:fldChar w:fldCharType="end"/>
      </w:r>
    </w:p>
    <w:p w14:paraId="573C3BD8">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"_Toc27867" </w:instrText>
      </w:r>
      <w:r>
        <w:rPr>
          <w:i w:val="0"/>
          <w:iCs w:val="0"/>
          <w:color w:val="auto"/>
        </w:rPr>
        <w:fldChar w:fldCharType="separate"/>
      </w:r>
      <w:r>
        <w:rPr>
          <w:rFonts w:hint="eastAsia"/>
          <w:i w:val="0"/>
          <w:iCs w:val="0"/>
          <w:color w:val="auto"/>
          <w:lang w:val="zh-CN"/>
        </w:rPr>
        <w:t>一、 投标函及报价文件</w:t>
      </w:r>
      <w:r>
        <w:rPr>
          <w:i w:val="0"/>
          <w:iCs w:val="0"/>
          <w:color w:val="auto"/>
        </w:rPr>
        <w:tab/>
      </w:r>
      <w:r>
        <w:rPr>
          <w:i w:val="0"/>
          <w:iCs w:val="0"/>
          <w:color w:val="auto"/>
        </w:rPr>
        <w:fldChar w:fldCharType="begin"/>
      </w:r>
      <w:r>
        <w:rPr>
          <w:i w:val="0"/>
          <w:iCs w:val="0"/>
          <w:color w:val="auto"/>
        </w:rPr>
        <w:instrText xml:space="preserve"> PAGEREF _Toc27867 \h </w:instrText>
      </w:r>
      <w:r>
        <w:rPr>
          <w:i w:val="0"/>
          <w:iCs w:val="0"/>
          <w:color w:val="auto"/>
        </w:rPr>
        <w:fldChar w:fldCharType="separate"/>
      </w:r>
      <w:r>
        <w:rPr>
          <w:i w:val="0"/>
          <w:iCs w:val="0"/>
          <w:color w:val="auto"/>
        </w:rPr>
        <w:t>73</w:t>
      </w:r>
      <w:r>
        <w:rPr>
          <w:i w:val="0"/>
          <w:iCs w:val="0"/>
          <w:color w:val="auto"/>
        </w:rPr>
        <w:fldChar w:fldCharType="end"/>
      </w:r>
      <w:r>
        <w:rPr>
          <w:i w:val="0"/>
          <w:iCs w:val="0"/>
          <w:color w:val="auto"/>
        </w:rPr>
        <w:fldChar w:fldCharType="end"/>
      </w:r>
    </w:p>
    <w:p w14:paraId="34EFC221">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"_Toc17622" </w:instrText>
      </w:r>
      <w:r>
        <w:rPr>
          <w:i w:val="0"/>
          <w:iCs w:val="0"/>
          <w:color w:val="auto"/>
        </w:rPr>
        <w:fldChar w:fldCharType="separate"/>
      </w:r>
      <w:r>
        <w:rPr>
          <w:rFonts w:hint="eastAsia"/>
          <w:i w:val="0"/>
          <w:iCs w:val="0"/>
          <w:color w:val="auto"/>
        </w:rPr>
        <w:t>（一） 投标函</w:t>
      </w:r>
      <w:r>
        <w:rPr>
          <w:i w:val="0"/>
          <w:iCs w:val="0"/>
          <w:color w:val="auto"/>
        </w:rPr>
        <w:tab/>
      </w:r>
      <w:r>
        <w:rPr>
          <w:i w:val="0"/>
          <w:iCs w:val="0"/>
          <w:color w:val="auto"/>
        </w:rPr>
        <w:fldChar w:fldCharType="begin"/>
      </w:r>
      <w:r>
        <w:rPr>
          <w:i w:val="0"/>
          <w:iCs w:val="0"/>
          <w:color w:val="auto"/>
        </w:rPr>
        <w:instrText xml:space="preserve"> PAGEREF _Toc17622 \h </w:instrText>
      </w:r>
      <w:r>
        <w:rPr>
          <w:i w:val="0"/>
          <w:iCs w:val="0"/>
          <w:color w:val="auto"/>
        </w:rPr>
        <w:fldChar w:fldCharType="separate"/>
      </w:r>
      <w:r>
        <w:rPr>
          <w:i w:val="0"/>
          <w:iCs w:val="0"/>
          <w:color w:val="auto"/>
        </w:rPr>
        <w:t>74</w:t>
      </w:r>
      <w:r>
        <w:rPr>
          <w:i w:val="0"/>
          <w:iCs w:val="0"/>
          <w:color w:val="auto"/>
        </w:rPr>
        <w:fldChar w:fldCharType="end"/>
      </w:r>
      <w:r>
        <w:rPr>
          <w:i w:val="0"/>
          <w:iCs w:val="0"/>
          <w:color w:val="auto"/>
        </w:rPr>
        <w:fldChar w:fldCharType="end"/>
      </w:r>
    </w:p>
    <w:p w14:paraId="2C0E748B">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"_Toc9918" </w:instrText>
      </w:r>
      <w:r>
        <w:rPr>
          <w:i w:val="0"/>
          <w:iCs w:val="0"/>
          <w:color w:val="auto"/>
        </w:rPr>
        <w:fldChar w:fldCharType="separate"/>
      </w:r>
      <w:r>
        <w:rPr>
          <w:rFonts w:hint="eastAsia"/>
          <w:i w:val="0"/>
          <w:iCs w:val="0"/>
          <w:color w:val="auto"/>
        </w:rPr>
        <w:t>（二） 开标一览表</w:t>
      </w:r>
      <w:r>
        <w:rPr>
          <w:i w:val="0"/>
          <w:iCs w:val="0"/>
          <w:color w:val="auto"/>
        </w:rPr>
        <w:tab/>
      </w:r>
      <w:r>
        <w:rPr>
          <w:i w:val="0"/>
          <w:iCs w:val="0"/>
          <w:color w:val="auto"/>
        </w:rPr>
        <w:fldChar w:fldCharType="begin"/>
      </w:r>
      <w:r>
        <w:rPr>
          <w:i w:val="0"/>
          <w:iCs w:val="0"/>
          <w:color w:val="auto"/>
        </w:rPr>
        <w:instrText xml:space="preserve"> PAGEREF _Toc9918 \h </w:instrText>
      </w:r>
      <w:r>
        <w:rPr>
          <w:i w:val="0"/>
          <w:iCs w:val="0"/>
          <w:color w:val="auto"/>
        </w:rPr>
        <w:fldChar w:fldCharType="separate"/>
      </w:r>
      <w:r>
        <w:rPr>
          <w:i w:val="0"/>
          <w:iCs w:val="0"/>
          <w:color w:val="auto"/>
        </w:rPr>
        <w:t>76</w:t>
      </w:r>
      <w:r>
        <w:rPr>
          <w:i w:val="0"/>
          <w:iCs w:val="0"/>
          <w:color w:val="auto"/>
        </w:rPr>
        <w:fldChar w:fldCharType="end"/>
      </w:r>
      <w:r>
        <w:rPr>
          <w:i w:val="0"/>
          <w:iCs w:val="0"/>
          <w:color w:val="auto"/>
        </w:rPr>
        <w:fldChar w:fldCharType="end"/>
      </w:r>
    </w:p>
    <w:p w14:paraId="72987173">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"_Toc8780" </w:instrText>
      </w:r>
      <w:r>
        <w:rPr>
          <w:i w:val="0"/>
          <w:iCs w:val="0"/>
          <w:color w:val="auto"/>
        </w:rPr>
        <w:fldChar w:fldCharType="separate"/>
      </w:r>
      <w:r>
        <w:rPr>
          <w:rFonts w:hint="eastAsia"/>
          <w:i w:val="0"/>
          <w:iCs w:val="0"/>
          <w:color w:val="auto"/>
        </w:rPr>
        <w:t>（三） 法定代表人（负责人）身份证明</w:t>
      </w:r>
      <w:r>
        <w:rPr>
          <w:i w:val="0"/>
          <w:iCs w:val="0"/>
          <w:color w:val="auto"/>
        </w:rPr>
        <w:tab/>
      </w:r>
      <w:r>
        <w:rPr>
          <w:i w:val="0"/>
          <w:iCs w:val="0"/>
          <w:color w:val="auto"/>
        </w:rPr>
        <w:fldChar w:fldCharType="begin"/>
      </w:r>
      <w:r>
        <w:rPr>
          <w:i w:val="0"/>
          <w:iCs w:val="0"/>
          <w:color w:val="auto"/>
        </w:rPr>
        <w:instrText xml:space="preserve"> PAGEREF _Toc8780 \h </w:instrText>
      </w:r>
      <w:r>
        <w:rPr>
          <w:i w:val="0"/>
          <w:iCs w:val="0"/>
          <w:color w:val="auto"/>
        </w:rPr>
        <w:fldChar w:fldCharType="separate"/>
      </w:r>
      <w:r>
        <w:rPr>
          <w:i w:val="0"/>
          <w:iCs w:val="0"/>
          <w:color w:val="auto"/>
        </w:rPr>
        <w:t>77</w:t>
      </w:r>
      <w:r>
        <w:rPr>
          <w:i w:val="0"/>
          <w:iCs w:val="0"/>
          <w:color w:val="auto"/>
        </w:rPr>
        <w:fldChar w:fldCharType="end"/>
      </w:r>
      <w:r>
        <w:rPr>
          <w:i w:val="0"/>
          <w:iCs w:val="0"/>
          <w:color w:val="auto"/>
        </w:rPr>
        <w:fldChar w:fldCharType="end"/>
      </w:r>
    </w:p>
    <w:p w14:paraId="0FB10206">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"_Toc6481" </w:instrText>
      </w:r>
      <w:r>
        <w:rPr>
          <w:i w:val="0"/>
          <w:iCs w:val="0"/>
          <w:color w:val="auto"/>
        </w:rPr>
        <w:fldChar w:fldCharType="separate"/>
      </w:r>
      <w:r>
        <w:rPr>
          <w:rFonts w:hint="eastAsia"/>
          <w:i w:val="0"/>
          <w:iCs w:val="0"/>
          <w:color w:val="auto"/>
        </w:rPr>
        <w:t>（四） 法定代表人（负责人）授权书</w:t>
      </w:r>
      <w:r>
        <w:rPr>
          <w:i w:val="0"/>
          <w:iCs w:val="0"/>
          <w:color w:val="auto"/>
        </w:rPr>
        <w:tab/>
      </w:r>
      <w:r>
        <w:rPr>
          <w:i w:val="0"/>
          <w:iCs w:val="0"/>
          <w:color w:val="auto"/>
        </w:rPr>
        <w:fldChar w:fldCharType="begin"/>
      </w:r>
      <w:r>
        <w:rPr>
          <w:i w:val="0"/>
          <w:iCs w:val="0"/>
          <w:color w:val="auto"/>
        </w:rPr>
        <w:instrText xml:space="preserve"> PAGEREF _Toc6481 \h </w:instrText>
      </w:r>
      <w:r>
        <w:rPr>
          <w:i w:val="0"/>
          <w:iCs w:val="0"/>
          <w:color w:val="auto"/>
        </w:rPr>
        <w:fldChar w:fldCharType="separate"/>
      </w:r>
      <w:r>
        <w:rPr>
          <w:i w:val="0"/>
          <w:iCs w:val="0"/>
          <w:color w:val="auto"/>
        </w:rPr>
        <w:t>78</w:t>
      </w:r>
      <w:r>
        <w:rPr>
          <w:i w:val="0"/>
          <w:iCs w:val="0"/>
          <w:color w:val="auto"/>
        </w:rPr>
        <w:fldChar w:fldCharType="end"/>
      </w:r>
      <w:r>
        <w:rPr>
          <w:i w:val="0"/>
          <w:iCs w:val="0"/>
          <w:color w:val="auto"/>
        </w:rPr>
        <w:fldChar w:fldCharType="end"/>
      </w:r>
    </w:p>
    <w:p w14:paraId="002700CA">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"_Toc8743" </w:instrText>
      </w:r>
      <w:r>
        <w:rPr>
          <w:i w:val="0"/>
          <w:iCs w:val="0"/>
          <w:color w:val="auto"/>
        </w:rPr>
        <w:fldChar w:fldCharType="separate"/>
      </w:r>
      <w:r>
        <w:rPr>
          <w:rFonts w:hint="eastAsia"/>
          <w:i w:val="0"/>
          <w:iCs w:val="0"/>
          <w:color w:val="auto"/>
          <w:lang w:val="zh-CN"/>
        </w:rPr>
        <w:t>二、 资格证明文件</w:t>
      </w:r>
      <w:r>
        <w:rPr>
          <w:i w:val="0"/>
          <w:iCs w:val="0"/>
          <w:color w:val="auto"/>
        </w:rPr>
        <w:tab/>
      </w:r>
      <w:r>
        <w:rPr>
          <w:i w:val="0"/>
          <w:iCs w:val="0"/>
          <w:color w:val="auto"/>
        </w:rPr>
        <w:fldChar w:fldCharType="begin"/>
      </w:r>
      <w:r>
        <w:rPr>
          <w:i w:val="0"/>
          <w:iCs w:val="0"/>
          <w:color w:val="auto"/>
        </w:rPr>
        <w:instrText xml:space="preserve"> PAGEREF _Toc8743 \h </w:instrText>
      </w:r>
      <w:r>
        <w:rPr>
          <w:i w:val="0"/>
          <w:iCs w:val="0"/>
          <w:color w:val="auto"/>
        </w:rPr>
        <w:fldChar w:fldCharType="separate"/>
      </w:r>
      <w:r>
        <w:rPr>
          <w:i w:val="0"/>
          <w:iCs w:val="0"/>
          <w:color w:val="auto"/>
        </w:rPr>
        <w:t>79</w:t>
      </w:r>
      <w:r>
        <w:rPr>
          <w:i w:val="0"/>
          <w:iCs w:val="0"/>
          <w:color w:val="auto"/>
        </w:rPr>
        <w:fldChar w:fldCharType="end"/>
      </w:r>
      <w:r>
        <w:rPr>
          <w:i w:val="0"/>
          <w:iCs w:val="0"/>
          <w:color w:val="auto"/>
        </w:rPr>
        <w:fldChar w:fldCharType="end"/>
      </w:r>
    </w:p>
    <w:p w14:paraId="14FACBA2">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"_Toc10600" </w:instrText>
      </w:r>
      <w:r>
        <w:rPr>
          <w:i w:val="0"/>
          <w:iCs w:val="0"/>
          <w:color w:val="auto"/>
        </w:rPr>
        <w:fldChar w:fldCharType="separate"/>
      </w:r>
      <w:r>
        <w:rPr>
          <w:rFonts w:hint="eastAsia"/>
          <w:i w:val="0"/>
          <w:iCs w:val="0"/>
          <w:color w:val="auto"/>
        </w:rPr>
        <w:t>（一） 企业法人营业执照、事业单位法人证书或团体组织法人证书</w:t>
      </w:r>
      <w:r>
        <w:rPr>
          <w:i w:val="0"/>
          <w:iCs w:val="0"/>
          <w:color w:val="auto"/>
        </w:rPr>
        <w:tab/>
      </w:r>
      <w:r>
        <w:rPr>
          <w:i w:val="0"/>
          <w:iCs w:val="0"/>
          <w:color w:val="auto"/>
        </w:rPr>
        <w:fldChar w:fldCharType="begin"/>
      </w:r>
      <w:r>
        <w:rPr>
          <w:i w:val="0"/>
          <w:iCs w:val="0"/>
          <w:color w:val="auto"/>
        </w:rPr>
        <w:instrText xml:space="preserve"> PAGEREF _Toc10600 \h </w:instrText>
      </w:r>
      <w:r>
        <w:rPr>
          <w:i w:val="0"/>
          <w:iCs w:val="0"/>
          <w:color w:val="auto"/>
        </w:rPr>
        <w:fldChar w:fldCharType="separate"/>
      </w:r>
      <w:r>
        <w:rPr>
          <w:i w:val="0"/>
          <w:iCs w:val="0"/>
          <w:color w:val="auto"/>
        </w:rPr>
        <w:t>80</w:t>
      </w:r>
      <w:r>
        <w:rPr>
          <w:i w:val="0"/>
          <w:iCs w:val="0"/>
          <w:color w:val="auto"/>
        </w:rPr>
        <w:fldChar w:fldCharType="end"/>
      </w:r>
      <w:r>
        <w:rPr>
          <w:i w:val="0"/>
          <w:iCs w:val="0"/>
          <w:color w:val="auto"/>
        </w:rPr>
        <w:fldChar w:fldCharType="end"/>
      </w:r>
    </w:p>
    <w:p w14:paraId="547D078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"_Toc11275" </w:instrText>
      </w:r>
      <w:r>
        <w:rPr>
          <w:i w:val="0"/>
          <w:iCs w:val="0"/>
          <w:color w:val="auto"/>
        </w:rPr>
        <w:fldChar w:fldCharType="separate"/>
      </w:r>
      <w:r>
        <w:rPr>
          <w:rFonts w:hint="eastAsia"/>
          <w:i w:val="0"/>
          <w:iCs w:val="0"/>
          <w:color w:val="auto"/>
        </w:rPr>
        <w:t>（二） 资格条件承诺书</w:t>
      </w:r>
      <w:r>
        <w:rPr>
          <w:i w:val="0"/>
          <w:iCs w:val="0"/>
          <w:color w:val="auto"/>
        </w:rPr>
        <w:tab/>
      </w:r>
      <w:r>
        <w:rPr>
          <w:i w:val="0"/>
          <w:iCs w:val="0"/>
          <w:color w:val="auto"/>
        </w:rPr>
        <w:fldChar w:fldCharType="begin"/>
      </w:r>
      <w:r>
        <w:rPr>
          <w:i w:val="0"/>
          <w:iCs w:val="0"/>
          <w:color w:val="auto"/>
        </w:rPr>
        <w:instrText xml:space="preserve"> PAGEREF _Toc11275 \h </w:instrText>
      </w:r>
      <w:r>
        <w:rPr>
          <w:i w:val="0"/>
          <w:iCs w:val="0"/>
          <w:color w:val="auto"/>
        </w:rPr>
        <w:fldChar w:fldCharType="separate"/>
      </w:r>
      <w:r>
        <w:rPr>
          <w:i w:val="0"/>
          <w:iCs w:val="0"/>
          <w:color w:val="auto"/>
        </w:rPr>
        <w:t>81</w:t>
      </w:r>
      <w:r>
        <w:rPr>
          <w:i w:val="0"/>
          <w:iCs w:val="0"/>
          <w:color w:val="auto"/>
        </w:rPr>
        <w:fldChar w:fldCharType="end"/>
      </w:r>
      <w:r>
        <w:rPr>
          <w:i w:val="0"/>
          <w:iCs w:val="0"/>
          <w:color w:val="auto"/>
        </w:rPr>
        <w:fldChar w:fldCharType="end"/>
      </w:r>
    </w:p>
    <w:p w14:paraId="02A83E6A">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"_Toc8674" </w:instrText>
      </w:r>
      <w:r>
        <w:rPr>
          <w:i w:val="0"/>
          <w:iCs w:val="0"/>
          <w:color w:val="auto"/>
        </w:rPr>
        <w:fldChar w:fldCharType="separate"/>
      </w:r>
      <w:r>
        <w:rPr>
          <w:rFonts w:hint="eastAsia"/>
          <w:i w:val="0"/>
          <w:iCs w:val="0"/>
          <w:color w:val="auto"/>
        </w:rPr>
        <w:t>（三） 资格证明文件</w:t>
      </w:r>
      <w:r>
        <w:rPr>
          <w:i w:val="0"/>
          <w:iCs w:val="0"/>
          <w:color w:val="auto"/>
        </w:rPr>
        <w:tab/>
      </w:r>
      <w:r>
        <w:rPr>
          <w:i w:val="0"/>
          <w:iCs w:val="0"/>
          <w:color w:val="auto"/>
        </w:rPr>
        <w:fldChar w:fldCharType="begin"/>
      </w:r>
      <w:r>
        <w:rPr>
          <w:i w:val="0"/>
          <w:iCs w:val="0"/>
          <w:color w:val="auto"/>
        </w:rPr>
        <w:instrText xml:space="preserve"> PAGEREF _Toc8674 \h </w:instrText>
      </w:r>
      <w:r>
        <w:rPr>
          <w:i w:val="0"/>
          <w:iCs w:val="0"/>
          <w:color w:val="auto"/>
        </w:rPr>
        <w:fldChar w:fldCharType="separate"/>
      </w:r>
      <w:r>
        <w:rPr>
          <w:i w:val="0"/>
          <w:iCs w:val="0"/>
          <w:color w:val="auto"/>
        </w:rPr>
        <w:t>82</w:t>
      </w:r>
      <w:r>
        <w:rPr>
          <w:i w:val="0"/>
          <w:iCs w:val="0"/>
          <w:color w:val="auto"/>
        </w:rPr>
        <w:fldChar w:fldCharType="end"/>
      </w:r>
      <w:r>
        <w:rPr>
          <w:i w:val="0"/>
          <w:iCs w:val="0"/>
          <w:color w:val="auto"/>
        </w:rPr>
        <w:fldChar w:fldCharType="end"/>
      </w:r>
    </w:p>
    <w:p w14:paraId="007F8919">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"_Toc12875" </w:instrText>
      </w:r>
      <w:r>
        <w:rPr>
          <w:i w:val="0"/>
          <w:iCs w:val="0"/>
          <w:color w:val="auto"/>
        </w:rPr>
        <w:fldChar w:fldCharType="separate"/>
      </w:r>
      <w:r>
        <w:rPr>
          <w:rFonts w:hint="eastAsia"/>
          <w:i w:val="0"/>
          <w:iCs w:val="0"/>
          <w:color w:val="auto"/>
        </w:rPr>
        <w:t>（四） 其他资格证明文件</w:t>
      </w:r>
      <w:r>
        <w:rPr>
          <w:i w:val="0"/>
          <w:iCs w:val="0"/>
          <w:color w:val="auto"/>
        </w:rPr>
        <w:tab/>
      </w:r>
      <w:r>
        <w:rPr>
          <w:i w:val="0"/>
          <w:iCs w:val="0"/>
          <w:color w:val="auto"/>
        </w:rPr>
        <w:fldChar w:fldCharType="begin"/>
      </w:r>
      <w:r>
        <w:rPr>
          <w:i w:val="0"/>
          <w:iCs w:val="0"/>
          <w:color w:val="auto"/>
        </w:rPr>
        <w:instrText xml:space="preserve"> PAGEREF _Toc12875 \h </w:instrText>
      </w:r>
      <w:r>
        <w:rPr>
          <w:i w:val="0"/>
          <w:iCs w:val="0"/>
          <w:color w:val="auto"/>
        </w:rPr>
        <w:fldChar w:fldCharType="separate"/>
      </w:r>
      <w:r>
        <w:rPr>
          <w:i w:val="0"/>
          <w:iCs w:val="0"/>
          <w:color w:val="auto"/>
        </w:rPr>
        <w:t>83</w:t>
      </w:r>
      <w:r>
        <w:rPr>
          <w:i w:val="0"/>
          <w:iCs w:val="0"/>
          <w:color w:val="auto"/>
        </w:rPr>
        <w:fldChar w:fldCharType="end"/>
      </w:r>
      <w:r>
        <w:rPr>
          <w:i w:val="0"/>
          <w:iCs w:val="0"/>
          <w:color w:val="auto"/>
        </w:rPr>
        <w:fldChar w:fldCharType="end"/>
      </w:r>
    </w:p>
    <w:p w14:paraId="7A277E17">
      <w:pPr>
        <w:pStyle w:val="29"/>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"_Toc10680" </w:instrText>
      </w:r>
      <w:r>
        <w:rPr>
          <w:i w:val="0"/>
          <w:iCs w:val="0"/>
          <w:color w:val="auto"/>
        </w:rPr>
        <w:fldChar w:fldCharType="separate"/>
      </w:r>
      <w:r>
        <w:rPr>
          <w:rFonts w:hint="eastAsia"/>
          <w:i w:val="0"/>
          <w:iCs w:val="0"/>
          <w:color w:val="auto"/>
          <w:lang w:val="zh-CN"/>
        </w:rPr>
        <w:t>三、 其他响应文件</w:t>
      </w:r>
      <w:r>
        <w:rPr>
          <w:i w:val="0"/>
          <w:iCs w:val="0"/>
          <w:color w:val="auto"/>
        </w:rPr>
        <w:tab/>
      </w:r>
      <w:r>
        <w:rPr>
          <w:i w:val="0"/>
          <w:iCs w:val="0"/>
          <w:color w:val="auto"/>
        </w:rPr>
        <w:fldChar w:fldCharType="begin"/>
      </w:r>
      <w:r>
        <w:rPr>
          <w:i w:val="0"/>
          <w:iCs w:val="0"/>
          <w:color w:val="auto"/>
        </w:rPr>
        <w:instrText xml:space="preserve"> PAGEREF _Toc10680 \h </w:instrText>
      </w:r>
      <w:r>
        <w:rPr>
          <w:i w:val="0"/>
          <w:iCs w:val="0"/>
          <w:color w:val="auto"/>
        </w:rPr>
        <w:fldChar w:fldCharType="separate"/>
      </w:r>
      <w:r>
        <w:rPr>
          <w:i w:val="0"/>
          <w:iCs w:val="0"/>
          <w:color w:val="auto"/>
        </w:rPr>
        <w:t>84</w:t>
      </w:r>
      <w:r>
        <w:rPr>
          <w:i w:val="0"/>
          <w:iCs w:val="0"/>
          <w:color w:val="auto"/>
        </w:rPr>
        <w:fldChar w:fldCharType="end"/>
      </w:r>
      <w:r>
        <w:rPr>
          <w:i w:val="0"/>
          <w:iCs w:val="0"/>
          <w:color w:val="auto"/>
        </w:rPr>
        <w:fldChar w:fldCharType="end"/>
      </w:r>
    </w:p>
    <w:p w14:paraId="7DE6FE3B">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"_Toc3620" </w:instrText>
      </w:r>
      <w:r>
        <w:rPr>
          <w:i w:val="0"/>
          <w:iCs w:val="0"/>
          <w:color w:val="auto"/>
        </w:rPr>
        <w:fldChar w:fldCharType="separate"/>
      </w:r>
      <w:r>
        <w:rPr>
          <w:rFonts w:hint="eastAsia"/>
          <w:i w:val="0"/>
          <w:iCs w:val="0"/>
          <w:color w:val="auto"/>
        </w:rPr>
        <w:t>（一） 商务部分</w:t>
      </w:r>
      <w:r>
        <w:rPr>
          <w:i w:val="0"/>
          <w:iCs w:val="0"/>
          <w:color w:val="auto"/>
        </w:rPr>
        <w:tab/>
      </w:r>
      <w:r>
        <w:rPr>
          <w:i w:val="0"/>
          <w:iCs w:val="0"/>
          <w:color w:val="auto"/>
        </w:rPr>
        <w:fldChar w:fldCharType="begin"/>
      </w:r>
      <w:r>
        <w:rPr>
          <w:i w:val="0"/>
          <w:iCs w:val="0"/>
          <w:color w:val="auto"/>
        </w:rPr>
        <w:instrText xml:space="preserve"> PAGEREF _Toc3620 \h </w:instrText>
      </w:r>
      <w:r>
        <w:rPr>
          <w:i w:val="0"/>
          <w:iCs w:val="0"/>
          <w:color w:val="auto"/>
        </w:rPr>
        <w:fldChar w:fldCharType="separate"/>
      </w:r>
      <w:r>
        <w:rPr>
          <w:i w:val="0"/>
          <w:iCs w:val="0"/>
          <w:color w:val="auto"/>
        </w:rPr>
        <w:t>85</w:t>
      </w:r>
      <w:r>
        <w:rPr>
          <w:i w:val="0"/>
          <w:iCs w:val="0"/>
          <w:color w:val="auto"/>
        </w:rPr>
        <w:fldChar w:fldCharType="end"/>
      </w:r>
      <w:r>
        <w:rPr>
          <w:i w:val="0"/>
          <w:iCs w:val="0"/>
          <w:color w:val="auto"/>
        </w:rPr>
        <w:fldChar w:fldCharType="end"/>
      </w:r>
    </w:p>
    <w:p w14:paraId="325A4045">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"_Toc29365" </w:instrText>
      </w:r>
      <w:r>
        <w:rPr>
          <w:i w:val="0"/>
          <w:iCs w:val="0"/>
          <w:color w:val="auto"/>
        </w:rPr>
        <w:fldChar w:fldCharType="separate"/>
      </w:r>
      <w:r>
        <w:rPr>
          <w:rFonts w:hint="eastAsia"/>
          <w:i w:val="0"/>
          <w:iCs w:val="0"/>
          <w:color w:val="auto"/>
        </w:rPr>
        <w:t>1. 商务响应偏离表</w:t>
      </w:r>
      <w:r>
        <w:rPr>
          <w:i w:val="0"/>
          <w:iCs w:val="0"/>
          <w:color w:val="auto"/>
        </w:rPr>
        <w:tab/>
      </w:r>
      <w:r>
        <w:rPr>
          <w:i w:val="0"/>
          <w:iCs w:val="0"/>
          <w:color w:val="auto"/>
        </w:rPr>
        <w:fldChar w:fldCharType="begin"/>
      </w:r>
      <w:r>
        <w:rPr>
          <w:i w:val="0"/>
          <w:iCs w:val="0"/>
          <w:color w:val="auto"/>
        </w:rPr>
        <w:instrText xml:space="preserve"> PAGEREF _Toc29365 \h </w:instrText>
      </w:r>
      <w:r>
        <w:rPr>
          <w:i w:val="0"/>
          <w:iCs w:val="0"/>
          <w:color w:val="auto"/>
        </w:rPr>
        <w:fldChar w:fldCharType="separate"/>
      </w:r>
      <w:r>
        <w:rPr>
          <w:i w:val="0"/>
          <w:iCs w:val="0"/>
          <w:color w:val="auto"/>
        </w:rPr>
        <w:t>85</w:t>
      </w:r>
      <w:r>
        <w:rPr>
          <w:i w:val="0"/>
          <w:iCs w:val="0"/>
          <w:color w:val="auto"/>
        </w:rPr>
        <w:fldChar w:fldCharType="end"/>
      </w:r>
      <w:r>
        <w:rPr>
          <w:i w:val="0"/>
          <w:iCs w:val="0"/>
          <w:color w:val="auto"/>
        </w:rPr>
        <w:fldChar w:fldCharType="end"/>
      </w:r>
    </w:p>
    <w:p w14:paraId="2EC9912B">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"_Toc31156" </w:instrText>
      </w:r>
      <w:r>
        <w:rPr>
          <w:i w:val="0"/>
          <w:iCs w:val="0"/>
          <w:color w:val="auto"/>
        </w:rPr>
        <w:fldChar w:fldCharType="separate"/>
      </w:r>
      <w:r>
        <w:rPr>
          <w:rFonts w:hint="eastAsia"/>
          <w:i w:val="0"/>
          <w:iCs w:val="0"/>
          <w:color w:val="auto"/>
        </w:rPr>
        <w:t>2. 其他商务文件</w:t>
      </w:r>
      <w:r>
        <w:rPr>
          <w:i w:val="0"/>
          <w:iCs w:val="0"/>
          <w:color w:val="auto"/>
        </w:rPr>
        <w:tab/>
      </w:r>
      <w:r>
        <w:rPr>
          <w:i w:val="0"/>
          <w:iCs w:val="0"/>
          <w:color w:val="auto"/>
        </w:rPr>
        <w:fldChar w:fldCharType="begin"/>
      </w:r>
      <w:r>
        <w:rPr>
          <w:i w:val="0"/>
          <w:iCs w:val="0"/>
          <w:color w:val="auto"/>
        </w:rPr>
        <w:instrText xml:space="preserve"> PAGEREF _Toc31156 \h </w:instrText>
      </w:r>
      <w:r>
        <w:rPr>
          <w:i w:val="0"/>
          <w:iCs w:val="0"/>
          <w:color w:val="auto"/>
        </w:rPr>
        <w:fldChar w:fldCharType="separate"/>
      </w:r>
      <w:r>
        <w:rPr>
          <w:i w:val="0"/>
          <w:iCs w:val="0"/>
          <w:color w:val="auto"/>
        </w:rPr>
        <w:t>86</w:t>
      </w:r>
      <w:r>
        <w:rPr>
          <w:i w:val="0"/>
          <w:iCs w:val="0"/>
          <w:color w:val="auto"/>
        </w:rPr>
        <w:fldChar w:fldCharType="end"/>
      </w:r>
      <w:r>
        <w:rPr>
          <w:i w:val="0"/>
          <w:iCs w:val="0"/>
          <w:color w:val="auto"/>
        </w:rPr>
        <w:fldChar w:fldCharType="end"/>
      </w:r>
    </w:p>
    <w:p w14:paraId="063E19A5">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"_Toc18450" </w:instrText>
      </w:r>
      <w:r>
        <w:rPr>
          <w:i w:val="0"/>
          <w:iCs w:val="0"/>
          <w:color w:val="auto"/>
        </w:rPr>
        <w:fldChar w:fldCharType="separate"/>
      </w:r>
      <w:r>
        <w:rPr>
          <w:rFonts w:hint="eastAsia"/>
          <w:i w:val="0"/>
          <w:iCs w:val="0"/>
          <w:color w:val="auto"/>
        </w:rPr>
        <w:t>（二） 技术部分</w:t>
      </w:r>
      <w:r>
        <w:rPr>
          <w:i w:val="0"/>
          <w:iCs w:val="0"/>
          <w:color w:val="auto"/>
        </w:rPr>
        <w:tab/>
      </w:r>
      <w:r>
        <w:rPr>
          <w:i w:val="0"/>
          <w:iCs w:val="0"/>
          <w:color w:val="auto"/>
        </w:rPr>
        <w:fldChar w:fldCharType="begin"/>
      </w:r>
      <w:r>
        <w:rPr>
          <w:i w:val="0"/>
          <w:iCs w:val="0"/>
          <w:color w:val="auto"/>
        </w:rPr>
        <w:instrText xml:space="preserve"> PAGEREF _Toc18450 \h </w:instrText>
      </w:r>
      <w:r>
        <w:rPr>
          <w:i w:val="0"/>
          <w:iCs w:val="0"/>
          <w:color w:val="auto"/>
        </w:rPr>
        <w:fldChar w:fldCharType="separate"/>
      </w:r>
      <w:r>
        <w:rPr>
          <w:i w:val="0"/>
          <w:iCs w:val="0"/>
          <w:color w:val="auto"/>
        </w:rPr>
        <w:t>87</w:t>
      </w:r>
      <w:r>
        <w:rPr>
          <w:i w:val="0"/>
          <w:iCs w:val="0"/>
          <w:color w:val="auto"/>
        </w:rPr>
        <w:fldChar w:fldCharType="end"/>
      </w:r>
      <w:r>
        <w:rPr>
          <w:i w:val="0"/>
          <w:iCs w:val="0"/>
          <w:color w:val="auto"/>
        </w:rPr>
        <w:fldChar w:fldCharType="end"/>
      </w:r>
    </w:p>
    <w:p w14:paraId="7D3ED4B6">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"_Toc28309" </w:instrText>
      </w:r>
      <w:r>
        <w:rPr>
          <w:i w:val="0"/>
          <w:iCs w:val="0"/>
          <w:color w:val="auto"/>
        </w:rPr>
        <w:fldChar w:fldCharType="separate"/>
      </w:r>
      <w:r>
        <w:rPr>
          <w:rFonts w:hint="eastAsia"/>
          <w:i w:val="0"/>
          <w:iCs w:val="0"/>
          <w:color w:val="auto"/>
        </w:rPr>
        <w:t>1. 技术响应偏离表</w:t>
      </w:r>
      <w:r>
        <w:rPr>
          <w:i w:val="0"/>
          <w:iCs w:val="0"/>
          <w:color w:val="auto"/>
        </w:rPr>
        <w:tab/>
      </w:r>
      <w:r>
        <w:rPr>
          <w:i w:val="0"/>
          <w:iCs w:val="0"/>
          <w:color w:val="auto"/>
        </w:rPr>
        <w:fldChar w:fldCharType="begin"/>
      </w:r>
      <w:r>
        <w:rPr>
          <w:i w:val="0"/>
          <w:iCs w:val="0"/>
          <w:color w:val="auto"/>
        </w:rPr>
        <w:instrText xml:space="preserve"> PAGEREF _Toc28309 \h </w:instrText>
      </w:r>
      <w:r>
        <w:rPr>
          <w:i w:val="0"/>
          <w:iCs w:val="0"/>
          <w:color w:val="auto"/>
        </w:rPr>
        <w:fldChar w:fldCharType="separate"/>
      </w:r>
      <w:r>
        <w:rPr>
          <w:i w:val="0"/>
          <w:iCs w:val="0"/>
          <w:color w:val="auto"/>
        </w:rPr>
        <w:t>87</w:t>
      </w:r>
      <w:r>
        <w:rPr>
          <w:i w:val="0"/>
          <w:iCs w:val="0"/>
          <w:color w:val="auto"/>
        </w:rPr>
        <w:fldChar w:fldCharType="end"/>
      </w:r>
      <w:r>
        <w:rPr>
          <w:i w:val="0"/>
          <w:iCs w:val="0"/>
          <w:color w:val="auto"/>
        </w:rPr>
        <w:fldChar w:fldCharType="end"/>
      </w:r>
    </w:p>
    <w:p w14:paraId="4969074D">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"_Toc21281" </w:instrText>
      </w:r>
      <w:r>
        <w:rPr>
          <w:i w:val="0"/>
          <w:iCs w:val="0"/>
          <w:color w:val="auto"/>
        </w:rPr>
        <w:fldChar w:fldCharType="separate"/>
      </w:r>
      <w:r>
        <w:rPr>
          <w:rFonts w:hint="eastAsia"/>
          <w:i w:val="0"/>
          <w:iCs w:val="0"/>
          <w:color w:val="auto"/>
        </w:rPr>
        <w:t>2. 技术方案</w:t>
      </w:r>
      <w:r>
        <w:rPr>
          <w:i w:val="0"/>
          <w:iCs w:val="0"/>
          <w:color w:val="auto"/>
        </w:rPr>
        <w:tab/>
      </w:r>
      <w:r>
        <w:rPr>
          <w:i w:val="0"/>
          <w:iCs w:val="0"/>
          <w:color w:val="auto"/>
        </w:rPr>
        <w:fldChar w:fldCharType="begin"/>
      </w:r>
      <w:r>
        <w:rPr>
          <w:i w:val="0"/>
          <w:iCs w:val="0"/>
          <w:color w:val="auto"/>
        </w:rPr>
        <w:instrText xml:space="preserve"> PAGEREF _Toc21281 \h </w:instrText>
      </w:r>
      <w:r>
        <w:rPr>
          <w:i w:val="0"/>
          <w:iCs w:val="0"/>
          <w:color w:val="auto"/>
        </w:rPr>
        <w:fldChar w:fldCharType="separate"/>
      </w:r>
      <w:r>
        <w:rPr>
          <w:b/>
          <w:color w:val="auto"/>
        </w:rPr>
        <w:t>错误！未定义书签。</w:t>
      </w:r>
      <w:r>
        <w:rPr>
          <w:i w:val="0"/>
          <w:iCs w:val="0"/>
          <w:color w:val="auto"/>
        </w:rPr>
        <w:fldChar w:fldCharType="end"/>
      </w:r>
      <w:r>
        <w:rPr>
          <w:i w:val="0"/>
          <w:iCs w:val="0"/>
          <w:color w:val="auto"/>
        </w:rPr>
        <w:fldChar w:fldCharType="end"/>
      </w:r>
    </w:p>
    <w:p w14:paraId="1CE33B3C">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"_Toc13937" </w:instrText>
      </w:r>
      <w:r>
        <w:rPr>
          <w:i w:val="0"/>
          <w:iCs w:val="0"/>
          <w:color w:val="auto"/>
        </w:rPr>
        <w:fldChar w:fldCharType="separate"/>
      </w:r>
      <w:r>
        <w:rPr>
          <w:rFonts w:hint="eastAsia"/>
          <w:i w:val="0"/>
          <w:iCs w:val="0"/>
          <w:color w:val="auto"/>
        </w:rPr>
        <w:t>3. 其他技术文件</w:t>
      </w:r>
      <w:r>
        <w:rPr>
          <w:i w:val="0"/>
          <w:iCs w:val="0"/>
          <w:color w:val="auto"/>
        </w:rPr>
        <w:tab/>
      </w:r>
      <w:r>
        <w:rPr>
          <w:i w:val="0"/>
          <w:iCs w:val="0"/>
          <w:color w:val="auto"/>
        </w:rPr>
        <w:fldChar w:fldCharType="begin"/>
      </w:r>
      <w:r>
        <w:rPr>
          <w:i w:val="0"/>
          <w:iCs w:val="0"/>
          <w:color w:val="auto"/>
        </w:rPr>
        <w:instrText xml:space="preserve"> PAGEREF _Toc13937 \h </w:instrText>
      </w:r>
      <w:r>
        <w:rPr>
          <w:i w:val="0"/>
          <w:iCs w:val="0"/>
          <w:color w:val="auto"/>
        </w:rPr>
        <w:fldChar w:fldCharType="separate"/>
      </w:r>
      <w:r>
        <w:rPr>
          <w:i w:val="0"/>
          <w:iCs w:val="0"/>
          <w:color w:val="auto"/>
        </w:rPr>
        <w:t>89</w:t>
      </w:r>
      <w:r>
        <w:rPr>
          <w:i w:val="0"/>
          <w:iCs w:val="0"/>
          <w:color w:val="auto"/>
        </w:rPr>
        <w:fldChar w:fldCharType="end"/>
      </w:r>
      <w:r>
        <w:rPr>
          <w:i w:val="0"/>
          <w:iCs w:val="0"/>
          <w:color w:val="auto"/>
        </w:rPr>
        <w:fldChar w:fldCharType="end"/>
      </w:r>
    </w:p>
    <w:p w14:paraId="24AA120B">
      <w:pPr>
        <w:pStyle w:val="18"/>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"_Toc19994" </w:instrText>
      </w:r>
      <w:r>
        <w:rPr>
          <w:i w:val="0"/>
          <w:iCs w:val="0"/>
          <w:color w:val="auto"/>
        </w:rPr>
        <w:fldChar w:fldCharType="separate"/>
      </w:r>
      <w:r>
        <w:rPr>
          <w:rFonts w:hint="eastAsia"/>
          <w:i w:val="0"/>
          <w:iCs w:val="0"/>
          <w:color w:val="auto"/>
        </w:rPr>
        <w:t>（三） 落实政府采购政策相关证明文件</w:t>
      </w:r>
      <w:r>
        <w:rPr>
          <w:i w:val="0"/>
          <w:iCs w:val="0"/>
          <w:color w:val="auto"/>
        </w:rPr>
        <w:tab/>
      </w:r>
      <w:r>
        <w:rPr>
          <w:i w:val="0"/>
          <w:iCs w:val="0"/>
          <w:color w:val="auto"/>
        </w:rPr>
        <w:fldChar w:fldCharType="begin"/>
      </w:r>
      <w:r>
        <w:rPr>
          <w:i w:val="0"/>
          <w:iCs w:val="0"/>
          <w:color w:val="auto"/>
        </w:rPr>
        <w:instrText xml:space="preserve"> PAGEREF _Toc19994 \h </w:instrText>
      </w:r>
      <w:r>
        <w:rPr>
          <w:i w:val="0"/>
          <w:iCs w:val="0"/>
          <w:color w:val="auto"/>
        </w:rPr>
        <w:fldChar w:fldCharType="separate"/>
      </w:r>
      <w:r>
        <w:rPr>
          <w:i w:val="0"/>
          <w:iCs w:val="0"/>
          <w:color w:val="auto"/>
        </w:rPr>
        <w:t>90</w:t>
      </w:r>
      <w:r>
        <w:rPr>
          <w:i w:val="0"/>
          <w:iCs w:val="0"/>
          <w:color w:val="auto"/>
        </w:rPr>
        <w:fldChar w:fldCharType="end"/>
      </w:r>
      <w:r>
        <w:rPr>
          <w:i w:val="0"/>
          <w:iCs w:val="0"/>
          <w:color w:val="auto"/>
        </w:rPr>
        <w:fldChar w:fldCharType="end"/>
      </w:r>
    </w:p>
    <w:p w14:paraId="75AB5E44">
      <w:pPr>
        <w:pStyle w:val="27"/>
        <w:tabs>
          <w:tab w:val="right" w:leader="dot" w:pos="8306"/>
        </w:tabs>
        <w:rPr>
          <w:rFonts w:hint="default" w:eastAsiaTheme="minorHAnsi"/>
          <w:i w:val="0"/>
          <w:iCs w:val="0"/>
          <w:color w:val="auto"/>
          <w:lang w:val="en-US" w:eastAsia="zh-CN"/>
        </w:rPr>
      </w:pPr>
      <w:r>
        <w:rPr>
          <w:i w:val="0"/>
          <w:iCs w:val="0"/>
          <w:color w:val="auto"/>
        </w:rPr>
        <w:fldChar w:fldCharType="begin"/>
      </w:r>
      <w:r>
        <w:rPr>
          <w:i w:val="0"/>
          <w:iCs w:val="0"/>
          <w:color w:val="auto"/>
        </w:rPr>
        <w:instrText xml:space="preserve"> HYPERLINK \l "_Toc9475" </w:instrText>
      </w:r>
      <w:r>
        <w:rPr>
          <w:i w:val="0"/>
          <w:iCs w:val="0"/>
          <w:color w:val="auto"/>
        </w:rPr>
        <w:fldChar w:fldCharType="separate"/>
      </w:r>
      <w:r>
        <w:rPr>
          <w:rFonts w:hint="eastAsia"/>
          <w:i w:val="0"/>
          <w:iCs w:val="0"/>
          <w:color w:val="auto"/>
        </w:rPr>
        <w:t>1. 节能环保产品清单及证明材料【如适用】</w:t>
      </w:r>
      <w:r>
        <w:rPr>
          <w:i w:val="0"/>
          <w:iCs w:val="0"/>
          <w:color w:val="auto"/>
        </w:rPr>
        <w:tab/>
      </w:r>
      <w:r>
        <w:rPr>
          <w:rFonts w:hint="eastAsia"/>
          <w:i w:val="0"/>
          <w:iCs w:val="0"/>
          <w:color w:val="auto"/>
          <w:lang w:val="en-US" w:eastAsia="zh-CN"/>
        </w:rPr>
        <w:t>1</w:t>
      </w:r>
      <w:r>
        <w:rPr>
          <w:i w:val="0"/>
          <w:iCs w:val="0"/>
          <w:color w:val="auto"/>
        </w:rPr>
        <w:fldChar w:fldCharType="end"/>
      </w:r>
      <w:r>
        <w:rPr>
          <w:rFonts w:hint="eastAsia"/>
          <w:i w:val="0"/>
          <w:iCs w:val="0"/>
          <w:color w:val="auto"/>
          <w:lang w:val="en-US" w:eastAsia="zh-CN"/>
        </w:rPr>
        <w:t>22</w:t>
      </w:r>
    </w:p>
    <w:p w14:paraId="3A785E96">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"_Toc24200" </w:instrText>
      </w:r>
      <w:r>
        <w:rPr>
          <w:i w:val="0"/>
          <w:iCs w:val="0"/>
          <w:color w:val="auto"/>
        </w:rPr>
        <w:fldChar w:fldCharType="separate"/>
      </w:r>
      <w:r>
        <w:rPr>
          <w:rFonts w:hint="eastAsia"/>
          <w:i w:val="0"/>
          <w:iCs w:val="0"/>
          <w:color w:val="auto"/>
        </w:rPr>
        <w:t>2. 中小企业声明函【如适用】</w:t>
      </w:r>
      <w:r>
        <w:rPr>
          <w:i w:val="0"/>
          <w:iCs w:val="0"/>
          <w:color w:val="auto"/>
        </w:rPr>
        <w:tab/>
      </w:r>
      <w:r>
        <w:rPr>
          <w:i w:val="0"/>
          <w:iCs w:val="0"/>
          <w:color w:val="auto"/>
        </w:rPr>
        <w:fldChar w:fldCharType="begin"/>
      </w:r>
      <w:r>
        <w:rPr>
          <w:i w:val="0"/>
          <w:iCs w:val="0"/>
          <w:color w:val="auto"/>
        </w:rPr>
        <w:instrText xml:space="preserve"> PAGEREF _Toc24200 \h </w:instrText>
      </w:r>
      <w:r>
        <w:rPr>
          <w:i w:val="0"/>
          <w:iCs w:val="0"/>
          <w:color w:val="auto"/>
        </w:rPr>
        <w:fldChar w:fldCharType="separate"/>
      </w:r>
      <w:r>
        <w:rPr>
          <w:i w:val="0"/>
          <w:iCs w:val="0"/>
          <w:color w:val="auto"/>
        </w:rPr>
        <w:t>90</w:t>
      </w:r>
      <w:r>
        <w:rPr>
          <w:i w:val="0"/>
          <w:iCs w:val="0"/>
          <w:color w:val="auto"/>
        </w:rPr>
        <w:fldChar w:fldCharType="end"/>
      </w:r>
      <w:r>
        <w:rPr>
          <w:i w:val="0"/>
          <w:iCs w:val="0"/>
          <w:color w:val="auto"/>
        </w:rPr>
        <w:fldChar w:fldCharType="end"/>
      </w:r>
    </w:p>
    <w:p w14:paraId="38645A4F">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"_Toc28520" </w:instrText>
      </w:r>
      <w:r>
        <w:rPr>
          <w:i w:val="0"/>
          <w:iCs w:val="0"/>
          <w:color w:val="auto"/>
        </w:rPr>
        <w:fldChar w:fldCharType="separate"/>
      </w:r>
      <w:r>
        <w:rPr>
          <w:rFonts w:hint="eastAsia"/>
          <w:i w:val="0"/>
          <w:iCs w:val="0"/>
          <w:color w:val="auto"/>
        </w:rPr>
        <w:t>3. 监狱企业证明文件【如适用】</w:t>
      </w:r>
      <w:r>
        <w:rPr>
          <w:i w:val="0"/>
          <w:iCs w:val="0"/>
          <w:color w:val="auto"/>
        </w:rPr>
        <w:tab/>
      </w:r>
      <w:r>
        <w:rPr>
          <w:i w:val="0"/>
          <w:iCs w:val="0"/>
          <w:color w:val="auto"/>
        </w:rPr>
        <w:fldChar w:fldCharType="begin"/>
      </w:r>
      <w:r>
        <w:rPr>
          <w:i w:val="0"/>
          <w:iCs w:val="0"/>
          <w:color w:val="auto"/>
        </w:rPr>
        <w:instrText xml:space="preserve"> PAGEREF _Toc28520 \h </w:instrText>
      </w:r>
      <w:r>
        <w:rPr>
          <w:i w:val="0"/>
          <w:iCs w:val="0"/>
          <w:color w:val="auto"/>
        </w:rPr>
        <w:fldChar w:fldCharType="separate"/>
      </w:r>
      <w:r>
        <w:rPr>
          <w:i w:val="0"/>
          <w:iCs w:val="0"/>
          <w:color w:val="auto"/>
        </w:rPr>
        <w:t>91</w:t>
      </w:r>
      <w:r>
        <w:rPr>
          <w:i w:val="0"/>
          <w:iCs w:val="0"/>
          <w:color w:val="auto"/>
        </w:rPr>
        <w:fldChar w:fldCharType="end"/>
      </w:r>
      <w:r>
        <w:rPr>
          <w:i w:val="0"/>
          <w:iCs w:val="0"/>
          <w:color w:val="auto"/>
        </w:rPr>
        <w:fldChar w:fldCharType="end"/>
      </w:r>
    </w:p>
    <w:p w14:paraId="3355CA27">
      <w:pPr>
        <w:pStyle w:val="27"/>
        <w:tabs>
          <w:tab w:val="right" w:leader="dot" w:pos="8306"/>
        </w:tabs>
        <w:rPr>
          <w:rFonts w:hint="eastAsia"/>
          <w:i w:val="0"/>
          <w:iCs w:val="0"/>
          <w:color w:val="auto"/>
        </w:rPr>
      </w:pPr>
      <w:r>
        <w:rPr>
          <w:i w:val="0"/>
          <w:iCs w:val="0"/>
          <w:color w:val="auto"/>
        </w:rPr>
        <w:fldChar w:fldCharType="begin"/>
      </w:r>
      <w:r>
        <w:rPr>
          <w:i w:val="0"/>
          <w:iCs w:val="0"/>
          <w:color w:val="auto"/>
        </w:rPr>
        <w:instrText xml:space="preserve"> HYPERLINK \l "_Toc23531" </w:instrText>
      </w:r>
      <w:r>
        <w:rPr>
          <w:i w:val="0"/>
          <w:iCs w:val="0"/>
          <w:color w:val="auto"/>
        </w:rPr>
        <w:fldChar w:fldCharType="separate"/>
      </w:r>
      <w:r>
        <w:rPr>
          <w:rFonts w:hint="eastAsia"/>
          <w:i w:val="0"/>
          <w:iCs w:val="0"/>
          <w:color w:val="auto"/>
        </w:rPr>
        <w:t xml:space="preserve">4. </w:t>
      </w:r>
      <w:r>
        <w:rPr>
          <w:i w:val="0"/>
          <w:iCs w:val="0"/>
          <w:color w:val="auto"/>
        </w:rPr>
        <w:t>残疾人福利性单位声明函</w:t>
      </w:r>
      <w:r>
        <w:rPr>
          <w:rFonts w:hint="eastAsia"/>
          <w:i w:val="0"/>
          <w:iCs w:val="0"/>
          <w:color w:val="auto"/>
        </w:rPr>
        <w:t>【如适用】</w:t>
      </w:r>
      <w:r>
        <w:rPr>
          <w:i w:val="0"/>
          <w:iCs w:val="0"/>
          <w:color w:val="auto"/>
        </w:rPr>
        <w:tab/>
      </w:r>
      <w:r>
        <w:rPr>
          <w:i w:val="0"/>
          <w:iCs w:val="0"/>
          <w:color w:val="auto"/>
        </w:rPr>
        <w:fldChar w:fldCharType="begin"/>
      </w:r>
      <w:r>
        <w:rPr>
          <w:i w:val="0"/>
          <w:iCs w:val="0"/>
          <w:color w:val="auto"/>
        </w:rPr>
        <w:instrText xml:space="preserve"> PAGEREF _Toc23531 \h </w:instrText>
      </w:r>
      <w:r>
        <w:rPr>
          <w:i w:val="0"/>
          <w:iCs w:val="0"/>
          <w:color w:val="auto"/>
        </w:rPr>
        <w:fldChar w:fldCharType="separate"/>
      </w:r>
      <w:r>
        <w:rPr>
          <w:i w:val="0"/>
          <w:iCs w:val="0"/>
          <w:color w:val="auto"/>
        </w:rPr>
        <w:t>92</w:t>
      </w:r>
      <w:r>
        <w:rPr>
          <w:i w:val="0"/>
          <w:iCs w:val="0"/>
          <w:color w:val="auto"/>
        </w:rPr>
        <w:fldChar w:fldCharType="end"/>
      </w:r>
      <w:r>
        <w:rPr>
          <w:i w:val="0"/>
          <w:iCs w:val="0"/>
          <w:color w:val="auto"/>
        </w:rPr>
        <w:fldChar w:fldCharType="end"/>
      </w:r>
    </w:p>
    <w:p w14:paraId="1A30463C">
      <w:pPr>
        <w:pStyle w:val="27"/>
        <w:tabs>
          <w:tab w:val="right" w:leader="dot" w:pos="8306"/>
        </w:tabs>
        <w:rPr>
          <w:rFonts w:hint="eastAsia"/>
          <w:color w:val="auto"/>
        </w:rPr>
      </w:pPr>
      <w:r>
        <w:rPr>
          <w:i w:val="0"/>
          <w:iCs w:val="0"/>
          <w:color w:val="auto"/>
        </w:rPr>
        <w:fldChar w:fldCharType="begin"/>
      </w:r>
      <w:r>
        <w:rPr>
          <w:i w:val="0"/>
          <w:iCs w:val="0"/>
          <w:color w:val="auto"/>
        </w:rPr>
        <w:instrText xml:space="preserve"> HYPERLINK \l "_Toc29356" </w:instrText>
      </w:r>
      <w:r>
        <w:rPr>
          <w:i w:val="0"/>
          <w:iCs w:val="0"/>
          <w:color w:val="auto"/>
        </w:rPr>
        <w:fldChar w:fldCharType="separate"/>
      </w:r>
      <w:r>
        <w:rPr>
          <w:rFonts w:hint="eastAsia"/>
          <w:i w:val="0"/>
          <w:iCs w:val="0"/>
          <w:color w:val="auto"/>
        </w:rPr>
        <w:t>5. 投标供应商认为需要提供的其他资料</w:t>
      </w:r>
      <w:r>
        <w:rPr>
          <w:i w:val="0"/>
          <w:iCs w:val="0"/>
          <w:color w:val="auto"/>
        </w:rPr>
        <w:tab/>
      </w:r>
      <w:r>
        <w:rPr>
          <w:i w:val="0"/>
          <w:iCs w:val="0"/>
          <w:color w:val="auto"/>
        </w:rPr>
        <w:fldChar w:fldCharType="begin"/>
      </w:r>
      <w:r>
        <w:rPr>
          <w:i w:val="0"/>
          <w:iCs w:val="0"/>
          <w:color w:val="auto"/>
        </w:rPr>
        <w:instrText xml:space="preserve"> PAGEREF _Toc29356 \h </w:instrText>
      </w:r>
      <w:r>
        <w:rPr>
          <w:i w:val="0"/>
          <w:iCs w:val="0"/>
          <w:color w:val="auto"/>
        </w:rPr>
        <w:fldChar w:fldCharType="separate"/>
      </w:r>
      <w:r>
        <w:rPr>
          <w:i w:val="0"/>
          <w:iCs w:val="0"/>
          <w:color w:val="auto"/>
        </w:rPr>
        <w:t>95</w:t>
      </w:r>
      <w:r>
        <w:rPr>
          <w:i w:val="0"/>
          <w:iCs w:val="0"/>
          <w:color w:val="auto"/>
        </w:rPr>
        <w:fldChar w:fldCharType="end"/>
      </w:r>
      <w:r>
        <w:rPr>
          <w:i w:val="0"/>
          <w:iCs w:val="0"/>
          <w:color w:val="auto"/>
        </w:rPr>
        <w:fldChar w:fldCharType="end"/>
      </w:r>
    </w:p>
    <w:p w14:paraId="2C81AF47">
      <w:pPr>
        <w:rPr>
          <w:rFonts w:hint="eastAsia"/>
          <w:color w:val="auto"/>
        </w:rPr>
      </w:pPr>
      <w:r>
        <w:rPr>
          <w:color w:val="auto"/>
        </w:rPr>
        <w:fldChar w:fldCharType="end"/>
      </w:r>
    </w:p>
    <w:p w14:paraId="5E9465E6">
      <w:pPr>
        <w:jc w:val="center"/>
        <w:rPr>
          <w:rFonts w:hint="eastAsia" w:ascii="黑体" w:hAnsi="黑体" w:eastAsia="黑体"/>
          <w:b/>
          <w:bCs/>
          <w:color w:val="auto"/>
          <w:sz w:val="32"/>
          <w:szCs w:val="32"/>
        </w:rPr>
      </w:pPr>
    </w:p>
    <w:p w14:paraId="19C2E551">
      <w:pPr>
        <w:jc w:val="center"/>
        <w:rPr>
          <w:rFonts w:hint="eastAsia" w:ascii="黑体" w:hAnsi="黑体" w:eastAsia="黑体"/>
          <w:b/>
          <w:bCs/>
          <w:color w:val="auto"/>
          <w:sz w:val="32"/>
          <w:szCs w:val="32"/>
        </w:rPr>
        <w:sectPr>
          <w:headerReference r:id="rId6" w:type="default"/>
          <w:pgSz w:w="11906" w:h="16838"/>
          <w:pgMar w:top="1440" w:right="1800" w:bottom="1440" w:left="1800" w:header="851" w:footer="992" w:gutter="0"/>
          <w:cols w:space="425" w:num="1"/>
          <w:docGrid w:type="lines" w:linePitch="312" w:charSpace="0"/>
        </w:sectPr>
      </w:pPr>
    </w:p>
    <w:p w14:paraId="381EF174">
      <w:pPr>
        <w:pStyle w:val="2"/>
        <w:numPr>
          <w:ilvl w:val="0"/>
          <w:numId w:val="2"/>
        </w:numPr>
        <w:rPr>
          <w:rFonts w:hint="eastAsia" w:cs="仿宋_GB2312"/>
          <w:color w:val="auto"/>
          <w:szCs w:val="24"/>
        </w:rPr>
      </w:pPr>
      <w:bookmarkStart w:id="1" w:name="_Toc20705"/>
      <w:bookmarkStart w:id="2" w:name="_Toc155185859"/>
      <w:r>
        <w:rPr>
          <w:rFonts w:hint="eastAsia"/>
          <w:color w:val="auto"/>
        </w:rPr>
        <w:t>投标邀请</w:t>
      </w:r>
      <w:bookmarkEnd w:id="1"/>
      <w:bookmarkEnd w:id="2"/>
      <w:bookmarkStart w:id="3" w:name="_Hlk130458318"/>
    </w:p>
    <w:p w14:paraId="7CB54B07">
      <w:pPr>
        <w:spacing w:line="480" w:lineRule="auto"/>
        <w:jc w:val="center"/>
        <w:outlineLvl w:val="9"/>
        <w:rPr>
          <w:rFonts w:hint="eastAsia" w:cs="宋体"/>
          <w:b/>
          <w:color w:val="auto"/>
          <w:sz w:val="32"/>
          <w:szCs w:val="32"/>
        </w:rPr>
      </w:pPr>
      <w:bookmarkStart w:id="4" w:name="_Toc28359012"/>
      <w:bookmarkStart w:id="5" w:name="_Toc140132745"/>
      <w:bookmarkStart w:id="6" w:name="_Toc155185860"/>
      <w:bookmarkStart w:id="7" w:name="_Toc28359089"/>
      <w:bookmarkStart w:id="8" w:name="_Toc35393798"/>
      <w:bookmarkStart w:id="9" w:name="_Toc44583628"/>
      <w:bookmarkStart w:id="10" w:name="_Toc35393629"/>
      <w:bookmarkStart w:id="11" w:name="_Toc109899829"/>
      <w:bookmarkStart w:id="12" w:name="_Toc109899410"/>
      <w:bookmarkStart w:id="13" w:name="_Toc109900248"/>
      <w:r>
        <w:rPr>
          <w:rFonts w:hint="eastAsia"/>
          <w:color w:val="auto"/>
          <w:lang w:val="hr-HR"/>
        </w:rPr>
        <w:br w:type="page"/>
      </w:r>
      <w:bookmarkStart w:id="14" w:name="_Toc26411"/>
      <w:r>
        <w:rPr>
          <w:rFonts w:hint="eastAsia" w:cs="宋体"/>
          <w:b/>
          <w:color w:val="auto"/>
          <w:sz w:val="32"/>
          <w:szCs w:val="32"/>
          <w:lang w:val="hr-HR" w:eastAsia="zh-CN"/>
        </w:rPr>
        <w:t>晋宁区医疗卫生强基工程项目（资源共享中心：医共体中心药房系统、医共体审方中心系统）</w:t>
      </w:r>
      <w:r>
        <w:rPr>
          <w:rFonts w:hint="eastAsia" w:cs="宋体"/>
          <w:b/>
          <w:color w:val="auto"/>
          <w:sz w:val="32"/>
          <w:szCs w:val="32"/>
        </w:rPr>
        <w:t>的招标公告</w:t>
      </w:r>
      <w:bookmarkEnd w:id="14"/>
    </w:p>
    <w:p w14:paraId="3643A437">
      <w:pPr>
        <w:pBdr>
          <w:top w:val="single" w:color="000000" w:sz="4" w:space="1"/>
          <w:left w:val="single" w:color="000000" w:sz="4" w:space="4"/>
          <w:bottom w:val="single" w:color="000000" w:sz="4" w:space="1"/>
          <w:right w:val="single" w:color="000000" w:sz="4" w:space="4"/>
        </w:pBdr>
        <w:rPr>
          <w:rFonts w:hint="eastAsia" w:cs="宋体"/>
          <w:color w:val="auto"/>
          <w:sz w:val="24"/>
          <w:szCs w:val="24"/>
        </w:rPr>
      </w:pPr>
      <w:bookmarkStart w:id="15" w:name="_Toc308530447"/>
      <w:bookmarkStart w:id="16" w:name="_Toc308530169"/>
      <w:bookmarkStart w:id="17" w:name="_Toc309030114"/>
      <w:bookmarkStart w:id="18" w:name="_Toc309030717"/>
      <w:bookmarkStart w:id="19" w:name="_Toc309029540"/>
      <w:r>
        <w:rPr>
          <w:rFonts w:hint="eastAsia" w:cs="宋体"/>
          <w:color w:val="auto"/>
          <w:sz w:val="24"/>
          <w:szCs w:val="24"/>
        </w:rPr>
        <w:t>项目概况：</w:t>
      </w:r>
    </w:p>
    <w:p w14:paraId="7C040D1E">
      <w:pPr>
        <w:pBdr>
          <w:top w:val="single" w:color="000000" w:sz="4" w:space="1"/>
          <w:left w:val="single" w:color="000000" w:sz="4" w:space="4"/>
          <w:bottom w:val="single" w:color="000000" w:sz="4" w:space="1"/>
          <w:right w:val="single" w:color="000000" w:sz="4" w:space="4"/>
        </w:pBdr>
        <w:wordWrap w:val="0"/>
        <w:ind w:firstLine="480" w:firstLineChars="200"/>
        <w:rPr>
          <w:rFonts w:hint="eastAsia" w:cs="宋体"/>
          <w:color w:val="auto"/>
          <w:sz w:val="24"/>
          <w:szCs w:val="24"/>
        </w:rPr>
      </w:pPr>
      <w:r>
        <w:rPr>
          <w:rFonts w:hint="eastAsia" w:cs="宋体"/>
          <w:color w:val="auto"/>
          <w:sz w:val="24"/>
          <w:szCs w:val="24"/>
          <w:u w:val="single"/>
          <w:lang w:eastAsia="zh-CN"/>
        </w:rPr>
        <w:t>晋宁区医疗卫生强基工程项目（资源共享中心：医共体中心药房系统、医共体审方中心系统）</w:t>
      </w:r>
      <w:r>
        <w:rPr>
          <w:rFonts w:hint="eastAsia" w:cs="宋体"/>
          <w:color w:val="auto"/>
          <w:sz w:val="24"/>
          <w:szCs w:val="24"/>
        </w:rPr>
        <w:t>的潜在投标供应商</w:t>
      </w:r>
      <w:r>
        <w:rPr>
          <w:rFonts w:hint="eastAsia" w:cs="宋体"/>
          <w:bCs/>
          <w:color w:val="auto"/>
          <w:sz w:val="24"/>
          <w:szCs w:val="24"/>
        </w:rPr>
        <w:t>在</w:t>
      </w:r>
      <w:r>
        <w:rPr>
          <w:rFonts w:hint="eastAsia" w:cs="宋体"/>
          <w:color w:val="auto"/>
          <w:sz w:val="24"/>
          <w:szCs w:val="24"/>
          <w:u w:val="single"/>
        </w:rPr>
        <w:t>政府采购云平台（https://www.zcygov.cn/）</w:t>
      </w:r>
      <w:r>
        <w:rPr>
          <w:rFonts w:hint="eastAsia" w:cs="宋体"/>
          <w:color w:val="auto"/>
          <w:sz w:val="24"/>
          <w:szCs w:val="24"/>
        </w:rPr>
        <w:t xml:space="preserve">获取招标文件，并于 </w:t>
      </w:r>
      <w:r>
        <w:rPr>
          <w:rFonts w:hint="eastAsia" w:cs="宋体"/>
          <w:color w:val="auto"/>
          <w:sz w:val="24"/>
          <w:szCs w:val="24"/>
          <w:u w:val="single"/>
          <w:lang w:eastAsia="zh-CN"/>
        </w:rPr>
        <w:t>2026</w:t>
      </w:r>
      <w:r>
        <w:rPr>
          <w:rFonts w:hint="eastAsia" w:cs="宋体"/>
          <w:color w:val="auto"/>
          <w:sz w:val="24"/>
          <w:szCs w:val="24"/>
          <w:u w:val="single"/>
        </w:rPr>
        <w:t>年</w:t>
      </w:r>
      <w:r>
        <w:rPr>
          <w:rFonts w:hint="eastAsia" w:cs="宋体"/>
          <w:color w:val="auto"/>
          <w:sz w:val="24"/>
          <w:szCs w:val="24"/>
          <w:u w:val="single"/>
          <w:lang w:val="en-US" w:eastAsia="zh-CN"/>
        </w:rPr>
        <w:t>7</w:t>
      </w:r>
      <w:r>
        <w:rPr>
          <w:rFonts w:hint="eastAsia" w:cs="宋体"/>
          <w:color w:val="auto"/>
          <w:sz w:val="24"/>
          <w:szCs w:val="24"/>
          <w:u w:val="single"/>
        </w:rPr>
        <w:t>月</w:t>
      </w:r>
      <w:r>
        <w:rPr>
          <w:rFonts w:hint="eastAsia" w:cs="宋体"/>
          <w:color w:val="auto"/>
          <w:sz w:val="24"/>
          <w:szCs w:val="24"/>
          <w:u w:val="single"/>
          <w:lang w:val="en-US" w:eastAsia="zh-CN"/>
        </w:rPr>
        <w:t>15</w:t>
      </w:r>
      <w:r>
        <w:rPr>
          <w:rFonts w:hint="eastAsia" w:cs="宋体"/>
          <w:color w:val="auto"/>
          <w:sz w:val="24"/>
          <w:szCs w:val="24"/>
          <w:u w:val="single"/>
        </w:rPr>
        <w:t>日9点30分（北京时间）</w:t>
      </w:r>
      <w:r>
        <w:rPr>
          <w:rFonts w:hint="eastAsia" w:cs="宋体"/>
          <w:color w:val="auto"/>
          <w:sz w:val="24"/>
          <w:szCs w:val="24"/>
        </w:rPr>
        <w:t>前提交投标文件。</w:t>
      </w:r>
    </w:p>
    <w:p w14:paraId="04F78941">
      <w:pPr>
        <w:pStyle w:val="58"/>
        <w:spacing w:before="260" w:after="260" w:line="360" w:lineRule="auto"/>
        <w:jc w:val="both"/>
        <w:rPr>
          <w:rFonts w:hint="eastAsia" w:ascii="宋体" w:hAnsi="宋体" w:cs="宋体"/>
          <w:bCs w:val="0"/>
          <w:color w:val="auto"/>
          <w:sz w:val="24"/>
          <w:szCs w:val="24"/>
        </w:rPr>
      </w:pPr>
      <w:bookmarkStart w:id="20" w:name="_Toc28651"/>
      <w:bookmarkEnd w:id="20"/>
      <w:bookmarkStart w:id="21" w:name="_Toc30547"/>
      <w:bookmarkEnd w:id="21"/>
      <w:bookmarkStart w:id="22" w:name="_Toc35393621"/>
      <w:bookmarkEnd w:id="22"/>
      <w:bookmarkStart w:id="23" w:name="_Toc28359079"/>
      <w:bookmarkEnd w:id="23"/>
      <w:bookmarkStart w:id="24" w:name="_Toc28359002"/>
      <w:bookmarkEnd w:id="24"/>
      <w:bookmarkStart w:id="25" w:name="_Toc35393790"/>
      <w:bookmarkEnd w:id="25"/>
      <w:bookmarkStart w:id="26" w:name="_Toc16624"/>
      <w:bookmarkEnd w:id="26"/>
      <w:bookmarkStart w:id="27" w:name="_Toc352"/>
      <w:bookmarkStart w:id="28" w:name="_Hlk24379207"/>
      <w:r>
        <w:rPr>
          <w:rFonts w:hint="eastAsia" w:ascii="宋体" w:hAnsi="宋体" w:cs="宋体"/>
          <w:bCs w:val="0"/>
          <w:color w:val="auto"/>
          <w:sz w:val="28"/>
          <w:szCs w:val="28"/>
        </w:rPr>
        <w:t>一</w:t>
      </w:r>
      <w:r>
        <w:rPr>
          <w:rFonts w:hint="eastAsia" w:ascii="宋体" w:hAnsi="宋体" w:cs="宋体"/>
          <w:bCs w:val="0"/>
          <w:color w:val="auto"/>
          <w:sz w:val="24"/>
          <w:szCs w:val="24"/>
        </w:rPr>
        <w:t>、项目基本情况</w:t>
      </w:r>
      <w:bookmarkEnd w:id="27"/>
    </w:p>
    <w:p w14:paraId="6319BCB5">
      <w:pPr>
        <w:ind w:firstLine="480" w:firstLineChars="200"/>
        <w:rPr>
          <w:rFonts w:hint="default" w:cs="宋体"/>
          <w:color w:val="auto"/>
          <w:sz w:val="24"/>
          <w:szCs w:val="24"/>
          <w:u w:val="single"/>
          <w:lang w:val="en-US" w:eastAsia="zh-CN"/>
        </w:rPr>
      </w:pPr>
      <w:r>
        <w:rPr>
          <w:rFonts w:hint="eastAsia" w:cs="宋体"/>
          <w:color w:val="auto"/>
          <w:sz w:val="24"/>
          <w:szCs w:val="24"/>
        </w:rPr>
        <w:t>1.1政府采购计划编号：</w:t>
      </w:r>
      <w:r>
        <w:rPr>
          <w:rFonts w:hint="eastAsia" w:cs="宋体"/>
          <w:color w:val="auto"/>
          <w:sz w:val="24"/>
          <w:szCs w:val="24"/>
          <w:u w:val="single"/>
          <w:lang w:val="en-US" w:eastAsia="zh-CN"/>
        </w:rPr>
        <w:t xml:space="preserve">  4530122JH202600541   </w:t>
      </w:r>
    </w:p>
    <w:p w14:paraId="249549DD">
      <w:pPr>
        <w:snapToGrid w:val="0"/>
        <w:spacing w:line="440" w:lineRule="exact"/>
        <w:ind w:firstLine="480" w:firstLineChars="200"/>
        <w:rPr>
          <w:rFonts w:hint="eastAsia" w:cs="宋体"/>
          <w:color w:val="auto"/>
          <w:sz w:val="24"/>
          <w:szCs w:val="24"/>
          <w:u w:val="single"/>
          <w:lang w:eastAsia="zh-CN"/>
        </w:rPr>
      </w:pPr>
      <w:r>
        <w:rPr>
          <w:rFonts w:hint="eastAsia" w:cs="宋体"/>
          <w:color w:val="auto"/>
          <w:sz w:val="24"/>
          <w:szCs w:val="24"/>
        </w:rPr>
        <w:t>1.2项目名称：</w:t>
      </w:r>
      <w:bookmarkEnd w:id="28"/>
      <w:r>
        <w:rPr>
          <w:rFonts w:hint="eastAsia" w:cs="宋体"/>
          <w:color w:val="auto"/>
          <w:sz w:val="24"/>
          <w:szCs w:val="24"/>
          <w:u w:val="single"/>
          <w:lang w:eastAsia="zh-CN"/>
        </w:rPr>
        <w:t>晋宁区医疗卫生强基工程项目（资源共享中心：医共体中心药房系统、医共体审方中心系统）</w:t>
      </w:r>
    </w:p>
    <w:p w14:paraId="417BC49B">
      <w:pPr>
        <w:snapToGrid w:val="0"/>
        <w:spacing w:line="440" w:lineRule="exact"/>
        <w:ind w:firstLine="480" w:firstLineChars="200"/>
        <w:rPr>
          <w:rFonts w:hint="eastAsia" w:cs="宋体"/>
          <w:color w:val="auto"/>
          <w:sz w:val="24"/>
          <w:szCs w:val="24"/>
          <w:u w:val="single"/>
          <w:lang w:val="en-US" w:eastAsia="zh-CN"/>
        </w:rPr>
      </w:pPr>
      <w:r>
        <w:rPr>
          <w:rFonts w:hint="eastAsia" w:cs="宋体"/>
          <w:color w:val="auto"/>
          <w:sz w:val="24"/>
          <w:szCs w:val="24"/>
        </w:rPr>
        <w:t>1.3预算金额：</w:t>
      </w:r>
      <w:r>
        <w:rPr>
          <w:rFonts w:hint="eastAsia" w:cs="宋体"/>
          <w:color w:val="auto"/>
          <w:sz w:val="24"/>
          <w:szCs w:val="24"/>
          <w:u w:val="single"/>
          <w:lang w:val="en-US" w:eastAsia="zh-CN"/>
        </w:rPr>
        <w:t>150.00万元。</w:t>
      </w:r>
    </w:p>
    <w:p w14:paraId="709AC669">
      <w:pPr>
        <w:spacing w:line="360" w:lineRule="auto"/>
        <w:ind w:firstLine="480" w:firstLineChars="200"/>
        <w:rPr>
          <w:rFonts w:hint="default" w:cs="宋体"/>
          <w:color w:val="auto"/>
          <w:sz w:val="24"/>
          <w:szCs w:val="24"/>
          <w:u w:val="single"/>
          <w:lang w:val="en-US" w:eastAsia="zh-CN"/>
        </w:rPr>
      </w:pPr>
      <w:r>
        <w:rPr>
          <w:rFonts w:hint="eastAsia" w:ascii="宋体" w:hAnsi="宋体" w:eastAsia="宋体" w:cs="宋体"/>
          <w:color w:val="auto"/>
          <w:sz w:val="24"/>
          <w:szCs w:val="24"/>
        </w:rPr>
        <w:t>1.</w:t>
      </w:r>
      <w:r>
        <w:rPr>
          <w:rFonts w:hint="eastAsia" w:cs="宋体"/>
          <w:color w:val="auto"/>
          <w:sz w:val="24"/>
          <w:szCs w:val="24"/>
          <w:lang w:val="en-US" w:eastAsia="zh-CN"/>
        </w:rPr>
        <w:t>4</w:t>
      </w:r>
      <w:r>
        <w:rPr>
          <w:rFonts w:hint="eastAsia" w:ascii="宋体" w:hAnsi="宋体" w:eastAsia="宋体" w:cs="宋体"/>
          <w:color w:val="auto"/>
          <w:sz w:val="24"/>
          <w:szCs w:val="24"/>
        </w:rPr>
        <w:t>标</w:t>
      </w:r>
      <w:r>
        <w:rPr>
          <w:rFonts w:hint="eastAsia" w:cs="宋体"/>
          <w:color w:val="auto"/>
          <w:sz w:val="24"/>
          <w:szCs w:val="24"/>
          <w:lang w:val="en-US" w:eastAsia="zh-CN"/>
        </w:rPr>
        <w:t>包</w:t>
      </w:r>
      <w:r>
        <w:rPr>
          <w:rFonts w:hint="eastAsia" w:ascii="宋体" w:hAnsi="宋体" w:eastAsia="宋体" w:cs="宋体"/>
          <w:color w:val="auto"/>
          <w:sz w:val="24"/>
          <w:szCs w:val="24"/>
        </w:rPr>
        <w:t>划分：</w:t>
      </w:r>
      <w:r>
        <w:rPr>
          <w:rFonts w:hint="eastAsia" w:ascii="宋体" w:hAnsi="宋体" w:eastAsia="宋体" w:cs="宋体"/>
          <w:color w:val="auto"/>
          <w:kern w:val="0"/>
          <w:sz w:val="24"/>
          <w:szCs w:val="24"/>
        </w:rPr>
        <w:t>本采购项目</w:t>
      </w:r>
      <w:r>
        <w:rPr>
          <w:rFonts w:hint="eastAsia" w:cs="宋体"/>
          <w:color w:val="auto"/>
          <w:kern w:val="0"/>
          <w:sz w:val="24"/>
          <w:szCs w:val="24"/>
          <w:lang w:val="en-US" w:eastAsia="zh-CN"/>
        </w:rPr>
        <w:t>划分为2个包。</w:t>
      </w:r>
    </w:p>
    <w:p w14:paraId="324368DC">
      <w:pPr>
        <w:spacing w:line="360" w:lineRule="auto"/>
        <w:ind w:firstLine="480" w:firstLineChars="200"/>
        <w:rPr>
          <w:rFonts w:hint="default" w:ascii="宋体" w:hAnsi="宋体" w:eastAsia="宋体" w:cs="宋体"/>
          <w:color w:val="auto"/>
          <w:sz w:val="24"/>
          <w:szCs w:val="24"/>
          <w:lang w:val="en-US" w:eastAsia="zh-CN"/>
        </w:rPr>
      </w:pPr>
      <w:r>
        <w:rPr>
          <w:rFonts w:hint="eastAsia" w:cs="宋体"/>
          <w:color w:val="auto"/>
          <w:sz w:val="24"/>
          <w:szCs w:val="24"/>
        </w:rPr>
        <w:t>1.</w:t>
      </w:r>
      <w:r>
        <w:rPr>
          <w:rFonts w:hint="eastAsia" w:cs="宋体"/>
          <w:color w:val="auto"/>
          <w:sz w:val="24"/>
          <w:szCs w:val="24"/>
          <w:lang w:val="en-US" w:eastAsia="zh-CN"/>
        </w:rPr>
        <w:t>5</w:t>
      </w:r>
      <w:r>
        <w:rPr>
          <w:rFonts w:hint="eastAsia" w:cs="宋体"/>
          <w:color w:val="auto"/>
          <w:sz w:val="24"/>
          <w:szCs w:val="24"/>
        </w:rPr>
        <w:t>最高限价：</w:t>
      </w:r>
      <w:r>
        <w:rPr>
          <w:rFonts w:hint="eastAsia" w:cs="宋体"/>
          <w:color w:val="auto"/>
          <w:sz w:val="24"/>
          <w:szCs w:val="24"/>
          <w:lang w:val="en-US" w:eastAsia="zh-CN"/>
        </w:rPr>
        <w:t>A包</w:t>
      </w:r>
      <w:r>
        <w:rPr>
          <w:rFonts w:hint="eastAsia" w:cs="宋体"/>
          <w:color w:val="auto"/>
          <w:sz w:val="24"/>
          <w:szCs w:val="24"/>
          <w:u w:val="none"/>
          <w:lang w:eastAsia="zh-CN"/>
        </w:rPr>
        <w:t>医共体中心药房系统</w:t>
      </w:r>
      <w:r>
        <w:rPr>
          <w:rFonts w:hint="eastAsia" w:cs="宋体"/>
          <w:color w:val="auto"/>
          <w:sz w:val="24"/>
          <w:szCs w:val="24"/>
          <w:lang w:val="en-US" w:eastAsia="zh-CN"/>
        </w:rPr>
        <w:t>：</w:t>
      </w:r>
      <w:r>
        <w:rPr>
          <w:rFonts w:hint="eastAsia" w:cs="宋体"/>
          <w:color w:val="auto"/>
          <w:sz w:val="24"/>
          <w:szCs w:val="24"/>
          <w:u w:val="single"/>
          <w:lang w:val="en-US" w:eastAsia="zh-CN"/>
        </w:rPr>
        <w:t>70.00万</w:t>
      </w:r>
      <w:r>
        <w:rPr>
          <w:rFonts w:hint="eastAsia" w:cs="宋体"/>
          <w:color w:val="auto"/>
          <w:sz w:val="24"/>
          <w:szCs w:val="24"/>
          <w:lang w:val="en-US" w:eastAsia="zh-CN"/>
        </w:rPr>
        <w:t>元；</w:t>
      </w:r>
      <w:r>
        <w:rPr>
          <w:rFonts w:hint="eastAsia" w:cs="宋体"/>
          <w:color w:val="auto"/>
          <w:sz w:val="24"/>
          <w:szCs w:val="24"/>
          <w:lang w:val="en-US" w:eastAsia="zh-CN"/>
        </w:rPr>
        <w:t>B包</w:t>
      </w:r>
      <w:r>
        <w:rPr>
          <w:rFonts w:hint="eastAsia" w:cs="宋体"/>
          <w:color w:val="auto"/>
          <w:sz w:val="24"/>
          <w:szCs w:val="24"/>
          <w:u w:val="none"/>
          <w:lang w:eastAsia="zh-CN"/>
        </w:rPr>
        <w:t>医共体审方中心系统</w:t>
      </w:r>
      <w:r>
        <w:rPr>
          <w:rFonts w:hint="eastAsia" w:ascii="宋体" w:hAnsi="宋体" w:eastAsia="宋体" w:cs="宋体"/>
          <w:color w:val="auto"/>
          <w:sz w:val="24"/>
          <w:szCs w:val="24"/>
          <w:lang w:val="en-US" w:eastAsia="zh-CN"/>
        </w:rPr>
        <w:t>：</w:t>
      </w:r>
      <w:r>
        <w:rPr>
          <w:rFonts w:hint="eastAsia" w:cs="宋体"/>
          <w:color w:val="auto"/>
          <w:sz w:val="24"/>
          <w:szCs w:val="24"/>
          <w:u w:val="single"/>
          <w:lang w:val="en-US" w:eastAsia="zh-CN"/>
        </w:rPr>
        <w:t>80.00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万元</w:t>
      </w:r>
      <w:r>
        <w:rPr>
          <w:rFonts w:hint="eastAsia" w:cs="宋体"/>
          <w:color w:val="auto"/>
          <w:sz w:val="24"/>
          <w:szCs w:val="24"/>
          <w:lang w:val="en-US" w:eastAsia="zh-CN"/>
        </w:rPr>
        <w:t>。</w:t>
      </w:r>
    </w:p>
    <w:p w14:paraId="6320A13E">
      <w:pPr>
        <w:pageBreakBefore w:val="0"/>
        <w:wordWrap/>
        <w:overflowPunct/>
        <w:topLinePunct w:val="0"/>
        <w:bidi w:val="0"/>
        <w:spacing w:beforeAutospacing="0"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1.6采购需求：</w:t>
      </w:r>
      <w:r>
        <w:rPr>
          <w:rFonts w:hint="eastAsia" w:ascii="宋体" w:hAnsi="宋体" w:eastAsia="宋体" w:cs="宋体"/>
          <w:color w:val="auto"/>
          <w:sz w:val="24"/>
          <w:szCs w:val="24"/>
          <w:lang w:val="en-US" w:eastAsia="zh-CN"/>
        </w:rPr>
        <w:t>A包</w:t>
      </w:r>
      <w:r>
        <w:rPr>
          <w:rFonts w:hint="eastAsia" w:cs="宋体"/>
          <w:color w:val="auto"/>
          <w:sz w:val="24"/>
          <w:szCs w:val="24"/>
          <w:lang w:val="en-US" w:eastAsia="zh-CN"/>
        </w:rPr>
        <w:t>：</w:t>
      </w:r>
      <w:r>
        <w:rPr>
          <w:rFonts w:hint="eastAsia" w:ascii="宋体" w:hAnsi="宋体" w:eastAsia="宋体" w:cs="宋体"/>
          <w:bCs/>
          <w:color w:val="auto"/>
          <w:sz w:val="24"/>
          <w:szCs w:val="24"/>
        </w:rPr>
        <w:t>围绕紧密型医联体用药目录(以下简称“用药目录”)、生产企业</w:t>
      </w:r>
      <w:r>
        <w:rPr>
          <w:rFonts w:hint="eastAsia" w:cs="宋体"/>
          <w:bCs/>
          <w:color w:val="auto"/>
          <w:sz w:val="24"/>
          <w:szCs w:val="24"/>
          <w:lang w:eastAsia="zh-CN"/>
        </w:rPr>
        <w:t>、</w:t>
      </w:r>
      <w:r>
        <w:rPr>
          <w:rFonts w:hint="eastAsia" w:ascii="宋体" w:hAnsi="宋体" w:eastAsia="宋体" w:cs="宋体"/>
          <w:bCs/>
          <w:color w:val="auto"/>
          <w:sz w:val="24"/>
          <w:szCs w:val="24"/>
        </w:rPr>
        <w:t>配送企业、用</w:t>
      </w:r>
      <w:r>
        <w:rPr>
          <w:rFonts w:hint="eastAsia" w:cs="宋体"/>
          <w:bCs/>
          <w:color w:val="auto"/>
          <w:sz w:val="24"/>
          <w:szCs w:val="24"/>
          <w:lang w:val="en-US" w:eastAsia="zh-CN"/>
        </w:rPr>
        <w:t>药</w:t>
      </w:r>
      <w:r>
        <w:rPr>
          <w:rFonts w:hint="eastAsia" w:ascii="宋体" w:hAnsi="宋体" w:eastAsia="宋体" w:cs="宋体"/>
          <w:bCs/>
          <w:color w:val="auto"/>
          <w:sz w:val="24"/>
          <w:szCs w:val="24"/>
        </w:rPr>
        <w:t>需求、采购计划、采购订单、配送、结算、价格、出入库、调拨、调配以及药学服务等关键环节，建立管理制度和运行机制，通过人工和/或信息化手段，能够开展用药衔接比对、供需监测对接、定期集中配送、药品库存警戒监测、近效期药品监测和调配、余缺调度、缺药登记、统计分析等工作</w:t>
      </w:r>
      <w:r>
        <w:rPr>
          <w:rFonts w:hint="eastAsia" w:cs="宋体"/>
          <w:bCs/>
          <w:color w:val="auto"/>
          <w:sz w:val="24"/>
          <w:szCs w:val="24"/>
          <w:lang w:val="en-US" w:eastAsia="zh-CN"/>
        </w:rPr>
        <w:t>；</w:t>
      </w:r>
      <w:r>
        <w:rPr>
          <w:rFonts w:hint="eastAsia" w:ascii="宋体" w:hAnsi="宋体" w:eastAsia="宋体" w:cs="宋体"/>
          <w:bCs/>
          <w:color w:val="auto"/>
          <w:sz w:val="24"/>
          <w:szCs w:val="24"/>
        </w:rPr>
        <w:t>运用大数据、互联网、人工智能等技术，实现药品订单汇总、采购、配送、结算、库存、处方、使用、居民用药监测、统计分析等全流程智能管理。</w:t>
      </w:r>
      <w:r>
        <w:rPr>
          <w:rFonts w:hint="eastAsia" w:ascii="宋体" w:hAnsi="宋体" w:eastAsia="宋体" w:cs="宋体"/>
          <w:color w:val="auto"/>
          <w:kern w:val="0"/>
          <w:sz w:val="24"/>
          <w:szCs w:val="24"/>
          <w:lang w:val="en-US" w:eastAsia="zh-CN" w:bidi="ar-SA"/>
        </w:rPr>
        <w:t>具体内容详见第三章采购需求。</w:t>
      </w:r>
    </w:p>
    <w:p w14:paraId="7138115C">
      <w:pPr>
        <w:pStyle w:val="75"/>
        <w:keepNext w:val="0"/>
        <w:keepLines w:val="0"/>
        <w:pageBreakBefore w:val="0"/>
        <w:numPr>
          <w:ilvl w:val="0"/>
          <w:numId w:val="0"/>
        </w:numPr>
        <w:kinsoku/>
        <w:wordWrap/>
        <w:overflowPunct/>
        <w:topLinePunct w:val="0"/>
        <w:autoSpaceDE/>
        <w:autoSpaceDN/>
        <w:bidi w:val="0"/>
        <w:adjustRightInd/>
        <w:spacing w:line="560" w:lineRule="exact"/>
        <w:ind w:firstLine="480" w:firstLineChars="200"/>
        <w:rPr>
          <w:rFonts w:hint="default" w:eastAsia="宋体" w:cs="宋体"/>
          <w:color w:val="auto"/>
          <w:sz w:val="24"/>
          <w:szCs w:val="24"/>
          <w:highlight w:val="none"/>
          <w:lang w:val="en-US" w:eastAsia="zh-CN"/>
        </w:rPr>
      </w:pPr>
      <w:r>
        <w:rPr>
          <w:rFonts w:hint="eastAsia" w:ascii="宋体" w:hAnsi="宋体" w:eastAsia="宋体" w:cs="宋体"/>
          <w:color w:val="auto"/>
          <w:kern w:val="0"/>
          <w:sz w:val="24"/>
          <w:szCs w:val="24"/>
          <w:lang w:val="en-US" w:eastAsia="zh-CN" w:bidi="ar-SA"/>
        </w:rPr>
        <w:t>B包：</w:t>
      </w:r>
      <w:r>
        <w:rPr>
          <w:rFonts w:hint="default" w:ascii="宋体" w:hAnsi="宋体" w:eastAsia="宋体" w:cs="宋体"/>
          <w:color w:val="auto"/>
          <w:kern w:val="0"/>
          <w:sz w:val="24"/>
          <w:szCs w:val="24"/>
          <w:lang w:val="en-US" w:eastAsia="zh-CN" w:bidi="ar-SA"/>
        </w:rPr>
        <w:t>保障患者用药安全、提升基层合理用药水平，同时通过资源整合实现药学服务的标准化和同质化。实现用药安全的“事前干预”</w:t>
      </w:r>
      <w:r>
        <w:rPr>
          <w:rFonts w:hint="eastAsia" w:ascii="宋体" w:hAnsi="宋体" w:eastAsia="宋体" w:cs="宋体"/>
          <w:color w:val="auto"/>
          <w:kern w:val="0"/>
          <w:sz w:val="24"/>
          <w:szCs w:val="24"/>
          <w:lang w:val="en-US" w:eastAsia="zh-CN" w:bidi="ar-SA"/>
        </w:rPr>
        <w:t>，推进药学服务的“均等化”，提供精细化监管与决策支持，提供精细化监管与决策支持。具体内容详见第三章采购需求。</w:t>
      </w:r>
    </w:p>
    <w:p w14:paraId="5D7A9380">
      <w:pPr>
        <w:pStyle w:val="58"/>
        <w:spacing w:before="260" w:after="260" w:line="360" w:lineRule="auto"/>
        <w:jc w:val="both"/>
        <w:rPr>
          <w:rFonts w:hint="eastAsia" w:ascii="宋体" w:hAnsi="宋体" w:cs="宋体"/>
          <w:bCs w:val="0"/>
          <w:color w:val="auto"/>
          <w:sz w:val="24"/>
          <w:szCs w:val="24"/>
        </w:rPr>
      </w:pPr>
      <w:bookmarkStart w:id="29" w:name="_Toc28359080"/>
      <w:bookmarkEnd w:id="29"/>
      <w:bookmarkStart w:id="30" w:name="_Toc3064"/>
      <w:bookmarkEnd w:id="30"/>
      <w:bookmarkStart w:id="31" w:name="_Toc23681"/>
      <w:bookmarkEnd w:id="31"/>
      <w:bookmarkStart w:id="32" w:name="_Toc35393791"/>
      <w:bookmarkEnd w:id="32"/>
      <w:bookmarkStart w:id="33" w:name="_Toc10155"/>
      <w:bookmarkEnd w:id="33"/>
      <w:bookmarkStart w:id="34" w:name="_Toc35393622"/>
      <w:bookmarkEnd w:id="34"/>
      <w:bookmarkStart w:id="35" w:name="_Toc28359003"/>
      <w:bookmarkEnd w:id="35"/>
      <w:bookmarkStart w:id="36" w:name="_Toc28854"/>
      <w:r>
        <w:rPr>
          <w:rFonts w:hint="eastAsia" w:ascii="宋体" w:hAnsi="宋体" w:cs="宋体"/>
          <w:bCs w:val="0"/>
          <w:color w:val="auto"/>
          <w:sz w:val="24"/>
          <w:szCs w:val="24"/>
        </w:rPr>
        <w:t>二、投标供应商的资格要求：</w:t>
      </w:r>
      <w:bookmarkEnd w:id="36"/>
    </w:p>
    <w:p w14:paraId="55237C57">
      <w:pPr>
        <w:ind w:firstLine="540"/>
        <w:rPr>
          <w:rFonts w:hint="eastAsia" w:cs="宋体"/>
          <w:color w:val="auto"/>
          <w:sz w:val="24"/>
          <w:szCs w:val="24"/>
        </w:rPr>
      </w:pPr>
      <w:bookmarkStart w:id="37" w:name="_Toc1149"/>
      <w:bookmarkEnd w:id="37"/>
      <w:bookmarkStart w:id="38" w:name="_Toc35393792"/>
      <w:bookmarkEnd w:id="38"/>
      <w:bookmarkStart w:id="39" w:name="_Toc22491"/>
      <w:bookmarkEnd w:id="39"/>
      <w:bookmarkStart w:id="40" w:name="_Toc35393623"/>
      <w:bookmarkEnd w:id="40"/>
      <w:bookmarkStart w:id="41" w:name="_Toc4536"/>
      <w:bookmarkEnd w:id="41"/>
      <w:r>
        <w:rPr>
          <w:rFonts w:hint="eastAsia" w:cs="宋体"/>
          <w:color w:val="auto"/>
          <w:sz w:val="24"/>
          <w:szCs w:val="24"/>
        </w:rPr>
        <w:t>1.满足《中华人民共和国政府采购法》第二十二条规定；</w:t>
      </w:r>
    </w:p>
    <w:p w14:paraId="4A3FCC74">
      <w:pPr>
        <w:ind w:firstLine="540"/>
        <w:rPr>
          <w:rFonts w:hint="eastAsia" w:cs="宋体"/>
          <w:color w:val="auto"/>
          <w:sz w:val="24"/>
          <w:szCs w:val="24"/>
        </w:rPr>
      </w:pPr>
      <w:r>
        <w:rPr>
          <w:rFonts w:hint="eastAsia" w:cs="宋体"/>
          <w:color w:val="auto"/>
          <w:sz w:val="24"/>
          <w:szCs w:val="24"/>
        </w:rPr>
        <w:t>（1）具有独立承担民事责任的能力。</w:t>
      </w:r>
    </w:p>
    <w:p w14:paraId="45231F90">
      <w:pPr>
        <w:ind w:firstLine="540"/>
        <w:rPr>
          <w:rFonts w:hint="eastAsia" w:cs="宋体"/>
          <w:color w:val="auto"/>
          <w:sz w:val="24"/>
          <w:szCs w:val="24"/>
        </w:rPr>
      </w:pPr>
      <w:r>
        <w:rPr>
          <w:rFonts w:hint="eastAsia" w:cs="宋体"/>
          <w:color w:val="auto"/>
          <w:sz w:val="24"/>
          <w:szCs w:val="24"/>
        </w:rPr>
        <w:t>（2）具有良好的商业信誉和健全的财务会计制度。</w:t>
      </w:r>
    </w:p>
    <w:p w14:paraId="6F7729A0">
      <w:pPr>
        <w:ind w:firstLine="540"/>
        <w:rPr>
          <w:rFonts w:hint="eastAsia" w:cs="宋体"/>
          <w:color w:val="auto"/>
          <w:sz w:val="24"/>
          <w:szCs w:val="24"/>
        </w:rPr>
      </w:pPr>
      <w:r>
        <w:rPr>
          <w:rFonts w:hint="eastAsia" w:cs="宋体"/>
          <w:color w:val="auto"/>
          <w:sz w:val="24"/>
          <w:szCs w:val="24"/>
        </w:rPr>
        <w:t>（3）具有履行合同所必需的设备和专业技术能力。</w:t>
      </w:r>
    </w:p>
    <w:p w14:paraId="1BB93F62">
      <w:pPr>
        <w:ind w:firstLine="540"/>
        <w:rPr>
          <w:rFonts w:hint="eastAsia" w:cs="宋体"/>
          <w:color w:val="auto"/>
          <w:sz w:val="24"/>
          <w:szCs w:val="24"/>
        </w:rPr>
      </w:pPr>
      <w:r>
        <w:rPr>
          <w:rFonts w:hint="eastAsia" w:cs="宋体"/>
          <w:color w:val="auto"/>
          <w:sz w:val="24"/>
          <w:szCs w:val="24"/>
        </w:rPr>
        <w:t>（4）有依法缴纳税收和社会保障资金的良好记录。</w:t>
      </w:r>
    </w:p>
    <w:p w14:paraId="244511BC">
      <w:pPr>
        <w:numPr>
          <w:ilvl w:val="0"/>
          <w:numId w:val="0"/>
        </w:numPr>
        <w:spacing w:line="360" w:lineRule="auto"/>
        <w:ind w:firstLine="480" w:firstLineChars="200"/>
        <w:rPr>
          <w:rFonts w:hint="eastAsia" w:cs="宋体"/>
          <w:color w:val="auto"/>
          <w:sz w:val="24"/>
          <w:szCs w:val="24"/>
        </w:rPr>
      </w:pPr>
      <w:r>
        <w:rPr>
          <w:rFonts w:hint="eastAsia" w:cs="宋体"/>
          <w:color w:val="auto"/>
          <w:sz w:val="24"/>
          <w:szCs w:val="24"/>
          <w:lang w:val="en-US" w:eastAsia="zh-CN"/>
        </w:rPr>
        <w:t>（5）</w:t>
      </w:r>
      <w:r>
        <w:rPr>
          <w:rFonts w:hint="eastAsia" w:cs="宋体"/>
          <w:color w:val="auto"/>
          <w:sz w:val="24"/>
          <w:szCs w:val="24"/>
        </w:rPr>
        <w:t>参加采购活动前3年内，在经营活动中没有重大违法记录。</w:t>
      </w:r>
    </w:p>
    <w:p w14:paraId="621D0316">
      <w:pPr>
        <w:numPr>
          <w:ilvl w:val="0"/>
          <w:numId w:val="0"/>
        </w:num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提供书面声明，参加采购活动前三年内无因违法经营受到刑事处罚或者责令停产停业、吊销许可证或者执照、较大数额罚款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200万元以上</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等行政处罚。</w:t>
      </w:r>
    </w:p>
    <w:p w14:paraId="26214036">
      <w:pPr>
        <w:ind w:firstLine="480" w:firstLineChars="200"/>
        <w:rPr>
          <w:rFonts w:hint="eastAsia" w:cs="宋体"/>
          <w:color w:val="auto"/>
          <w:sz w:val="24"/>
          <w:szCs w:val="24"/>
        </w:rPr>
      </w:pPr>
      <w:r>
        <w:rPr>
          <w:rFonts w:hint="eastAsia" w:cs="宋体"/>
          <w:color w:val="auto"/>
          <w:sz w:val="24"/>
          <w:szCs w:val="24"/>
        </w:rPr>
        <w:t>（6）法律、行政法规规定的其他条件。</w:t>
      </w:r>
    </w:p>
    <w:p w14:paraId="2E2A1967">
      <w:pPr>
        <w:ind w:firstLine="780" w:firstLineChars="325"/>
        <w:rPr>
          <w:rFonts w:hint="eastAsia" w:cs="宋体"/>
          <w:color w:val="auto"/>
          <w:sz w:val="24"/>
          <w:szCs w:val="24"/>
        </w:rPr>
      </w:pPr>
      <w:r>
        <w:rPr>
          <w:rFonts w:hint="eastAsia" w:cs="宋体"/>
          <w:color w:val="auto"/>
          <w:sz w:val="24"/>
          <w:szCs w:val="24"/>
        </w:rPr>
        <w:t>无。</w:t>
      </w:r>
    </w:p>
    <w:p w14:paraId="70F324B8">
      <w:pPr>
        <w:ind w:firstLine="540"/>
        <w:rPr>
          <w:rFonts w:hint="eastAsia" w:cs="宋体"/>
          <w:color w:val="auto"/>
          <w:sz w:val="24"/>
          <w:szCs w:val="24"/>
        </w:rPr>
      </w:pPr>
      <w:r>
        <w:rPr>
          <w:rFonts w:hint="eastAsia" w:cs="宋体"/>
          <w:color w:val="auto"/>
          <w:sz w:val="24"/>
          <w:szCs w:val="24"/>
        </w:rPr>
        <w:t>2.落实政府采购政策需满足的资格要求：</w:t>
      </w:r>
    </w:p>
    <w:p w14:paraId="2DF50C72">
      <w:pPr>
        <w:ind w:firstLine="720" w:firstLineChars="3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无</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本项目非专门面向中小企业采购项目</w:t>
      </w:r>
    </w:p>
    <w:p w14:paraId="3D87C0F2">
      <w:pPr>
        <w:ind w:firstLine="480" w:firstLineChars="200"/>
        <w:rPr>
          <w:rFonts w:hint="eastAsia" w:cs="宋体"/>
          <w:color w:val="auto"/>
          <w:sz w:val="24"/>
          <w:szCs w:val="24"/>
        </w:rPr>
      </w:pPr>
      <w:r>
        <w:rPr>
          <w:rFonts w:hint="eastAsia" w:cs="宋体"/>
          <w:color w:val="auto"/>
          <w:sz w:val="24"/>
          <w:szCs w:val="24"/>
        </w:rPr>
        <w:t>3.本项目的特定资格要求：</w:t>
      </w:r>
    </w:p>
    <w:p w14:paraId="00CFC568">
      <w:pPr>
        <w:ind w:firstLine="540"/>
        <w:rPr>
          <w:rFonts w:hint="eastAsia" w:cs="宋体"/>
          <w:color w:val="auto"/>
          <w:sz w:val="24"/>
          <w:szCs w:val="24"/>
        </w:rPr>
      </w:pPr>
      <w:r>
        <w:rPr>
          <w:rFonts w:hint="eastAsia" w:cs="宋体"/>
          <w:color w:val="auto"/>
          <w:sz w:val="24"/>
          <w:szCs w:val="24"/>
        </w:rPr>
        <w:t>（1）本项目不接受联合体投标。</w:t>
      </w:r>
    </w:p>
    <w:p w14:paraId="59A6B3E5">
      <w:pPr>
        <w:ind w:firstLine="540"/>
        <w:rPr>
          <w:rFonts w:hint="eastAsia" w:cs="宋体"/>
          <w:color w:val="auto"/>
          <w:sz w:val="24"/>
          <w:szCs w:val="24"/>
        </w:rPr>
      </w:pPr>
      <w:r>
        <w:rPr>
          <w:rFonts w:hint="eastAsia" w:cs="宋体"/>
          <w:color w:val="auto"/>
          <w:sz w:val="24"/>
          <w:szCs w:val="24"/>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后2小时内在“信用中国”网站（www.creditchina.gov.cn）及中国政府采购网（http://www.ccgp.gov.cn/）查询结果为准。</w:t>
      </w:r>
    </w:p>
    <w:p w14:paraId="50CAE037">
      <w:pPr>
        <w:ind w:firstLine="540"/>
        <w:rPr>
          <w:rFonts w:hint="default" w:eastAsia="宋体" w:cs="宋体"/>
          <w:color w:val="auto"/>
          <w:sz w:val="24"/>
          <w:szCs w:val="24"/>
          <w:lang w:val="en-US" w:eastAsia="zh-CN"/>
        </w:rPr>
      </w:pPr>
      <w:r>
        <w:rPr>
          <w:rFonts w:hint="eastAsia" w:cs="宋体"/>
          <w:color w:val="auto"/>
          <w:sz w:val="24"/>
          <w:szCs w:val="24"/>
        </w:rPr>
        <w:t>（3）单位负责人为同一人或者存在直接控股、管理关系的不同供应商，不得同时参加本采购项目（或采购包）投标（响应）。</w:t>
      </w:r>
    </w:p>
    <w:p w14:paraId="0327EC94">
      <w:pPr>
        <w:pStyle w:val="58"/>
        <w:spacing w:before="260" w:after="260" w:line="360" w:lineRule="auto"/>
        <w:jc w:val="both"/>
        <w:rPr>
          <w:rFonts w:hint="eastAsia" w:ascii="宋体" w:hAnsi="宋体" w:cs="宋体"/>
          <w:bCs w:val="0"/>
          <w:color w:val="auto"/>
          <w:sz w:val="24"/>
          <w:szCs w:val="24"/>
        </w:rPr>
      </w:pPr>
      <w:bookmarkStart w:id="42" w:name="_Toc10562"/>
      <w:r>
        <w:rPr>
          <w:rFonts w:hint="eastAsia" w:ascii="宋体" w:hAnsi="宋体" w:cs="宋体"/>
          <w:bCs w:val="0"/>
          <w:color w:val="auto"/>
          <w:sz w:val="24"/>
          <w:szCs w:val="24"/>
        </w:rPr>
        <w:t>三、获取招标文件</w:t>
      </w:r>
      <w:bookmarkEnd w:id="42"/>
    </w:p>
    <w:p w14:paraId="67418EF7">
      <w:pPr>
        <w:ind w:firstLine="540"/>
        <w:rPr>
          <w:rFonts w:hint="eastAsia" w:cs="宋体"/>
          <w:color w:val="auto"/>
          <w:sz w:val="24"/>
          <w:szCs w:val="24"/>
        </w:rPr>
      </w:pPr>
      <w:r>
        <w:rPr>
          <w:rFonts w:hint="eastAsia" w:cs="宋体"/>
          <w:color w:val="auto"/>
          <w:sz w:val="24"/>
          <w:szCs w:val="24"/>
        </w:rPr>
        <w:t>时间：</w:t>
      </w:r>
      <w:r>
        <w:rPr>
          <w:rFonts w:hint="eastAsia" w:cs="宋体"/>
          <w:color w:val="auto"/>
          <w:sz w:val="24"/>
          <w:szCs w:val="24"/>
          <w:u w:val="single"/>
        </w:rPr>
        <w:t>202</w:t>
      </w:r>
      <w:r>
        <w:rPr>
          <w:rFonts w:hint="eastAsia" w:cs="宋体"/>
          <w:color w:val="auto"/>
          <w:sz w:val="24"/>
          <w:szCs w:val="24"/>
          <w:u w:val="single"/>
          <w:lang w:val="en-US" w:eastAsia="zh-CN"/>
        </w:rPr>
        <w:t>6</w:t>
      </w:r>
      <w:r>
        <w:rPr>
          <w:rFonts w:hint="eastAsia" w:cs="宋体"/>
          <w:color w:val="auto"/>
          <w:sz w:val="24"/>
          <w:szCs w:val="24"/>
          <w:u w:val="single"/>
        </w:rPr>
        <w:t>年</w:t>
      </w:r>
      <w:r>
        <w:rPr>
          <w:rFonts w:hint="eastAsia" w:cs="宋体"/>
          <w:color w:val="auto"/>
          <w:sz w:val="24"/>
          <w:szCs w:val="24"/>
          <w:u w:val="single"/>
          <w:lang w:val="en-US" w:eastAsia="zh-CN"/>
        </w:rPr>
        <w:t>6</w:t>
      </w:r>
      <w:r>
        <w:rPr>
          <w:rFonts w:hint="eastAsia" w:cs="宋体"/>
          <w:color w:val="auto"/>
          <w:sz w:val="24"/>
          <w:szCs w:val="24"/>
          <w:u w:val="single"/>
        </w:rPr>
        <w:t>月</w:t>
      </w:r>
      <w:r>
        <w:rPr>
          <w:rFonts w:hint="eastAsia" w:cs="宋体"/>
          <w:color w:val="auto"/>
          <w:sz w:val="24"/>
          <w:szCs w:val="24"/>
          <w:u w:val="single"/>
          <w:lang w:val="en-US" w:eastAsia="zh-CN"/>
        </w:rPr>
        <w:t>25</w:t>
      </w:r>
      <w:r>
        <w:rPr>
          <w:rFonts w:hint="eastAsia" w:cs="宋体"/>
          <w:color w:val="auto"/>
          <w:sz w:val="24"/>
          <w:szCs w:val="24"/>
          <w:u w:val="single"/>
        </w:rPr>
        <w:t>日至</w:t>
      </w:r>
      <w:r>
        <w:rPr>
          <w:rFonts w:hint="eastAsia" w:cs="宋体"/>
          <w:color w:val="auto"/>
          <w:sz w:val="24"/>
          <w:szCs w:val="24"/>
          <w:u w:val="single"/>
          <w:lang w:val="en-US" w:eastAsia="zh-CN"/>
        </w:rPr>
        <w:t>2026</w:t>
      </w:r>
      <w:r>
        <w:rPr>
          <w:rFonts w:hint="eastAsia" w:cs="宋体"/>
          <w:color w:val="auto"/>
          <w:sz w:val="24"/>
          <w:szCs w:val="24"/>
          <w:u w:val="single"/>
        </w:rPr>
        <w:t>年</w:t>
      </w:r>
      <w:r>
        <w:rPr>
          <w:rFonts w:hint="eastAsia" w:cs="宋体"/>
          <w:color w:val="auto"/>
          <w:sz w:val="24"/>
          <w:szCs w:val="24"/>
          <w:u w:val="single"/>
          <w:lang w:val="en-US" w:eastAsia="zh-CN"/>
        </w:rPr>
        <w:t>7</w:t>
      </w:r>
      <w:r>
        <w:rPr>
          <w:rFonts w:hint="eastAsia" w:cs="宋体"/>
          <w:color w:val="auto"/>
          <w:sz w:val="24"/>
          <w:szCs w:val="24"/>
          <w:u w:val="single"/>
        </w:rPr>
        <w:t>月</w:t>
      </w:r>
      <w:r>
        <w:rPr>
          <w:rFonts w:hint="eastAsia" w:cs="宋体"/>
          <w:color w:val="auto"/>
          <w:sz w:val="24"/>
          <w:szCs w:val="24"/>
          <w:u w:val="single"/>
          <w:lang w:val="en-US" w:eastAsia="zh-CN"/>
        </w:rPr>
        <w:t>2</w:t>
      </w:r>
      <w:r>
        <w:rPr>
          <w:rFonts w:hint="eastAsia" w:cs="宋体"/>
          <w:color w:val="auto"/>
          <w:sz w:val="24"/>
          <w:szCs w:val="24"/>
          <w:u w:val="single"/>
        </w:rPr>
        <w:t>日</w:t>
      </w:r>
      <w:r>
        <w:rPr>
          <w:rFonts w:hint="eastAsia" w:cs="宋体"/>
          <w:color w:val="auto"/>
          <w:sz w:val="24"/>
          <w:szCs w:val="24"/>
        </w:rPr>
        <w:t>（</w:t>
      </w:r>
      <w:r>
        <w:rPr>
          <w:rFonts w:hint="eastAsia" w:cs="宋体"/>
          <w:color w:val="auto"/>
          <w:sz w:val="24"/>
          <w:szCs w:val="24"/>
        </w:rPr>
        <w:t>节假日除外），每天上午0</w:t>
      </w:r>
      <w:r>
        <w:rPr>
          <w:rFonts w:hint="eastAsia" w:cs="宋体"/>
          <w:color w:val="auto"/>
          <w:sz w:val="24"/>
          <w:szCs w:val="24"/>
          <w:lang w:val="en-US" w:eastAsia="zh-CN"/>
        </w:rPr>
        <w:t>6</w:t>
      </w:r>
      <w:r>
        <w:rPr>
          <w:rFonts w:hint="eastAsia" w:cs="宋体"/>
          <w:color w:val="auto"/>
          <w:sz w:val="24"/>
          <w:szCs w:val="24"/>
        </w:rPr>
        <w:t>：00至12：00，下午12：00至23：59（北京时间，法定节假日除外 ）</w:t>
      </w:r>
    </w:p>
    <w:p w14:paraId="0939C0D4">
      <w:pPr>
        <w:ind w:firstLine="540"/>
        <w:rPr>
          <w:rFonts w:hint="eastAsia" w:cs="宋体"/>
          <w:color w:val="auto"/>
          <w:sz w:val="24"/>
          <w:szCs w:val="24"/>
        </w:rPr>
      </w:pPr>
      <w:r>
        <w:rPr>
          <w:rFonts w:hint="eastAsia" w:cs="宋体"/>
          <w:color w:val="auto"/>
          <w:sz w:val="24"/>
          <w:szCs w:val="24"/>
        </w:rPr>
        <w:t>方式：1.凡有意参加投标者，须在政采云平台办理数字证书（CA），CA申领链接：http://yzt.ynsmartcert.cn/cms/yztkmkh12.html（客服热线：0871-67276028&lt;紧急可拨19988166369&gt;）或https://middle.zcygov.cn/ca/apply/edit?certType=32，并在政采云绑定数字证书（CA）后在网上获取采购文件及其它采购资料，数字证书（CA）详见其办理流程。注：云南本地供应商如之前已在云南CA在线数字证书办理网进行过注册并办理过企业数字证书（CA），直接绑定即可，无需重复办理（2022年1月1日前办理的云南 CA 需到云南CA办理处进行升级）。外省供应商在政采云平台办理的其他CA可直接使用，无需重复办理。2.按上述要求获取文件的供应商视为合法获取了本项目采购文件，具备本项目的投标资格。</w:t>
      </w:r>
    </w:p>
    <w:p w14:paraId="69D13119">
      <w:pPr>
        <w:pStyle w:val="58"/>
        <w:spacing w:before="260" w:after="260" w:line="360" w:lineRule="auto"/>
        <w:jc w:val="both"/>
        <w:rPr>
          <w:rFonts w:hint="eastAsia" w:ascii="宋体" w:hAnsi="宋体" w:cs="宋体"/>
          <w:b w:val="0"/>
          <w:color w:val="auto"/>
          <w:sz w:val="24"/>
          <w:szCs w:val="24"/>
        </w:rPr>
      </w:pPr>
      <w:bookmarkStart w:id="43" w:name="_Toc2770"/>
      <w:bookmarkEnd w:id="43"/>
      <w:bookmarkStart w:id="44" w:name="_Toc35393624"/>
      <w:bookmarkEnd w:id="44"/>
      <w:bookmarkStart w:id="45" w:name="_Toc35393793"/>
      <w:bookmarkEnd w:id="45"/>
      <w:bookmarkStart w:id="46" w:name="_Toc24963"/>
      <w:bookmarkEnd w:id="46"/>
      <w:bookmarkStart w:id="47" w:name="_Toc28359005"/>
      <w:bookmarkEnd w:id="47"/>
      <w:bookmarkStart w:id="48" w:name="_Toc14174"/>
      <w:bookmarkEnd w:id="48"/>
      <w:bookmarkStart w:id="49" w:name="_Toc28359082"/>
      <w:bookmarkEnd w:id="49"/>
      <w:bookmarkStart w:id="50" w:name="_Toc27295"/>
      <w:r>
        <w:rPr>
          <w:rFonts w:hint="eastAsia" w:ascii="宋体" w:hAnsi="宋体" w:cs="宋体"/>
          <w:bCs w:val="0"/>
          <w:color w:val="auto"/>
          <w:sz w:val="24"/>
          <w:szCs w:val="24"/>
        </w:rPr>
        <w:t>四、提交投标文件截止时间、时间和地点</w:t>
      </w:r>
      <w:bookmarkEnd w:id="50"/>
    </w:p>
    <w:p w14:paraId="1FFD52EA">
      <w:pPr>
        <w:ind w:firstLine="480" w:firstLineChars="200"/>
        <w:rPr>
          <w:rFonts w:hint="eastAsia" w:cs="宋体"/>
          <w:bCs/>
          <w:color w:val="auto"/>
          <w:sz w:val="24"/>
          <w:szCs w:val="24"/>
        </w:rPr>
      </w:pPr>
      <w:r>
        <w:rPr>
          <w:rFonts w:hint="eastAsia" w:cs="宋体"/>
          <w:bCs/>
          <w:color w:val="auto"/>
          <w:sz w:val="24"/>
          <w:szCs w:val="24"/>
        </w:rPr>
        <w:t>提交投标文件截止时间：</w:t>
      </w:r>
      <w:r>
        <w:rPr>
          <w:rFonts w:hint="eastAsia" w:cs="宋体"/>
          <w:bCs/>
          <w:color w:val="auto"/>
          <w:sz w:val="24"/>
          <w:szCs w:val="24"/>
          <w:u w:val="single"/>
        </w:rPr>
        <w:t>202</w:t>
      </w:r>
      <w:r>
        <w:rPr>
          <w:rFonts w:hint="eastAsia" w:cs="宋体"/>
          <w:bCs/>
          <w:color w:val="auto"/>
          <w:sz w:val="24"/>
          <w:szCs w:val="24"/>
          <w:u w:val="single"/>
          <w:lang w:val="en-US" w:eastAsia="zh-CN"/>
        </w:rPr>
        <w:t>6</w:t>
      </w:r>
      <w:r>
        <w:rPr>
          <w:rFonts w:hint="eastAsia" w:cs="宋体"/>
          <w:bCs/>
          <w:color w:val="auto"/>
          <w:sz w:val="24"/>
          <w:szCs w:val="24"/>
          <w:u w:val="single"/>
        </w:rPr>
        <w:t>年</w:t>
      </w:r>
      <w:r>
        <w:rPr>
          <w:rFonts w:hint="eastAsia" w:cs="宋体"/>
          <w:bCs/>
          <w:color w:val="auto"/>
          <w:sz w:val="24"/>
          <w:szCs w:val="24"/>
          <w:u w:val="single"/>
          <w:lang w:val="en-US" w:eastAsia="zh-CN"/>
        </w:rPr>
        <w:t>7</w:t>
      </w:r>
      <w:r>
        <w:rPr>
          <w:rFonts w:hint="eastAsia" w:cs="宋体"/>
          <w:bCs/>
          <w:color w:val="auto"/>
          <w:sz w:val="24"/>
          <w:szCs w:val="24"/>
          <w:u w:val="single"/>
        </w:rPr>
        <w:t>月</w:t>
      </w:r>
      <w:r>
        <w:rPr>
          <w:rFonts w:hint="eastAsia" w:cs="宋体"/>
          <w:bCs/>
          <w:color w:val="auto"/>
          <w:sz w:val="24"/>
          <w:szCs w:val="24"/>
          <w:u w:val="single"/>
          <w:lang w:val="en-US" w:eastAsia="zh-CN"/>
        </w:rPr>
        <w:t>15</w:t>
      </w:r>
      <w:r>
        <w:rPr>
          <w:rFonts w:hint="eastAsia" w:cs="宋体"/>
          <w:bCs/>
          <w:color w:val="auto"/>
          <w:sz w:val="24"/>
          <w:szCs w:val="24"/>
          <w:u w:val="single"/>
        </w:rPr>
        <w:t>日9 点30 分</w:t>
      </w:r>
      <w:r>
        <w:rPr>
          <w:rFonts w:hint="eastAsia" w:cs="宋体"/>
          <w:bCs/>
          <w:color w:val="auto"/>
          <w:sz w:val="24"/>
          <w:szCs w:val="24"/>
        </w:rPr>
        <w:t>（北京时间）</w:t>
      </w:r>
    </w:p>
    <w:p w14:paraId="2FD7D380">
      <w:pPr>
        <w:ind w:right="742" w:rightChars="309" w:firstLine="480" w:firstLineChars="200"/>
        <w:rPr>
          <w:rFonts w:hint="eastAsia" w:cs="宋体"/>
          <w:color w:val="auto"/>
          <w:sz w:val="24"/>
          <w:szCs w:val="24"/>
        </w:rPr>
      </w:pPr>
      <w:r>
        <w:rPr>
          <w:rFonts w:hint="eastAsia" w:cs="宋体"/>
          <w:color w:val="auto"/>
          <w:sz w:val="24"/>
          <w:szCs w:val="24"/>
        </w:rPr>
        <w:t>开标时间：同投标文件递交截止时间</w:t>
      </w:r>
    </w:p>
    <w:p w14:paraId="5CAD86C9">
      <w:pPr>
        <w:ind w:firstLine="480" w:firstLineChars="200"/>
        <w:rPr>
          <w:rFonts w:hint="eastAsia" w:cs="宋体"/>
          <w:color w:val="auto"/>
          <w:sz w:val="24"/>
          <w:szCs w:val="24"/>
        </w:rPr>
      </w:pPr>
      <w:r>
        <w:rPr>
          <w:rFonts w:hint="eastAsia" w:cs="宋体"/>
          <w:color w:val="auto"/>
          <w:sz w:val="24"/>
          <w:szCs w:val="24"/>
        </w:rPr>
        <w:t>开标地点：昆明阔海建设工程咨询有限公司会议室（晋宁区昆阳街道办事处湖景天颐家园一期42幢3层 ）</w:t>
      </w:r>
    </w:p>
    <w:p w14:paraId="04CF3169">
      <w:pPr>
        <w:pStyle w:val="58"/>
        <w:spacing w:before="260" w:after="260" w:line="240" w:lineRule="auto"/>
        <w:jc w:val="both"/>
        <w:rPr>
          <w:rFonts w:hint="eastAsia" w:ascii="宋体" w:hAnsi="宋体" w:cs="宋体"/>
          <w:bCs w:val="0"/>
          <w:color w:val="auto"/>
          <w:sz w:val="24"/>
          <w:szCs w:val="24"/>
        </w:rPr>
      </w:pPr>
      <w:bookmarkStart w:id="51" w:name="_Toc15457"/>
      <w:bookmarkEnd w:id="51"/>
      <w:bookmarkStart w:id="52" w:name="_Toc5121"/>
      <w:bookmarkEnd w:id="52"/>
      <w:bookmarkStart w:id="53" w:name="_Toc20933"/>
      <w:bookmarkEnd w:id="53"/>
      <w:bookmarkStart w:id="54" w:name="_Toc10617"/>
      <w:r>
        <w:rPr>
          <w:rFonts w:hint="eastAsia" w:ascii="宋体" w:hAnsi="宋体" w:cs="宋体"/>
          <w:bCs w:val="0"/>
          <w:color w:val="auto"/>
          <w:sz w:val="24"/>
          <w:szCs w:val="24"/>
        </w:rPr>
        <w:t>五、公告期限</w:t>
      </w:r>
      <w:bookmarkEnd w:id="54"/>
    </w:p>
    <w:p w14:paraId="788E495E">
      <w:pPr>
        <w:spacing w:line="240" w:lineRule="auto"/>
        <w:ind w:firstLine="480" w:firstLineChars="200"/>
        <w:rPr>
          <w:rFonts w:hint="eastAsia" w:cs="宋体"/>
          <w:color w:val="auto"/>
          <w:kern w:val="0"/>
          <w:sz w:val="24"/>
          <w:szCs w:val="24"/>
        </w:rPr>
      </w:pPr>
      <w:r>
        <w:rPr>
          <w:rFonts w:hint="eastAsia" w:cs="宋体"/>
          <w:color w:val="auto"/>
          <w:kern w:val="0"/>
          <w:sz w:val="24"/>
          <w:szCs w:val="24"/>
        </w:rPr>
        <w:t>自本公告发布之日起5个工作日。</w:t>
      </w:r>
    </w:p>
    <w:p w14:paraId="56DA788D">
      <w:pPr>
        <w:pStyle w:val="58"/>
        <w:spacing w:before="260" w:after="260" w:line="240" w:lineRule="auto"/>
        <w:jc w:val="both"/>
        <w:rPr>
          <w:rFonts w:hint="eastAsia" w:ascii="宋体" w:hAnsi="宋体" w:cs="宋体"/>
          <w:bCs w:val="0"/>
          <w:color w:val="auto"/>
          <w:sz w:val="24"/>
          <w:szCs w:val="24"/>
        </w:rPr>
      </w:pPr>
      <w:bookmarkStart w:id="55" w:name="_Toc17640"/>
      <w:bookmarkEnd w:id="55"/>
      <w:bookmarkStart w:id="56" w:name="_Toc32004"/>
      <w:bookmarkEnd w:id="56"/>
      <w:bookmarkStart w:id="57" w:name="_Toc7701"/>
      <w:bookmarkEnd w:id="57"/>
      <w:bookmarkStart w:id="58" w:name="_Toc22605"/>
      <w:r>
        <w:rPr>
          <w:rFonts w:hint="eastAsia" w:ascii="宋体" w:hAnsi="宋体" w:cs="宋体"/>
          <w:bCs w:val="0"/>
          <w:color w:val="auto"/>
          <w:sz w:val="24"/>
          <w:szCs w:val="24"/>
        </w:rPr>
        <w:t>六、其他补充事宜</w:t>
      </w:r>
      <w:bookmarkEnd w:id="58"/>
    </w:p>
    <w:p w14:paraId="1FDBB204">
      <w:pPr>
        <w:ind w:firstLine="480" w:firstLineChars="200"/>
        <w:rPr>
          <w:rFonts w:hint="eastAsia" w:eastAsia="宋体" w:cs="宋体"/>
          <w:color w:val="auto"/>
          <w:kern w:val="0"/>
          <w:sz w:val="24"/>
          <w:szCs w:val="24"/>
          <w:lang w:val="en-US" w:eastAsia="zh-CN"/>
        </w:rPr>
      </w:pPr>
      <w:bookmarkStart w:id="59" w:name="_Toc21276"/>
      <w:bookmarkEnd w:id="59"/>
      <w:bookmarkStart w:id="60" w:name="_Toc28359008"/>
      <w:bookmarkEnd w:id="60"/>
      <w:bookmarkStart w:id="61" w:name="_Toc35393796"/>
      <w:bookmarkEnd w:id="61"/>
      <w:bookmarkStart w:id="62" w:name="_Toc28359085"/>
      <w:bookmarkEnd w:id="62"/>
      <w:bookmarkStart w:id="63" w:name="_Toc20003"/>
      <w:bookmarkEnd w:id="63"/>
      <w:bookmarkStart w:id="64" w:name="_Toc21409"/>
      <w:bookmarkEnd w:id="64"/>
      <w:bookmarkStart w:id="65" w:name="_Toc35393627"/>
      <w:bookmarkEnd w:id="65"/>
      <w:bookmarkStart w:id="66" w:name="_Toc27929"/>
      <w:r>
        <w:rPr>
          <w:rFonts w:hint="eastAsia" w:cs="宋体"/>
          <w:color w:val="auto"/>
          <w:kern w:val="0"/>
          <w:sz w:val="24"/>
          <w:szCs w:val="24"/>
        </w:rPr>
        <w:t>本项目非专门面向中小企业的政府采购项目。在评审时中小型、微型企业提供的服务价格给予10%的扣除。监狱企业、残疾人福利性单位视同小型和微型企业，其提供的服务在评审时给予相同的价格扣除。《政府采购促进中小企业发展管理办法》（财库〔2020〕46号）、《财政部民政部中国残疾人联合会关于促进残疾人就业政府采购政策的通知》（财库〔2017〕141号）、《关于政府采购支持监狱企业发展有关问题的通知》(财库〔2014〕68号)等</w:t>
      </w:r>
      <w:r>
        <w:rPr>
          <w:rFonts w:hint="eastAsia" w:cs="宋体"/>
          <w:color w:val="auto"/>
          <w:kern w:val="0"/>
          <w:sz w:val="24"/>
          <w:szCs w:val="24"/>
          <w:lang w:eastAsia="zh-CN"/>
        </w:rPr>
        <w:t>。</w:t>
      </w:r>
    </w:p>
    <w:p w14:paraId="691DA6B9">
      <w:pPr>
        <w:ind w:firstLine="480" w:firstLineChars="200"/>
        <w:rPr>
          <w:rFonts w:hint="eastAsia" w:cs="宋体"/>
          <w:color w:val="auto"/>
          <w:kern w:val="0"/>
          <w:sz w:val="24"/>
          <w:szCs w:val="24"/>
        </w:rPr>
      </w:pPr>
      <w:r>
        <w:rPr>
          <w:rFonts w:hint="eastAsia" w:cs="宋体"/>
          <w:color w:val="auto"/>
          <w:kern w:val="0"/>
          <w:sz w:val="24"/>
          <w:szCs w:val="24"/>
        </w:rPr>
        <w:t xml:space="preserve"> 2.发布公告的媒体：本项目采购公告在云南省政府采购网（http://www.yngp.com/）发布，其他网站转载后与云南省政府采购网发布信息不一致的，采购人和代理机构均不承担任何责任。</w:t>
      </w:r>
    </w:p>
    <w:p w14:paraId="3F0ADDC3">
      <w:pPr>
        <w:ind w:firstLine="482" w:firstLineChars="200"/>
        <w:rPr>
          <w:rFonts w:hint="eastAsia" w:cs="宋体"/>
          <w:color w:val="auto"/>
          <w:kern w:val="0"/>
          <w:sz w:val="24"/>
          <w:szCs w:val="24"/>
        </w:rPr>
      </w:pPr>
      <w:r>
        <w:rPr>
          <w:rFonts w:hint="eastAsia" w:cs="宋体"/>
          <w:b/>
          <w:bCs/>
          <w:color w:val="auto"/>
          <w:kern w:val="0"/>
          <w:sz w:val="24"/>
          <w:szCs w:val="24"/>
        </w:rPr>
        <w:t>3.供应商应当在政采云电子投标客户端上编制响应文件，并生成电子加密标书（后缀名：.jmbs），投标文件制作完成并生成加密标书后，供应商需在开标前将加密的投标文件上传至政采云平台。具体操作请下载附件（供应商政府采购电子交易平台操作指南）</w:t>
      </w:r>
    </w:p>
    <w:p w14:paraId="6F44F8F2">
      <w:pPr>
        <w:pStyle w:val="58"/>
        <w:spacing w:before="260" w:after="260" w:line="360" w:lineRule="auto"/>
        <w:jc w:val="both"/>
        <w:rPr>
          <w:rFonts w:hint="eastAsia" w:ascii="宋体" w:hAnsi="宋体" w:cs="宋体"/>
          <w:bCs w:val="0"/>
          <w:color w:val="auto"/>
          <w:sz w:val="24"/>
          <w:szCs w:val="24"/>
        </w:rPr>
      </w:pPr>
      <w:r>
        <w:rPr>
          <w:rFonts w:hint="eastAsia" w:ascii="宋体" w:hAnsi="宋体" w:cs="宋体"/>
          <w:bCs w:val="0"/>
          <w:color w:val="auto"/>
          <w:sz w:val="24"/>
          <w:szCs w:val="24"/>
        </w:rPr>
        <w:t>七、对本次招标提出询问，请按以下方式联系</w:t>
      </w:r>
      <w:bookmarkEnd w:id="66"/>
    </w:p>
    <w:p w14:paraId="61EA2835">
      <w:pPr>
        <w:widowControl/>
        <w:spacing w:line="480" w:lineRule="auto"/>
        <w:rPr>
          <w:rFonts w:hint="eastAsia" w:cs="宋体"/>
          <w:color w:val="auto"/>
          <w:sz w:val="24"/>
          <w:szCs w:val="24"/>
        </w:rPr>
      </w:pPr>
      <w:r>
        <w:rPr>
          <w:rFonts w:hint="eastAsia" w:cs="宋体"/>
          <w:color w:val="auto"/>
          <w:sz w:val="24"/>
          <w:szCs w:val="24"/>
        </w:rPr>
        <w:t>　1.采购人信息</w:t>
      </w:r>
    </w:p>
    <w:p w14:paraId="032C24BF">
      <w:pPr>
        <w:spacing w:line="360" w:lineRule="auto"/>
        <w:ind w:firstLine="480" w:firstLineChars="200"/>
        <w:jc w:val="left"/>
        <w:rPr>
          <w:rFonts w:hint="eastAsia" w:ascii="宋体" w:hAnsi="宋体" w:eastAsia="宋体" w:cs="宋体"/>
          <w:color w:val="auto"/>
          <w:sz w:val="24"/>
          <w:u w:val="single"/>
          <w:lang w:eastAsia="zh-CN"/>
        </w:rPr>
      </w:pPr>
      <w:bookmarkStart w:id="67" w:name="_Toc28359086"/>
      <w:bookmarkStart w:id="68" w:name="_Toc28359009"/>
      <w:r>
        <w:rPr>
          <w:rFonts w:hint="eastAsia" w:ascii="宋体" w:hAnsi="宋体" w:cs="宋体"/>
          <w:color w:val="auto"/>
          <w:sz w:val="24"/>
        </w:rPr>
        <w:t>名    称：</w:t>
      </w:r>
      <w:r>
        <w:rPr>
          <w:rFonts w:hint="eastAsia" w:cs="宋体"/>
          <w:color w:val="auto"/>
          <w:sz w:val="24"/>
          <w:u w:val="single"/>
          <w:lang w:eastAsia="zh-CN"/>
        </w:rPr>
        <w:t>昆明市晋宁区人民医院(昆明市晋宁区紧密型医共体总医院)</w:t>
      </w:r>
    </w:p>
    <w:p w14:paraId="2CE27E0B">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single"/>
        </w:rPr>
        <w:t xml:space="preserve">昆明市晋宁区昆阳街道巨桥路36号 </w:t>
      </w:r>
    </w:p>
    <w:p w14:paraId="7F1EDB10">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w:t>
      </w:r>
      <w:r>
        <w:rPr>
          <w:rFonts w:hint="eastAsia" w:ascii="宋体" w:hAnsi="宋体" w:cs="宋体"/>
          <w:color w:val="auto"/>
          <w:sz w:val="24"/>
          <w:lang w:val="en-US" w:eastAsia="zh-CN"/>
        </w:rPr>
        <w:t xml:space="preserve"> </w:t>
      </w:r>
      <w:r>
        <w:rPr>
          <w:rFonts w:hint="eastAsia" w:ascii="宋体" w:hAnsi="宋体" w:cs="宋体"/>
          <w:color w:val="auto"/>
          <w:sz w:val="24"/>
        </w:rPr>
        <w:t>系</w:t>
      </w:r>
      <w:r>
        <w:rPr>
          <w:rFonts w:hint="eastAsia" w:ascii="宋体" w:hAnsi="宋体" w:cs="宋体"/>
          <w:color w:val="auto"/>
          <w:sz w:val="24"/>
          <w:lang w:val="en-US" w:eastAsia="zh-CN"/>
        </w:rPr>
        <w:t xml:space="preserve"> 人</w:t>
      </w:r>
      <w:r>
        <w:rPr>
          <w:rFonts w:hint="eastAsia" w:ascii="宋体" w:hAnsi="宋体" w:cs="宋体"/>
          <w:color w:val="auto"/>
          <w:sz w:val="24"/>
        </w:rPr>
        <w:t>：</w:t>
      </w:r>
      <w:r>
        <w:rPr>
          <w:rFonts w:hint="eastAsia" w:ascii="宋体" w:hAnsi="宋体" w:cs="宋体"/>
          <w:color w:val="auto"/>
          <w:sz w:val="24"/>
          <w:u w:val="single"/>
        </w:rPr>
        <w:t xml:space="preserve">冯师 </w:t>
      </w:r>
    </w:p>
    <w:p w14:paraId="2E527B1A">
      <w:pPr>
        <w:spacing w:line="480" w:lineRule="auto"/>
        <w:ind w:firstLine="480" w:firstLineChars="200"/>
        <w:rPr>
          <w:rFonts w:hint="default" w:ascii="宋体" w:hAnsi="宋体" w:eastAsia="宋体" w:cs="宋体"/>
          <w:color w:val="auto"/>
          <w:sz w:val="24"/>
          <w:u w:val="single"/>
          <w:lang w:val="en-US" w:eastAsia="zh-CN"/>
        </w:rPr>
      </w:pPr>
      <w:r>
        <w:rPr>
          <w:rFonts w:hint="eastAsia" w:cs="宋体"/>
          <w:color w:val="auto"/>
          <w:sz w:val="24"/>
          <w:szCs w:val="24"/>
          <w:lang w:val="en-US" w:eastAsia="zh-CN"/>
        </w:rPr>
        <w:t>联系</w:t>
      </w:r>
      <w:r>
        <w:rPr>
          <w:rFonts w:hint="eastAsia" w:cs="宋体"/>
          <w:color w:val="auto"/>
          <w:sz w:val="24"/>
          <w:szCs w:val="24"/>
        </w:rPr>
        <w:t>方式：</w:t>
      </w:r>
      <w:r>
        <w:rPr>
          <w:rFonts w:hint="eastAsia" w:cs="宋体"/>
          <w:color w:val="auto"/>
          <w:sz w:val="24"/>
          <w:szCs w:val="24"/>
          <w:u w:val="single"/>
          <w:lang w:val="en-US" w:eastAsia="zh-CN"/>
        </w:rPr>
        <w:t xml:space="preserve"> </w:t>
      </w:r>
      <w:r>
        <w:rPr>
          <w:rFonts w:hint="eastAsia" w:cs="宋体"/>
          <w:color w:val="auto"/>
          <w:sz w:val="24"/>
          <w:u w:val="single"/>
          <w:lang w:val="en-US" w:eastAsia="zh-CN"/>
        </w:rPr>
        <w:t>0871-67835198</w:t>
      </w:r>
    </w:p>
    <w:bookmarkEnd w:id="67"/>
    <w:bookmarkEnd w:id="68"/>
    <w:p w14:paraId="6F452ACF">
      <w:pPr>
        <w:spacing w:line="480" w:lineRule="auto"/>
        <w:ind w:firstLine="240" w:firstLineChars="100"/>
        <w:rPr>
          <w:rFonts w:hint="eastAsia" w:cs="宋体"/>
          <w:color w:val="auto"/>
          <w:sz w:val="24"/>
          <w:szCs w:val="24"/>
        </w:rPr>
      </w:pPr>
      <w:r>
        <w:rPr>
          <w:rFonts w:hint="eastAsia" w:cs="宋体"/>
          <w:color w:val="auto"/>
          <w:sz w:val="24"/>
          <w:szCs w:val="24"/>
        </w:rPr>
        <w:t>2.采购代理机构信息</w:t>
      </w:r>
    </w:p>
    <w:p w14:paraId="77369E19">
      <w:pPr>
        <w:spacing w:line="480" w:lineRule="auto"/>
        <w:ind w:firstLine="480" w:firstLineChars="200"/>
        <w:rPr>
          <w:rFonts w:hint="eastAsia" w:cs="宋体"/>
          <w:color w:val="auto"/>
          <w:sz w:val="24"/>
          <w:szCs w:val="24"/>
        </w:rPr>
      </w:pPr>
      <w:r>
        <w:rPr>
          <w:rFonts w:hint="eastAsia" w:cs="宋体"/>
          <w:color w:val="auto"/>
          <w:sz w:val="24"/>
          <w:szCs w:val="24"/>
        </w:rPr>
        <w:t>名 称：</w:t>
      </w:r>
      <w:r>
        <w:rPr>
          <w:rFonts w:hint="eastAsia" w:cs="宋体"/>
          <w:color w:val="auto"/>
          <w:sz w:val="24"/>
          <w:szCs w:val="24"/>
          <w:u w:val="single"/>
        </w:rPr>
        <w:t>昆明阔海建设工程咨询有限公司</w:t>
      </w:r>
    </w:p>
    <w:p w14:paraId="77F44047">
      <w:pPr>
        <w:spacing w:line="480" w:lineRule="auto"/>
        <w:ind w:firstLine="480" w:firstLineChars="200"/>
        <w:rPr>
          <w:rFonts w:hint="eastAsia" w:cs="宋体"/>
          <w:color w:val="auto"/>
          <w:sz w:val="24"/>
          <w:szCs w:val="24"/>
          <w:u w:val="single"/>
        </w:rPr>
      </w:pPr>
      <w:r>
        <w:rPr>
          <w:rFonts w:hint="eastAsia" w:cs="宋体"/>
          <w:color w:val="auto"/>
          <w:sz w:val="24"/>
          <w:szCs w:val="24"/>
        </w:rPr>
        <w:t>地　址：</w:t>
      </w:r>
      <w:bookmarkStart w:id="69" w:name="_Toc28359087"/>
      <w:bookmarkStart w:id="70" w:name="_Toc28359010"/>
      <w:r>
        <w:rPr>
          <w:rFonts w:hint="eastAsia" w:cs="宋体"/>
          <w:color w:val="auto"/>
          <w:sz w:val="24"/>
          <w:szCs w:val="24"/>
          <w:u w:val="single"/>
        </w:rPr>
        <w:t>晋宁区昆阳街道办事处湖景天颐家园一期42幢3层</w:t>
      </w:r>
    </w:p>
    <w:p w14:paraId="38E0B989">
      <w:pPr>
        <w:spacing w:line="480" w:lineRule="auto"/>
        <w:ind w:firstLine="480" w:firstLineChars="200"/>
        <w:rPr>
          <w:rFonts w:hint="eastAsia" w:cs="宋体"/>
          <w:color w:val="auto"/>
          <w:sz w:val="24"/>
          <w:szCs w:val="24"/>
          <w:lang w:val="en-US" w:eastAsia="zh-CN"/>
        </w:rPr>
      </w:pPr>
      <w:r>
        <w:rPr>
          <w:rFonts w:hint="eastAsia" w:cs="宋体"/>
          <w:color w:val="auto"/>
          <w:sz w:val="24"/>
          <w:szCs w:val="24"/>
        </w:rPr>
        <w:t>联系</w:t>
      </w:r>
      <w:r>
        <w:rPr>
          <w:rFonts w:hint="eastAsia" w:cs="宋体"/>
          <w:color w:val="auto"/>
          <w:sz w:val="24"/>
          <w:szCs w:val="24"/>
          <w:lang w:val="en-US" w:eastAsia="zh-CN"/>
        </w:rPr>
        <w:t>人：</w:t>
      </w:r>
      <w:r>
        <w:rPr>
          <w:rFonts w:hint="eastAsia" w:hAnsi="宋体" w:cs="宋体"/>
          <w:color w:val="auto"/>
          <w:sz w:val="24"/>
          <w:szCs w:val="24"/>
          <w:u w:val="single"/>
        </w:rPr>
        <w:t>李竑、</w:t>
      </w:r>
      <w:r>
        <w:rPr>
          <w:rFonts w:hint="eastAsia" w:cs="宋体"/>
          <w:color w:val="auto"/>
          <w:sz w:val="24"/>
          <w:szCs w:val="24"/>
          <w:u w:val="single"/>
          <w:lang w:val="en-US" w:eastAsia="zh-CN"/>
        </w:rPr>
        <w:t>李洁、</w:t>
      </w:r>
      <w:r>
        <w:rPr>
          <w:rFonts w:hint="eastAsia" w:hAnsi="宋体" w:cs="宋体"/>
          <w:color w:val="auto"/>
          <w:sz w:val="24"/>
          <w:szCs w:val="24"/>
          <w:u w:val="single"/>
        </w:rPr>
        <w:t>张志程</w:t>
      </w:r>
    </w:p>
    <w:p w14:paraId="379AEFF8">
      <w:pPr>
        <w:spacing w:line="480" w:lineRule="auto"/>
        <w:ind w:firstLine="480" w:firstLineChars="200"/>
        <w:rPr>
          <w:rFonts w:hint="eastAsia" w:cs="宋体"/>
          <w:color w:val="auto"/>
          <w:sz w:val="24"/>
          <w:szCs w:val="24"/>
          <w:u w:val="single"/>
          <w:lang w:val="en-US" w:eastAsia="zh-CN"/>
        </w:rPr>
      </w:pPr>
      <w:r>
        <w:rPr>
          <w:rFonts w:hint="eastAsia" w:cs="宋体"/>
          <w:color w:val="auto"/>
          <w:sz w:val="24"/>
          <w:szCs w:val="24"/>
          <w:lang w:val="en-US" w:eastAsia="zh-CN"/>
        </w:rPr>
        <w:t>联系</w:t>
      </w:r>
      <w:r>
        <w:rPr>
          <w:rFonts w:hint="eastAsia" w:cs="宋体"/>
          <w:color w:val="auto"/>
          <w:sz w:val="24"/>
          <w:szCs w:val="24"/>
        </w:rPr>
        <w:t>方式：</w:t>
      </w:r>
      <w:r>
        <w:rPr>
          <w:rFonts w:hint="eastAsia" w:cs="宋体"/>
          <w:color w:val="auto"/>
          <w:sz w:val="24"/>
          <w:szCs w:val="24"/>
          <w:u w:val="single"/>
        </w:rPr>
        <w:t xml:space="preserve">0871-67803770 </w:t>
      </w:r>
      <w:bookmarkEnd w:id="69"/>
      <w:bookmarkEnd w:id="70"/>
      <w:r>
        <w:rPr>
          <w:rFonts w:hint="eastAsia" w:cs="宋体"/>
          <w:color w:val="auto"/>
          <w:sz w:val="24"/>
          <w:szCs w:val="24"/>
          <w:u w:val="single"/>
          <w:lang w:eastAsia="zh-CN"/>
        </w:rPr>
        <w:t>、</w:t>
      </w:r>
      <w:r>
        <w:rPr>
          <w:rFonts w:hint="eastAsia" w:cs="宋体"/>
          <w:color w:val="auto"/>
          <w:sz w:val="24"/>
          <w:szCs w:val="24"/>
          <w:u w:val="single"/>
          <w:lang w:val="en-US" w:eastAsia="zh-CN"/>
        </w:rPr>
        <w:t>15969523836</w:t>
      </w:r>
    </w:p>
    <w:p w14:paraId="6B55664B">
      <w:pPr>
        <w:spacing w:line="480" w:lineRule="auto"/>
        <w:ind w:firstLine="240" w:firstLineChars="100"/>
        <w:rPr>
          <w:rFonts w:hint="eastAsia" w:cs="宋体"/>
          <w:color w:val="auto"/>
          <w:sz w:val="24"/>
          <w:szCs w:val="24"/>
        </w:rPr>
      </w:pPr>
      <w:r>
        <w:rPr>
          <w:rFonts w:hint="eastAsia" w:cs="宋体"/>
          <w:color w:val="auto"/>
          <w:sz w:val="24"/>
          <w:szCs w:val="24"/>
        </w:rPr>
        <w:t>3.项目联系方式</w:t>
      </w:r>
    </w:p>
    <w:p w14:paraId="224BF68E">
      <w:pPr>
        <w:pStyle w:val="61"/>
        <w:spacing w:line="480" w:lineRule="auto"/>
        <w:ind w:firstLine="480" w:firstLineChars="200"/>
        <w:rPr>
          <w:rFonts w:hint="default" w:hAnsi="宋体" w:eastAsia="宋体" w:cs="宋体"/>
          <w:color w:val="auto"/>
          <w:sz w:val="24"/>
          <w:szCs w:val="24"/>
          <w:u w:val="single"/>
          <w:lang w:val="en-US" w:eastAsia="zh-CN"/>
        </w:rPr>
      </w:pPr>
      <w:r>
        <w:rPr>
          <w:rFonts w:hint="eastAsia" w:hAnsi="宋体" w:cs="宋体"/>
          <w:color w:val="auto"/>
          <w:sz w:val="24"/>
          <w:szCs w:val="24"/>
        </w:rPr>
        <w:t>项目联系人：</w:t>
      </w:r>
      <w:r>
        <w:rPr>
          <w:rFonts w:hint="eastAsia" w:hAnsi="宋体" w:cs="宋体"/>
          <w:color w:val="auto"/>
          <w:sz w:val="24"/>
          <w:szCs w:val="24"/>
          <w:u w:val="single"/>
          <w:lang w:val="en-US" w:eastAsia="zh-CN"/>
        </w:rPr>
        <w:t xml:space="preserve"> 李竑   </w:t>
      </w:r>
    </w:p>
    <w:p w14:paraId="6A76B938">
      <w:pPr>
        <w:ind w:firstLine="480" w:firstLineChars="200"/>
        <w:rPr>
          <w:rFonts w:hint="eastAsia" w:cs="宋体"/>
          <w:color w:val="auto"/>
          <w:sz w:val="24"/>
          <w:szCs w:val="24"/>
          <w:u w:val="single"/>
        </w:rPr>
      </w:pPr>
      <w:r>
        <w:rPr>
          <w:rFonts w:hint="eastAsia" w:cs="宋体"/>
          <w:color w:val="auto"/>
          <w:sz w:val="24"/>
          <w:szCs w:val="24"/>
        </w:rPr>
        <w:t>电　话：</w:t>
      </w:r>
      <w:r>
        <w:rPr>
          <w:rFonts w:hint="eastAsia" w:cs="宋体"/>
          <w:color w:val="auto"/>
          <w:sz w:val="24"/>
          <w:szCs w:val="24"/>
          <w:u w:val="single"/>
        </w:rPr>
        <w:t xml:space="preserve">0871-67803770 </w:t>
      </w:r>
      <w:bookmarkEnd w:id="15"/>
      <w:bookmarkEnd w:id="16"/>
      <w:bookmarkEnd w:id="17"/>
      <w:bookmarkEnd w:id="18"/>
      <w:bookmarkEnd w:id="19"/>
      <w:bookmarkStart w:id="71" w:name="_Toc6042"/>
      <w:bookmarkEnd w:id="71"/>
      <w:bookmarkStart w:id="72" w:name="_Toc450311983"/>
      <w:bookmarkEnd w:id="72"/>
    </w:p>
    <w:p w14:paraId="10EC7157">
      <w:pPr>
        <w:ind w:firstLine="480" w:firstLineChars="200"/>
        <w:rPr>
          <w:rFonts w:hint="eastAsia" w:cs="宋体"/>
          <w:color w:val="auto"/>
          <w:sz w:val="24"/>
          <w:szCs w:val="24"/>
          <w:u w:val="single"/>
        </w:rPr>
      </w:pPr>
    </w:p>
    <w:p w14:paraId="50529B99">
      <w:pPr>
        <w:rPr>
          <w:rFonts w:hint="eastAsia" w:cs="宋体"/>
          <w:color w:val="auto"/>
          <w:kern w:val="0"/>
          <w:sz w:val="24"/>
          <w:szCs w:val="24"/>
        </w:rPr>
      </w:pPr>
      <w:r>
        <w:rPr>
          <w:rFonts w:hint="eastAsia" w:cs="宋体"/>
          <w:color w:val="auto"/>
          <w:kern w:val="0"/>
          <w:sz w:val="24"/>
          <w:szCs w:val="24"/>
        </w:rPr>
        <w:t>4.政府采购监督部门：昆明市晋宁区财政局</w:t>
      </w:r>
    </w:p>
    <w:p w14:paraId="08878CE2">
      <w:pPr>
        <w:ind w:firstLine="480" w:firstLineChars="200"/>
        <w:rPr>
          <w:rFonts w:hint="eastAsia" w:cs="宋体"/>
          <w:color w:val="auto"/>
          <w:kern w:val="0"/>
          <w:sz w:val="24"/>
          <w:szCs w:val="24"/>
        </w:rPr>
      </w:pPr>
      <w:r>
        <w:rPr>
          <w:rFonts w:hint="eastAsia" w:cs="宋体"/>
          <w:color w:val="auto"/>
          <w:kern w:val="0"/>
          <w:sz w:val="24"/>
          <w:szCs w:val="24"/>
        </w:rPr>
        <w:t>供应商认为采购文件内容、采购过程及中标结果使自己的权益受到损害的，可以在知道或者应知其权益受到损害之日起7个工作日内，以书面形式向采购人或代理机构提出质疑（质疑函范本详见招标文件附件）。采购人或代理机构应在收到书面质疑后7个工作日内作出答复，若投标供应商对答复仍不满意或采购人、采购代理机构均未在规定时间内予以答复的可向昆明市晋宁区财政局按《政府采购投标供应商投诉处理办法》（财政部第94号令）有关规定进行投诉。</w:t>
      </w:r>
    </w:p>
    <w:p w14:paraId="16D7C51C">
      <w:pPr>
        <w:ind w:firstLine="480" w:firstLineChars="200"/>
        <w:rPr>
          <w:rFonts w:hint="eastAsia" w:cs="宋体"/>
          <w:color w:val="auto"/>
          <w:kern w:val="0"/>
          <w:sz w:val="24"/>
          <w:szCs w:val="24"/>
        </w:rPr>
      </w:pPr>
      <w:r>
        <w:rPr>
          <w:rFonts w:hint="eastAsia" w:cs="宋体"/>
          <w:color w:val="auto"/>
          <w:kern w:val="0"/>
          <w:sz w:val="24"/>
          <w:szCs w:val="24"/>
        </w:rPr>
        <w:t>昆明市晋宁区财政局联系电话：0871-67896932</w:t>
      </w:r>
    </w:p>
    <w:p w14:paraId="103F6EE4">
      <w:pPr>
        <w:ind w:firstLine="480" w:firstLineChars="200"/>
        <w:rPr>
          <w:rFonts w:hint="eastAsia" w:cs="宋体"/>
          <w:color w:val="auto"/>
          <w:kern w:val="0"/>
          <w:sz w:val="24"/>
          <w:szCs w:val="24"/>
        </w:rPr>
      </w:pPr>
      <w:r>
        <w:rPr>
          <w:rFonts w:hint="eastAsia" w:cs="宋体"/>
          <w:color w:val="auto"/>
          <w:kern w:val="0"/>
          <w:sz w:val="24"/>
          <w:szCs w:val="24"/>
        </w:rPr>
        <w:t>联系人：杨老师</w:t>
      </w:r>
    </w:p>
    <w:p w14:paraId="08E2571A">
      <w:pPr>
        <w:ind w:firstLine="480" w:firstLineChars="200"/>
        <w:rPr>
          <w:rFonts w:hint="eastAsia"/>
          <w:color w:val="auto"/>
          <w:lang w:val="hr-HR"/>
        </w:rPr>
      </w:pPr>
      <w:r>
        <w:rPr>
          <w:rFonts w:hint="eastAsia" w:cs="宋体"/>
          <w:color w:val="auto"/>
          <w:kern w:val="0"/>
          <w:sz w:val="24"/>
          <w:szCs w:val="24"/>
        </w:rPr>
        <w:t>地址：昆明市晋宁区昆阳街道办永乐大街云南磷化集团综合办公楼8楼。</w:t>
      </w:r>
      <w:r>
        <w:rPr>
          <w:rFonts w:hint="eastAsia" w:ascii="仿宋" w:hAnsi="仿宋" w:eastAsia="仿宋"/>
          <w:b/>
          <w:color w:val="auto"/>
          <w:sz w:val="32"/>
          <w:szCs w:val="32"/>
        </w:rPr>
        <w:br w:type="page"/>
      </w:r>
    </w:p>
    <w:bookmarkEnd w:id="4"/>
    <w:bookmarkEnd w:id="5"/>
    <w:bookmarkEnd w:id="6"/>
    <w:bookmarkEnd w:id="7"/>
    <w:bookmarkEnd w:id="8"/>
    <w:bookmarkEnd w:id="9"/>
    <w:bookmarkEnd w:id="10"/>
    <w:bookmarkEnd w:id="11"/>
    <w:bookmarkEnd w:id="12"/>
    <w:bookmarkEnd w:id="13"/>
    <w:p w14:paraId="7A89D8F4">
      <w:pPr>
        <w:pStyle w:val="2"/>
        <w:numPr>
          <w:ilvl w:val="0"/>
          <w:numId w:val="2"/>
        </w:numPr>
        <w:rPr>
          <w:rFonts w:hint="eastAsia"/>
          <w:color w:val="auto"/>
        </w:rPr>
      </w:pPr>
      <w:bookmarkStart w:id="73" w:name="_Toc155185867"/>
      <w:bookmarkStart w:id="74" w:name="_Toc24712"/>
      <w:r>
        <w:rPr>
          <w:rFonts w:hint="eastAsia"/>
          <w:color w:val="auto"/>
        </w:rPr>
        <w:t>投标供应商须知</w:t>
      </w:r>
      <w:bookmarkEnd w:id="73"/>
      <w:bookmarkEnd w:id="74"/>
    </w:p>
    <w:bookmarkEnd w:id="3"/>
    <w:p w14:paraId="53925841">
      <w:pPr>
        <w:pStyle w:val="3"/>
        <w:numPr>
          <w:ilvl w:val="0"/>
          <w:numId w:val="3"/>
        </w:numPr>
        <w:rPr>
          <w:rFonts w:hint="eastAsia"/>
          <w:color w:val="auto"/>
        </w:rPr>
      </w:pPr>
      <w:bookmarkStart w:id="75" w:name="_Toc155185868"/>
      <w:bookmarkStart w:id="76" w:name="_Toc28594"/>
      <w:r>
        <w:rPr>
          <w:rFonts w:hint="eastAsia"/>
          <w:color w:val="auto"/>
        </w:rPr>
        <w:t>投标供应商须知前附表</w:t>
      </w:r>
      <w:bookmarkEnd w:id="75"/>
      <w:bookmarkEnd w:id="76"/>
    </w:p>
    <w:p w14:paraId="576AC2E9">
      <w:pPr>
        <w:pStyle w:val="42"/>
        <w:rPr>
          <w:rFonts w:hint="eastAsia"/>
          <w:color w:val="auto"/>
        </w:rPr>
      </w:pPr>
      <w:r>
        <w:rPr>
          <w:rFonts w:hint="eastAsia"/>
          <w:color w:val="auto"/>
        </w:rPr>
        <w:t>投标供应商应仔细阅读本招标文件的第二章“投标供应商须知”，下面所列资料是对“投标供应商须知”的具体补充和说明。如有矛盾，应以本表为准。</w:t>
      </w:r>
    </w:p>
    <w:tbl>
      <w:tblPr>
        <w:tblStyle w:val="33"/>
        <w:tblW w:w="8531"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908"/>
        <w:gridCol w:w="5653"/>
      </w:tblGrid>
      <w:tr w14:paraId="641E7C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933AEC6">
            <w:pPr>
              <w:pStyle w:val="54"/>
              <w:jc w:val="center"/>
              <w:rPr>
                <w:rFonts w:hint="eastAsia"/>
                <w:b/>
                <w:bCs/>
                <w:color w:val="auto"/>
                <w:sz w:val="24"/>
                <w:szCs w:val="24"/>
              </w:rPr>
            </w:pPr>
            <w:r>
              <w:rPr>
                <w:rFonts w:hint="eastAsia"/>
                <w:b/>
                <w:bCs/>
                <w:color w:val="auto"/>
                <w:sz w:val="24"/>
                <w:szCs w:val="24"/>
              </w:rPr>
              <w:t>条款号</w:t>
            </w:r>
          </w:p>
        </w:tc>
        <w:tc>
          <w:tcPr>
            <w:tcW w:w="1908"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BEF0758">
            <w:pPr>
              <w:pStyle w:val="54"/>
              <w:jc w:val="center"/>
              <w:rPr>
                <w:rFonts w:hint="eastAsia"/>
                <w:b/>
                <w:bCs/>
                <w:color w:val="auto"/>
                <w:sz w:val="24"/>
                <w:szCs w:val="24"/>
              </w:rPr>
            </w:pPr>
            <w:r>
              <w:rPr>
                <w:rFonts w:hint="eastAsia"/>
                <w:b/>
                <w:bCs/>
                <w:color w:val="auto"/>
                <w:sz w:val="24"/>
                <w:szCs w:val="24"/>
              </w:rPr>
              <w:t>条款名称</w:t>
            </w:r>
          </w:p>
        </w:tc>
        <w:tc>
          <w:tcPr>
            <w:tcW w:w="5653"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8507702">
            <w:pPr>
              <w:pStyle w:val="54"/>
              <w:jc w:val="center"/>
              <w:rPr>
                <w:rFonts w:hint="eastAsia"/>
                <w:b/>
                <w:bCs/>
                <w:color w:val="auto"/>
                <w:sz w:val="24"/>
                <w:szCs w:val="24"/>
              </w:rPr>
            </w:pPr>
            <w:r>
              <w:rPr>
                <w:rFonts w:hint="eastAsia"/>
                <w:b/>
                <w:bCs/>
                <w:color w:val="auto"/>
                <w:sz w:val="24"/>
                <w:szCs w:val="24"/>
              </w:rPr>
              <w:t>内  容</w:t>
            </w:r>
          </w:p>
        </w:tc>
      </w:tr>
      <w:tr w14:paraId="3C3219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2" w:hRule="atLeast"/>
        </w:trPr>
        <w:tc>
          <w:tcPr>
            <w:tcW w:w="970" w:type="dxa"/>
            <w:tcBorders>
              <w:top w:val="single" w:color="auto" w:sz="4" w:space="0"/>
            </w:tcBorders>
            <w:vAlign w:val="center"/>
          </w:tcPr>
          <w:p w14:paraId="3314399F">
            <w:pPr>
              <w:pStyle w:val="54"/>
              <w:jc w:val="center"/>
              <w:rPr>
                <w:rFonts w:hint="eastAsia"/>
                <w:color w:val="auto"/>
                <w:sz w:val="24"/>
                <w:szCs w:val="24"/>
              </w:rPr>
            </w:pPr>
            <w:r>
              <w:rPr>
                <w:color w:val="auto"/>
                <w:sz w:val="24"/>
                <w:szCs w:val="24"/>
              </w:rPr>
              <w:t>2.2</w:t>
            </w:r>
          </w:p>
        </w:tc>
        <w:tc>
          <w:tcPr>
            <w:tcW w:w="1908" w:type="dxa"/>
            <w:tcBorders>
              <w:top w:val="single" w:color="auto" w:sz="4" w:space="0"/>
            </w:tcBorders>
            <w:vAlign w:val="center"/>
          </w:tcPr>
          <w:p w14:paraId="19108AC7">
            <w:pPr>
              <w:pStyle w:val="54"/>
              <w:rPr>
                <w:rFonts w:hint="eastAsia"/>
                <w:color w:val="auto"/>
                <w:sz w:val="24"/>
                <w:szCs w:val="24"/>
              </w:rPr>
            </w:pPr>
            <w:r>
              <w:rPr>
                <w:rFonts w:hint="eastAsia"/>
                <w:color w:val="auto"/>
                <w:sz w:val="24"/>
                <w:szCs w:val="24"/>
              </w:rPr>
              <w:t>采购人</w:t>
            </w:r>
          </w:p>
        </w:tc>
        <w:tc>
          <w:tcPr>
            <w:tcW w:w="5653" w:type="dxa"/>
            <w:tcBorders>
              <w:top w:val="single" w:color="auto" w:sz="4" w:space="0"/>
            </w:tcBorders>
            <w:vAlign w:val="center"/>
          </w:tcPr>
          <w:p w14:paraId="4FD5273A">
            <w:pPr>
              <w:pStyle w:val="54"/>
              <w:rPr>
                <w:rFonts w:hint="eastAsia" w:eastAsia="宋体"/>
                <w:color w:val="auto"/>
                <w:sz w:val="24"/>
                <w:szCs w:val="24"/>
                <w:lang w:eastAsia="zh-CN"/>
              </w:rPr>
            </w:pPr>
            <w:r>
              <w:rPr>
                <w:rFonts w:hint="eastAsia"/>
                <w:color w:val="auto"/>
                <w:lang w:val="en-US" w:eastAsia="zh-CN"/>
              </w:rPr>
              <w:t>昆明市晋宁区人民医院(昆明市晋宁区紧密型医共体总医院)</w:t>
            </w:r>
          </w:p>
        </w:tc>
      </w:tr>
      <w:tr w14:paraId="2013A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D6B95D7">
            <w:pPr>
              <w:pStyle w:val="54"/>
              <w:jc w:val="center"/>
              <w:rPr>
                <w:rFonts w:hint="eastAsia"/>
                <w:color w:val="auto"/>
                <w:sz w:val="24"/>
                <w:szCs w:val="24"/>
              </w:rPr>
            </w:pPr>
            <w:r>
              <w:rPr>
                <w:color w:val="auto"/>
                <w:sz w:val="24"/>
                <w:szCs w:val="24"/>
              </w:rPr>
              <w:t>2.3</w:t>
            </w:r>
          </w:p>
        </w:tc>
        <w:tc>
          <w:tcPr>
            <w:tcW w:w="1908" w:type="dxa"/>
            <w:vAlign w:val="center"/>
          </w:tcPr>
          <w:p w14:paraId="12918447">
            <w:pPr>
              <w:pStyle w:val="54"/>
              <w:rPr>
                <w:rFonts w:hint="eastAsia"/>
                <w:color w:val="auto"/>
                <w:sz w:val="24"/>
                <w:szCs w:val="24"/>
              </w:rPr>
            </w:pPr>
            <w:r>
              <w:rPr>
                <w:rFonts w:hint="eastAsia"/>
                <w:color w:val="auto"/>
                <w:sz w:val="24"/>
                <w:szCs w:val="24"/>
              </w:rPr>
              <w:t>采购代理机构</w:t>
            </w:r>
          </w:p>
        </w:tc>
        <w:tc>
          <w:tcPr>
            <w:tcW w:w="5653" w:type="dxa"/>
            <w:vAlign w:val="center"/>
          </w:tcPr>
          <w:p w14:paraId="55B151BC">
            <w:pPr>
              <w:pStyle w:val="54"/>
              <w:rPr>
                <w:rFonts w:hint="eastAsia"/>
                <w:color w:val="auto"/>
                <w:sz w:val="24"/>
                <w:szCs w:val="24"/>
              </w:rPr>
            </w:pPr>
            <w:r>
              <w:rPr>
                <w:rFonts w:hint="eastAsia"/>
                <w:color w:val="auto"/>
                <w:sz w:val="24"/>
                <w:szCs w:val="24"/>
              </w:rPr>
              <w:t>昆明阔海建设工程咨询有限公司</w:t>
            </w:r>
          </w:p>
        </w:tc>
      </w:tr>
      <w:tr w14:paraId="49282D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4B0FF0A5">
            <w:pPr>
              <w:pStyle w:val="54"/>
              <w:jc w:val="center"/>
              <w:rPr>
                <w:rFonts w:hint="eastAsia"/>
                <w:color w:val="auto"/>
                <w:sz w:val="24"/>
                <w:szCs w:val="24"/>
              </w:rPr>
            </w:pPr>
            <w:r>
              <w:rPr>
                <w:color w:val="auto"/>
                <w:sz w:val="24"/>
                <w:szCs w:val="24"/>
              </w:rPr>
              <w:t>2.4</w:t>
            </w:r>
          </w:p>
        </w:tc>
        <w:tc>
          <w:tcPr>
            <w:tcW w:w="1908" w:type="dxa"/>
            <w:vAlign w:val="center"/>
          </w:tcPr>
          <w:p w14:paraId="3F767C37">
            <w:pPr>
              <w:pStyle w:val="54"/>
              <w:rPr>
                <w:rFonts w:hint="eastAsia"/>
                <w:color w:val="auto"/>
                <w:sz w:val="24"/>
                <w:szCs w:val="24"/>
              </w:rPr>
            </w:pPr>
            <w:r>
              <w:rPr>
                <w:rFonts w:hint="eastAsia"/>
                <w:color w:val="auto"/>
                <w:sz w:val="24"/>
                <w:szCs w:val="24"/>
              </w:rPr>
              <w:t>监督管理部门</w:t>
            </w:r>
          </w:p>
        </w:tc>
        <w:tc>
          <w:tcPr>
            <w:tcW w:w="5653" w:type="dxa"/>
            <w:vAlign w:val="center"/>
          </w:tcPr>
          <w:p w14:paraId="0AC71526">
            <w:pPr>
              <w:pStyle w:val="54"/>
              <w:rPr>
                <w:rFonts w:hint="eastAsia"/>
                <w:color w:val="auto"/>
                <w:sz w:val="24"/>
                <w:szCs w:val="24"/>
              </w:rPr>
            </w:pPr>
            <w:r>
              <w:rPr>
                <w:rFonts w:hint="eastAsia"/>
                <w:color w:val="auto"/>
                <w:sz w:val="24"/>
                <w:szCs w:val="24"/>
              </w:rPr>
              <w:t>昆明市晋宁区财政局</w:t>
            </w:r>
          </w:p>
        </w:tc>
      </w:tr>
      <w:tr w14:paraId="7AE91E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154FB8A">
            <w:pPr>
              <w:pStyle w:val="54"/>
              <w:jc w:val="center"/>
              <w:rPr>
                <w:rFonts w:hint="eastAsia"/>
                <w:color w:val="auto"/>
                <w:sz w:val="24"/>
                <w:szCs w:val="24"/>
              </w:rPr>
            </w:pPr>
            <w:r>
              <w:rPr>
                <w:color w:val="auto"/>
                <w:sz w:val="24"/>
                <w:szCs w:val="24"/>
              </w:rPr>
              <w:t>2.5</w:t>
            </w:r>
          </w:p>
        </w:tc>
        <w:tc>
          <w:tcPr>
            <w:tcW w:w="1908" w:type="dxa"/>
            <w:vAlign w:val="center"/>
          </w:tcPr>
          <w:p w14:paraId="6564097F">
            <w:pPr>
              <w:pStyle w:val="54"/>
              <w:rPr>
                <w:rFonts w:hint="eastAsia"/>
                <w:color w:val="auto"/>
                <w:sz w:val="24"/>
                <w:szCs w:val="24"/>
              </w:rPr>
            </w:pPr>
            <w:r>
              <w:rPr>
                <w:rFonts w:hint="eastAsia"/>
                <w:color w:val="auto"/>
                <w:sz w:val="24"/>
                <w:szCs w:val="24"/>
              </w:rPr>
              <w:t>项目名称</w:t>
            </w:r>
          </w:p>
        </w:tc>
        <w:tc>
          <w:tcPr>
            <w:tcW w:w="5653" w:type="dxa"/>
            <w:vAlign w:val="center"/>
          </w:tcPr>
          <w:p w14:paraId="00F559CD">
            <w:pPr>
              <w:pStyle w:val="54"/>
              <w:rPr>
                <w:rFonts w:hint="eastAsia" w:eastAsia="宋体"/>
                <w:color w:val="auto"/>
                <w:sz w:val="24"/>
                <w:szCs w:val="24"/>
                <w:lang w:eastAsia="zh-CN"/>
              </w:rPr>
            </w:pPr>
            <w:r>
              <w:rPr>
                <w:rFonts w:hint="eastAsia"/>
                <w:color w:val="auto"/>
                <w:sz w:val="24"/>
                <w:szCs w:val="24"/>
                <w:lang w:eastAsia="zh-CN"/>
              </w:rPr>
              <w:t>晋宁区医疗卫生强基工程项目（资源共享中心：医共体中心药房系统、医共体审方中心系统）</w:t>
            </w:r>
          </w:p>
        </w:tc>
      </w:tr>
      <w:tr w14:paraId="49FF8E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C05E9F8">
            <w:pPr>
              <w:pStyle w:val="54"/>
              <w:jc w:val="center"/>
              <w:rPr>
                <w:rFonts w:hint="eastAsia"/>
                <w:color w:val="auto"/>
                <w:sz w:val="24"/>
                <w:szCs w:val="24"/>
              </w:rPr>
            </w:pPr>
            <w:r>
              <w:rPr>
                <w:color w:val="auto"/>
                <w:sz w:val="24"/>
                <w:szCs w:val="24"/>
              </w:rPr>
              <w:t>2.6</w:t>
            </w:r>
          </w:p>
        </w:tc>
        <w:tc>
          <w:tcPr>
            <w:tcW w:w="1908" w:type="dxa"/>
            <w:vAlign w:val="center"/>
          </w:tcPr>
          <w:p w14:paraId="7B18819C">
            <w:pPr>
              <w:pStyle w:val="54"/>
              <w:rPr>
                <w:rFonts w:hint="eastAsia"/>
                <w:color w:val="auto"/>
                <w:sz w:val="24"/>
                <w:szCs w:val="24"/>
              </w:rPr>
            </w:pPr>
            <w:r>
              <w:rPr>
                <w:rFonts w:hint="eastAsia"/>
                <w:color w:val="auto"/>
                <w:sz w:val="24"/>
                <w:szCs w:val="24"/>
              </w:rPr>
              <w:t>项目地点</w:t>
            </w:r>
          </w:p>
        </w:tc>
        <w:tc>
          <w:tcPr>
            <w:tcW w:w="5653" w:type="dxa"/>
            <w:vAlign w:val="center"/>
          </w:tcPr>
          <w:p w14:paraId="13424C41">
            <w:pPr>
              <w:pStyle w:val="54"/>
              <w:rPr>
                <w:rFonts w:hint="eastAsia"/>
                <w:color w:val="auto"/>
                <w:sz w:val="24"/>
                <w:szCs w:val="24"/>
              </w:rPr>
            </w:pPr>
            <w:r>
              <w:rPr>
                <w:rFonts w:hint="eastAsia"/>
                <w:color w:val="auto"/>
                <w:lang w:val="en-US" w:eastAsia="zh-CN"/>
              </w:rPr>
              <w:t>采购人指定地点</w:t>
            </w:r>
          </w:p>
        </w:tc>
      </w:tr>
      <w:tr w14:paraId="58EF68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7DF62E2">
            <w:pPr>
              <w:pStyle w:val="54"/>
              <w:jc w:val="center"/>
              <w:rPr>
                <w:rFonts w:hint="eastAsia"/>
                <w:color w:val="auto"/>
                <w:sz w:val="24"/>
                <w:szCs w:val="24"/>
              </w:rPr>
            </w:pPr>
            <w:r>
              <w:rPr>
                <w:color w:val="auto"/>
                <w:sz w:val="24"/>
                <w:szCs w:val="24"/>
              </w:rPr>
              <w:t>2.7</w:t>
            </w:r>
          </w:p>
        </w:tc>
        <w:tc>
          <w:tcPr>
            <w:tcW w:w="1908" w:type="dxa"/>
            <w:vAlign w:val="center"/>
          </w:tcPr>
          <w:p w14:paraId="6E5AAC30">
            <w:pPr>
              <w:pStyle w:val="54"/>
              <w:rPr>
                <w:rFonts w:hint="eastAsia"/>
                <w:color w:val="auto"/>
                <w:sz w:val="24"/>
                <w:szCs w:val="24"/>
              </w:rPr>
            </w:pPr>
            <w:r>
              <w:rPr>
                <w:rFonts w:hint="eastAsia"/>
                <w:color w:val="auto"/>
                <w:sz w:val="24"/>
                <w:szCs w:val="24"/>
              </w:rPr>
              <w:t>项目内容</w:t>
            </w:r>
          </w:p>
        </w:tc>
        <w:tc>
          <w:tcPr>
            <w:tcW w:w="5653" w:type="dxa"/>
            <w:vAlign w:val="center"/>
          </w:tcPr>
          <w:p w14:paraId="3B53B8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eastAsia="宋体"/>
                <w:color w:val="auto"/>
                <w:sz w:val="24"/>
                <w:szCs w:val="24"/>
                <w:lang w:eastAsia="zh-CN"/>
              </w:rPr>
            </w:pPr>
            <w:r>
              <w:rPr>
                <w:rFonts w:hint="eastAsia" w:ascii="宋体" w:hAnsi="宋体" w:eastAsia="宋体" w:cs="宋体"/>
                <w:color w:val="auto"/>
                <w:sz w:val="24"/>
                <w:szCs w:val="24"/>
                <w:highlight w:val="none"/>
                <w:lang w:val="en-US" w:eastAsia="zh-CN"/>
              </w:rPr>
              <w:t>详见第三章采购需求。</w:t>
            </w:r>
          </w:p>
        </w:tc>
      </w:tr>
      <w:tr w14:paraId="72C6B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7DF94C6">
            <w:pPr>
              <w:pStyle w:val="54"/>
              <w:jc w:val="center"/>
              <w:rPr>
                <w:rFonts w:hint="eastAsia"/>
                <w:color w:val="auto"/>
                <w:sz w:val="24"/>
                <w:szCs w:val="24"/>
              </w:rPr>
            </w:pPr>
            <w:r>
              <w:rPr>
                <w:color w:val="auto"/>
                <w:sz w:val="24"/>
                <w:szCs w:val="24"/>
              </w:rPr>
              <w:t>2.8</w:t>
            </w:r>
          </w:p>
        </w:tc>
        <w:tc>
          <w:tcPr>
            <w:tcW w:w="1908" w:type="dxa"/>
            <w:vAlign w:val="center"/>
          </w:tcPr>
          <w:p w14:paraId="5F62790E">
            <w:pPr>
              <w:pStyle w:val="54"/>
              <w:rPr>
                <w:rFonts w:hint="eastAsia"/>
                <w:color w:val="auto"/>
                <w:sz w:val="24"/>
                <w:szCs w:val="24"/>
              </w:rPr>
            </w:pPr>
            <w:r>
              <w:rPr>
                <w:rFonts w:hint="eastAsia"/>
                <w:color w:val="auto"/>
                <w:sz w:val="24"/>
                <w:szCs w:val="24"/>
              </w:rPr>
              <w:t>项目属性</w:t>
            </w:r>
          </w:p>
        </w:tc>
        <w:tc>
          <w:tcPr>
            <w:tcW w:w="5653" w:type="dxa"/>
            <w:vAlign w:val="center"/>
          </w:tcPr>
          <w:p w14:paraId="56FA90C6">
            <w:pPr>
              <w:pStyle w:val="54"/>
              <w:rPr>
                <w:rFonts w:hint="eastAsia" w:eastAsia="宋体"/>
                <w:color w:val="auto"/>
                <w:sz w:val="24"/>
                <w:szCs w:val="24"/>
                <w:lang w:eastAsia="zh-CN"/>
              </w:rPr>
            </w:pPr>
            <w:r>
              <w:rPr>
                <w:rFonts w:hint="eastAsia"/>
                <w:color w:val="auto"/>
                <w:sz w:val="24"/>
                <w:szCs w:val="24"/>
                <w:lang w:val="en-US" w:eastAsia="zh-CN"/>
              </w:rPr>
              <w:t>货物</w:t>
            </w:r>
          </w:p>
        </w:tc>
      </w:tr>
      <w:tr w14:paraId="44C19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E558AB8">
            <w:pPr>
              <w:pStyle w:val="54"/>
              <w:jc w:val="center"/>
              <w:rPr>
                <w:rFonts w:hint="eastAsia"/>
                <w:color w:val="auto"/>
                <w:sz w:val="24"/>
                <w:szCs w:val="24"/>
              </w:rPr>
            </w:pPr>
            <w:r>
              <w:rPr>
                <w:color w:val="auto"/>
                <w:sz w:val="24"/>
                <w:szCs w:val="24"/>
              </w:rPr>
              <w:t>3.1</w:t>
            </w:r>
          </w:p>
        </w:tc>
        <w:tc>
          <w:tcPr>
            <w:tcW w:w="1908" w:type="dxa"/>
            <w:vAlign w:val="center"/>
          </w:tcPr>
          <w:p w14:paraId="20F8D647">
            <w:pPr>
              <w:pStyle w:val="54"/>
              <w:rPr>
                <w:rFonts w:hint="eastAsia"/>
                <w:color w:val="auto"/>
                <w:sz w:val="24"/>
                <w:szCs w:val="24"/>
              </w:rPr>
            </w:pPr>
            <w:r>
              <w:rPr>
                <w:rFonts w:hint="eastAsia"/>
                <w:color w:val="auto"/>
                <w:sz w:val="24"/>
                <w:szCs w:val="24"/>
              </w:rPr>
              <w:t>资金来源</w:t>
            </w:r>
          </w:p>
        </w:tc>
        <w:tc>
          <w:tcPr>
            <w:tcW w:w="5653" w:type="dxa"/>
            <w:vAlign w:val="center"/>
          </w:tcPr>
          <w:p w14:paraId="1F3B3586">
            <w:pPr>
              <w:pStyle w:val="54"/>
              <w:rPr>
                <w:rFonts w:hint="default" w:eastAsia="宋体"/>
                <w:color w:val="auto"/>
                <w:sz w:val="24"/>
                <w:szCs w:val="24"/>
                <w:lang w:val="en-US" w:eastAsia="zh-CN"/>
              </w:rPr>
            </w:pPr>
            <w:r>
              <w:rPr>
                <w:rFonts w:hint="eastAsia"/>
                <w:color w:val="auto"/>
                <w:sz w:val="24"/>
                <w:szCs w:val="24"/>
              </w:rPr>
              <w:t>财政性资金</w:t>
            </w:r>
          </w:p>
        </w:tc>
      </w:tr>
      <w:tr w14:paraId="637CE9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A71A2CD">
            <w:pPr>
              <w:pStyle w:val="54"/>
              <w:jc w:val="center"/>
              <w:rPr>
                <w:rFonts w:hint="eastAsia"/>
                <w:color w:val="auto"/>
                <w:sz w:val="24"/>
                <w:szCs w:val="24"/>
              </w:rPr>
            </w:pPr>
            <w:r>
              <w:rPr>
                <w:color w:val="auto"/>
                <w:sz w:val="24"/>
                <w:szCs w:val="24"/>
              </w:rPr>
              <w:t>4.1</w:t>
            </w:r>
          </w:p>
        </w:tc>
        <w:tc>
          <w:tcPr>
            <w:tcW w:w="1908" w:type="dxa"/>
            <w:vAlign w:val="center"/>
          </w:tcPr>
          <w:p w14:paraId="2EFB8765">
            <w:pPr>
              <w:pStyle w:val="54"/>
              <w:rPr>
                <w:rFonts w:hint="eastAsia"/>
                <w:color w:val="auto"/>
                <w:sz w:val="24"/>
                <w:szCs w:val="24"/>
              </w:rPr>
            </w:pPr>
            <w:r>
              <w:rPr>
                <w:rFonts w:hint="eastAsia"/>
                <w:color w:val="auto"/>
                <w:sz w:val="24"/>
                <w:szCs w:val="24"/>
              </w:rPr>
              <w:t>投标供应商资格要求</w:t>
            </w:r>
          </w:p>
        </w:tc>
        <w:tc>
          <w:tcPr>
            <w:tcW w:w="5653" w:type="dxa"/>
            <w:vAlign w:val="center"/>
          </w:tcPr>
          <w:p w14:paraId="7436E075">
            <w:pPr>
              <w:pStyle w:val="54"/>
              <w:rPr>
                <w:rFonts w:hint="eastAsia"/>
                <w:color w:val="auto"/>
                <w:sz w:val="24"/>
                <w:szCs w:val="24"/>
              </w:rPr>
            </w:pPr>
            <w:r>
              <w:rPr>
                <w:rFonts w:hint="eastAsia"/>
                <w:color w:val="auto"/>
                <w:sz w:val="24"/>
                <w:szCs w:val="24"/>
              </w:rPr>
              <w:t>详见第一章”投标邀请”第二项“投标供应商资格要求”</w:t>
            </w:r>
          </w:p>
        </w:tc>
      </w:tr>
      <w:tr w14:paraId="6119BD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E18D795">
            <w:pPr>
              <w:pStyle w:val="54"/>
              <w:jc w:val="center"/>
              <w:rPr>
                <w:rFonts w:hint="eastAsia"/>
                <w:color w:val="auto"/>
                <w:sz w:val="24"/>
                <w:szCs w:val="24"/>
              </w:rPr>
            </w:pPr>
            <w:r>
              <w:rPr>
                <w:color w:val="auto"/>
                <w:sz w:val="24"/>
                <w:szCs w:val="24"/>
              </w:rPr>
              <w:t>4.2</w:t>
            </w:r>
          </w:p>
        </w:tc>
        <w:tc>
          <w:tcPr>
            <w:tcW w:w="1908" w:type="dxa"/>
            <w:vAlign w:val="center"/>
          </w:tcPr>
          <w:p w14:paraId="3D6A87FE">
            <w:pPr>
              <w:pStyle w:val="54"/>
              <w:rPr>
                <w:rFonts w:hint="eastAsia"/>
                <w:color w:val="auto"/>
                <w:sz w:val="24"/>
                <w:szCs w:val="24"/>
              </w:rPr>
            </w:pPr>
            <w:r>
              <w:rPr>
                <w:rFonts w:hint="eastAsia"/>
                <w:color w:val="auto"/>
                <w:sz w:val="24"/>
                <w:szCs w:val="24"/>
              </w:rPr>
              <w:t>是否接受联合体投标</w:t>
            </w:r>
          </w:p>
        </w:tc>
        <w:tc>
          <w:tcPr>
            <w:tcW w:w="5653" w:type="dxa"/>
            <w:vAlign w:val="center"/>
          </w:tcPr>
          <w:p w14:paraId="4F0BE8A3">
            <w:pPr>
              <w:pStyle w:val="54"/>
              <w:rPr>
                <w:rFonts w:hint="eastAsia"/>
                <w:color w:val="auto"/>
                <w:sz w:val="24"/>
                <w:szCs w:val="24"/>
              </w:rPr>
            </w:pPr>
            <w:r>
              <w:rPr>
                <w:rFonts w:hint="eastAsia"/>
                <w:color w:val="auto"/>
                <w:sz w:val="24"/>
                <w:szCs w:val="24"/>
              </w:rPr>
              <w:sym w:font="Wingdings" w:char="00FE"/>
            </w:r>
            <w:r>
              <w:rPr>
                <w:rFonts w:hint="eastAsia"/>
                <w:color w:val="auto"/>
                <w:sz w:val="24"/>
                <w:szCs w:val="24"/>
              </w:rPr>
              <w:t>不接受</w:t>
            </w:r>
          </w:p>
          <w:p w14:paraId="379DF311">
            <w:pPr>
              <w:pStyle w:val="54"/>
              <w:rPr>
                <w:rFonts w:hint="eastAsia"/>
                <w:color w:val="auto"/>
                <w:sz w:val="24"/>
                <w:szCs w:val="24"/>
              </w:rPr>
            </w:pPr>
            <w:r>
              <w:rPr>
                <w:rFonts w:hint="eastAsia"/>
                <w:color w:val="auto"/>
                <w:sz w:val="24"/>
                <w:szCs w:val="24"/>
              </w:rPr>
              <w:sym w:font="Wingdings" w:char="00A8"/>
            </w:r>
            <w:r>
              <w:rPr>
                <w:rFonts w:hint="eastAsia"/>
                <w:color w:val="auto"/>
                <w:sz w:val="24"/>
                <w:szCs w:val="24"/>
              </w:rPr>
              <w:t>接受，应满足下列要求：</w:t>
            </w:r>
          </w:p>
          <w:p w14:paraId="22D4164B">
            <w:pPr>
              <w:pStyle w:val="54"/>
              <w:rPr>
                <w:rFonts w:hint="eastAsia" w:eastAsia="宋体"/>
                <w:color w:val="auto"/>
                <w:sz w:val="24"/>
                <w:szCs w:val="24"/>
                <w:lang w:eastAsia="zh-CN"/>
              </w:rPr>
            </w:pPr>
            <w:r>
              <w:rPr>
                <w:rFonts w:hint="eastAsia"/>
                <w:color w:val="auto"/>
                <w:sz w:val="24"/>
                <w:szCs w:val="24"/>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r>
              <w:rPr>
                <w:rFonts w:hint="eastAsia"/>
                <w:color w:val="auto"/>
                <w:sz w:val="24"/>
                <w:szCs w:val="24"/>
                <w:lang w:eastAsia="zh-CN"/>
              </w:rPr>
              <w:t>。</w:t>
            </w:r>
          </w:p>
        </w:tc>
      </w:tr>
      <w:tr w14:paraId="4A75C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4329CA41">
            <w:pPr>
              <w:pStyle w:val="54"/>
              <w:jc w:val="center"/>
              <w:rPr>
                <w:rFonts w:hint="eastAsia"/>
                <w:color w:val="auto"/>
                <w:sz w:val="24"/>
                <w:szCs w:val="24"/>
              </w:rPr>
            </w:pPr>
            <w:r>
              <w:rPr>
                <w:color w:val="auto"/>
                <w:sz w:val="24"/>
                <w:szCs w:val="24"/>
              </w:rPr>
              <w:t>9.1</w:t>
            </w:r>
          </w:p>
        </w:tc>
        <w:tc>
          <w:tcPr>
            <w:tcW w:w="1908" w:type="dxa"/>
            <w:vAlign w:val="center"/>
          </w:tcPr>
          <w:p w14:paraId="60D243C3">
            <w:pPr>
              <w:pStyle w:val="54"/>
              <w:rPr>
                <w:rFonts w:hint="eastAsia"/>
                <w:color w:val="auto"/>
                <w:sz w:val="24"/>
                <w:szCs w:val="24"/>
              </w:rPr>
            </w:pPr>
            <w:bookmarkStart w:id="77" w:name="_Hlk143529175"/>
            <w:r>
              <w:rPr>
                <w:rFonts w:hint="eastAsia"/>
                <w:color w:val="auto"/>
                <w:sz w:val="24"/>
                <w:szCs w:val="24"/>
              </w:rPr>
              <w:t>现场考察和答疑会</w:t>
            </w:r>
            <w:bookmarkEnd w:id="77"/>
          </w:p>
        </w:tc>
        <w:tc>
          <w:tcPr>
            <w:tcW w:w="5653" w:type="dxa"/>
            <w:vAlign w:val="center"/>
          </w:tcPr>
          <w:p w14:paraId="2BE81546">
            <w:pPr>
              <w:pStyle w:val="54"/>
              <w:rPr>
                <w:rFonts w:hint="eastAsia" w:eastAsia="宋体"/>
                <w:color w:val="auto"/>
                <w:sz w:val="24"/>
                <w:szCs w:val="24"/>
                <w:lang w:eastAsia="zh-CN"/>
              </w:rPr>
            </w:pPr>
            <w:r>
              <w:rPr>
                <w:rFonts w:hint="eastAsia"/>
                <w:color w:val="auto"/>
                <w:sz w:val="24"/>
                <w:szCs w:val="24"/>
              </w:rPr>
              <w:sym w:font="Wingdings" w:char="00FE"/>
            </w:r>
            <w:r>
              <w:rPr>
                <w:rFonts w:hint="eastAsia"/>
                <w:color w:val="auto"/>
                <w:sz w:val="24"/>
                <w:szCs w:val="24"/>
              </w:rPr>
              <w:t>不组织，投标供应商自行前往</w:t>
            </w:r>
            <w:r>
              <w:rPr>
                <w:rFonts w:hint="eastAsia"/>
                <w:color w:val="auto"/>
                <w:sz w:val="24"/>
                <w:szCs w:val="24"/>
                <w:lang w:eastAsia="zh-CN"/>
              </w:rPr>
              <w:t>。</w:t>
            </w:r>
          </w:p>
          <w:p w14:paraId="21FEBAA2">
            <w:pPr>
              <w:pStyle w:val="54"/>
              <w:rPr>
                <w:rFonts w:hint="eastAsia"/>
                <w:color w:val="auto"/>
                <w:sz w:val="24"/>
                <w:szCs w:val="24"/>
              </w:rPr>
            </w:pPr>
            <w:r>
              <w:rPr>
                <w:rFonts w:hint="eastAsia"/>
                <w:color w:val="auto"/>
                <w:sz w:val="24"/>
                <w:szCs w:val="24"/>
              </w:rPr>
              <w:sym w:font="Wingdings" w:char="00A8"/>
            </w:r>
            <w:r>
              <w:rPr>
                <w:rFonts w:hint="eastAsia"/>
                <w:color w:val="auto"/>
                <w:sz w:val="24"/>
                <w:szCs w:val="24"/>
              </w:rPr>
              <w:t>组织</w:t>
            </w:r>
          </w:p>
          <w:p w14:paraId="338684C0">
            <w:pPr>
              <w:pStyle w:val="54"/>
              <w:rPr>
                <w:rFonts w:hint="eastAsia"/>
                <w:color w:val="auto"/>
                <w:sz w:val="24"/>
                <w:szCs w:val="24"/>
              </w:rPr>
            </w:pPr>
            <w:r>
              <w:rPr>
                <w:rFonts w:hint="eastAsia"/>
                <w:color w:val="auto"/>
                <w:sz w:val="24"/>
                <w:szCs w:val="24"/>
              </w:rPr>
              <w:t>时间：</w:t>
            </w:r>
            <w:r>
              <w:rPr>
                <w:rFonts w:hint="eastAsia"/>
                <w:color w:val="auto"/>
                <w:sz w:val="24"/>
                <w:szCs w:val="24"/>
                <w:u w:val="single"/>
              </w:rPr>
              <w:t xml:space="preserve">      </w:t>
            </w:r>
            <w:r>
              <w:rPr>
                <w:color w:val="auto"/>
                <w:sz w:val="24"/>
                <w:szCs w:val="24"/>
                <w:u w:val="single"/>
              </w:rPr>
              <w:t xml:space="preserve">               </w:t>
            </w:r>
          </w:p>
          <w:p w14:paraId="7837405D">
            <w:pPr>
              <w:pStyle w:val="54"/>
              <w:rPr>
                <w:rFonts w:hint="eastAsia"/>
                <w:color w:val="auto"/>
                <w:sz w:val="24"/>
                <w:szCs w:val="24"/>
              </w:rPr>
            </w:pPr>
            <w:r>
              <w:rPr>
                <w:rFonts w:hint="eastAsia"/>
                <w:color w:val="auto"/>
                <w:sz w:val="24"/>
                <w:szCs w:val="24"/>
              </w:rPr>
              <w:t>地点：</w:t>
            </w:r>
            <w:r>
              <w:rPr>
                <w:rFonts w:hint="eastAsia"/>
                <w:color w:val="auto"/>
                <w:sz w:val="24"/>
                <w:szCs w:val="24"/>
                <w:u w:val="single"/>
              </w:rPr>
              <w:t xml:space="preserve">      </w:t>
            </w:r>
            <w:r>
              <w:rPr>
                <w:color w:val="auto"/>
                <w:sz w:val="24"/>
                <w:szCs w:val="24"/>
                <w:u w:val="single"/>
              </w:rPr>
              <w:t xml:space="preserve">               </w:t>
            </w:r>
          </w:p>
        </w:tc>
      </w:tr>
      <w:tr w14:paraId="7DEB42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1BB8AD18">
            <w:pPr>
              <w:pStyle w:val="54"/>
              <w:jc w:val="center"/>
              <w:rPr>
                <w:rFonts w:hint="eastAsia"/>
                <w:color w:val="auto"/>
                <w:sz w:val="24"/>
                <w:szCs w:val="24"/>
              </w:rPr>
            </w:pPr>
            <w:r>
              <w:rPr>
                <w:color w:val="auto"/>
                <w:sz w:val="24"/>
                <w:szCs w:val="24"/>
              </w:rPr>
              <w:t>10</w:t>
            </w:r>
          </w:p>
        </w:tc>
        <w:tc>
          <w:tcPr>
            <w:tcW w:w="1908" w:type="dxa"/>
            <w:vAlign w:val="center"/>
          </w:tcPr>
          <w:p w14:paraId="0F7E1823">
            <w:pPr>
              <w:pStyle w:val="54"/>
              <w:rPr>
                <w:rFonts w:hint="eastAsia"/>
                <w:color w:val="auto"/>
                <w:sz w:val="24"/>
                <w:szCs w:val="24"/>
              </w:rPr>
            </w:pPr>
            <w:r>
              <w:rPr>
                <w:rFonts w:hint="eastAsia"/>
                <w:color w:val="auto"/>
                <w:sz w:val="24"/>
                <w:szCs w:val="24"/>
              </w:rPr>
              <w:t>中标后分包</w:t>
            </w:r>
          </w:p>
        </w:tc>
        <w:tc>
          <w:tcPr>
            <w:tcW w:w="5653" w:type="dxa"/>
            <w:vAlign w:val="center"/>
          </w:tcPr>
          <w:p w14:paraId="2B1503A1">
            <w:pPr>
              <w:pStyle w:val="54"/>
              <w:rPr>
                <w:rFonts w:hint="eastAsia"/>
                <w:color w:val="auto"/>
                <w:sz w:val="24"/>
                <w:szCs w:val="24"/>
              </w:rPr>
            </w:pPr>
            <w:r>
              <w:rPr>
                <w:rFonts w:hint="eastAsia"/>
                <w:color w:val="auto"/>
                <w:sz w:val="24"/>
                <w:szCs w:val="24"/>
              </w:rPr>
              <w:sym w:font="Wingdings" w:char="00FE"/>
            </w:r>
            <w:r>
              <w:rPr>
                <w:rFonts w:hint="eastAsia"/>
                <w:color w:val="auto"/>
                <w:sz w:val="24"/>
                <w:szCs w:val="24"/>
              </w:rPr>
              <w:t>不允许</w:t>
            </w:r>
          </w:p>
          <w:p w14:paraId="1B6BD6DA">
            <w:pPr>
              <w:pStyle w:val="54"/>
              <w:rPr>
                <w:rFonts w:hint="eastAsia"/>
                <w:color w:val="auto"/>
                <w:sz w:val="24"/>
                <w:szCs w:val="24"/>
              </w:rPr>
            </w:pPr>
            <w:r>
              <w:rPr>
                <w:rFonts w:hint="eastAsia"/>
                <w:color w:val="auto"/>
                <w:sz w:val="24"/>
                <w:szCs w:val="24"/>
              </w:rPr>
              <w:sym w:font="Wingdings" w:char="00A8"/>
            </w:r>
            <w:r>
              <w:rPr>
                <w:rFonts w:hint="eastAsia"/>
                <w:color w:val="auto"/>
                <w:sz w:val="24"/>
                <w:szCs w:val="24"/>
              </w:rPr>
              <w:t>允许，分包内容要求：</w:t>
            </w:r>
          </w:p>
          <w:p w14:paraId="18625149">
            <w:pPr>
              <w:pStyle w:val="54"/>
              <w:ind w:firstLine="480" w:firstLineChars="200"/>
              <w:rPr>
                <w:rFonts w:hint="eastAsia"/>
                <w:color w:val="auto"/>
                <w:sz w:val="24"/>
                <w:szCs w:val="24"/>
              </w:rPr>
            </w:pPr>
            <w:r>
              <w:rPr>
                <w:rFonts w:hint="eastAsia"/>
                <w:color w:val="auto"/>
                <w:sz w:val="24"/>
                <w:szCs w:val="24"/>
              </w:rPr>
              <w:t>仅允许对本项目的非主体、非关键性工作进行分包</w:t>
            </w:r>
          </w:p>
          <w:p w14:paraId="2FA64EA5">
            <w:pPr>
              <w:pStyle w:val="54"/>
              <w:ind w:firstLine="480" w:firstLineChars="200"/>
              <w:rPr>
                <w:rFonts w:hint="eastAsia"/>
                <w:color w:val="auto"/>
                <w:sz w:val="24"/>
                <w:szCs w:val="24"/>
              </w:rPr>
            </w:pPr>
            <w:r>
              <w:rPr>
                <w:rFonts w:hint="eastAsia"/>
                <w:color w:val="auto"/>
                <w:sz w:val="24"/>
                <w:szCs w:val="24"/>
              </w:rPr>
              <w:t>分包金额要求：</w:t>
            </w:r>
            <w:r>
              <w:rPr>
                <w:rFonts w:hint="eastAsia"/>
                <w:color w:val="auto"/>
                <w:sz w:val="24"/>
                <w:szCs w:val="24"/>
                <w:u w:val="single"/>
              </w:rPr>
              <w:t xml:space="preserve"> </w:t>
            </w:r>
            <w:r>
              <w:rPr>
                <w:color w:val="auto"/>
                <w:sz w:val="24"/>
                <w:szCs w:val="24"/>
                <w:u w:val="single"/>
              </w:rPr>
              <w:t xml:space="preserve">          </w:t>
            </w:r>
          </w:p>
          <w:p w14:paraId="16DB6ED3">
            <w:pPr>
              <w:pStyle w:val="54"/>
              <w:ind w:firstLine="480" w:firstLineChars="200"/>
              <w:rPr>
                <w:rFonts w:hint="eastAsia"/>
                <w:color w:val="auto"/>
                <w:sz w:val="24"/>
                <w:szCs w:val="24"/>
              </w:rPr>
            </w:pPr>
            <w:r>
              <w:rPr>
                <w:rFonts w:hint="eastAsia"/>
                <w:color w:val="auto"/>
                <w:sz w:val="24"/>
                <w:szCs w:val="24"/>
              </w:rPr>
              <w:t>分包人资质要求：</w:t>
            </w:r>
            <w:r>
              <w:rPr>
                <w:rFonts w:hint="eastAsia"/>
                <w:color w:val="auto"/>
                <w:sz w:val="24"/>
                <w:szCs w:val="24"/>
                <w:u w:val="single"/>
              </w:rPr>
              <w:t xml:space="preserve"> </w:t>
            </w:r>
            <w:r>
              <w:rPr>
                <w:color w:val="auto"/>
                <w:sz w:val="24"/>
                <w:szCs w:val="24"/>
                <w:u w:val="single"/>
              </w:rPr>
              <w:t xml:space="preserve">          </w:t>
            </w:r>
          </w:p>
        </w:tc>
      </w:tr>
      <w:tr w14:paraId="2B6E38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48" w:hRule="atLeast"/>
        </w:trPr>
        <w:tc>
          <w:tcPr>
            <w:tcW w:w="970" w:type="dxa"/>
            <w:vAlign w:val="center"/>
          </w:tcPr>
          <w:p w14:paraId="08F5E874">
            <w:pPr>
              <w:pStyle w:val="54"/>
              <w:jc w:val="center"/>
              <w:rPr>
                <w:rFonts w:hint="eastAsia"/>
                <w:color w:val="auto"/>
                <w:sz w:val="24"/>
                <w:szCs w:val="24"/>
              </w:rPr>
            </w:pPr>
            <w:r>
              <w:rPr>
                <w:rFonts w:hint="eastAsia"/>
                <w:color w:val="auto"/>
                <w:sz w:val="24"/>
                <w:szCs w:val="24"/>
              </w:rPr>
              <w:t>1</w:t>
            </w:r>
            <w:r>
              <w:rPr>
                <w:color w:val="auto"/>
                <w:sz w:val="24"/>
                <w:szCs w:val="24"/>
              </w:rPr>
              <w:t>1.5</w:t>
            </w:r>
          </w:p>
        </w:tc>
        <w:tc>
          <w:tcPr>
            <w:tcW w:w="1908" w:type="dxa"/>
            <w:vAlign w:val="center"/>
          </w:tcPr>
          <w:p w14:paraId="6A6BDA51">
            <w:pPr>
              <w:pStyle w:val="54"/>
              <w:rPr>
                <w:rFonts w:hint="eastAsia"/>
                <w:color w:val="auto"/>
                <w:sz w:val="24"/>
                <w:szCs w:val="24"/>
              </w:rPr>
            </w:pPr>
            <w:r>
              <w:rPr>
                <w:rFonts w:hint="eastAsia"/>
                <w:color w:val="auto"/>
                <w:sz w:val="24"/>
                <w:szCs w:val="24"/>
              </w:rPr>
              <w:t>电子交易系统咨询</w:t>
            </w:r>
          </w:p>
        </w:tc>
        <w:tc>
          <w:tcPr>
            <w:tcW w:w="5653" w:type="dxa"/>
            <w:vAlign w:val="center"/>
          </w:tcPr>
          <w:p w14:paraId="6EE0DD3F">
            <w:pPr>
              <w:pStyle w:val="54"/>
              <w:rPr>
                <w:rFonts w:hint="eastAsia"/>
                <w:color w:val="auto"/>
                <w:sz w:val="24"/>
                <w:szCs w:val="24"/>
              </w:rPr>
            </w:pPr>
            <w:r>
              <w:rPr>
                <w:rFonts w:hint="eastAsia"/>
                <w:color w:val="auto"/>
                <w:sz w:val="24"/>
                <w:szCs w:val="24"/>
              </w:rPr>
              <w:t>如有问题，应当在提交投标文件截止时间</w:t>
            </w:r>
            <w:r>
              <w:rPr>
                <w:b/>
                <w:color w:val="auto"/>
                <w:sz w:val="24"/>
                <w:szCs w:val="24"/>
              </w:rPr>
              <w:t>24</w:t>
            </w:r>
            <w:r>
              <w:rPr>
                <w:rFonts w:hint="eastAsia"/>
                <w:b/>
                <w:color w:val="auto"/>
                <w:sz w:val="24"/>
                <w:szCs w:val="24"/>
              </w:rPr>
              <w:t>小时前</w:t>
            </w:r>
            <w:r>
              <w:rPr>
                <w:rFonts w:hint="eastAsia"/>
                <w:bCs/>
                <w:color w:val="auto"/>
                <w:sz w:val="24"/>
                <w:szCs w:val="24"/>
              </w:rPr>
              <w:t>咨询供应商客户端或政府采购交易系统</w:t>
            </w:r>
          </w:p>
        </w:tc>
      </w:tr>
      <w:tr w14:paraId="47E49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D8B8984">
            <w:pPr>
              <w:pStyle w:val="54"/>
              <w:jc w:val="center"/>
              <w:rPr>
                <w:rFonts w:hint="eastAsia"/>
                <w:color w:val="auto"/>
                <w:sz w:val="24"/>
                <w:szCs w:val="24"/>
              </w:rPr>
            </w:pPr>
            <w:r>
              <w:rPr>
                <w:rFonts w:hint="eastAsia"/>
                <w:color w:val="auto"/>
                <w:sz w:val="24"/>
                <w:szCs w:val="24"/>
              </w:rPr>
              <w:t>1</w:t>
            </w:r>
            <w:r>
              <w:rPr>
                <w:color w:val="auto"/>
                <w:sz w:val="24"/>
                <w:szCs w:val="24"/>
              </w:rPr>
              <w:t>1.6</w:t>
            </w:r>
          </w:p>
        </w:tc>
        <w:tc>
          <w:tcPr>
            <w:tcW w:w="1908" w:type="dxa"/>
            <w:vAlign w:val="center"/>
          </w:tcPr>
          <w:p w14:paraId="15AF99E1">
            <w:pPr>
              <w:pStyle w:val="54"/>
              <w:rPr>
                <w:rFonts w:hint="eastAsia"/>
                <w:color w:val="auto"/>
                <w:sz w:val="24"/>
                <w:szCs w:val="24"/>
              </w:rPr>
            </w:pPr>
            <w:r>
              <w:rPr>
                <w:rFonts w:hint="eastAsia"/>
                <w:color w:val="auto"/>
                <w:sz w:val="24"/>
                <w:szCs w:val="24"/>
              </w:rPr>
              <w:t>政府采购交易系统</w:t>
            </w:r>
            <w:r>
              <w:rPr>
                <w:color w:val="auto"/>
                <w:sz w:val="24"/>
                <w:szCs w:val="24"/>
              </w:rPr>
              <w:t>联系方式</w:t>
            </w:r>
          </w:p>
        </w:tc>
        <w:tc>
          <w:tcPr>
            <w:tcW w:w="5653" w:type="dxa"/>
            <w:vAlign w:val="center"/>
          </w:tcPr>
          <w:p w14:paraId="6388BFBD">
            <w:pPr>
              <w:pStyle w:val="54"/>
              <w:rPr>
                <w:rFonts w:hint="eastAsia" w:eastAsia="宋体"/>
                <w:color w:val="auto"/>
                <w:sz w:val="24"/>
                <w:szCs w:val="24"/>
                <w:lang w:eastAsia="zh-CN"/>
              </w:rPr>
            </w:pPr>
            <w:r>
              <w:rPr>
                <w:rFonts w:hint="eastAsia"/>
                <w:color w:val="auto"/>
                <w:sz w:val="24"/>
                <w:szCs w:val="24"/>
              </w:rPr>
              <w:t>联系人：</w:t>
            </w:r>
            <w:r>
              <w:rPr>
                <w:rFonts w:hint="eastAsia"/>
                <w:color w:val="auto"/>
                <w:sz w:val="24"/>
                <w:szCs w:val="24"/>
                <w:u w:val="single"/>
              </w:rPr>
              <w:t>东软集团股份有限公司工作人员</w:t>
            </w:r>
          </w:p>
          <w:p w14:paraId="7265EC93">
            <w:pPr>
              <w:pStyle w:val="54"/>
              <w:rPr>
                <w:rFonts w:hint="eastAsia"/>
                <w:color w:val="auto"/>
                <w:sz w:val="24"/>
                <w:szCs w:val="24"/>
              </w:rPr>
            </w:pPr>
            <w:r>
              <w:rPr>
                <w:rFonts w:hint="eastAsia"/>
                <w:color w:val="auto"/>
                <w:sz w:val="24"/>
                <w:szCs w:val="24"/>
              </w:rPr>
              <w:t>联系电话：</w:t>
            </w:r>
            <w:r>
              <w:rPr>
                <w:rFonts w:hint="eastAsia"/>
                <w:color w:val="auto"/>
                <w:sz w:val="24"/>
                <w:szCs w:val="24"/>
                <w:u w:val="single"/>
              </w:rPr>
              <w:t>0871-65383105、0871-65378716、0871-65391971、0871-65390547</w:t>
            </w:r>
          </w:p>
          <w:p w14:paraId="1ECE358D">
            <w:pPr>
              <w:pStyle w:val="54"/>
              <w:rPr>
                <w:rFonts w:hint="eastAsia"/>
                <w:color w:val="auto"/>
                <w:sz w:val="24"/>
                <w:szCs w:val="24"/>
              </w:rPr>
            </w:pPr>
            <w:r>
              <w:rPr>
                <w:rFonts w:hint="eastAsia"/>
                <w:color w:val="auto"/>
                <w:sz w:val="24"/>
                <w:szCs w:val="24"/>
              </w:rPr>
              <w:t>其他联系方式：</w:t>
            </w:r>
            <w:r>
              <w:rPr>
                <w:rFonts w:hint="eastAsia"/>
                <w:color w:val="auto"/>
                <w:sz w:val="24"/>
                <w:szCs w:val="24"/>
                <w:u w:val="single"/>
              </w:rPr>
              <w:t xml:space="preserve"> </w:t>
            </w:r>
            <w:r>
              <w:rPr>
                <w:color w:val="auto"/>
                <w:sz w:val="24"/>
                <w:szCs w:val="24"/>
                <w:u w:val="single"/>
              </w:rPr>
              <w:t xml:space="preserve">    </w:t>
            </w:r>
            <w:r>
              <w:rPr>
                <w:rFonts w:hint="eastAsia"/>
                <w:color w:val="auto"/>
                <w:sz w:val="24"/>
                <w:szCs w:val="24"/>
                <w:u w:val="single"/>
              </w:rPr>
              <w:t>/</w:t>
            </w:r>
            <w:r>
              <w:rPr>
                <w:color w:val="auto"/>
                <w:sz w:val="24"/>
                <w:szCs w:val="24"/>
                <w:u w:val="single"/>
              </w:rPr>
              <w:t xml:space="preserve">      </w:t>
            </w:r>
          </w:p>
        </w:tc>
      </w:tr>
      <w:tr w14:paraId="2358AC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10DDE60D">
            <w:pPr>
              <w:pStyle w:val="54"/>
              <w:jc w:val="center"/>
              <w:rPr>
                <w:rFonts w:hint="eastAsia"/>
                <w:color w:val="auto"/>
                <w:sz w:val="24"/>
                <w:szCs w:val="24"/>
              </w:rPr>
            </w:pPr>
          </w:p>
        </w:tc>
        <w:tc>
          <w:tcPr>
            <w:tcW w:w="1908" w:type="dxa"/>
            <w:vAlign w:val="center"/>
          </w:tcPr>
          <w:p w14:paraId="094C8F4F">
            <w:pPr>
              <w:pStyle w:val="54"/>
              <w:rPr>
                <w:rFonts w:hint="eastAsia"/>
                <w:color w:val="auto"/>
                <w:sz w:val="24"/>
                <w:szCs w:val="24"/>
              </w:rPr>
            </w:pPr>
          </w:p>
        </w:tc>
        <w:tc>
          <w:tcPr>
            <w:tcW w:w="5653" w:type="dxa"/>
            <w:vAlign w:val="center"/>
          </w:tcPr>
          <w:p w14:paraId="1B92B823">
            <w:pPr>
              <w:pStyle w:val="54"/>
              <w:rPr>
                <w:rFonts w:hint="eastAsia"/>
                <w:color w:val="auto"/>
                <w:sz w:val="24"/>
                <w:szCs w:val="24"/>
              </w:rPr>
            </w:pPr>
          </w:p>
        </w:tc>
      </w:tr>
      <w:tr w14:paraId="50E3DC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AE63EE6">
            <w:pPr>
              <w:pStyle w:val="54"/>
              <w:jc w:val="center"/>
              <w:rPr>
                <w:rFonts w:hint="eastAsia"/>
                <w:color w:val="auto"/>
                <w:sz w:val="24"/>
                <w:szCs w:val="24"/>
              </w:rPr>
            </w:pPr>
            <w:r>
              <w:rPr>
                <w:color w:val="auto"/>
                <w:sz w:val="24"/>
                <w:szCs w:val="24"/>
              </w:rPr>
              <w:t>13.1</w:t>
            </w:r>
          </w:p>
        </w:tc>
        <w:tc>
          <w:tcPr>
            <w:tcW w:w="1908" w:type="dxa"/>
            <w:vAlign w:val="center"/>
          </w:tcPr>
          <w:p w14:paraId="3D8A0FD9">
            <w:pPr>
              <w:pStyle w:val="54"/>
              <w:rPr>
                <w:rFonts w:hint="eastAsia"/>
                <w:color w:val="auto"/>
                <w:sz w:val="24"/>
                <w:szCs w:val="24"/>
              </w:rPr>
            </w:pPr>
            <w:r>
              <w:rPr>
                <w:rFonts w:hint="eastAsia"/>
                <w:color w:val="auto"/>
                <w:sz w:val="24"/>
                <w:szCs w:val="24"/>
              </w:rPr>
              <w:t>提出询问方式</w:t>
            </w:r>
          </w:p>
        </w:tc>
        <w:tc>
          <w:tcPr>
            <w:tcW w:w="5653" w:type="dxa"/>
            <w:vAlign w:val="center"/>
          </w:tcPr>
          <w:p w14:paraId="706664F0">
            <w:pPr>
              <w:pStyle w:val="54"/>
              <w:rPr>
                <w:rFonts w:hint="eastAsia"/>
                <w:color w:val="auto"/>
                <w:sz w:val="24"/>
                <w:szCs w:val="24"/>
              </w:rPr>
            </w:pPr>
            <w:r>
              <w:rPr>
                <w:rFonts w:hint="eastAsia"/>
                <w:color w:val="auto"/>
                <w:sz w:val="24"/>
                <w:szCs w:val="24"/>
              </w:rPr>
              <w:t>提出询问方式：可致电采购代理机构工作人员询问</w:t>
            </w:r>
          </w:p>
          <w:p w14:paraId="7116A37F">
            <w:pPr>
              <w:pStyle w:val="54"/>
              <w:rPr>
                <w:rFonts w:hint="eastAsia"/>
                <w:color w:val="auto"/>
                <w:sz w:val="24"/>
                <w:szCs w:val="24"/>
              </w:rPr>
            </w:pPr>
            <w:r>
              <w:rPr>
                <w:rFonts w:hint="eastAsia"/>
                <w:color w:val="auto"/>
                <w:sz w:val="24"/>
                <w:szCs w:val="24"/>
              </w:rPr>
              <w:t>其他询问方式：</w:t>
            </w:r>
            <w:r>
              <w:rPr>
                <w:rFonts w:hint="eastAsia"/>
                <w:color w:val="auto"/>
                <w:sz w:val="24"/>
                <w:szCs w:val="24"/>
                <w:u w:val="single"/>
              </w:rPr>
              <w:t xml:space="preserve"> </w:t>
            </w:r>
            <w:r>
              <w:rPr>
                <w:color w:val="auto"/>
                <w:sz w:val="24"/>
                <w:szCs w:val="24"/>
                <w:u w:val="single"/>
              </w:rPr>
              <w:t xml:space="preserve">   </w:t>
            </w:r>
            <w:r>
              <w:rPr>
                <w:rFonts w:hint="eastAsia"/>
                <w:color w:val="auto"/>
                <w:sz w:val="24"/>
                <w:szCs w:val="24"/>
                <w:u w:val="single"/>
              </w:rPr>
              <w:t>/</w:t>
            </w:r>
            <w:r>
              <w:rPr>
                <w:color w:val="auto"/>
                <w:sz w:val="24"/>
                <w:szCs w:val="24"/>
                <w:u w:val="single"/>
              </w:rPr>
              <w:t xml:space="preserve">       </w:t>
            </w:r>
          </w:p>
        </w:tc>
      </w:tr>
      <w:tr w14:paraId="477C9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1ACA037">
            <w:pPr>
              <w:pStyle w:val="54"/>
              <w:jc w:val="center"/>
              <w:rPr>
                <w:rFonts w:hint="eastAsia"/>
                <w:color w:val="auto"/>
                <w:sz w:val="24"/>
                <w:szCs w:val="24"/>
              </w:rPr>
            </w:pPr>
            <w:r>
              <w:rPr>
                <w:color w:val="auto"/>
                <w:sz w:val="24"/>
                <w:szCs w:val="24"/>
              </w:rPr>
              <w:t>15.2</w:t>
            </w:r>
          </w:p>
        </w:tc>
        <w:tc>
          <w:tcPr>
            <w:tcW w:w="1908" w:type="dxa"/>
            <w:vAlign w:val="center"/>
          </w:tcPr>
          <w:p w14:paraId="140719EB">
            <w:pPr>
              <w:pStyle w:val="54"/>
              <w:rPr>
                <w:rFonts w:hint="eastAsia"/>
                <w:color w:val="auto"/>
                <w:sz w:val="24"/>
                <w:szCs w:val="24"/>
              </w:rPr>
            </w:pPr>
            <w:r>
              <w:rPr>
                <w:rFonts w:hint="eastAsia"/>
                <w:color w:val="auto"/>
                <w:sz w:val="24"/>
                <w:szCs w:val="24"/>
              </w:rPr>
              <w:t>报价方式</w:t>
            </w:r>
          </w:p>
        </w:tc>
        <w:tc>
          <w:tcPr>
            <w:tcW w:w="5653" w:type="dxa"/>
            <w:vAlign w:val="center"/>
          </w:tcPr>
          <w:p w14:paraId="3B348402">
            <w:pPr>
              <w:pStyle w:val="54"/>
              <w:ind w:firstLine="240" w:firstLineChars="100"/>
              <w:rPr>
                <w:rFonts w:hint="eastAsia" w:eastAsia="宋体"/>
                <w:color w:val="auto"/>
                <w:sz w:val="24"/>
                <w:szCs w:val="24"/>
                <w:lang w:val="en-US" w:eastAsia="zh-CN"/>
              </w:rPr>
            </w:pPr>
            <w:r>
              <w:rPr>
                <w:rFonts w:hint="eastAsia" w:ascii="宋体" w:hAnsi="宋体" w:eastAsia="宋体" w:cs="宋体"/>
                <w:color w:val="auto"/>
                <w:szCs w:val="21"/>
              </w:rPr>
              <w:t>投标报价为完成采购范围及合同委托范围内的所有工作内容所需的全部费用，包含但不限于</w:t>
            </w:r>
            <w:r>
              <w:rPr>
                <w:rFonts w:hint="eastAsia" w:ascii="宋体" w:hAnsi="宋体" w:eastAsia="宋体" w:cs="宋体"/>
                <w:color w:val="auto"/>
                <w:szCs w:val="21"/>
                <w:lang w:eastAsia="zh-TW"/>
              </w:rPr>
              <w:t>项目管理费</w:t>
            </w:r>
            <w:r>
              <w:rPr>
                <w:rFonts w:hint="eastAsia" w:ascii="宋体" w:hAnsi="宋体" w:eastAsia="宋体" w:cs="宋体"/>
                <w:color w:val="auto"/>
                <w:szCs w:val="21"/>
              </w:rPr>
              <w:t>、</w:t>
            </w:r>
            <w:r>
              <w:rPr>
                <w:rFonts w:hint="eastAsia" w:ascii="宋体" w:hAnsi="宋体" w:eastAsia="宋体" w:cs="宋体"/>
                <w:color w:val="auto"/>
                <w:szCs w:val="21"/>
                <w:lang w:eastAsia="zh-TW"/>
              </w:rPr>
              <w:t>设备费用、</w:t>
            </w:r>
            <w:r>
              <w:rPr>
                <w:rFonts w:hint="eastAsia" w:ascii="宋体" w:hAnsi="宋体" w:eastAsia="宋体" w:cs="宋体"/>
                <w:color w:val="auto"/>
                <w:szCs w:val="21"/>
                <w:lang w:val="en-US" w:eastAsia="zh-CN"/>
              </w:rPr>
              <w:t>医院</w:t>
            </w:r>
            <w:r>
              <w:rPr>
                <w:rFonts w:hint="eastAsia" w:ascii="宋体" w:hAnsi="宋体" w:eastAsia="宋体" w:cs="宋体"/>
                <w:color w:val="auto"/>
                <w:szCs w:val="21"/>
              </w:rPr>
              <w:t>系统</w:t>
            </w:r>
            <w:r>
              <w:rPr>
                <w:rFonts w:hint="eastAsia" w:ascii="宋体" w:hAnsi="宋体" w:eastAsia="宋体" w:cs="宋体"/>
                <w:color w:val="auto"/>
                <w:szCs w:val="21"/>
                <w:lang w:val="en-US" w:eastAsia="zh-CN"/>
              </w:rPr>
              <w:t>对接费</w:t>
            </w:r>
            <w:r>
              <w:rPr>
                <w:rFonts w:hint="eastAsia" w:ascii="宋体" w:hAnsi="宋体" w:eastAsia="宋体" w:cs="宋体"/>
                <w:color w:val="auto"/>
                <w:szCs w:val="21"/>
                <w:lang w:val="en-US" w:eastAsia="zh-CN"/>
              </w:rPr>
              <w:t>、</w:t>
            </w:r>
            <w:r>
              <w:rPr>
                <w:rFonts w:hint="eastAsia" w:ascii="宋体" w:hAnsi="宋体" w:eastAsia="宋体" w:cs="宋体"/>
                <w:color w:val="auto"/>
                <w:szCs w:val="21"/>
                <w:lang w:eastAsia="zh-TW"/>
              </w:rPr>
              <w:t>技术支持、</w:t>
            </w:r>
            <w:r>
              <w:rPr>
                <w:rFonts w:hint="eastAsia" w:cs="宋体"/>
                <w:color w:val="auto"/>
                <w:szCs w:val="21"/>
                <w:lang w:val="en-US" w:eastAsia="zh-CN"/>
              </w:rPr>
              <w:t>3年</w:t>
            </w:r>
            <w:r>
              <w:rPr>
                <w:rFonts w:hint="eastAsia" w:ascii="宋体" w:hAnsi="宋体" w:eastAsia="宋体" w:cs="宋体"/>
                <w:color w:val="auto"/>
                <w:szCs w:val="21"/>
                <w:lang w:eastAsia="zh-TW"/>
              </w:rPr>
              <w:t>运维服务</w:t>
            </w:r>
            <w:r>
              <w:rPr>
                <w:rFonts w:hint="eastAsia" w:cs="宋体"/>
                <w:color w:val="auto"/>
                <w:szCs w:val="21"/>
                <w:lang w:val="en-US" w:eastAsia="zh-CN"/>
              </w:rPr>
              <w:t>费</w:t>
            </w:r>
            <w:r>
              <w:rPr>
                <w:rFonts w:hint="eastAsia" w:ascii="宋体" w:hAnsi="宋体" w:eastAsia="宋体" w:cs="宋体"/>
                <w:color w:val="auto"/>
                <w:szCs w:val="21"/>
                <w:lang w:eastAsia="zh-CN"/>
              </w:rPr>
              <w:t>、</w:t>
            </w:r>
            <w:r>
              <w:rPr>
                <w:rFonts w:hint="eastAsia" w:ascii="宋体" w:hAnsi="宋体" w:eastAsia="宋体" w:cs="宋体"/>
                <w:color w:val="auto"/>
                <w:szCs w:val="21"/>
              </w:rPr>
              <w:t>人工、利润、税金</w:t>
            </w:r>
            <w:r>
              <w:rPr>
                <w:rFonts w:hint="eastAsia" w:ascii="宋体" w:hAnsi="宋体" w:eastAsia="宋体" w:cs="宋体"/>
                <w:color w:val="auto"/>
                <w:szCs w:val="21"/>
                <w:lang w:eastAsia="zh-CN"/>
              </w:rPr>
              <w:t>、</w:t>
            </w:r>
            <w:r>
              <w:rPr>
                <w:rFonts w:hint="eastAsia" w:cs="宋体"/>
                <w:color w:val="auto"/>
                <w:szCs w:val="21"/>
                <w:lang w:val="en-US" w:eastAsia="zh-CN"/>
              </w:rPr>
              <w:t>硬件、软件、</w:t>
            </w:r>
            <w:r>
              <w:rPr>
                <w:rFonts w:hint="eastAsia" w:ascii="宋体" w:hAnsi="宋体" w:eastAsia="宋体" w:cs="宋体"/>
                <w:color w:val="auto"/>
                <w:szCs w:val="21"/>
                <w:lang w:val="en-US" w:eastAsia="zh-CN"/>
              </w:rPr>
              <w:t>采购代理费</w:t>
            </w:r>
            <w:r>
              <w:rPr>
                <w:rFonts w:hint="eastAsia" w:ascii="宋体" w:hAnsi="宋体" w:eastAsia="宋体" w:cs="宋体"/>
                <w:color w:val="auto"/>
                <w:szCs w:val="21"/>
              </w:rPr>
              <w:t>等所有费用。</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应充分考虑交货期内可能发生的各种风险因素。</w:t>
            </w:r>
            <w:r>
              <w:rPr>
                <w:rFonts w:hint="eastAsia" w:ascii="宋体" w:hAnsi="宋体" w:eastAsia="宋体" w:cs="宋体"/>
                <w:color w:val="auto"/>
                <w:szCs w:val="21"/>
                <w:lang w:eastAsia="zh-TW"/>
              </w:rPr>
              <w:t>合同签订后，合同价款不因工期延长或缩短、人工费涨跌、物价波动、汇率浮动、国家或地方政府法律法规变动、国家或地方政府相关部门发布的任何调价文件等任何因素作而作调整。</w:t>
            </w:r>
          </w:p>
        </w:tc>
      </w:tr>
      <w:tr w14:paraId="077806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4115FDF">
            <w:pPr>
              <w:pStyle w:val="54"/>
              <w:jc w:val="center"/>
              <w:rPr>
                <w:rFonts w:hint="eastAsia"/>
                <w:color w:val="auto"/>
                <w:sz w:val="24"/>
                <w:szCs w:val="24"/>
              </w:rPr>
            </w:pPr>
            <w:r>
              <w:rPr>
                <w:color w:val="auto"/>
                <w:sz w:val="24"/>
                <w:szCs w:val="24"/>
              </w:rPr>
              <w:t>15.6</w:t>
            </w:r>
          </w:p>
        </w:tc>
        <w:tc>
          <w:tcPr>
            <w:tcW w:w="1908" w:type="dxa"/>
            <w:vAlign w:val="center"/>
          </w:tcPr>
          <w:p w14:paraId="32E2EF7B">
            <w:pPr>
              <w:pStyle w:val="54"/>
              <w:rPr>
                <w:rFonts w:hint="eastAsia"/>
                <w:color w:val="auto"/>
                <w:sz w:val="24"/>
                <w:szCs w:val="24"/>
              </w:rPr>
            </w:pPr>
            <w:r>
              <w:rPr>
                <w:rFonts w:hint="eastAsia"/>
                <w:color w:val="auto"/>
                <w:sz w:val="24"/>
                <w:szCs w:val="24"/>
              </w:rPr>
              <w:t>最高限价</w:t>
            </w:r>
          </w:p>
        </w:tc>
        <w:tc>
          <w:tcPr>
            <w:tcW w:w="5653" w:type="dxa"/>
            <w:vAlign w:val="center"/>
          </w:tcPr>
          <w:p w14:paraId="17337EFC">
            <w:pPr>
              <w:pStyle w:val="54"/>
              <w:rPr>
                <w:rFonts w:hint="eastAsia"/>
                <w:color w:val="auto"/>
                <w:sz w:val="24"/>
                <w:szCs w:val="24"/>
              </w:rPr>
            </w:pPr>
            <w:r>
              <w:rPr>
                <w:rFonts w:hint="eastAsia"/>
                <w:color w:val="auto"/>
                <w:sz w:val="24"/>
                <w:szCs w:val="24"/>
              </w:rPr>
              <w:t>详见第一章”投标邀请”</w:t>
            </w:r>
          </w:p>
        </w:tc>
      </w:tr>
      <w:tr w14:paraId="258EB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5835F1D7">
            <w:pPr>
              <w:pStyle w:val="54"/>
              <w:jc w:val="center"/>
              <w:rPr>
                <w:rFonts w:hint="eastAsia"/>
                <w:color w:val="auto"/>
                <w:sz w:val="24"/>
                <w:szCs w:val="24"/>
              </w:rPr>
            </w:pPr>
            <w:r>
              <w:rPr>
                <w:color w:val="auto"/>
                <w:sz w:val="24"/>
                <w:szCs w:val="24"/>
              </w:rPr>
              <w:t>16.1</w:t>
            </w:r>
          </w:p>
        </w:tc>
        <w:tc>
          <w:tcPr>
            <w:tcW w:w="1908" w:type="dxa"/>
            <w:vAlign w:val="center"/>
          </w:tcPr>
          <w:p w14:paraId="21A4160F">
            <w:pPr>
              <w:pStyle w:val="54"/>
              <w:rPr>
                <w:rFonts w:hint="eastAsia"/>
                <w:color w:val="auto"/>
                <w:sz w:val="24"/>
                <w:szCs w:val="24"/>
              </w:rPr>
            </w:pPr>
            <w:r>
              <w:rPr>
                <w:rFonts w:hint="eastAsia"/>
                <w:color w:val="auto"/>
                <w:sz w:val="24"/>
                <w:szCs w:val="24"/>
              </w:rPr>
              <w:t>投标有效期</w:t>
            </w:r>
          </w:p>
        </w:tc>
        <w:tc>
          <w:tcPr>
            <w:tcW w:w="5653" w:type="dxa"/>
            <w:vAlign w:val="center"/>
          </w:tcPr>
          <w:p w14:paraId="60E5EE6E">
            <w:pPr>
              <w:pStyle w:val="54"/>
              <w:rPr>
                <w:rFonts w:hint="eastAsia"/>
                <w:color w:val="auto"/>
                <w:sz w:val="24"/>
                <w:szCs w:val="24"/>
              </w:rPr>
            </w:pPr>
            <w:r>
              <w:rPr>
                <w:rFonts w:hint="eastAsia"/>
                <w:color w:val="auto"/>
                <w:sz w:val="24"/>
                <w:szCs w:val="24"/>
              </w:rPr>
              <w:t>投标截止日期后</w:t>
            </w:r>
            <w:r>
              <w:rPr>
                <w:rFonts w:hint="eastAsia"/>
                <w:color w:val="auto"/>
                <w:sz w:val="24"/>
                <w:szCs w:val="24"/>
                <w:u w:val="single"/>
              </w:rPr>
              <w:t>90</w:t>
            </w:r>
            <w:r>
              <w:rPr>
                <w:rFonts w:hint="eastAsia"/>
                <w:color w:val="auto"/>
                <w:sz w:val="24"/>
                <w:szCs w:val="24"/>
              </w:rPr>
              <w:t>日历天</w:t>
            </w:r>
          </w:p>
        </w:tc>
      </w:tr>
      <w:tr w14:paraId="080CFA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29942ED">
            <w:pPr>
              <w:pStyle w:val="54"/>
              <w:jc w:val="center"/>
              <w:rPr>
                <w:rFonts w:hint="eastAsia"/>
                <w:color w:val="auto"/>
                <w:sz w:val="24"/>
                <w:szCs w:val="24"/>
              </w:rPr>
            </w:pPr>
            <w:r>
              <w:rPr>
                <w:color w:val="auto"/>
                <w:sz w:val="24"/>
                <w:szCs w:val="24"/>
              </w:rPr>
              <w:t>19.1</w:t>
            </w:r>
          </w:p>
        </w:tc>
        <w:tc>
          <w:tcPr>
            <w:tcW w:w="1908" w:type="dxa"/>
            <w:vAlign w:val="center"/>
          </w:tcPr>
          <w:p w14:paraId="7C81181D">
            <w:pPr>
              <w:pStyle w:val="54"/>
              <w:rPr>
                <w:rFonts w:hint="eastAsia"/>
                <w:color w:val="auto"/>
                <w:sz w:val="24"/>
                <w:szCs w:val="24"/>
              </w:rPr>
            </w:pPr>
            <w:r>
              <w:rPr>
                <w:rFonts w:hint="eastAsia"/>
                <w:color w:val="auto"/>
                <w:sz w:val="24"/>
                <w:szCs w:val="24"/>
              </w:rPr>
              <w:t>投标截止时间</w:t>
            </w:r>
          </w:p>
        </w:tc>
        <w:tc>
          <w:tcPr>
            <w:tcW w:w="5653" w:type="dxa"/>
            <w:vAlign w:val="center"/>
          </w:tcPr>
          <w:p w14:paraId="4C594863">
            <w:pPr>
              <w:pStyle w:val="54"/>
              <w:rPr>
                <w:rFonts w:hint="eastAsia"/>
                <w:color w:val="auto"/>
                <w:sz w:val="24"/>
                <w:szCs w:val="24"/>
              </w:rPr>
            </w:pPr>
            <w:r>
              <w:rPr>
                <w:rFonts w:hint="eastAsia"/>
                <w:color w:val="auto"/>
                <w:sz w:val="24"/>
                <w:szCs w:val="24"/>
              </w:rPr>
              <w:t>详见第一章”投标邀请”</w:t>
            </w:r>
          </w:p>
        </w:tc>
      </w:tr>
      <w:tr w14:paraId="6CBB9B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85FEBB5">
            <w:pPr>
              <w:pStyle w:val="54"/>
              <w:jc w:val="center"/>
              <w:rPr>
                <w:rFonts w:hint="eastAsia"/>
                <w:color w:val="auto"/>
                <w:sz w:val="24"/>
                <w:szCs w:val="24"/>
              </w:rPr>
            </w:pPr>
            <w:r>
              <w:rPr>
                <w:color w:val="auto"/>
                <w:sz w:val="24"/>
                <w:szCs w:val="24"/>
              </w:rPr>
              <w:t>19.2</w:t>
            </w:r>
          </w:p>
        </w:tc>
        <w:tc>
          <w:tcPr>
            <w:tcW w:w="1908" w:type="dxa"/>
            <w:vAlign w:val="center"/>
          </w:tcPr>
          <w:p w14:paraId="71313865">
            <w:pPr>
              <w:pStyle w:val="54"/>
              <w:rPr>
                <w:rFonts w:hint="eastAsia"/>
                <w:color w:val="auto"/>
                <w:sz w:val="24"/>
                <w:szCs w:val="24"/>
              </w:rPr>
            </w:pPr>
            <w:r>
              <w:rPr>
                <w:rFonts w:hint="eastAsia"/>
                <w:color w:val="auto"/>
                <w:sz w:val="24"/>
                <w:szCs w:val="24"/>
              </w:rPr>
              <w:t>递交投标文件地点</w:t>
            </w:r>
          </w:p>
        </w:tc>
        <w:tc>
          <w:tcPr>
            <w:tcW w:w="5653" w:type="dxa"/>
            <w:vAlign w:val="center"/>
          </w:tcPr>
          <w:p w14:paraId="155F6A00">
            <w:pPr>
              <w:pStyle w:val="54"/>
              <w:rPr>
                <w:rFonts w:hint="eastAsia"/>
                <w:color w:val="auto"/>
                <w:sz w:val="24"/>
                <w:szCs w:val="24"/>
              </w:rPr>
            </w:pPr>
            <w:r>
              <w:rPr>
                <w:rFonts w:hint="eastAsia"/>
                <w:color w:val="auto"/>
                <w:sz w:val="24"/>
                <w:szCs w:val="24"/>
              </w:rPr>
              <w:t>详见第一章”投标邀请”</w:t>
            </w:r>
          </w:p>
        </w:tc>
      </w:tr>
      <w:tr w14:paraId="64D7F9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9A6EBFB">
            <w:pPr>
              <w:pStyle w:val="54"/>
              <w:jc w:val="center"/>
              <w:rPr>
                <w:rFonts w:hint="eastAsia"/>
                <w:color w:val="auto"/>
                <w:sz w:val="24"/>
                <w:szCs w:val="24"/>
              </w:rPr>
            </w:pPr>
            <w:r>
              <w:rPr>
                <w:color w:val="auto"/>
                <w:sz w:val="24"/>
                <w:szCs w:val="24"/>
              </w:rPr>
              <w:t>22.1</w:t>
            </w:r>
          </w:p>
        </w:tc>
        <w:tc>
          <w:tcPr>
            <w:tcW w:w="1908" w:type="dxa"/>
            <w:vAlign w:val="center"/>
          </w:tcPr>
          <w:p w14:paraId="1EEB6E59">
            <w:pPr>
              <w:pStyle w:val="54"/>
              <w:rPr>
                <w:rFonts w:hint="eastAsia"/>
                <w:color w:val="auto"/>
                <w:sz w:val="24"/>
                <w:szCs w:val="24"/>
              </w:rPr>
            </w:pPr>
            <w:r>
              <w:rPr>
                <w:rFonts w:hint="eastAsia"/>
                <w:color w:val="auto"/>
                <w:sz w:val="24"/>
                <w:szCs w:val="24"/>
              </w:rPr>
              <w:t>实物样品</w:t>
            </w:r>
          </w:p>
        </w:tc>
        <w:tc>
          <w:tcPr>
            <w:tcW w:w="5653" w:type="dxa"/>
            <w:vAlign w:val="center"/>
          </w:tcPr>
          <w:p w14:paraId="18A5E7F7">
            <w:pPr>
              <w:pStyle w:val="54"/>
              <w:rPr>
                <w:rFonts w:hint="eastAsia"/>
                <w:color w:val="auto"/>
                <w:sz w:val="24"/>
                <w:szCs w:val="24"/>
              </w:rPr>
            </w:pPr>
            <w:r>
              <w:rPr>
                <w:rFonts w:hint="eastAsia"/>
                <w:color w:val="auto"/>
                <w:sz w:val="24"/>
                <w:szCs w:val="24"/>
              </w:rPr>
              <w:t>本项目无需提供样品</w:t>
            </w:r>
          </w:p>
          <w:p w14:paraId="71B55D2F">
            <w:pPr>
              <w:pStyle w:val="54"/>
              <w:rPr>
                <w:rFonts w:hint="eastAsia"/>
                <w:color w:val="auto"/>
                <w:sz w:val="24"/>
                <w:szCs w:val="24"/>
              </w:rPr>
            </w:pPr>
            <w:r>
              <w:rPr>
                <w:rFonts w:hint="eastAsia"/>
                <w:color w:val="auto"/>
                <w:sz w:val="24"/>
                <w:szCs w:val="24"/>
              </w:rPr>
              <w:t xml:space="preserve">提供样品的品种有：/ </w:t>
            </w:r>
          </w:p>
          <w:p w14:paraId="4D5BC6D4">
            <w:pPr>
              <w:pStyle w:val="54"/>
              <w:rPr>
                <w:rFonts w:hint="eastAsia"/>
                <w:color w:val="auto"/>
                <w:sz w:val="24"/>
                <w:szCs w:val="24"/>
              </w:rPr>
            </w:pPr>
            <w:r>
              <w:rPr>
                <w:rFonts w:hint="eastAsia"/>
                <w:color w:val="auto"/>
                <w:sz w:val="24"/>
                <w:szCs w:val="24"/>
              </w:rPr>
              <w:t>样品规格：/</w:t>
            </w:r>
          </w:p>
          <w:p w14:paraId="1E13A80F">
            <w:pPr>
              <w:pStyle w:val="54"/>
              <w:rPr>
                <w:rFonts w:hint="eastAsia"/>
                <w:color w:val="auto"/>
                <w:sz w:val="24"/>
                <w:szCs w:val="24"/>
              </w:rPr>
            </w:pPr>
            <w:r>
              <w:rPr>
                <w:rFonts w:hint="eastAsia"/>
                <w:color w:val="auto"/>
                <w:sz w:val="24"/>
                <w:szCs w:val="24"/>
              </w:rPr>
              <w:t xml:space="preserve">样品密封要求：/ </w:t>
            </w:r>
          </w:p>
          <w:p w14:paraId="3276E810">
            <w:pPr>
              <w:pStyle w:val="54"/>
              <w:rPr>
                <w:rFonts w:hint="eastAsia" w:eastAsia="宋体"/>
                <w:color w:val="auto"/>
                <w:sz w:val="24"/>
                <w:szCs w:val="24"/>
                <w:lang w:eastAsia="zh-CN"/>
              </w:rPr>
            </w:pPr>
            <w:r>
              <w:rPr>
                <w:rFonts w:hint="eastAsia"/>
                <w:color w:val="auto"/>
                <w:sz w:val="24"/>
                <w:szCs w:val="24"/>
              </w:rPr>
              <w:t>开标当天</w:t>
            </w:r>
            <w:r>
              <w:rPr>
                <w:rFonts w:hint="eastAsia"/>
                <w:color w:val="auto"/>
                <w:sz w:val="24"/>
                <w:szCs w:val="24"/>
                <w:u w:val="single"/>
              </w:rPr>
              <w:t xml:space="preserve">  </w:t>
            </w:r>
            <w:r>
              <w:rPr>
                <w:rFonts w:hint="eastAsia"/>
                <w:color w:val="auto"/>
                <w:sz w:val="24"/>
                <w:szCs w:val="24"/>
              </w:rPr>
              <w:t>/</w:t>
            </w:r>
            <w:r>
              <w:rPr>
                <w:rFonts w:hint="eastAsia"/>
                <w:color w:val="auto"/>
                <w:sz w:val="24"/>
                <w:szCs w:val="24"/>
                <w:u w:val="single"/>
              </w:rPr>
              <w:t xml:space="preserve"> 时 </w:t>
            </w:r>
            <w:r>
              <w:rPr>
                <w:rFonts w:hint="eastAsia"/>
                <w:color w:val="auto"/>
                <w:sz w:val="24"/>
                <w:szCs w:val="24"/>
              </w:rPr>
              <w:t>/</w:t>
            </w:r>
            <w:r>
              <w:rPr>
                <w:rFonts w:hint="eastAsia"/>
                <w:color w:val="auto"/>
                <w:sz w:val="24"/>
                <w:szCs w:val="24"/>
                <w:u w:val="single"/>
              </w:rPr>
              <w:t xml:space="preserve"> 分</w:t>
            </w:r>
            <w:r>
              <w:rPr>
                <w:rFonts w:hint="eastAsia"/>
                <w:color w:val="auto"/>
                <w:sz w:val="24"/>
                <w:szCs w:val="24"/>
              </w:rPr>
              <w:t>至</w:t>
            </w:r>
            <w:r>
              <w:rPr>
                <w:rFonts w:hint="eastAsia"/>
                <w:color w:val="auto"/>
                <w:sz w:val="24"/>
                <w:szCs w:val="24"/>
                <w:u w:val="single"/>
              </w:rPr>
              <w:t xml:space="preserve"> </w:t>
            </w:r>
            <w:r>
              <w:rPr>
                <w:rFonts w:hint="eastAsia"/>
                <w:color w:val="auto"/>
                <w:sz w:val="24"/>
                <w:szCs w:val="24"/>
              </w:rPr>
              <w:t>/</w:t>
            </w:r>
            <w:r>
              <w:rPr>
                <w:rFonts w:hint="eastAsia"/>
                <w:color w:val="auto"/>
                <w:sz w:val="24"/>
                <w:szCs w:val="24"/>
                <w:u w:val="single"/>
              </w:rPr>
              <w:t xml:space="preserve"> 时  </w:t>
            </w:r>
            <w:r>
              <w:rPr>
                <w:rFonts w:hint="eastAsia"/>
                <w:color w:val="auto"/>
                <w:sz w:val="24"/>
                <w:szCs w:val="24"/>
              </w:rPr>
              <w:t>/</w:t>
            </w:r>
            <w:r>
              <w:rPr>
                <w:rFonts w:hint="eastAsia"/>
                <w:color w:val="auto"/>
                <w:sz w:val="24"/>
                <w:szCs w:val="24"/>
                <w:u w:val="single"/>
              </w:rPr>
              <w:t>分</w:t>
            </w:r>
            <w:r>
              <w:rPr>
                <w:rFonts w:hint="eastAsia"/>
                <w:color w:val="auto"/>
                <w:sz w:val="24"/>
                <w:szCs w:val="24"/>
              </w:rPr>
              <w:t>，提供至（地点）：/，逾期提供的样品将不予接受</w:t>
            </w:r>
            <w:r>
              <w:rPr>
                <w:rFonts w:hint="eastAsia"/>
                <w:color w:val="auto"/>
                <w:sz w:val="24"/>
                <w:szCs w:val="24"/>
                <w:lang w:eastAsia="zh-CN"/>
              </w:rPr>
              <w:t>。</w:t>
            </w:r>
          </w:p>
        </w:tc>
      </w:tr>
      <w:tr w14:paraId="3089EC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F418D7B">
            <w:pPr>
              <w:pStyle w:val="54"/>
              <w:jc w:val="center"/>
              <w:rPr>
                <w:rFonts w:hint="eastAsia"/>
                <w:color w:val="auto"/>
                <w:sz w:val="24"/>
                <w:szCs w:val="24"/>
              </w:rPr>
            </w:pPr>
            <w:r>
              <w:rPr>
                <w:color w:val="auto"/>
                <w:sz w:val="24"/>
                <w:szCs w:val="24"/>
              </w:rPr>
              <w:t>23.1</w:t>
            </w:r>
          </w:p>
        </w:tc>
        <w:tc>
          <w:tcPr>
            <w:tcW w:w="1908" w:type="dxa"/>
            <w:vAlign w:val="center"/>
          </w:tcPr>
          <w:p w14:paraId="25FB58C0">
            <w:pPr>
              <w:pStyle w:val="54"/>
              <w:rPr>
                <w:rFonts w:hint="eastAsia"/>
                <w:b w:val="0"/>
                <w:bCs w:val="0"/>
                <w:color w:val="auto"/>
                <w:sz w:val="24"/>
                <w:szCs w:val="24"/>
              </w:rPr>
            </w:pPr>
            <w:r>
              <w:rPr>
                <w:rFonts w:hint="eastAsia"/>
                <w:b w:val="0"/>
                <w:bCs w:val="0"/>
                <w:color w:val="auto"/>
                <w:sz w:val="24"/>
                <w:szCs w:val="24"/>
              </w:rPr>
              <w:t>项目演示</w:t>
            </w:r>
          </w:p>
        </w:tc>
        <w:tc>
          <w:tcPr>
            <w:tcW w:w="5653" w:type="dxa"/>
            <w:vAlign w:val="center"/>
          </w:tcPr>
          <w:p w14:paraId="66108ABD">
            <w:pPr>
              <w:pStyle w:val="54"/>
              <w:rPr>
                <w:rFonts w:hint="eastAsia"/>
                <w:color w:val="auto"/>
              </w:rPr>
            </w:pPr>
            <w:r>
              <w:rPr>
                <w:rFonts w:hint="eastAsia"/>
                <w:color w:val="auto"/>
              </w:rPr>
              <w:sym w:font="Wingdings" w:char="00A8"/>
            </w:r>
            <w:r>
              <w:rPr>
                <w:rFonts w:hint="eastAsia"/>
                <w:color w:val="auto"/>
              </w:rPr>
              <w:t>不进行</w:t>
            </w:r>
          </w:p>
          <w:p w14:paraId="13E1EC4B">
            <w:pPr>
              <w:pStyle w:val="54"/>
              <w:rPr>
                <w:rFonts w:hint="eastAsia"/>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进行，现场演示</w:t>
            </w:r>
          </w:p>
          <w:p w14:paraId="1F9A5AE1">
            <w:pPr>
              <w:rPr>
                <w:rFonts w:hint="eastAsia" w:ascii="宋体" w:hAnsi="宋体" w:eastAsia="宋体" w:cs="宋体"/>
                <w:color w:val="auto"/>
                <w:kern w:val="0"/>
                <w:szCs w:val="21"/>
              </w:rPr>
            </w:pPr>
            <w:r>
              <w:rPr>
                <w:rFonts w:hint="eastAsia" w:ascii="宋体" w:hAnsi="宋体" w:eastAsia="宋体" w:cs="宋体"/>
                <w:color w:val="auto"/>
                <w:kern w:val="0"/>
                <w:szCs w:val="21"/>
              </w:rPr>
              <w:t>1、演示时间：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u w:val="single"/>
                <w:lang w:val="en-US" w:eastAsia="zh-CN"/>
              </w:rPr>
              <w:t>不超10分钟</w:t>
            </w:r>
            <w:r>
              <w:rPr>
                <w:rFonts w:hint="eastAsia" w:ascii="宋体" w:hAnsi="宋体" w:eastAsia="宋体" w:cs="宋体"/>
                <w:color w:val="auto"/>
                <w:kern w:val="0"/>
                <w:szCs w:val="21"/>
                <w:u w:val="single"/>
              </w:rPr>
              <w:t xml:space="preserve">     </w:t>
            </w:r>
          </w:p>
          <w:p w14:paraId="52531CB8">
            <w:pPr>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演示地点：</w:t>
            </w:r>
            <w:r>
              <w:rPr>
                <w:rFonts w:hint="eastAsia" w:ascii="宋体" w:hAnsi="宋体" w:eastAsia="宋体" w:cs="宋体"/>
                <w:color w:val="auto"/>
                <w:kern w:val="0"/>
                <w:szCs w:val="21"/>
                <w:u w:val="single"/>
              </w:rPr>
              <w:t xml:space="preserve"> 昆明阔海建设工程咨询有限公司（晋宁区昆阳街道办事处湖景天颐家园一期42幢3层）           </w:t>
            </w:r>
          </w:p>
          <w:p w14:paraId="29A755C4">
            <w:pPr>
              <w:rPr>
                <w:rFonts w:hint="eastAsia" w:ascii="宋体" w:hAnsi="宋体" w:eastAsia="宋体" w:cs="宋体"/>
                <w:color w:val="auto"/>
                <w:kern w:val="0"/>
                <w:szCs w:val="21"/>
                <w:u w:val="single"/>
              </w:rPr>
            </w:pP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演示顺序：</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u w:val="single"/>
                <w:lang w:val="en-US" w:eastAsia="zh-CN"/>
              </w:rPr>
              <w:t>以开标一览表为准</w:t>
            </w:r>
            <w:r>
              <w:rPr>
                <w:rFonts w:hint="eastAsia" w:ascii="宋体" w:hAnsi="宋体" w:eastAsia="宋体" w:cs="宋体"/>
                <w:color w:val="auto"/>
                <w:kern w:val="0"/>
                <w:szCs w:val="21"/>
                <w:u w:val="single"/>
              </w:rPr>
              <w:t xml:space="preserve">     </w:t>
            </w:r>
          </w:p>
          <w:p w14:paraId="7EBAB991">
            <w:pPr>
              <w:rPr>
                <w:rFonts w:hint="eastAsia" w:eastAsia="宋体"/>
                <w:color w:val="auto"/>
                <w:highlight w:val="none"/>
                <w:u w:val="none"/>
                <w:lang w:val="en-US" w:eastAsia="zh-CN"/>
              </w:rPr>
            </w:pPr>
            <w:r>
              <w:rPr>
                <w:rFonts w:hint="eastAsia" w:cs="宋体"/>
                <w:color w:val="auto"/>
                <w:kern w:val="0"/>
                <w:szCs w:val="21"/>
                <w:u w:val="none"/>
                <w:lang w:val="en-US" w:eastAsia="zh-CN"/>
              </w:rPr>
              <w:t>4、演示视频材料递交方式：</w:t>
            </w:r>
            <w:r>
              <w:rPr>
                <w:rFonts w:hint="eastAsia" w:ascii="宋体" w:hAnsi="宋体" w:eastAsia="宋体" w:cs="宋体"/>
                <w:b w:val="0"/>
                <w:bCs w:val="0"/>
                <w:color w:val="auto"/>
                <w:sz w:val="24"/>
                <w:szCs w:val="24"/>
                <w:highlight w:val="none"/>
                <w:u w:val="single"/>
                <w:lang w:val="en-US" w:eastAsia="zh-CN"/>
              </w:rPr>
              <w:t>采用U盘形式密封递交至</w:t>
            </w:r>
            <w:r>
              <w:rPr>
                <w:rFonts w:hint="eastAsia" w:ascii="宋体" w:hAnsi="宋体" w:eastAsia="宋体" w:cs="宋体"/>
                <w:color w:val="auto"/>
                <w:kern w:val="0"/>
                <w:szCs w:val="21"/>
                <w:highlight w:val="none"/>
                <w:u w:val="single"/>
              </w:rPr>
              <w:t>昆明阔海建设工程咨询有限公司（晋宁区昆阳街道办事处湖景天颐家园一期42幢3层）</w:t>
            </w:r>
            <w:r>
              <w:rPr>
                <w:rFonts w:hint="eastAsia" w:ascii="宋体" w:hAnsi="宋体" w:eastAsia="宋体" w:cs="宋体"/>
                <w:color w:val="auto"/>
                <w:kern w:val="0"/>
                <w:szCs w:val="21"/>
                <w:highlight w:val="none"/>
                <w:u w:val="none"/>
                <w:lang w:eastAsia="zh-CN"/>
              </w:rPr>
              <w:t>，</w:t>
            </w:r>
            <w:r>
              <w:rPr>
                <w:rFonts w:hint="eastAsia" w:ascii="宋体" w:hAnsi="宋体" w:eastAsia="宋体" w:cs="宋体"/>
                <w:b w:val="0"/>
                <w:bCs w:val="0"/>
                <w:color w:val="auto"/>
                <w:sz w:val="24"/>
                <w:szCs w:val="24"/>
                <w:highlight w:val="none"/>
                <w:lang w:val="en-US" w:eastAsia="zh-CN"/>
              </w:rPr>
              <w:t>视频</w:t>
            </w:r>
            <w:r>
              <w:rPr>
                <w:rFonts w:hint="eastAsia"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val="en-US" w:eastAsia="zh-CN"/>
              </w:rPr>
              <w:t>递交截止时间</w:t>
            </w:r>
            <w:r>
              <w:rPr>
                <w:rFonts w:hint="eastAsia" w:cs="宋体"/>
                <w:color w:val="auto"/>
                <w:kern w:val="0"/>
                <w:szCs w:val="21"/>
                <w:u w:val="none"/>
                <w:lang w:val="en-US" w:eastAsia="zh-CN"/>
              </w:rPr>
              <w:t>同投标文件递交截止时间</w:t>
            </w:r>
            <w:r>
              <w:rPr>
                <w:rFonts w:hint="eastAsia" w:ascii="宋体" w:hAnsi="宋体" w:eastAsia="宋体" w:cs="宋体"/>
                <w:color w:val="auto"/>
                <w:kern w:val="0"/>
                <w:szCs w:val="21"/>
                <w:lang w:eastAsia="zh-CN"/>
              </w:rPr>
              <w:t>。</w:t>
            </w:r>
          </w:p>
          <w:p w14:paraId="15EAB186">
            <w:pPr>
              <w:pStyle w:val="54"/>
              <w:numPr>
                <w:ilvl w:val="0"/>
                <w:numId w:val="0"/>
              </w:numPr>
              <w:spacing w:line="360" w:lineRule="auto"/>
              <w:rPr>
                <w:rFonts w:hint="eastAsia" w:ascii="宋体" w:hAnsi="宋体" w:eastAsia="宋体" w:cs="宋体"/>
                <w:color w:val="auto"/>
                <w:kern w:val="0"/>
                <w:szCs w:val="21"/>
                <w:u w:val="none"/>
              </w:rPr>
            </w:pPr>
            <w:r>
              <w:rPr>
                <w:rFonts w:hint="eastAsia" w:cs="宋体"/>
                <w:color w:val="auto"/>
                <w:kern w:val="0"/>
                <w:szCs w:val="21"/>
                <w:lang w:val="en-US" w:eastAsia="zh-CN"/>
              </w:rPr>
              <w:t>5</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演示要求：</w:t>
            </w:r>
            <w:r>
              <w:rPr>
                <w:rFonts w:hint="eastAsia" w:ascii="宋体" w:hAnsi="宋体" w:eastAsia="宋体" w:cs="宋体"/>
                <w:color w:val="auto"/>
                <w:kern w:val="0"/>
                <w:sz w:val="24"/>
                <w:szCs w:val="21"/>
                <w:u w:val="single"/>
                <w:lang w:val="en-US" w:eastAsia="zh-CN" w:bidi="ar-SA"/>
              </w:rPr>
              <w:t xml:space="preserve"> 视频能在一般电脑上正常播放 </w:t>
            </w:r>
            <w:r>
              <w:rPr>
                <w:rFonts w:hint="eastAsia" w:cs="宋体"/>
                <w:color w:val="auto"/>
                <w:kern w:val="0"/>
                <w:sz w:val="24"/>
                <w:szCs w:val="21"/>
                <w:u w:val="single"/>
                <w:lang w:val="en-US" w:eastAsia="zh-CN" w:bidi="ar-SA"/>
              </w:rPr>
              <w:t>，其他详细要求见采购需求和评分办法</w:t>
            </w:r>
            <w:r>
              <w:rPr>
                <w:rFonts w:hint="eastAsia" w:cs="宋体"/>
                <w:color w:val="auto"/>
                <w:kern w:val="0"/>
                <w:sz w:val="24"/>
                <w:szCs w:val="21"/>
                <w:u w:val="none"/>
                <w:lang w:val="en-US" w:eastAsia="zh-CN" w:bidi="ar-SA"/>
              </w:rPr>
              <w:t>。</w:t>
            </w:r>
            <w:r>
              <w:rPr>
                <w:rFonts w:hint="eastAsia" w:ascii="宋体" w:hAnsi="宋体" w:eastAsia="宋体" w:cs="宋体"/>
                <w:color w:val="auto"/>
                <w:kern w:val="0"/>
                <w:sz w:val="24"/>
                <w:szCs w:val="21"/>
                <w:u w:val="none"/>
                <w:lang w:val="en-US" w:eastAsia="zh-CN" w:bidi="ar-SA"/>
              </w:rPr>
              <w:t xml:space="preserve">          </w:t>
            </w:r>
          </w:p>
          <w:p w14:paraId="49E22BF2">
            <w:pPr>
              <w:pStyle w:val="54"/>
              <w:numPr>
                <w:ilvl w:val="0"/>
                <w:numId w:val="0"/>
              </w:numPr>
              <w:rPr>
                <w:rFonts w:hint="eastAsia" w:ascii="宋体" w:hAnsi="宋体" w:eastAsia="宋体" w:cs="宋体"/>
                <w:color w:val="auto"/>
                <w:kern w:val="0"/>
                <w:szCs w:val="21"/>
                <w:lang w:eastAsia="zh-CN"/>
              </w:rPr>
            </w:pPr>
            <w:r>
              <w:rPr>
                <w:rFonts w:hint="eastAsia" w:cs="宋体"/>
                <w:color w:val="auto"/>
                <w:kern w:val="0"/>
                <w:sz w:val="24"/>
                <w:szCs w:val="21"/>
                <w:lang w:val="en-US" w:eastAsia="zh-CN" w:bidi="ar-SA"/>
              </w:rPr>
              <w:t>6</w:t>
            </w:r>
            <w:r>
              <w:rPr>
                <w:rFonts w:hint="eastAsia" w:ascii="宋体" w:hAnsi="宋体" w:eastAsia="宋体" w:cs="宋体"/>
                <w:color w:val="auto"/>
                <w:kern w:val="0"/>
                <w:sz w:val="24"/>
                <w:szCs w:val="21"/>
                <w:lang w:val="en-US" w:eastAsia="zh-CN" w:bidi="ar-SA"/>
              </w:rPr>
              <w:t>、</w:t>
            </w:r>
            <w:r>
              <w:rPr>
                <w:rFonts w:hint="eastAsia"/>
                <w:b w:val="0"/>
                <w:bCs w:val="0"/>
                <w:color w:val="auto"/>
                <w:sz w:val="24"/>
                <w:szCs w:val="24"/>
              </w:rPr>
              <w:t>投标供应商应提前自行准备好演示的各项准备工作。因投标供应商自身原因无法演示或者演示效果不理想的，导致的后果由投标供应商自行承担</w:t>
            </w:r>
            <w:r>
              <w:rPr>
                <w:rFonts w:hint="eastAsia"/>
                <w:b w:val="0"/>
                <w:bCs w:val="0"/>
                <w:color w:val="auto"/>
                <w:sz w:val="24"/>
                <w:szCs w:val="24"/>
                <w:lang w:eastAsia="zh-CN"/>
              </w:rPr>
              <w:t>。</w:t>
            </w:r>
          </w:p>
        </w:tc>
      </w:tr>
      <w:tr w14:paraId="5200AD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A07A678">
            <w:pPr>
              <w:pStyle w:val="54"/>
              <w:jc w:val="center"/>
              <w:rPr>
                <w:rFonts w:hint="eastAsia"/>
                <w:color w:val="auto"/>
                <w:sz w:val="24"/>
                <w:szCs w:val="24"/>
              </w:rPr>
            </w:pPr>
            <w:r>
              <w:rPr>
                <w:color w:val="auto"/>
                <w:sz w:val="24"/>
                <w:szCs w:val="24"/>
              </w:rPr>
              <w:t>24.1</w:t>
            </w:r>
          </w:p>
        </w:tc>
        <w:tc>
          <w:tcPr>
            <w:tcW w:w="1908" w:type="dxa"/>
            <w:vAlign w:val="center"/>
          </w:tcPr>
          <w:p w14:paraId="204E68C5">
            <w:pPr>
              <w:pStyle w:val="54"/>
              <w:rPr>
                <w:rFonts w:hint="eastAsia"/>
                <w:color w:val="auto"/>
                <w:sz w:val="24"/>
                <w:szCs w:val="24"/>
              </w:rPr>
            </w:pPr>
            <w:r>
              <w:rPr>
                <w:rFonts w:hint="eastAsia"/>
                <w:color w:val="auto"/>
                <w:sz w:val="24"/>
                <w:szCs w:val="24"/>
              </w:rPr>
              <w:t>远程开标会议环境准备</w:t>
            </w:r>
          </w:p>
        </w:tc>
        <w:tc>
          <w:tcPr>
            <w:tcW w:w="5653" w:type="dxa"/>
            <w:vAlign w:val="center"/>
          </w:tcPr>
          <w:p w14:paraId="0AA357E7">
            <w:pPr>
              <w:pStyle w:val="54"/>
              <w:rPr>
                <w:rFonts w:hint="eastAsia" w:eastAsia="宋体"/>
                <w:color w:val="auto"/>
                <w:sz w:val="24"/>
                <w:szCs w:val="24"/>
                <w:lang w:eastAsia="zh-CN"/>
              </w:rPr>
            </w:pPr>
            <w:r>
              <w:rPr>
                <w:rFonts w:hint="eastAsia"/>
                <w:color w:val="auto"/>
                <w:sz w:val="24"/>
                <w:szCs w:val="24"/>
              </w:rPr>
              <w:t>远程开标会议环境要求：符合政采云系统操作条件要求即可，具体按操作说明执行</w:t>
            </w:r>
            <w:r>
              <w:rPr>
                <w:rFonts w:hint="eastAsia"/>
                <w:color w:val="auto"/>
                <w:sz w:val="24"/>
                <w:szCs w:val="24"/>
                <w:lang w:eastAsia="zh-CN"/>
              </w:rPr>
              <w:t>。</w:t>
            </w:r>
          </w:p>
          <w:p w14:paraId="37E5092B">
            <w:pPr>
              <w:pStyle w:val="54"/>
              <w:rPr>
                <w:rFonts w:hint="eastAsia"/>
                <w:color w:val="auto"/>
                <w:sz w:val="24"/>
                <w:szCs w:val="24"/>
              </w:rPr>
            </w:pPr>
            <w:r>
              <w:rPr>
                <w:rFonts w:hint="eastAsia"/>
                <w:color w:val="auto"/>
                <w:sz w:val="24"/>
                <w:szCs w:val="24"/>
              </w:rPr>
              <w:t>操作说明：供应商可登陆https://customer.zcygov.cn/CA-driver-download?utm=web-cafront.3ddc8fbb.0.0.87133ef03d5611eca03abdd942cbc4e6，下载“政采云电子投标客户端”。</w:t>
            </w:r>
          </w:p>
        </w:tc>
      </w:tr>
      <w:tr w14:paraId="67444F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F5E823A">
            <w:pPr>
              <w:pStyle w:val="54"/>
              <w:jc w:val="center"/>
              <w:rPr>
                <w:rFonts w:hint="eastAsia"/>
                <w:color w:val="auto"/>
                <w:sz w:val="24"/>
                <w:szCs w:val="24"/>
              </w:rPr>
            </w:pPr>
            <w:r>
              <w:rPr>
                <w:color w:val="auto"/>
                <w:sz w:val="24"/>
                <w:szCs w:val="24"/>
              </w:rPr>
              <w:t>25.1</w:t>
            </w:r>
          </w:p>
        </w:tc>
        <w:tc>
          <w:tcPr>
            <w:tcW w:w="1908" w:type="dxa"/>
            <w:vAlign w:val="center"/>
          </w:tcPr>
          <w:p w14:paraId="69014182">
            <w:pPr>
              <w:pStyle w:val="54"/>
              <w:rPr>
                <w:rFonts w:hint="eastAsia"/>
                <w:color w:val="auto"/>
                <w:sz w:val="24"/>
                <w:szCs w:val="24"/>
              </w:rPr>
            </w:pPr>
            <w:r>
              <w:rPr>
                <w:rFonts w:hint="eastAsia"/>
                <w:color w:val="auto"/>
                <w:sz w:val="24"/>
                <w:szCs w:val="24"/>
              </w:rPr>
              <w:t>开标时间和地点</w:t>
            </w:r>
          </w:p>
        </w:tc>
        <w:tc>
          <w:tcPr>
            <w:tcW w:w="5653" w:type="dxa"/>
            <w:vAlign w:val="center"/>
          </w:tcPr>
          <w:p w14:paraId="59054910">
            <w:pPr>
              <w:pStyle w:val="54"/>
              <w:rPr>
                <w:rFonts w:hint="eastAsia"/>
                <w:color w:val="auto"/>
                <w:sz w:val="24"/>
                <w:szCs w:val="24"/>
              </w:rPr>
            </w:pPr>
            <w:r>
              <w:rPr>
                <w:rFonts w:hint="eastAsia"/>
                <w:color w:val="auto"/>
                <w:sz w:val="24"/>
                <w:szCs w:val="24"/>
              </w:rPr>
              <w:t>详见第一章”投标邀请”</w:t>
            </w:r>
          </w:p>
        </w:tc>
      </w:tr>
      <w:tr w14:paraId="3AD78E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517A6AB1">
            <w:pPr>
              <w:pStyle w:val="54"/>
              <w:jc w:val="center"/>
              <w:rPr>
                <w:rFonts w:hint="eastAsia"/>
                <w:color w:val="auto"/>
                <w:sz w:val="24"/>
                <w:szCs w:val="24"/>
              </w:rPr>
            </w:pPr>
            <w:r>
              <w:rPr>
                <w:rFonts w:hint="eastAsia"/>
                <w:color w:val="auto"/>
                <w:sz w:val="24"/>
                <w:szCs w:val="24"/>
              </w:rPr>
              <w:t>27.1</w:t>
            </w:r>
          </w:p>
        </w:tc>
        <w:tc>
          <w:tcPr>
            <w:tcW w:w="1908" w:type="dxa"/>
            <w:vAlign w:val="center"/>
          </w:tcPr>
          <w:p w14:paraId="0A1D38B0">
            <w:pPr>
              <w:pStyle w:val="54"/>
              <w:rPr>
                <w:rFonts w:hint="eastAsia"/>
                <w:color w:val="auto"/>
                <w:sz w:val="24"/>
                <w:szCs w:val="24"/>
              </w:rPr>
            </w:pPr>
            <w:r>
              <w:rPr>
                <w:rFonts w:hint="eastAsia"/>
                <w:color w:val="auto"/>
                <w:sz w:val="24"/>
                <w:szCs w:val="24"/>
              </w:rPr>
              <w:t>采购人及采购代理机构工作人员需要回避的情形及开始时出现列举情形时的处理方式</w:t>
            </w:r>
          </w:p>
        </w:tc>
        <w:tc>
          <w:tcPr>
            <w:tcW w:w="5653" w:type="dxa"/>
            <w:vAlign w:val="center"/>
          </w:tcPr>
          <w:p w14:paraId="23A71E1D">
            <w:pPr>
              <w:pStyle w:val="54"/>
              <w:ind w:firstLine="480" w:firstLineChars="200"/>
              <w:rPr>
                <w:rFonts w:hint="eastAsia"/>
                <w:color w:val="auto"/>
                <w:sz w:val="24"/>
                <w:szCs w:val="24"/>
              </w:rPr>
            </w:pPr>
            <w:r>
              <w:rPr>
                <w:rFonts w:hint="eastAsia"/>
                <w:color w:val="auto"/>
                <w:sz w:val="24"/>
                <w:szCs w:val="24"/>
              </w:rPr>
              <w:t>在政府采购活动中，采购人员及相关人员与供应商有下列利害关系之一的，应当回避：</w:t>
            </w:r>
          </w:p>
          <w:p w14:paraId="3C00D9F7">
            <w:pPr>
              <w:pStyle w:val="54"/>
              <w:rPr>
                <w:rFonts w:hint="eastAsia"/>
                <w:color w:val="auto"/>
                <w:sz w:val="24"/>
                <w:szCs w:val="24"/>
              </w:rPr>
            </w:pPr>
            <w:r>
              <w:rPr>
                <w:rFonts w:hint="eastAsia"/>
                <w:color w:val="auto"/>
                <w:sz w:val="24"/>
                <w:szCs w:val="24"/>
              </w:rPr>
              <w:t>（1）参加采购活动前3年内与供应商存在劳动关系；</w:t>
            </w:r>
          </w:p>
          <w:p w14:paraId="35162042">
            <w:pPr>
              <w:pStyle w:val="54"/>
              <w:rPr>
                <w:rFonts w:hint="eastAsia"/>
                <w:color w:val="auto"/>
                <w:sz w:val="24"/>
                <w:szCs w:val="24"/>
              </w:rPr>
            </w:pPr>
            <w:r>
              <w:rPr>
                <w:rFonts w:hint="eastAsia"/>
                <w:color w:val="auto"/>
                <w:sz w:val="24"/>
                <w:szCs w:val="24"/>
              </w:rPr>
              <w:t>（2）参加采购活动前3年内担任供应商的董事、监事；</w:t>
            </w:r>
          </w:p>
          <w:p w14:paraId="30B857CA">
            <w:pPr>
              <w:pStyle w:val="54"/>
              <w:rPr>
                <w:rFonts w:hint="eastAsia"/>
                <w:color w:val="auto"/>
                <w:sz w:val="24"/>
                <w:szCs w:val="24"/>
              </w:rPr>
            </w:pPr>
            <w:r>
              <w:rPr>
                <w:rFonts w:hint="eastAsia"/>
                <w:color w:val="auto"/>
                <w:sz w:val="24"/>
                <w:szCs w:val="24"/>
              </w:rPr>
              <w:t>（3）参加采购活动前3年内是供应商的控股股东或者实际控制人；</w:t>
            </w:r>
          </w:p>
          <w:p w14:paraId="79ECC518">
            <w:pPr>
              <w:pStyle w:val="54"/>
              <w:rPr>
                <w:rFonts w:hint="eastAsia"/>
                <w:color w:val="auto"/>
                <w:sz w:val="24"/>
                <w:szCs w:val="24"/>
              </w:rPr>
            </w:pPr>
            <w:r>
              <w:rPr>
                <w:rFonts w:hint="eastAsia"/>
                <w:color w:val="auto"/>
                <w:sz w:val="24"/>
                <w:szCs w:val="24"/>
              </w:rPr>
              <w:t>（4）与供应商的法定代表人或者负责人有夫妻、直系血亲、三代以内旁系血亲或者近姻亲关系；</w:t>
            </w:r>
          </w:p>
          <w:p w14:paraId="38E241D8">
            <w:pPr>
              <w:pStyle w:val="54"/>
              <w:rPr>
                <w:rFonts w:hint="eastAsia"/>
                <w:color w:val="auto"/>
                <w:sz w:val="24"/>
                <w:szCs w:val="24"/>
              </w:rPr>
            </w:pPr>
            <w:r>
              <w:rPr>
                <w:rFonts w:hint="eastAsia"/>
                <w:color w:val="auto"/>
                <w:sz w:val="24"/>
                <w:szCs w:val="24"/>
              </w:rPr>
              <w:t>（5）与供应商有其他可能影响政府采购活动公平、公正进行的关系。</w:t>
            </w:r>
          </w:p>
          <w:p w14:paraId="0B81E2D5">
            <w:pPr>
              <w:pStyle w:val="54"/>
              <w:ind w:firstLine="480" w:firstLineChars="200"/>
              <w:rPr>
                <w:rFonts w:hint="eastAsia"/>
                <w:color w:val="auto"/>
                <w:sz w:val="24"/>
                <w:szCs w:val="24"/>
              </w:rPr>
            </w:pPr>
            <w:r>
              <w:rPr>
                <w:rFonts w:hint="eastAsia"/>
                <w:color w:val="auto"/>
                <w:sz w:val="24"/>
                <w:szCs w:val="24"/>
              </w:rPr>
              <w:t>在开标过程中，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开标过程中投标供应商未针对需要回避情形提出回避申请的，事后不得针对该问题提出质疑和投诉。</w:t>
            </w:r>
          </w:p>
        </w:tc>
      </w:tr>
      <w:tr w14:paraId="22656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18ACD43">
            <w:pPr>
              <w:pStyle w:val="54"/>
              <w:jc w:val="center"/>
              <w:rPr>
                <w:rFonts w:hint="eastAsia"/>
                <w:color w:val="auto"/>
                <w:sz w:val="24"/>
                <w:szCs w:val="24"/>
              </w:rPr>
            </w:pPr>
            <w:r>
              <w:rPr>
                <w:color w:val="auto"/>
                <w:sz w:val="24"/>
                <w:szCs w:val="24"/>
              </w:rPr>
              <w:t>26.3</w:t>
            </w:r>
          </w:p>
        </w:tc>
        <w:tc>
          <w:tcPr>
            <w:tcW w:w="1908" w:type="dxa"/>
            <w:vAlign w:val="center"/>
          </w:tcPr>
          <w:p w14:paraId="3398DDC5">
            <w:pPr>
              <w:pStyle w:val="54"/>
              <w:rPr>
                <w:rFonts w:hint="eastAsia"/>
                <w:color w:val="auto"/>
                <w:sz w:val="24"/>
                <w:szCs w:val="24"/>
              </w:rPr>
            </w:pPr>
            <w:r>
              <w:rPr>
                <w:rFonts w:hint="eastAsia"/>
                <w:color w:val="auto"/>
                <w:sz w:val="24"/>
                <w:szCs w:val="24"/>
              </w:rPr>
              <w:t>解密投标文件的时限</w:t>
            </w:r>
          </w:p>
        </w:tc>
        <w:tc>
          <w:tcPr>
            <w:tcW w:w="5653" w:type="dxa"/>
            <w:vAlign w:val="center"/>
          </w:tcPr>
          <w:p w14:paraId="383CAC07">
            <w:pPr>
              <w:pStyle w:val="54"/>
              <w:rPr>
                <w:rFonts w:hint="eastAsia" w:eastAsia="宋体"/>
                <w:color w:val="auto"/>
                <w:sz w:val="24"/>
                <w:szCs w:val="24"/>
                <w:lang w:eastAsia="zh-CN"/>
              </w:rPr>
            </w:pPr>
            <w:r>
              <w:rPr>
                <w:rFonts w:hint="eastAsia"/>
                <w:color w:val="auto"/>
                <w:sz w:val="24"/>
                <w:szCs w:val="24"/>
                <w:u w:val="single"/>
              </w:rPr>
              <w:t>60</w:t>
            </w:r>
            <w:r>
              <w:rPr>
                <w:rFonts w:hint="eastAsia"/>
                <w:color w:val="auto"/>
                <w:sz w:val="24"/>
                <w:szCs w:val="24"/>
              </w:rPr>
              <w:t>分钟，若遇到系统异常情况，采购代理机构须经监督人员同意后可延长解密时间。投标供应商因自身原因未按规定解密投标文件的，承担相应责任</w:t>
            </w:r>
            <w:r>
              <w:rPr>
                <w:rFonts w:hint="eastAsia"/>
                <w:color w:val="auto"/>
                <w:sz w:val="24"/>
                <w:szCs w:val="24"/>
                <w:lang w:eastAsia="zh-CN"/>
              </w:rPr>
              <w:t>。</w:t>
            </w:r>
          </w:p>
        </w:tc>
      </w:tr>
      <w:tr w14:paraId="0ACCAD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CB21496">
            <w:pPr>
              <w:pStyle w:val="54"/>
              <w:jc w:val="center"/>
              <w:rPr>
                <w:rFonts w:hint="eastAsia"/>
                <w:color w:val="auto"/>
                <w:sz w:val="24"/>
                <w:szCs w:val="24"/>
              </w:rPr>
            </w:pPr>
            <w:r>
              <w:rPr>
                <w:color w:val="auto"/>
                <w:sz w:val="24"/>
                <w:szCs w:val="24"/>
              </w:rPr>
              <w:t>30.2</w:t>
            </w:r>
          </w:p>
        </w:tc>
        <w:tc>
          <w:tcPr>
            <w:tcW w:w="1908" w:type="dxa"/>
            <w:vAlign w:val="center"/>
          </w:tcPr>
          <w:p w14:paraId="13AA9774">
            <w:pPr>
              <w:pStyle w:val="54"/>
              <w:rPr>
                <w:rFonts w:hint="eastAsia"/>
                <w:color w:val="auto"/>
                <w:sz w:val="24"/>
                <w:szCs w:val="24"/>
              </w:rPr>
            </w:pPr>
            <w:r>
              <w:rPr>
                <w:rFonts w:hint="eastAsia"/>
                <w:color w:val="auto"/>
                <w:sz w:val="24"/>
                <w:szCs w:val="24"/>
              </w:rPr>
              <w:t>推荐中标候选人</w:t>
            </w:r>
          </w:p>
        </w:tc>
        <w:tc>
          <w:tcPr>
            <w:tcW w:w="5653" w:type="dxa"/>
            <w:vAlign w:val="center"/>
          </w:tcPr>
          <w:p w14:paraId="59206A6B">
            <w:pPr>
              <w:pStyle w:val="54"/>
              <w:rPr>
                <w:rFonts w:hint="eastAsia"/>
                <w:color w:val="auto"/>
                <w:sz w:val="24"/>
                <w:szCs w:val="24"/>
              </w:rPr>
            </w:pPr>
            <w:r>
              <w:rPr>
                <w:rFonts w:hint="eastAsia"/>
                <w:color w:val="auto"/>
                <w:sz w:val="24"/>
                <w:szCs w:val="24"/>
              </w:rPr>
              <w:t>中标候选人数量</w:t>
            </w:r>
            <w:r>
              <w:rPr>
                <w:rFonts w:hint="eastAsia"/>
                <w:color w:val="auto"/>
                <w:sz w:val="24"/>
                <w:szCs w:val="24"/>
                <w:u w:val="single"/>
              </w:rPr>
              <w:t xml:space="preserve"> 3</w:t>
            </w:r>
            <w:r>
              <w:rPr>
                <w:rFonts w:hint="eastAsia"/>
                <w:color w:val="auto"/>
                <w:sz w:val="24"/>
                <w:szCs w:val="24"/>
                <w:u w:val="single"/>
                <w:lang w:val="en-US" w:eastAsia="zh-CN"/>
              </w:rPr>
              <w:t xml:space="preserve"> </w:t>
            </w:r>
            <w:r>
              <w:rPr>
                <w:rFonts w:hint="eastAsia"/>
                <w:color w:val="auto"/>
                <w:sz w:val="24"/>
                <w:szCs w:val="24"/>
              </w:rPr>
              <w:t>家</w:t>
            </w:r>
          </w:p>
        </w:tc>
      </w:tr>
      <w:tr w14:paraId="70B7E1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31F0F81">
            <w:pPr>
              <w:pStyle w:val="54"/>
              <w:jc w:val="center"/>
              <w:rPr>
                <w:rFonts w:hint="eastAsia"/>
                <w:color w:val="auto"/>
                <w:sz w:val="24"/>
                <w:szCs w:val="24"/>
              </w:rPr>
            </w:pPr>
            <w:r>
              <w:rPr>
                <w:color w:val="auto"/>
                <w:sz w:val="24"/>
                <w:szCs w:val="24"/>
              </w:rPr>
              <w:t>31.1</w:t>
            </w:r>
          </w:p>
        </w:tc>
        <w:tc>
          <w:tcPr>
            <w:tcW w:w="1908" w:type="dxa"/>
            <w:vAlign w:val="center"/>
          </w:tcPr>
          <w:p w14:paraId="6CC0D856">
            <w:pPr>
              <w:pStyle w:val="54"/>
              <w:rPr>
                <w:rFonts w:hint="eastAsia"/>
                <w:color w:val="auto"/>
                <w:sz w:val="24"/>
                <w:szCs w:val="24"/>
              </w:rPr>
            </w:pPr>
            <w:r>
              <w:rPr>
                <w:rFonts w:hint="eastAsia"/>
                <w:color w:val="auto"/>
                <w:sz w:val="24"/>
                <w:szCs w:val="24"/>
              </w:rPr>
              <w:t>确定中标人</w:t>
            </w:r>
          </w:p>
        </w:tc>
        <w:tc>
          <w:tcPr>
            <w:tcW w:w="5653" w:type="dxa"/>
            <w:vAlign w:val="center"/>
          </w:tcPr>
          <w:p w14:paraId="6DAFD12F">
            <w:pPr>
              <w:pStyle w:val="54"/>
              <w:rPr>
                <w:rFonts w:hint="eastAsia"/>
                <w:color w:val="auto"/>
                <w:sz w:val="24"/>
                <w:szCs w:val="24"/>
              </w:rPr>
            </w:pPr>
            <w:r>
              <w:rPr>
                <w:rFonts w:hint="eastAsia"/>
                <w:color w:val="auto"/>
                <w:sz w:val="24"/>
                <w:szCs w:val="24"/>
              </w:rPr>
              <w:sym w:font="Wingdings" w:char="00FE"/>
            </w:r>
            <w:r>
              <w:rPr>
                <w:rFonts w:hint="eastAsia"/>
                <w:color w:val="auto"/>
                <w:sz w:val="24"/>
                <w:szCs w:val="24"/>
              </w:rPr>
              <w:t>采购人按评审报告中推荐的中标候选人排序确定中标人。</w:t>
            </w:r>
          </w:p>
          <w:p w14:paraId="7A84D0CD">
            <w:pPr>
              <w:pStyle w:val="54"/>
              <w:rPr>
                <w:rFonts w:hint="eastAsia"/>
                <w:color w:val="auto"/>
                <w:sz w:val="24"/>
                <w:szCs w:val="24"/>
              </w:rPr>
            </w:pPr>
            <w:r>
              <w:rPr>
                <w:rFonts w:hint="eastAsia"/>
                <w:color w:val="auto"/>
                <w:sz w:val="24"/>
                <w:szCs w:val="24"/>
              </w:rPr>
              <w:sym w:font="Wingdings" w:char="00A8"/>
            </w:r>
            <w:r>
              <w:rPr>
                <w:rFonts w:hint="eastAsia"/>
                <w:color w:val="auto"/>
                <w:sz w:val="24"/>
                <w:szCs w:val="24"/>
              </w:rPr>
              <w:t>采购人委托评标委员会直接确定中标人。</w:t>
            </w:r>
          </w:p>
        </w:tc>
      </w:tr>
      <w:tr w14:paraId="203481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EF30106">
            <w:pPr>
              <w:pStyle w:val="54"/>
              <w:jc w:val="center"/>
              <w:rPr>
                <w:rFonts w:hint="eastAsia"/>
                <w:color w:val="auto"/>
                <w:sz w:val="24"/>
                <w:szCs w:val="24"/>
              </w:rPr>
            </w:pPr>
            <w:r>
              <w:rPr>
                <w:color w:val="auto"/>
                <w:sz w:val="24"/>
                <w:szCs w:val="24"/>
              </w:rPr>
              <w:t>32.1</w:t>
            </w:r>
          </w:p>
        </w:tc>
        <w:tc>
          <w:tcPr>
            <w:tcW w:w="1908" w:type="dxa"/>
            <w:vAlign w:val="center"/>
          </w:tcPr>
          <w:p w14:paraId="5591A3B2">
            <w:pPr>
              <w:pStyle w:val="54"/>
              <w:rPr>
                <w:rFonts w:hint="eastAsia"/>
                <w:color w:val="auto"/>
                <w:sz w:val="24"/>
                <w:szCs w:val="24"/>
              </w:rPr>
            </w:pPr>
            <w:r>
              <w:rPr>
                <w:rFonts w:hint="eastAsia"/>
                <w:color w:val="auto"/>
                <w:sz w:val="24"/>
                <w:szCs w:val="24"/>
              </w:rPr>
              <w:t>中标结果公告</w:t>
            </w:r>
          </w:p>
        </w:tc>
        <w:tc>
          <w:tcPr>
            <w:tcW w:w="5653" w:type="dxa"/>
            <w:vAlign w:val="center"/>
          </w:tcPr>
          <w:p w14:paraId="7ECBE72C">
            <w:pPr>
              <w:pStyle w:val="54"/>
              <w:rPr>
                <w:rFonts w:hint="eastAsia"/>
                <w:color w:val="auto"/>
                <w:sz w:val="24"/>
                <w:szCs w:val="24"/>
              </w:rPr>
            </w:pPr>
            <w:r>
              <w:rPr>
                <w:rFonts w:hint="eastAsia"/>
                <w:color w:val="auto"/>
                <w:sz w:val="24"/>
                <w:szCs w:val="24"/>
              </w:rPr>
              <w:t>公告媒介：云南省政府采购网</w:t>
            </w:r>
          </w:p>
        </w:tc>
      </w:tr>
      <w:tr w14:paraId="2D9E2F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17E4E668">
            <w:pPr>
              <w:pStyle w:val="54"/>
              <w:jc w:val="center"/>
              <w:rPr>
                <w:rFonts w:hint="eastAsia"/>
                <w:color w:val="auto"/>
                <w:sz w:val="24"/>
                <w:szCs w:val="24"/>
              </w:rPr>
            </w:pPr>
            <w:r>
              <w:rPr>
                <w:color w:val="auto"/>
                <w:sz w:val="24"/>
                <w:szCs w:val="24"/>
              </w:rPr>
              <w:t>34.1</w:t>
            </w:r>
          </w:p>
        </w:tc>
        <w:tc>
          <w:tcPr>
            <w:tcW w:w="1908" w:type="dxa"/>
            <w:vAlign w:val="center"/>
          </w:tcPr>
          <w:p w14:paraId="40573ED5">
            <w:pPr>
              <w:pStyle w:val="54"/>
              <w:rPr>
                <w:rFonts w:hint="eastAsia"/>
                <w:color w:val="auto"/>
                <w:sz w:val="24"/>
                <w:szCs w:val="24"/>
              </w:rPr>
            </w:pPr>
            <w:r>
              <w:rPr>
                <w:rFonts w:hint="eastAsia"/>
                <w:color w:val="auto"/>
                <w:sz w:val="24"/>
                <w:szCs w:val="24"/>
              </w:rPr>
              <w:t>履约保证金</w:t>
            </w:r>
          </w:p>
        </w:tc>
        <w:tc>
          <w:tcPr>
            <w:tcW w:w="5653" w:type="dxa"/>
            <w:vAlign w:val="center"/>
          </w:tcPr>
          <w:p w14:paraId="7C648AAD">
            <w:pPr>
              <w:pStyle w:val="54"/>
              <w:rPr>
                <w:rFonts w:hint="eastAsia"/>
                <w:color w:val="auto"/>
              </w:rPr>
            </w:pPr>
            <w:r>
              <w:rPr>
                <w:rFonts w:hint="eastAsia"/>
                <w:color w:val="auto"/>
              </w:rPr>
              <w:sym w:font="Wingdings" w:char="00FE"/>
            </w:r>
            <w:r>
              <w:rPr>
                <w:rFonts w:hint="eastAsia"/>
                <w:color w:val="auto"/>
              </w:rPr>
              <w:t>无</w:t>
            </w:r>
          </w:p>
          <w:p w14:paraId="38290490">
            <w:pPr>
              <w:pStyle w:val="54"/>
              <w:rPr>
                <w:rFonts w:hint="eastAsia"/>
                <w:color w:val="auto"/>
              </w:rPr>
            </w:pPr>
            <w:r>
              <w:rPr>
                <w:rFonts w:hint="eastAsia"/>
                <w:color w:val="auto"/>
              </w:rPr>
              <w:sym w:font="Wingdings" w:char="00A8"/>
            </w:r>
            <w:r>
              <w:rPr>
                <w:rFonts w:hint="eastAsia"/>
                <w:color w:val="auto"/>
              </w:rPr>
              <w:t>有，履约保证金金额：</w:t>
            </w:r>
            <w:r>
              <w:rPr>
                <w:rFonts w:hint="eastAsia"/>
                <w:color w:val="auto"/>
                <w:u w:val="single"/>
              </w:rPr>
              <w:t xml:space="preserve"> /</w:t>
            </w:r>
            <w:r>
              <w:rPr>
                <w:color w:val="auto"/>
                <w:u w:val="single"/>
              </w:rPr>
              <w:t xml:space="preserve"> </w:t>
            </w:r>
            <w:r>
              <w:rPr>
                <w:rFonts w:hint="eastAsia"/>
                <w:color w:val="auto"/>
              </w:rPr>
              <w:t>。</w:t>
            </w:r>
          </w:p>
          <w:p w14:paraId="094B989B">
            <w:pPr>
              <w:pStyle w:val="54"/>
              <w:ind w:firstLine="720" w:firstLineChars="300"/>
              <w:rPr>
                <w:rFonts w:hint="eastAsia"/>
                <w:color w:val="auto"/>
                <w:sz w:val="24"/>
                <w:szCs w:val="24"/>
              </w:rPr>
            </w:pPr>
            <w:r>
              <w:rPr>
                <w:rFonts w:hint="eastAsia"/>
                <w:color w:val="auto"/>
              </w:rPr>
              <w:t>履约担保形式：</w:t>
            </w:r>
            <w:r>
              <w:rPr>
                <w:rFonts w:hint="eastAsia"/>
                <w:color w:val="auto"/>
                <w:u w:val="single"/>
              </w:rPr>
              <w:t>以支票、汇票、本票或者金融机构、担保机构出具的保函等非现金形式提交</w:t>
            </w:r>
            <w:r>
              <w:rPr>
                <w:color w:val="auto"/>
                <w:u w:val="single"/>
              </w:rPr>
              <w:t xml:space="preserve"> </w:t>
            </w:r>
            <w:r>
              <w:rPr>
                <w:rFonts w:hint="eastAsia"/>
                <w:color w:val="auto"/>
              </w:rPr>
              <w:t>。</w:t>
            </w:r>
          </w:p>
        </w:tc>
      </w:tr>
      <w:tr w14:paraId="604EF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C075830">
            <w:pPr>
              <w:pStyle w:val="54"/>
              <w:jc w:val="center"/>
              <w:rPr>
                <w:rFonts w:hint="eastAsia"/>
                <w:color w:val="auto"/>
                <w:sz w:val="24"/>
                <w:szCs w:val="24"/>
              </w:rPr>
            </w:pPr>
            <w:r>
              <w:rPr>
                <w:color w:val="auto"/>
                <w:sz w:val="24"/>
                <w:szCs w:val="24"/>
              </w:rPr>
              <w:t>39.1</w:t>
            </w:r>
          </w:p>
        </w:tc>
        <w:tc>
          <w:tcPr>
            <w:tcW w:w="1908" w:type="dxa"/>
            <w:vAlign w:val="center"/>
          </w:tcPr>
          <w:p w14:paraId="4B5D0D56">
            <w:pPr>
              <w:pStyle w:val="54"/>
              <w:rPr>
                <w:rFonts w:hint="eastAsia"/>
                <w:color w:val="auto"/>
                <w:sz w:val="24"/>
                <w:szCs w:val="24"/>
              </w:rPr>
            </w:pPr>
            <w:r>
              <w:rPr>
                <w:rFonts w:hint="eastAsia"/>
                <w:color w:val="auto"/>
                <w:sz w:val="24"/>
                <w:szCs w:val="24"/>
              </w:rPr>
              <w:t>采购代理服务费收取方式和标准</w:t>
            </w:r>
          </w:p>
        </w:tc>
        <w:tc>
          <w:tcPr>
            <w:tcW w:w="5653" w:type="dxa"/>
            <w:vAlign w:val="center"/>
          </w:tcPr>
          <w:p w14:paraId="0C6925E1">
            <w:pPr>
              <w:pStyle w:val="54"/>
              <w:rPr>
                <w:rFonts w:hint="eastAsia"/>
                <w:color w:val="auto"/>
                <w:sz w:val="24"/>
                <w:szCs w:val="24"/>
              </w:rPr>
            </w:pPr>
            <w:r>
              <w:rPr>
                <w:rFonts w:hint="eastAsia"/>
                <w:color w:val="auto"/>
                <w:sz w:val="24"/>
                <w:szCs w:val="24"/>
              </w:rPr>
              <w:t>根据采购人和采购代理机构签署的委托代理协议书约定：</w:t>
            </w:r>
          </w:p>
          <w:p w14:paraId="77B2C9E2">
            <w:pPr>
              <w:pStyle w:val="54"/>
              <w:rPr>
                <w:rFonts w:hint="eastAsia"/>
                <w:color w:val="auto"/>
                <w:sz w:val="24"/>
                <w:szCs w:val="24"/>
              </w:rPr>
            </w:pPr>
            <w:r>
              <w:rPr>
                <w:rFonts w:hint="eastAsia"/>
                <w:color w:val="auto"/>
                <w:sz w:val="24"/>
                <w:szCs w:val="24"/>
              </w:rPr>
              <w:t>1</w:t>
            </w:r>
            <w:r>
              <w:rPr>
                <w:color w:val="auto"/>
                <w:sz w:val="24"/>
                <w:szCs w:val="24"/>
              </w:rPr>
              <w:t>.</w:t>
            </w:r>
            <w:r>
              <w:rPr>
                <w:rFonts w:hint="eastAsia"/>
                <w:color w:val="auto"/>
                <w:sz w:val="24"/>
                <w:szCs w:val="24"/>
              </w:rPr>
              <w:t>采购代理服务费：</w:t>
            </w:r>
            <w:r>
              <w:rPr>
                <w:rFonts w:hint="eastAsia"/>
                <w:color w:val="auto"/>
                <w:sz w:val="24"/>
                <w:szCs w:val="24"/>
              </w:rPr>
              <w:sym w:font="Wingdings" w:char="00A8"/>
            </w:r>
            <w:r>
              <w:rPr>
                <w:rFonts w:hint="eastAsia"/>
                <w:color w:val="auto"/>
                <w:sz w:val="24"/>
                <w:szCs w:val="24"/>
              </w:rPr>
              <w:t xml:space="preserve">由采购人支付 </w:t>
            </w:r>
            <w:r>
              <w:rPr>
                <w:rFonts w:hint="eastAsia"/>
                <w:color w:val="auto"/>
                <w:sz w:val="24"/>
                <w:szCs w:val="24"/>
              </w:rPr>
              <w:sym w:font="Wingdings" w:char="00FE"/>
            </w:r>
            <w:r>
              <w:rPr>
                <w:rFonts w:hint="eastAsia"/>
                <w:color w:val="auto"/>
                <w:sz w:val="24"/>
                <w:szCs w:val="24"/>
              </w:rPr>
              <w:t xml:space="preserve">由中标人支付 </w:t>
            </w:r>
          </w:p>
          <w:p w14:paraId="183B079A">
            <w:pPr>
              <w:pStyle w:val="54"/>
              <w:rPr>
                <w:rFonts w:hint="eastAsia" w:ascii="宋体" w:hAnsi="宋体" w:eastAsia="宋体"/>
                <w:color w:val="auto"/>
                <w:sz w:val="24"/>
                <w:szCs w:val="24"/>
                <w:lang w:val="en-US" w:eastAsia="zh-CN"/>
              </w:rPr>
            </w:pPr>
            <w:r>
              <w:rPr>
                <w:rFonts w:hint="eastAsia"/>
                <w:color w:val="auto"/>
                <w:sz w:val="24"/>
                <w:szCs w:val="24"/>
              </w:rPr>
              <w:t>2.支付标准</w:t>
            </w:r>
            <w:r>
              <w:rPr>
                <w:rFonts w:hint="eastAsia" w:ascii="宋体" w:hAnsi="宋体" w:eastAsia="宋体"/>
                <w:color w:val="auto"/>
                <w:sz w:val="24"/>
                <w:szCs w:val="24"/>
              </w:rPr>
              <w:t>：</w:t>
            </w:r>
            <w:r>
              <w:rPr>
                <w:rFonts w:hint="eastAsia" w:ascii="宋体" w:hAnsi="宋体" w:eastAsia="宋体"/>
                <w:color w:val="auto"/>
                <w:sz w:val="24"/>
                <w:szCs w:val="24"/>
                <w:lang w:val="en-US" w:eastAsia="zh-CN"/>
              </w:rPr>
              <w:t>根据《云南省建设工程招标代理服务收费参考意见》（云建招协〔2024〕58号）文件</w:t>
            </w:r>
            <w:r>
              <w:rPr>
                <w:rFonts w:hint="eastAsia"/>
                <w:color w:val="auto"/>
                <w:sz w:val="24"/>
                <w:szCs w:val="24"/>
                <w:lang w:val="en-US" w:eastAsia="zh-CN"/>
              </w:rPr>
              <w:t>服务类</w:t>
            </w:r>
            <w:r>
              <w:rPr>
                <w:rFonts w:hint="eastAsia" w:ascii="宋体" w:hAnsi="宋体" w:eastAsia="宋体"/>
                <w:color w:val="auto"/>
                <w:sz w:val="24"/>
                <w:szCs w:val="24"/>
                <w:lang w:val="en-US" w:eastAsia="zh-CN"/>
              </w:rPr>
              <w:t>的规定下浮</w:t>
            </w:r>
            <w:r>
              <w:rPr>
                <w:rFonts w:hint="eastAsia"/>
                <w:color w:val="auto"/>
                <w:sz w:val="24"/>
                <w:szCs w:val="24"/>
                <w:lang w:val="en-US" w:eastAsia="zh-CN"/>
              </w:rPr>
              <w:t>35</w:t>
            </w:r>
            <w:r>
              <w:rPr>
                <w:rFonts w:hint="eastAsia" w:ascii="宋体" w:hAnsi="宋体" w:eastAsia="宋体"/>
                <w:color w:val="auto"/>
                <w:sz w:val="24"/>
                <w:szCs w:val="24"/>
                <w:lang w:val="en-US" w:eastAsia="zh-CN"/>
              </w:rPr>
              <w:t>%收取。</w:t>
            </w:r>
          </w:p>
          <w:p w14:paraId="54A45A43">
            <w:pPr>
              <w:pStyle w:val="54"/>
              <w:rPr>
                <w:rFonts w:hint="eastAsia"/>
                <w:color w:val="auto"/>
                <w:sz w:val="24"/>
                <w:szCs w:val="24"/>
              </w:rPr>
            </w:pPr>
            <w:r>
              <w:rPr>
                <w:rFonts w:hint="eastAsia"/>
                <w:color w:val="auto"/>
                <w:sz w:val="24"/>
                <w:szCs w:val="24"/>
              </w:rPr>
              <w:t>3.支付时间：领取中标通知书前</w:t>
            </w:r>
          </w:p>
          <w:p w14:paraId="00748D8A">
            <w:pPr>
              <w:pStyle w:val="54"/>
              <w:rPr>
                <w:rFonts w:hint="eastAsia"/>
                <w:color w:val="auto"/>
                <w:sz w:val="24"/>
                <w:szCs w:val="24"/>
              </w:rPr>
            </w:pPr>
            <w:r>
              <w:rPr>
                <w:rFonts w:hint="eastAsia"/>
                <w:color w:val="auto"/>
                <w:sz w:val="24"/>
                <w:szCs w:val="24"/>
              </w:rPr>
              <w:t>4.支付方式：不限</w:t>
            </w:r>
            <w:r>
              <w:rPr>
                <w:color w:val="auto"/>
                <w:sz w:val="24"/>
                <w:szCs w:val="24"/>
              </w:rPr>
              <w:t xml:space="preserve"> </w:t>
            </w:r>
          </w:p>
        </w:tc>
      </w:tr>
      <w:tr w14:paraId="3CB1F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28937FD">
            <w:pPr>
              <w:pStyle w:val="54"/>
              <w:jc w:val="center"/>
              <w:rPr>
                <w:rFonts w:hint="eastAsia"/>
                <w:color w:val="auto"/>
                <w:sz w:val="24"/>
                <w:szCs w:val="24"/>
              </w:rPr>
            </w:pPr>
            <w:r>
              <w:rPr>
                <w:rFonts w:hint="eastAsia"/>
                <w:color w:val="auto"/>
                <w:sz w:val="24"/>
                <w:szCs w:val="24"/>
              </w:rPr>
              <w:t>4</w:t>
            </w:r>
            <w:r>
              <w:rPr>
                <w:color w:val="auto"/>
                <w:sz w:val="24"/>
                <w:szCs w:val="24"/>
              </w:rPr>
              <w:t>2.1</w:t>
            </w:r>
          </w:p>
        </w:tc>
        <w:tc>
          <w:tcPr>
            <w:tcW w:w="1908" w:type="dxa"/>
            <w:vAlign w:val="center"/>
          </w:tcPr>
          <w:p w14:paraId="29BE23B6">
            <w:pPr>
              <w:pStyle w:val="54"/>
              <w:rPr>
                <w:rFonts w:hint="eastAsia"/>
                <w:color w:val="auto"/>
                <w:sz w:val="24"/>
                <w:szCs w:val="24"/>
              </w:rPr>
            </w:pPr>
            <w:r>
              <w:rPr>
                <w:rFonts w:hint="eastAsia" w:cs="仿宋_GB2312"/>
                <w:color w:val="auto"/>
                <w:sz w:val="24"/>
                <w:szCs w:val="24"/>
                <w:lang w:val="zh-CN"/>
              </w:rPr>
              <w:t>是否接受进口产品</w:t>
            </w:r>
          </w:p>
        </w:tc>
        <w:tc>
          <w:tcPr>
            <w:tcW w:w="5653" w:type="dxa"/>
            <w:vAlign w:val="center"/>
          </w:tcPr>
          <w:p w14:paraId="490BE8C4">
            <w:pPr>
              <w:pStyle w:val="54"/>
              <w:rPr>
                <w:rFonts w:hint="eastAsia" w:cs="仿宋_GB2312"/>
                <w:color w:val="auto"/>
                <w:sz w:val="24"/>
                <w:szCs w:val="24"/>
              </w:rPr>
            </w:pPr>
            <w:r>
              <w:rPr>
                <w:rFonts w:hint="eastAsia" w:cs="仿宋_GB2312"/>
                <w:color w:val="auto"/>
                <w:sz w:val="24"/>
                <w:szCs w:val="24"/>
              </w:rPr>
              <w:sym w:font="Wingdings" w:char="00FE"/>
            </w:r>
            <w:r>
              <w:rPr>
                <w:rFonts w:cs="仿宋_GB2312"/>
                <w:color w:val="auto"/>
                <w:sz w:val="24"/>
                <w:szCs w:val="24"/>
              </w:rPr>
              <w:t>不接受</w:t>
            </w:r>
          </w:p>
          <w:p w14:paraId="0EE8238F">
            <w:pPr>
              <w:pStyle w:val="54"/>
              <w:rPr>
                <w:rFonts w:hint="eastAsia"/>
                <w:color w:val="auto"/>
                <w:sz w:val="24"/>
                <w:szCs w:val="24"/>
              </w:rPr>
            </w:pPr>
            <w:r>
              <w:rPr>
                <w:rFonts w:hint="eastAsia" w:cs="仿宋_GB2312"/>
                <w:color w:val="auto"/>
                <w:sz w:val="24"/>
                <w:szCs w:val="24"/>
              </w:rPr>
              <w:sym w:font="Wingdings" w:char="00A8"/>
            </w:r>
            <w:r>
              <w:rPr>
                <w:rFonts w:hint="eastAsia" w:cs="仿宋_GB2312"/>
                <w:color w:val="auto"/>
                <w:sz w:val="24"/>
                <w:szCs w:val="24"/>
                <w:lang w:val="zh-CN"/>
              </w:rPr>
              <w:t>接受</w:t>
            </w:r>
          </w:p>
        </w:tc>
      </w:tr>
      <w:tr w14:paraId="46713C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2DF5CC39">
            <w:pPr>
              <w:pStyle w:val="54"/>
              <w:rPr>
                <w:rFonts w:hint="eastAsia"/>
                <w:color w:val="auto"/>
                <w:sz w:val="24"/>
                <w:szCs w:val="24"/>
              </w:rPr>
            </w:pPr>
            <w:r>
              <w:rPr>
                <w:color w:val="auto"/>
                <w:sz w:val="24"/>
                <w:szCs w:val="24"/>
              </w:rPr>
              <w:t>43.1</w:t>
            </w:r>
          </w:p>
        </w:tc>
        <w:tc>
          <w:tcPr>
            <w:tcW w:w="1908" w:type="dxa"/>
            <w:vAlign w:val="center"/>
          </w:tcPr>
          <w:p w14:paraId="60B63F0A">
            <w:pPr>
              <w:pStyle w:val="54"/>
              <w:rPr>
                <w:rFonts w:hint="eastAsia"/>
                <w:color w:val="auto"/>
                <w:sz w:val="24"/>
                <w:szCs w:val="24"/>
              </w:rPr>
            </w:pPr>
            <w:r>
              <w:rPr>
                <w:rFonts w:hint="eastAsia"/>
                <w:color w:val="auto"/>
                <w:sz w:val="24"/>
                <w:szCs w:val="24"/>
              </w:rPr>
              <w:t>支持中小企业政策</w:t>
            </w:r>
          </w:p>
        </w:tc>
        <w:tc>
          <w:tcPr>
            <w:tcW w:w="5653" w:type="dxa"/>
            <w:vAlign w:val="center"/>
          </w:tcPr>
          <w:p w14:paraId="13E44FA9">
            <w:pPr>
              <w:pStyle w:val="54"/>
              <w:rPr>
                <w:rFonts w:hint="eastAsia"/>
                <w:color w:val="auto"/>
                <w:sz w:val="24"/>
                <w:szCs w:val="24"/>
              </w:rPr>
            </w:pPr>
            <w:r>
              <w:rPr>
                <w:rFonts w:hint="eastAsia"/>
                <w:color w:val="auto"/>
                <w:sz w:val="24"/>
                <w:szCs w:val="24"/>
              </w:rPr>
              <w:sym w:font="Wingdings" w:char="00FE"/>
            </w:r>
            <w:r>
              <w:rPr>
                <w:rFonts w:hint="eastAsia"/>
                <w:color w:val="auto"/>
                <w:sz w:val="24"/>
                <w:szCs w:val="24"/>
              </w:rPr>
              <w:t>非专门面向中小企业的项目</w:t>
            </w:r>
          </w:p>
          <w:p w14:paraId="4E6CB137">
            <w:pPr>
              <w:pStyle w:val="54"/>
              <w:rPr>
                <w:rFonts w:hint="eastAsia"/>
                <w:color w:val="auto"/>
                <w:sz w:val="24"/>
                <w:szCs w:val="24"/>
              </w:rPr>
            </w:pPr>
            <w:r>
              <w:rPr>
                <w:rFonts w:hint="eastAsia"/>
                <w:color w:val="auto"/>
                <w:sz w:val="24"/>
                <w:szCs w:val="24"/>
              </w:rPr>
              <w:t>1.对于未预留份额专门面向中小企业采购的采购项目，以及预留份额项目中的非预留部分采购包，对小微企业报价给予比例扣除，价格扣除比例为：</w:t>
            </w:r>
            <w:r>
              <w:rPr>
                <w:rFonts w:hint="eastAsia"/>
                <w:color w:val="auto"/>
                <w:sz w:val="24"/>
                <w:szCs w:val="24"/>
                <w:u w:val="single"/>
              </w:rPr>
              <w:t>10%</w:t>
            </w:r>
            <w:r>
              <w:rPr>
                <w:rFonts w:hint="eastAsia"/>
                <w:color w:val="auto"/>
                <w:sz w:val="24"/>
                <w:szCs w:val="24"/>
              </w:rPr>
              <w:t>（货物服务1</w:t>
            </w:r>
            <w:r>
              <w:rPr>
                <w:color w:val="auto"/>
                <w:sz w:val="24"/>
                <w:szCs w:val="24"/>
              </w:rPr>
              <w:t>0%-20%</w:t>
            </w:r>
            <w:r>
              <w:rPr>
                <w:rFonts w:hint="eastAsia"/>
                <w:color w:val="auto"/>
                <w:sz w:val="24"/>
                <w:szCs w:val="24"/>
              </w:rPr>
              <w:t>）；</w:t>
            </w:r>
          </w:p>
          <w:p w14:paraId="232C67AA">
            <w:pPr>
              <w:pStyle w:val="54"/>
              <w:rPr>
                <w:rFonts w:hint="eastAsia"/>
                <w:color w:val="auto"/>
                <w:sz w:val="24"/>
                <w:szCs w:val="24"/>
              </w:rPr>
            </w:pPr>
            <w:r>
              <w:rPr>
                <w:rFonts w:hint="eastAsia"/>
                <w:color w:val="auto"/>
                <w:sz w:val="24"/>
                <w:szCs w:val="24"/>
              </w:rPr>
              <w:t>2.接受大中型企业与小微企业组成联合体或者允许大中型企业向一家或者多家小微企业分包的采购项目，对于联合协议或者分包意向协议约定小微企业的合同份额占到合同总金额</w:t>
            </w:r>
            <w:r>
              <w:rPr>
                <w:color w:val="auto"/>
                <w:sz w:val="24"/>
                <w:szCs w:val="24"/>
              </w:rPr>
              <w:t>4</w:t>
            </w:r>
            <w:r>
              <w:rPr>
                <w:rFonts w:hint="eastAsia"/>
                <w:color w:val="auto"/>
                <w:sz w:val="24"/>
                <w:szCs w:val="24"/>
              </w:rPr>
              <w:t>0%以上的，对联合体或者大中型企业的报价给予比例扣除，价格扣除比例为：</w:t>
            </w:r>
            <w:r>
              <w:rPr>
                <w:rFonts w:hint="eastAsia"/>
                <w:color w:val="auto"/>
                <w:sz w:val="24"/>
                <w:szCs w:val="24"/>
                <w:u w:val="single"/>
              </w:rPr>
              <w:t>4%</w:t>
            </w:r>
            <w:r>
              <w:rPr>
                <w:rFonts w:hint="eastAsia"/>
                <w:color w:val="auto"/>
                <w:sz w:val="24"/>
                <w:szCs w:val="24"/>
              </w:rPr>
              <w:t>（货物服务</w:t>
            </w:r>
            <w:r>
              <w:rPr>
                <w:color w:val="auto"/>
                <w:sz w:val="24"/>
                <w:szCs w:val="24"/>
              </w:rPr>
              <w:t>4%-6%</w:t>
            </w:r>
            <w:r>
              <w:rPr>
                <w:rFonts w:hint="eastAsia"/>
                <w:color w:val="auto"/>
                <w:sz w:val="24"/>
                <w:szCs w:val="24"/>
              </w:rPr>
              <w:t>）；</w:t>
            </w:r>
          </w:p>
          <w:p w14:paraId="74A93E3F">
            <w:pPr>
              <w:pStyle w:val="54"/>
              <w:rPr>
                <w:rFonts w:hint="eastAsia"/>
                <w:color w:val="auto"/>
                <w:sz w:val="24"/>
                <w:szCs w:val="24"/>
              </w:rPr>
            </w:pPr>
            <w:r>
              <w:rPr>
                <w:rFonts w:hint="eastAsia"/>
                <w:color w:val="auto"/>
                <w:sz w:val="24"/>
                <w:szCs w:val="24"/>
              </w:rPr>
              <w:t>3</w:t>
            </w:r>
            <w:r>
              <w:rPr>
                <w:color w:val="auto"/>
                <w:sz w:val="24"/>
                <w:szCs w:val="24"/>
              </w:rPr>
              <w:t>.</w:t>
            </w:r>
            <w:r>
              <w:rPr>
                <w:rFonts w:hint="eastAsia"/>
                <w:color w:val="auto"/>
                <w:sz w:val="24"/>
                <w:szCs w:val="24"/>
              </w:rPr>
              <w:t>中小企业应当提供《中小企业声明函》（详见本招标文件第七章 响应文件格式），否则在评审时不享受上述评审优惠。</w:t>
            </w:r>
          </w:p>
          <w:p w14:paraId="207AFB99">
            <w:pPr>
              <w:pStyle w:val="54"/>
              <w:rPr>
                <w:rFonts w:hint="eastAsia"/>
                <w:color w:val="auto"/>
                <w:sz w:val="24"/>
                <w:szCs w:val="24"/>
              </w:rPr>
            </w:pPr>
            <w:r>
              <w:rPr>
                <w:rFonts w:hint="eastAsia"/>
                <w:color w:val="auto"/>
                <w:sz w:val="24"/>
                <w:szCs w:val="24"/>
              </w:rPr>
              <w:sym w:font="Wingdings" w:char="00A8"/>
            </w:r>
            <w:r>
              <w:rPr>
                <w:rFonts w:hint="eastAsia"/>
                <w:color w:val="auto"/>
                <w:sz w:val="24"/>
                <w:szCs w:val="24"/>
              </w:rPr>
              <w:t>专门面向中小企业的项目</w:t>
            </w:r>
          </w:p>
          <w:p w14:paraId="75CF422F">
            <w:pPr>
              <w:pStyle w:val="54"/>
              <w:rPr>
                <w:rFonts w:hint="eastAsia"/>
                <w:color w:val="auto"/>
                <w:sz w:val="24"/>
                <w:szCs w:val="24"/>
              </w:rPr>
            </w:pPr>
            <w:r>
              <w:rPr>
                <w:rFonts w:hint="eastAsia"/>
                <w:color w:val="auto"/>
                <w:sz w:val="24"/>
                <w:szCs w:val="24"/>
              </w:rPr>
              <w:t>专门面向中小企业采购标的内容：</w:t>
            </w:r>
            <w:r>
              <w:rPr>
                <w:rFonts w:hint="eastAsia"/>
                <w:color w:val="auto"/>
                <w:sz w:val="24"/>
                <w:szCs w:val="24"/>
                <w:u w:val="single"/>
              </w:rPr>
              <w:t xml:space="preserve"> </w:t>
            </w:r>
            <w:r>
              <w:rPr>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rFonts w:hint="eastAsia"/>
                <w:color w:val="auto"/>
                <w:sz w:val="24"/>
                <w:szCs w:val="24"/>
              </w:rPr>
              <w:t>。</w:t>
            </w:r>
          </w:p>
          <w:p w14:paraId="580E9014">
            <w:pPr>
              <w:pStyle w:val="54"/>
              <w:rPr>
                <w:rFonts w:hint="eastAsia"/>
                <w:color w:val="auto"/>
                <w:sz w:val="24"/>
                <w:szCs w:val="24"/>
              </w:rPr>
            </w:pPr>
            <w:r>
              <w:rPr>
                <w:rFonts w:hint="eastAsia"/>
                <w:color w:val="auto"/>
                <w:sz w:val="24"/>
                <w:szCs w:val="24"/>
              </w:rPr>
              <w:t>专门面向中小企业采购预算金额：</w:t>
            </w:r>
            <w:r>
              <w:rPr>
                <w:rFonts w:hint="eastAsia"/>
                <w:color w:val="auto"/>
                <w:sz w:val="24"/>
                <w:szCs w:val="24"/>
                <w:u w:val="single"/>
              </w:rPr>
              <w:t xml:space="preserve"> </w:t>
            </w:r>
            <w:r>
              <w:rPr>
                <w:rFonts w:hint="eastAsia"/>
                <w:color w:val="auto"/>
                <w:sz w:val="24"/>
                <w:szCs w:val="24"/>
                <w:u w:val="single"/>
                <w:lang w:val="en-US" w:eastAsia="zh-CN"/>
              </w:rPr>
              <w:t xml:space="preserve">          </w:t>
            </w:r>
            <w:r>
              <w:rPr>
                <w:color w:val="auto"/>
                <w:sz w:val="24"/>
                <w:szCs w:val="24"/>
                <w:u w:val="single"/>
              </w:rPr>
              <w:t xml:space="preserve">    </w:t>
            </w:r>
            <w:r>
              <w:rPr>
                <w:rFonts w:hint="eastAsia"/>
                <w:color w:val="auto"/>
                <w:sz w:val="24"/>
                <w:szCs w:val="24"/>
              </w:rPr>
              <w:t>。</w:t>
            </w:r>
          </w:p>
        </w:tc>
      </w:tr>
      <w:tr w14:paraId="077DE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right w:val="single" w:color="auto" w:sz="4" w:space="0"/>
            </w:tcBorders>
            <w:vAlign w:val="center"/>
          </w:tcPr>
          <w:p w14:paraId="28B4181F">
            <w:pPr>
              <w:pStyle w:val="54"/>
              <w:jc w:val="center"/>
              <w:rPr>
                <w:rFonts w:hint="eastAsia"/>
                <w:color w:val="auto"/>
                <w:sz w:val="24"/>
                <w:szCs w:val="24"/>
              </w:rPr>
            </w:pPr>
            <w:r>
              <w:rPr>
                <w:rFonts w:hint="eastAsia"/>
                <w:color w:val="auto"/>
                <w:sz w:val="24"/>
                <w:szCs w:val="24"/>
              </w:rPr>
              <w:t>4</w:t>
            </w:r>
            <w:r>
              <w:rPr>
                <w:color w:val="auto"/>
                <w:sz w:val="24"/>
                <w:szCs w:val="24"/>
              </w:rPr>
              <w:t>5.1</w:t>
            </w:r>
          </w:p>
        </w:tc>
        <w:tc>
          <w:tcPr>
            <w:tcW w:w="1908" w:type="dxa"/>
            <w:tcBorders>
              <w:left w:val="single" w:color="auto" w:sz="4" w:space="0"/>
              <w:right w:val="single" w:color="auto" w:sz="4" w:space="0"/>
            </w:tcBorders>
            <w:vAlign w:val="center"/>
          </w:tcPr>
          <w:p w14:paraId="72CFB7DD">
            <w:pPr>
              <w:pStyle w:val="54"/>
              <w:rPr>
                <w:rFonts w:hint="eastAsia"/>
                <w:color w:val="auto"/>
                <w:sz w:val="24"/>
                <w:szCs w:val="24"/>
              </w:rPr>
            </w:pPr>
            <w:r>
              <w:rPr>
                <w:rFonts w:hint="eastAsia"/>
                <w:color w:val="auto"/>
                <w:sz w:val="24"/>
                <w:szCs w:val="24"/>
              </w:rPr>
              <w:t>政府采购</w:t>
            </w:r>
          </w:p>
          <w:p w14:paraId="76832487">
            <w:pPr>
              <w:pStyle w:val="54"/>
              <w:rPr>
                <w:rFonts w:hint="eastAsia"/>
                <w:color w:val="auto"/>
                <w:sz w:val="24"/>
                <w:szCs w:val="24"/>
              </w:rPr>
            </w:pPr>
            <w:r>
              <w:rPr>
                <w:rFonts w:hint="eastAsia"/>
                <w:color w:val="auto"/>
                <w:sz w:val="24"/>
                <w:szCs w:val="24"/>
              </w:rPr>
              <w:t>合同融资政策</w:t>
            </w:r>
          </w:p>
        </w:tc>
        <w:tc>
          <w:tcPr>
            <w:tcW w:w="5653" w:type="dxa"/>
            <w:tcBorders>
              <w:left w:val="single" w:color="auto" w:sz="4" w:space="0"/>
            </w:tcBorders>
            <w:vAlign w:val="center"/>
          </w:tcPr>
          <w:p w14:paraId="1F7927E4">
            <w:pPr>
              <w:pStyle w:val="54"/>
              <w:rPr>
                <w:rFonts w:hint="eastAsia"/>
                <w:color w:val="auto"/>
                <w:sz w:val="24"/>
                <w:szCs w:val="24"/>
              </w:rPr>
            </w:pPr>
            <w:r>
              <w:rPr>
                <w:rFonts w:hint="eastAsia"/>
                <w:color w:val="auto"/>
                <w:sz w:val="24"/>
                <w:szCs w:val="24"/>
              </w:rPr>
              <w:t>政府采购合同融资（以下简称“政采贷”）指参与政府采购活动的中小微企业，在获得政府采购中标（成交）通知书后，即可向开展“政采贷”业务的金融机构提出申请，金融机构依据政府采购中标（成交）通知书和政府采购合同，为中小微企业提供融资服务。</w:t>
            </w:r>
          </w:p>
          <w:p w14:paraId="028FF335">
            <w:pPr>
              <w:pStyle w:val="54"/>
              <w:rPr>
                <w:rFonts w:hint="eastAsia"/>
                <w:color w:val="auto"/>
                <w:sz w:val="24"/>
                <w:szCs w:val="24"/>
              </w:rPr>
            </w:pPr>
            <w:r>
              <w:rPr>
                <w:rFonts w:hint="eastAsia"/>
                <w:color w:val="auto"/>
                <w:sz w:val="24"/>
                <w:szCs w:val="24"/>
              </w:rPr>
              <w:t>渠道和方式：中标供应商可联系昆明市晋宁区财政局咨询有关业务，联系电话0871-67896932。</w:t>
            </w:r>
          </w:p>
        </w:tc>
      </w:tr>
      <w:tr w14:paraId="6763A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right w:val="single" w:color="auto" w:sz="4" w:space="0"/>
            </w:tcBorders>
            <w:vAlign w:val="center"/>
          </w:tcPr>
          <w:p w14:paraId="6125B7E7">
            <w:pPr>
              <w:pStyle w:val="54"/>
              <w:jc w:val="center"/>
              <w:rPr>
                <w:rFonts w:hint="eastAsia"/>
                <w:color w:val="auto"/>
                <w:sz w:val="24"/>
                <w:szCs w:val="24"/>
              </w:rPr>
            </w:pPr>
            <w:r>
              <w:rPr>
                <w:rFonts w:hint="eastAsia"/>
                <w:color w:val="auto"/>
                <w:sz w:val="24"/>
                <w:szCs w:val="24"/>
              </w:rPr>
              <w:t>4</w:t>
            </w:r>
            <w:r>
              <w:rPr>
                <w:color w:val="auto"/>
                <w:sz w:val="24"/>
                <w:szCs w:val="24"/>
              </w:rPr>
              <w:t>6.1</w:t>
            </w:r>
          </w:p>
        </w:tc>
        <w:tc>
          <w:tcPr>
            <w:tcW w:w="1908" w:type="dxa"/>
            <w:tcBorders>
              <w:right w:val="single" w:color="auto" w:sz="4" w:space="0"/>
            </w:tcBorders>
            <w:vAlign w:val="center"/>
          </w:tcPr>
          <w:p w14:paraId="2727F300">
            <w:pPr>
              <w:pStyle w:val="54"/>
              <w:rPr>
                <w:rFonts w:hint="eastAsia"/>
                <w:color w:val="auto"/>
                <w:sz w:val="24"/>
                <w:szCs w:val="24"/>
              </w:rPr>
            </w:pPr>
            <w:r>
              <w:rPr>
                <w:rFonts w:hint="eastAsia"/>
                <w:color w:val="auto"/>
                <w:sz w:val="24"/>
                <w:szCs w:val="24"/>
              </w:rPr>
              <w:t>需要补充的其他内容</w:t>
            </w:r>
          </w:p>
        </w:tc>
        <w:tc>
          <w:tcPr>
            <w:tcW w:w="5653" w:type="dxa"/>
            <w:tcBorders>
              <w:left w:val="single" w:color="auto" w:sz="4" w:space="0"/>
            </w:tcBorders>
            <w:vAlign w:val="center"/>
          </w:tcPr>
          <w:p w14:paraId="5C5BFA6D">
            <w:pPr>
              <w:pStyle w:val="54"/>
              <w:rPr>
                <w:rFonts w:hint="eastAsia"/>
                <w:color w:val="auto"/>
                <w:sz w:val="24"/>
                <w:szCs w:val="24"/>
              </w:rPr>
            </w:pPr>
            <w:r>
              <w:rPr>
                <w:rFonts w:hint="eastAsia" w:ascii="宋体" w:hAnsi="宋体" w:eastAsia="宋体" w:cs="宋体"/>
                <w:color w:val="auto"/>
                <w:lang w:val="en-US" w:eastAsia="zh-CN"/>
              </w:rPr>
              <w:t>1.为支持和促进中小企业发展，进一步发挥政府采购政策功能，鼓励</w:t>
            </w:r>
            <w:r>
              <w:rPr>
                <w:rFonts w:hint="eastAsia" w:cs="宋体"/>
                <w:color w:val="auto"/>
                <w:lang w:val="en-US" w:eastAsia="zh-CN"/>
              </w:rPr>
              <w:t>投标供应商</w:t>
            </w:r>
            <w:r>
              <w:rPr>
                <w:rFonts w:hint="eastAsia" w:ascii="宋体" w:hAnsi="宋体" w:eastAsia="宋体" w:cs="宋体"/>
                <w:color w:val="auto"/>
                <w:lang w:val="en-US" w:eastAsia="zh-CN"/>
              </w:rPr>
              <w:t>使用电子保险/保函替代投标、履约保证金，支持中标人基于中标项目进行合同融资。申请人可登录【云南省政府采购金融服务支撑平台】进行了解办理或致电95763，如您有紧急需求的可联系13732226998（谢工）。直达链接：https://jinrong.zcygov.cn/luban/finance/yunnan</w:t>
            </w:r>
          </w:p>
          <w:p w14:paraId="6AAE234E">
            <w:pPr>
              <w:pStyle w:val="54"/>
              <w:rPr>
                <w:rFonts w:hint="default" w:eastAsia="宋体"/>
                <w:color w:val="auto"/>
                <w:sz w:val="24"/>
                <w:szCs w:val="24"/>
                <w:lang w:val="en-US" w:eastAsia="zh-CN"/>
              </w:rPr>
            </w:pPr>
            <w:r>
              <w:rPr>
                <w:rFonts w:hint="eastAsia"/>
                <w:color w:val="auto"/>
                <w:sz w:val="24"/>
                <w:szCs w:val="24"/>
                <w:lang w:val="en-US" w:eastAsia="zh-CN"/>
              </w:rPr>
              <w:t>2</w:t>
            </w:r>
            <w:r>
              <w:rPr>
                <w:rFonts w:hint="eastAsia"/>
                <w:color w:val="auto"/>
                <w:sz w:val="24"/>
                <w:szCs w:val="24"/>
              </w:rPr>
              <w:t>.</w:t>
            </w:r>
            <w:r>
              <w:rPr>
                <w:color w:val="auto"/>
                <w:sz w:val="24"/>
                <w:szCs w:val="24"/>
              </w:rPr>
              <w:t>合同签订前，中标单位必须在</w:t>
            </w:r>
            <w:r>
              <w:rPr>
                <w:rFonts w:hint="eastAsia"/>
                <w:color w:val="auto"/>
                <w:sz w:val="24"/>
                <w:szCs w:val="24"/>
              </w:rPr>
              <w:t>政采云网</w:t>
            </w:r>
            <w:r>
              <w:rPr>
                <w:color w:val="auto"/>
                <w:sz w:val="24"/>
                <w:szCs w:val="24"/>
              </w:rPr>
              <w:t>上完成供应商注册，以方便合同备案。</w:t>
            </w:r>
          </w:p>
          <w:p w14:paraId="5838D0E9">
            <w:pPr>
              <w:pStyle w:val="54"/>
              <w:rPr>
                <w:rFonts w:hint="eastAsia"/>
                <w:color w:val="auto"/>
                <w:sz w:val="24"/>
                <w:szCs w:val="24"/>
              </w:rPr>
            </w:pPr>
            <w:r>
              <w:rPr>
                <w:rFonts w:hint="eastAsia"/>
                <w:color w:val="auto"/>
                <w:sz w:val="24"/>
                <w:szCs w:val="24"/>
                <w:lang w:val="en-US" w:eastAsia="zh-CN"/>
              </w:rPr>
              <w:t>3</w:t>
            </w:r>
            <w:r>
              <w:rPr>
                <w:rFonts w:hint="eastAsia"/>
                <w:color w:val="auto"/>
                <w:sz w:val="24"/>
                <w:szCs w:val="24"/>
              </w:rPr>
              <w:t>.本采购项目不收取投标保证金。</w:t>
            </w:r>
          </w:p>
          <w:p w14:paraId="2BB59CA6">
            <w:pPr>
              <w:pStyle w:val="11"/>
              <w:rPr>
                <w:rFonts w:hint="eastAsia" w:ascii="宋体" w:hAnsi="宋体" w:eastAsia="宋体" w:cstheme="minorBidi"/>
                <w:color w:val="auto"/>
                <w:kern w:val="2"/>
                <w:sz w:val="24"/>
                <w:szCs w:val="24"/>
                <w:lang w:val="en-US" w:eastAsia="zh-CN" w:bidi="ar-SA"/>
              </w:rPr>
            </w:pPr>
            <w:r>
              <w:rPr>
                <w:rFonts w:hint="eastAsia"/>
                <w:color w:val="auto"/>
                <w:sz w:val="24"/>
                <w:szCs w:val="24"/>
                <w:lang w:val="en-US" w:eastAsia="zh-CN"/>
              </w:rPr>
              <w:t>4</w:t>
            </w:r>
            <w:r>
              <w:rPr>
                <w:rFonts w:hint="eastAsia"/>
                <w:color w:val="auto"/>
                <w:sz w:val="24"/>
                <w:szCs w:val="24"/>
              </w:rPr>
              <w:t>.</w:t>
            </w:r>
            <w:r>
              <w:rPr>
                <w:rFonts w:hint="eastAsia" w:ascii="宋体" w:hAnsi="宋体" w:eastAsia="宋体" w:cstheme="minorBidi"/>
                <w:color w:val="auto"/>
                <w:kern w:val="2"/>
                <w:sz w:val="24"/>
                <w:szCs w:val="24"/>
                <w:lang w:val="en-US" w:eastAsia="zh-CN" w:bidi="ar-SA"/>
              </w:rPr>
              <w:t>本项目标的行业划分为：</w:t>
            </w:r>
            <w:r>
              <w:rPr>
                <w:rFonts w:hint="eastAsia" w:ascii="宋体" w:hAnsi="宋体" w:eastAsia="宋体" w:cstheme="minorBidi"/>
                <w:color w:val="auto"/>
                <w:kern w:val="2"/>
                <w:sz w:val="24"/>
                <w:szCs w:val="24"/>
                <w:u w:val="single"/>
                <w:lang w:val="en-US" w:eastAsia="zh-CN" w:bidi="ar-SA"/>
              </w:rPr>
              <w:t>软件和信息技术服务业</w:t>
            </w:r>
            <w:r>
              <w:rPr>
                <w:rFonts w:hint="eastAsia" w:ascii="宋体" w:hAnsi="宋体" w:eastAsia="宋体" w:cstheme="minorBidi"/>
                <w:color w:val="auto"/>
                <w:kern w:val="2"/>
                <w:sz w:val="24"/>
                <w:szCs w:val="24"/>
                <w:lang w:val="en-US" w:eastAsia="zh-CN" w:bidi="ar-SA"/>
              </w:rPr>
              <w:t xml:space="preserve">。 </w:t>
            </w:r>
          </w:p>
          <w:p w14:paraId="77B8B492">
            <w:pPr>
              <w:pStyle w:val="54"/>
              <w:rPr>
                <w:rFonts w:hint="eastAsia"/>
                <w:b/>
                <w:bCs/>
                <w:color w:val="auto"/>
                <w:sz w:val="24"/>
                <w:szCs w:val="24"/>
                <w:u w:val="single"/>
              </w:rPr>
            </w:pPr>
            <w:r>
              <w:rPr>
                <w:rFonts w:hint="eastAsia"/>
                <w:color w:val="auto"/>
                <w:sz w:val="24"/>
                <w:szCs w:val="24"/>
                <w:lang w:val="en-US" w:eastAsia="zh-CN"/>
              </w:rPr>
              <w:t>5</w:t>
            </w:r>
            <w:r>
              <w:rPr>
                <w:rFonts w:hint="eastAsia"/>
                <w:color w:val="auto"/>
                <w:sz w:val="24"/>
                <w:szCs w:val="24"/>
              </w:rPr>
              <w:t>.本项目评标委员会组成：由采购人代表和云南省政府采购评标专家库随机抽取的评标专家组成，评标专家占比不低于三分之二。</w:t>
            </w:r>
          </w:p>
        </w:tc>
      </w:tr>
      <w:tr w14:paraId="4B0D1F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1" w:type="dxa"/>
            <w:gridSpan w:val="3"/>
            <w:vAlign w:val="center"/>
          </w:tcPr>
          <w:p w14:paraId="00C901D8">
            <w:pPr>
              <w:pStyle w:val="54"/>
              <w:rPr>
                <w:rFonts w:hint="eastAsia"/>
                <w:color w:val="auto"/>
                <w:sz w:val="24"/>
                <w:szCs w:val="24"/>
              </w:rPr>
            </w:pPr>
            <w:r>
              <w:rPr>
                <w:color w:val="auto"/>
                <w:sz w:val="24"/>
                <w:szCs w:val="24"/>
              </w:rPr>
              <w:t xml:space="preserve">1. </w:t>
            </w:r>
            <w:r>
              <w:rPr>
                <w:rFonts w:hint="eastAsia"/>
                <w:color w:val="auto"/>
                <w:sz w:val="24"/>
                <w:szCs w:val="24"/>
              </w:rPr>
              <w:t>除本招标文件另有规定外，招标文件中出现的类似于“近三年”或“前三年”、“近五年”或“前五年”均指递交投标文件时间以前三</w:t>
            </w:r>
            <w:r>
              <w:rPr>
                <w:color w:val="auto"/>
                <w:sz w:val="24"/>
                <w:szCs w:val="24"/>
              </w:rPr>
              <w:t>年或前</w:t>
            </w:r>
            <w:r>
              <w:rPr>
                <w:rFonts w:hint="eastAsia"/>
                <w:color w:val="auto"/>
                <w:sz w:val="24"/>
                <w:szCs w:val="24"/>
              </w:rPr>
              <w:t>五</w:t>
            </w:r>
            <w:r>
              <w:rPr>
                <w:color w:val="auto"/>
                <w:sz w:val="24"/>
                <w:szCs w:val="24"/>
              </w:rPr>
              <w:t xml:space="preserve">年，以此类推。如：递交投标文件时间为  </w:t>
            </w:r>
            <w:r>
              <w:rPr>
                <w:rFonts w:hint="eastAsia"/>
                <w:color w:val="auto"/>
                <w:sz w:val="24"/>
                <w:szCs w:val="24"/>
              </w:rPr>
              <w:t>年</w:t>
            </w:r>
            <w:r>
              <w:rPr>
                <w:color w:val="auto"/>
                <w:sz w:val="24"/>
                <w:szCs w:val="24"/>
              </w:rPr>
              <w:t xml:space="preserve">  </w:t>
            </w:r>
            <w:r>
              <w:rPr>
                <w:rFonts w:hint="eastAsia"/>
                <w:color w:val="auto"/>
                <w:sz w:val="24"/>
                <w:szCs w:val="24"/>
              </w:rPr>
              <w:t>月</w:t>
            </w:r>
            <w:r>
              <w:rPr>
                <w:color w:val="auto"/>
                <w:sz w:val="24"/>
                <w:szCs w:val="24"/>
              </w:rPr>
              <w:t xml:space="preserve">  </w:t>
            </w:r>
            <w:r>
              <w:rPr>
                <w:rFonts w:hint="eastAsia"/>
                <w:color w:val="auto"/>
                <w:sz w:val="24"/>
                <w:szCs w:val="24"/>
              </w:rPr>
              <w:t>日，则“近三年”是指</w:t>
            </w:r>
            <w:r>
              <w:rPr>
                <w:color w:val="auto"/>
                <w:sz w:val="24"/>
                <w:szCs w:val="24"/>
              </w:rPr>
              <w:t xml:space="preserve">  </w:t>
            </w:r>
            <w:r>
              <w:rPr>
                <w:rFonts w:hint="eastAsia"/>
                <w:color w:val="auto"/>
                <w:sz w:val="24"/>
                <w:szCs w:val="24"/>
              </w:rPr>
              <w:t>年</w:t>
            </w:r>
            <w:r>
              <w:rPr>
                <w:color w:val="auto"/>
                <w:sz w:val="24"/>
                <w:szCs w:val="24"/>
              </w:rPr>
              <w:t xml:space="preserve">  </w:t>
            </w:r>
            <w:r>
              <w:rPr>
                <w:rFonts w:hint="eastAsia"/>
                <w:color w:val="auto"/>
                <w:sz w:val="24"/>
                <w:szCs w:val="24"/>
              </w:rPr>
              <w:t>月</w:t>
            </w:r>
            <w:r>
              <w:rPr>
                <w:color w:val="auto"/>
                <w:sz w:val="24"/>
                <w:szCs w:val="24"/>
              </w:rPr>
              <w:t xml:space="preserve">  </w:t>
            </w:r>
            <w:r>
              <w:rPr>
                <w:rFonts w:hint="eastAsia"/>
                <w:color w:val="auto"/>
                <w:sz w:val="24"/>
                <w:szCs w:val="24"/>
              </w:rPr>
              <w:t>日至</w:t>
            </w:r>
            <w:r>
              <w:rPr>
                <w:color w:val="auto"/>
                <w:sz w:val="24"/>
                <w:szCs w:val="24"/>
              </w:rPr>
              <w:t xml:space="preserve">  </w:t>
            </w:r>
            <w:r>
              <w:rPr>
                <w:rFonts w:hint="eastAsia"/>
                <w:color w:val="auto"/>
                <w:sz w:val="24"/>
                <w:szCs w:val="24"/>
              </w:rPr>
              <w:t>年</w:t>
            </w:r>
            <w:r>
              <w:rPr>
                <w:color w:val="auto"/>
                <w:sz w:val="24"/>
                <w:szCs w:val="24"/>
              </w:rPr>
              <w:t xml:space="preserve">  </w:t>
            </w:r>
            <w:r>
              <w:rPr>
                <w:rFonts w:hint="eastAsia"/>
                <w:color w:val="auto"/>
                <w:sz w:val="24"/>
                <w:szCs w:val="24"/>
              </w:rPr>
              <w:t>月</w:t>
            </w:r>
            <w:r>
              <w:rPr>
                <w:color w:val="auto"/>
                <w:sz w:val="24"/>
                <w:szCs w:val="24"/>
              </w:rPr>
              <w:t xml:space="preserve">  </w:t>
            </w:r>
            <w:r>
              <w:rPr>
                <w:rFonts w:hint="eastAsia"/>
                <w:color w:val="auto"/>
                <w:sz w:val="24"/>
                <w:szCs w:val="24"/>
              </w:rPr>
              <w:t>日。</w:t>
            </w:r>
          </w:p>
          <w:p w14:paraId="1658CDB5">
            <w:pPr>
              <w:pStyle w:val="54"/>
              <w:rPr>
                <w:rFonts w:hint="eastAsia"/>
                <w:color w:val="auto"/>
                <w:sz w:val="24"/>
                <w:szCs w:val="24"/>
              </w:rPr>
            </w:pPr>
            <w:r>
              <w:rPr>
                <w:color w:val="auto"/>
                <w:sz w:val="24"/>
                <w:szCs w:val="24"/>
              </w:rPr>
              <w:t xml:space="preserve">2. </w:t>
            </w:r>
            <w:r>
              <w:rPr>
                <w:rFonts w:hint="eastAsia"/>
                <w:color w:val="auto"/>
                <w:sz w:val="24"/>
                <w:szCs w:val="24"/>
              </w:rPr>
              <w:t>本招标文件所称的“以上”、“以下”、“内”、“以内”，包括本数；所称的“不足”，不包括本数。</w:t>
            </w:r>
          </w:p>
          <w:p w14:paraId="1CA7D8F2">
            <w:pPr>
              <w:pStyle w:val="54"/>
              <w:rPr>
                <w:rFonts w:hint="eastAsia"/>
                <w:color w:val="auto"/>
                <w:sz w:val="24"/>
                <w:szCs w:val="24"/>
              </w:rPr>
            </w:pPr>
            <w:r>
              <w:rPr>
                <w:color w:val="auto"/>
                <w:sz w:val="24"/>
                <w:szCs w:val="24"/>
              </w:rPr>
              <w:t xml:space="preserve">3. </w:t>
            </w:r>
            <w:r>
              <w:rPr>
                <w:rFonts w:hint="eastAsia"/>
                <w:color w:val="auto"/>
                <w:sz w:val="24"/>
                <w:szCs w:val="24"/>
              </w:rPr>
              <w:t>投标供应商须知前附表中，“</w:t>
            </w:r>
            <w:r>
              <w:rPr>
                <w:color w:val="auto"/>
                <w:sz w:val="24"/>
                <w:szCs w:val="24"/>
              </w:rPr>
              <w:sym w:font="Wingdings" w:char="00FE"/>
            </w:r>
            <w:r>
              <w:rPr>
                <w:rFonts w:hint="eastAsia"/>
                <w:color w:val="auto"/>
                <w:sz w:val="24"/>
                <w:szCs w:val="24"/>
              </w:rPr>
              <w:t>”代表选中，“</w:t>
            </w:r>
            <w:r>
              <w:rPr>
                <w:color w:val="auto"/>
                <w:sz w:val="24"/>
                <w:szCs w:val="24"/>
              </w:rPr>
              <w:sym w:font="Wingdings" w:char="00A8"/>
            </w:r>
            <w:r>
              <w:rPr>
                <w:rFonts w:hint="eastAsia"/>
                <w:color w:val="auto"/>
                <w:sz w:val="24"/>
                <w:szCs w:val="24"/>
              </w:rPr>
              <w:t>”代表未选中。</w:t>
            </w:r>
          </w:p>
        </w:tc>
      </w:tr>
    </w:tbl>
    <w:p w14:paraId="673A7AD6">
      <w:pPr>
        <w:rPr>
          <w:rFonts w:hint="eastAsia"/>
          <w:color w:val="auto"/>
        </w:rPr>
      </w:pPr>
    </w:p>
    <w:p w14:paraId="78E80927">
      <w:pPr>
        <w:rPr>
          <w:rFonts w:hint="eastAsia"/>
          <w:color w:val="auto"/>
        </w:rPr>
      </w:pPr>
      <w:r>
        <w:rPr>
          <w:color w:val="auto"/>
        </w:rPr>
        <w:br w:type="page"/>
      </w:r>
    </w:p>
    <w:p w14:paraId="664A5778">
      <w:pPr>
        <w:rPr>
          <w:rFonts w:hint="eastAsia"/>
          <w:b/>
          <w:bCs/>
          <w:color w:val="auto"/>
        </w:rPr>
      </w:pPr>
      <w:r>
        <w:rPr>
          <w:rFonts w:hint="eastAsia"/>
          <w:b/>
          <w:bCs/>
          <w:color w:val="auto"/>
        </w:rPr>
        <w:t>附件：</w:t>
      </w:r>
    </w:p>
    <w:p w14:paraId="1CB93E49">
      <w:pPr>
        <w:widowControl/>
        <w:shd w:val="clear" w:color="auto" w:fill="FFFFFF"/>
        <w:spacing w:before="100" w:beforeAutospacing="1" w:after="100" w:afterAutospacing="1"/>
        <w:jc w:val="center"/>
        <w:rPr>
          <w:rFonts w:hint="eastAsia" w:cs="宋体"/>
          <w:color w:val="auto"/>
          <w:sz w:val="21"/>
          <w:szCs w:val="21"/>
        </w:rPr>
      </w:pPr>
      <w:r>
        <w:rPr>
          <w:rFonts w:hint="eastAsia" w:cs="宋体"/>
          <w:b/>
          <w:bCs/>
          <w:color w:val="auto"/>
          <w:sz w:val="28"/>
          <w:szCs w:val="28"/>
        </w:rPr>
        <w:t>中小企业划型标准规定</w:t>
      </w:r>
    </w:p>
    <w:p w14:paraId="20B2A19D">
      <w:pPr>
        <w:pStyle w:val="42"/>
        <w:rPr>
          <w:rFonts w:hint="eastAsia"/>
          <w:color w:val="auto"/>
        </w:rPr>
      </w:pPr>
      <w:r>
        <w:rPr>
          <w:rFonts w:hint="eastAsia"/>
          <w:color w:val="auto"/>
        </w:rPr>
        <w:t>一、根据《中华人民共和国中小企业促进法》和《国务院关于进一步促进中小企业发展的若干意见》(国发〔2009〕36号)，制定本规定。</w:t>
      </w:r>
    </w:p>
    <w:p w14:paraId="7037DA0D">
      <w:pPr>
        <w:pStyle w:val="42"/>
        <w:rPr>
          <w:rFonts w:hint="eastAsia"/>
          <w:color w:val="auto"/>
        </w:rPr>
      </w:pPr>
      <w:r>
        <w:rPr>
          <w:rFonts w:hint="eastAsia"/>
          <w:color w:val="auto"/>
        </w:rPr>
        <w:t>二、中小企业划分为中型、小型、微型三种类型，具体标准根据企业从业人员、营业收入、资产总额等指标，结合行业特点制定。</w:t>
      </w:r>
    </w:p>
    <w:p w14:paraId="0C02EB6F">
      <w:pPr>
        <w:pStyle w:val="42"/>
        <w:rPr>
          <w:rFonts w:hint="eastAsia"/>
          <w:color w:val="auto"/>
        </w:rPr>
      </w:pPr>
      <w:r>
        <w:rPr>
          <w:rFonts w:hint="eastAsia"/>
          <w:color w:val="auto"/>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DF52710">
      <w:pPr>
        <w:pStyle w:val="42"/>
        <w:rPr>
          <w:rFonts w:hint="eastAsia"/>
          <w:color w:val="auto"/>
        </w:rPr>
      </w:pPr>
      <w:r>
        <w:rPr>
          <w:rFonts w:hint="eastAsia"/>
          <w:color w:val="auto"/>
        </w:rPr>
        <w:t>四、各行业划型标准为：</w:t>
      </w:r>
    </w:p>
    <w:p w14:paraId="5F28FBC5">
      <w:pPr>
        <w:pStyle w:val="42"/>
        <w:rPr>
          <w:rFonts w:hint="eastAsia"/>
          <w:color w:val="auto"/>
        </w:rPr>
      </w:pPr>
      <w:r>
        <w:rPr>
          <w:rFonts w:hint="eastAsia"/>
          <w:color w:val="auto"/>
        </w:rPr>
        <w:t>（一）农、林、牧、渔业。营业收入20000万元以下的为中小微型企业。其中，营业收入500万元及以上的为中型企业，营业收入50万元及以上的为小型企业，营业收入50万元以下的为微型企业。</w:t>
      </w:r>
    </w:p>
    <w:p w14:paraId="5CECFF22">
      <w:pPr>
        <w:pStyle w:val="42"/>
        <w:rPr>
          <w:rFonts w:hint="eastAsia"/>
          <w:color w:val="auto"/>
        </w:rPr>
      </w:pPr>
      <w:r>
        <w:rPr>
          <w:rFonts w:hint="eastAsia"/>
          <w:color w:val="auto"/>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1C8DB7E">
      <w:pPr>
        <w:pStyle w:val="42"/>
        <w:rPr>
          <w:rFonts w:hint="eastAsia"/>
          <w:color w:val="auto"/>
        </w:rPr>
      </w:pPr>
      <w:r>
        <w:rPr>
          <w:rFonts w:hint="eastAsia"/>
          <w:color w:val="auto"/>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3418432">
      <w:pPr>
        <w:pStyle w:val="42"/>
        <w:rPr>
          <w:rFonts w:hint="eastAsia"/>
          <w:color w:val="auto"/>
        </w:rPr>
      </w:pPr>
      <w:r>
        <w:rPr>
          <w:rFonts w:hint="eastAsia"/>
          <w:color w:val="auto"/>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52EF60F">
      <w:pPr>
        <w:pStyle w:val="42"/>
        <w:rPr>
          <w:rFonts w:hint="eastAsia"/>
          <w:color w:val="auto"/>
        </w:rPr>
      </w:pPr>
      <w:r>
        <w:rPr>
          <w:rFonts w:hint="eastAsia"/>
          <w:color w:val="auto"/>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793E114">
      <w:pPr>
        <w:pStyle w:val="42"/>
        <w:rPr>
          <w:rFonts w:hint="eastAsia"/>
          <w:color w:val="auto"/>
        </w:rPr>
      </w:pPr>
      <w:r>
        <w:rPr>
          <w:rFonts w:hint="eastAsia"/>
          <w:color w:val="auto"/>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4AE4A65">
      <w:pPr>
        <w:pStyle w:val="42"/>
        <w:rPr>
          <w:rFonts w:hint="eastAsia"/>
          <w:color w:val="auto"/>
        </w:rPr>
      </w:pPr>
      <w:r>
        <w:rPr>
          <w:rFonts w:hint="eastAsia"/>
          <w:color w:val="auto"/>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F91D580">
      <w:pPr>
        <w:pStyle w:val="42"/>
        <w:rPr>
          <w:rFonts w:hint="eastAsia"/>
          <w:color w:val="auto"/>
        </w:rPr>
      </w:pPr>
      <w:r>
        <w:rPr>
          <w:rFonts w:hint="eastAsia"/>
          <w:color w:val="auto"/>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7481E46">
      <w:pPr>
        <w:pStyle w:val="42"/>
        <w:rPr>
          <w:rFonts w:hint="eastAsia"/>
          <w:color w:val="auto"/>
        </w:rPr>
      </w:pPr>
      <w:r>
        <w:rPr>
          <w:rFonts w:hint="eastAsia"/>
          <w:color w:val="auto"/>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33A8A3B">
      <w:pPr>
        <w:pStyle w:val="42"/>
        <w:rPr>
          <w:rFonts w:hint="eastAsia"/>
          <w:color w:val="auto"/>
        </w:rPr>
      </w:pPr>
      <w:r>
        <w:rPr>
          <w:rFonts w:hint="eastAsia"/>
          <w:color w:val="auto"/>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38FE287">
      <w:pPr>
        <w:pStyle w:val="42"/>
        <w:rPr>
          <w:rFonts w:hint="eastAsia"/>
          <w:color w:val="auto"/>
        </w:rPr>
      </w:pPr>
      <w:r>
        <w:rPr>
          <w:rFonts w:hint="eastAsia"/>
          <w:color w:val="auto"/>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016315A">
      <w:pPr>
        <w:pStyle w:val="42"/>
        <w:rPr>
          <w:rFonts w:hint="eastAsia"/>
          <w:color w:val="auto"/>
        </w:rPr>
      </w:pPr>
      <w:r>
        <w:rPr>
          <w:rFonts w:hint="eastAsia"/>
          <w:color w:val="auto"/>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9390351">
      <w:pPr>
        <w:pStyle w:val="42"/>
        <w:rPr>
          <w:rFonts w:hint="eastAsia"/>
          <w:color w:val="auto"/>
        </w:rPr>
      </w:pPr>
      <w:r>
        <w:rPr>
          <w:rFonts w:hint="eastAsia"/>
          <w:color w:val="auto"/>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B3AA01A">
      <w:pPr>
        <w:pStyle w:val="42"/>
        <w:rPr>
          <w:rFonts w:hint="eastAsia"/>
          <w:color w:val="auto"/>
        </w:rPr>
      </w:pPr>
      <w:r>
        <w:rPr>
          <w:rFonts w:hint="eastAsia"/>
          <w:color w:val="auto"/>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836B4C9">
      <w:pPr>
        <w:pStyle w:val="42"/>
        <w:rPr>
          <w:rFonts w:hint="eastAsia"/>
          <w:color w:val="auto"/>
        </w:rPr>
      </w:pPr>
      <w:r>
        <w:rPr>
          <w:rFonts w:hint="eastAsia"/>
          <w:color w:val="auto"/>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8DE4C43">
      <w:pPr>
        <w:pStyle w:val="42"/>
        <w:rPr>
          <w:rFonts w:hint="eastAsia"/>
          <w:color w:val="auto"/>
        </w:rPr>
      </w:pPr>
      <w:r>
        <w:rPr>
          <w:rFonts w:hint="eastAsia"/>
          <w:color w:val="auto"/>
        </w:rPr>
        <w:t>（十六）其他未列明行业。从业人员300人以下的为中小微型企业。其中，从业人员100人及以上的为中型企业；从业人员10人及以上的为小型企业；从业人员10人以下的为微型企业。</w:t>
      </w:r>
    </w:p>
    <w:p w14:paraId="7F08A3CD">
      <w:pPr>
        <w:pStyle w:val="42"/>
        <w:rPr>
          <w:rFonts w:hint="eastAsia"/>
          <w:color w:val="auto"/>
        </w:rPr>
      </w:pPr>
      <w:r>
        <w:rPr>
          <w:rFonts w:hint="eastAsia"/>
          <w:color w:val="auto"/>
        </w:rPr>
        <w:t>五、企业类型的划分以统计部门的统计数据为依据。</w:t>
      </w:r>
    </w:p>
    <w:p w14:paraId="1F96C097">
      <w:pPr>
        <w:pStyle w:val="42"/>
        <w:rPr>
          <w:rFonts w:hint="eastAsia"/>
          <w:color w:val="auto"/>
        </w:rPr>
      </w:pPr>
      <w:r>
        <w:rPr>
          <w:rFonts w:hint="eastAsia"/>
          <w:color w:val="auto"/>
        </w:rPr>
        <w:t>六、本规定适用于在中华人民共和国境内依法设立的各类所有制和各种组织形式的企业。个体工商户和本规定以外的行业，参照本规定进行划型。</w:t>
      </w:r>
    </w:p>
    <w:p w14:paraId="7A24345C">
      <w:pPr>
        <w:pStyle w:val="42"/>
        <w:rPr>
          <w:rFonts w:hint="eastAsia"/>
          <w:color w:val="auto"/>
        </w:rPr>
      </w:pPr>
      <w:r>
        <w:rPr>
          <w:rFonts w:hint="eastAsia"/>
          <w:color w:val="auto"/>
        </w:rPr>
        <w:t>七、本规定的中型企业标准上限即为大型企业标准的下限，国家统计部门据此制定大中小微型企业的统计分类。国务院有关部门据此进行相关数据分析，不得制定与本规定不一致的企业划型标准。</w:t>
      </w:r>
    </w:p>
    <w:p w14:paraId="1161AAC7">
      <w:pPr>
        <w:pStyle w:val="42"/>
        <w:rPr>
          <w:rFonts w:hint="eastAsia"/>
          <w:color w:val="auto"/>
        </w:rPr>
      </w:pPr>
      <w:r>
        <w:rPr>
          <w:rFonts w:hint="eastAsia"/>
          <w:color w:val="auto"/>
        </w:rPr>
        <w:t>八、本规定由工业和信息化部、国家统计局会同有关部门根据《国民经济行业分类》修订情况和企业发展变化情况适时修订。</w:t>
      </w:r>
    </w:p>
    <w:p w14:paraId="471E5D1E">
      <w:pPr>
        <w:pStyle w:val="42"/>
        <w:rPr>
          <w:rFonts w:hint="eastAsia"/>
          <w:color w:val="auto"/>
        </w:rPr>
      </w:pPr>
      <w:r>
        <w:rPr>
          <w:rFonts w:hint="eastAsia"/>
          <w:color w:val="auto"/>
        </w:rPr>
        <w:t>九、本规定由工业和信息化部、国家统计局会同有关部门负责解释。</w:t>
      </w:r>
    </w:p>
    <w:p w14:paraId="0F59BBA6">
      <w:pPr>
        <w:pStyle w:val="42"/>
        <w:rPr>
          <w:rFonts w:hint="eastAsia"/>
          <w:color w:val="auto"/>
        </w:rPr>
      </w:pPr>
      <w:r>
        <w:rPr>
          <w:rFonts w:hint="eastAsia"/>
          <w:color w:val="auto"/>
        </w:rPr>
        <w:t>十、本规定自发布之日起执行，原国家经贸委、原国家计委、财政部和国家统计局2003年颁布的《中小企业标准暂行规定》同时废止。</w:t>
      </w:r>
    </w:p>
    <w:p w14:paraId="1B15861C">
      <w:pPr>
        <w:rPr>
          <w:rFonts w:hint="eastAsia"/>
          <w:color w:val="auto"/>
        </w:rPr>
      </w:pPr>
      <w:r>
        <w:rPr>
          <w:color w:val="auto"/>
        </w:rPr>
        <w:br w:type="page"/>
      </w:r>
    </w:p>
    <w:p w14:paraId="74DB7BFF">
      <w:pPr>
        <w:pStyle w:val="3"/>
        <w:numPr>
          <w:ilvl w:val="0"/>
          <w:numId w:val="3"/>
        </w:numPr>
        <w:rPr>
          <w:rFonts w:hint="eastAsia"/>
          <w:color w:val="auto"/>
        </w:rPr>
      </w:pPr>
      <w:bookmarkStart w:id="78" w:name="_Toc155185869"/>
      <w:bookmarkStart w:id="79" w:name="_Toc18687"/>
      <w:r>
        <w:rPr>
          <w:rFonts w:hint="eastAsia"/>
          <w:color w:val="auto"/>
        </w:rPr>
        <w:t>投标供应商须知</w:t>
      </w:r>
      <w:bookmarkEnd w:id="78"/>
      <w:bookmarkEnd w:id="79"/>
    </w:p>
    <w:p w14:paraId="4C47BBFB">
      <w:pPr>
        <w:pStyle w:val="4"/>
        <w:numPr>
          <w:ilvl w:val="0"/>
          <w:numId w:val="4"/>
        </w:numPr>
        <w:rPr>
          <w:rFonts w:hint="eastAsia"/>
          <w:color w:val="auto"/>
        </w:rPr>
      </w:pPr>
      <w:bookmarkStart w:id="80" w:name="_Toc7977"/>
      <w:bookmarkStart w:id="81" w:name="_Toc155185870"/>
      <w:r>
        <w:rPr>
          <w:rFonts w:hint="eastAsia"/>
          <w:color w:val="auto"/>
        </w:rPr>
        <w:t>总则</w:t>
      </w:r>
      <w:bookmarkEnd w:id="80"/>
      <w:bookmarkEnd w:id="81"/>
    </w:p>
    <w:p w14:paraId="2D8B2CDA">
      <w:pPr>
        <w:pStyle w:val="5"/>
        <w:numPr>
          <w:ilvl w:val="0"/>
          <w:numId w:val="5"/>
        </w:numPr>
        <w:rPr>
          <w:rFonts w:hint="eastAsia"/>
          <w:color w:val="auto"/>
        </w:rPr>
      </w:pPr>
      <w:bookmarkStart w:id="82" w:name="_Toc31233"/>
      <w:bookmarkStart w:id="83" w:name="_Toc155095689"/>
      <w:bookmarkStart w:id="84" w:name="_Toc109900050"/>
      <w:bookmarkStart w:id="85" w:name="_Toc109897532"/>
      <w:bookmarkStart w:id="86" w:name="_Toc109899631"/>
      <w:bookmarkStart w:id="87" w:name="_Toc109900469"/>
      <w:bookmarkStart w:id="88" w:name="_Toc21293"/>
      <w:r>
        <w:rPr>
          <w:rFonts w:hint="eastAsia"/>
          <w:color w:val="auto"/>
        </w:rPr>
        <w:t>适用范围</w:t>
      </w:r>
      <w:bookmarkEnd w:id="82"/>
      <w:bookmarkEnd w:id="83"/>
      <w:bookmarkEnd w:id="84"/>
      <w:bookmarkEnd w:id="85"/>
      <w:bookmarkEnd w:id="86"/>
      <w:bookmarkEnd w:id="87"/>
      <w:bookmarkEnd w:id="88"/>
    </w:p>
    <w:p w14:paraId="7C8FF9E5">
      <w:pPr>
        <w:pStyle w:val="42"/>
        <w:rPr>
          <w:rFonts w:hint="eastAsia"/>
          <w:snapToGrid w:val="0"/>
          <w:color w:val="auto"/>
        </w:rPr>
      </w:pPr>
      <w:r>
        <w:rPr>
          <w:rFonts w:hint="eastAsia"/>
          <w:snapToGrid w:val="0"/>
          <w:color w:val="auto"/>
        </w:rPr>
        <w:t>1.1本招标文件仅适用于本次公开招标中所述项目的采购活动。</w:t>
      </w:r>
    </w:p>
    <w:p w14:paraId="6514C168">
      <w:pPr>
        <w:pStyle w:val="5"/>
        <w:numPr>
          <w:ilvl w:val="0"/>
          <w:numId w:val="5"/>
        </w:numPr>
        <w:rPr>
          <w:rFonts w:hint="eastAsia"/>
          <w:color w:val="auto"/>
        </w:rPr>
      </w:pPr>
      <w:bookmarkStart w:id="89" w:name="_Toc15755"/>
      <w:r>
        <w:rPr>
          <w:rFonts w:hint="eastAsia"/>
          <w:color w:val="auto"/>
        </w:rPr>
        <w:t>基本定义</w:t>
      </w:r>
      <w:bookmarkEnd w:id="89"/>
    </w:p>
    <w:p w14:paraId="628686F2">
      <w:pPr>
        <w:pStyle w:val="42"/>
        <w:rPr>
          <w:rFonts w:hint="eastAsia"/>
          <w:color w:val="auto"/>
        </w:rPr>
      </w:pPr>
      <w:r>
        <w:rPr>
          <w:rFonts w:hint="eastAsia"/>
          <w:color w:val="auto"/>
        </w:rPr>
        <w:t>2.1根据《中华人民共和国政府采购法》及其实施条例等有关法律、法规和规章的规定，制定本招标文件。</w:t>
      </w:r>
    </w:p>
    <w:p w14:paraId="0978E276">
      <w:pPr>
        <w:pStyle w:val="42"/>
        <w:rPr>
          <w:rFonts w:hint="eastAsia"/>
          <w:color w:val="auto"/>
        </w:rPr>
      </w:pPr>
      <w:r>
        <w:rPr>
          <w:rFonts w:hint="eastAsia"/>
          <w:color w:val="auto"/>
        </w:rPr>
        <w:t>2.2采购人：见“投标供应商须知前附表”。</w:t>
      </w:r>
    </w:p>
    <w:p w14:paraId="1CE198BF">
      <w:pPr>
        <w:pStyle w:val="42"/>
        <w:rPr>
          <w:rFonts w:hint="eastAsia"/>
          <w:color w:val="auto"/>
        </w:rPr>
      </w:pPr>
      <w:r>
        <w:rPr>
          <w:rFonts w:hint="eastAsia"/>
          <w:color w:val="auto"/>
        </w:rPr>
        <w:t>2.3采购代理机构：见“投标供应商须知前附表”。</w:t>
      </w:r>
    </w:p>
    <w:p w14:paraId="4754CC6D">
      <w:pPr>
        <w:pStyle w:val="42"/>
        <w:rPr>
          <w:rFonts w:hint="eastAsia"/>
          <w:color w:val="auto"/>
        </w:rPr>
      </w:pPr>
      <w:r>
        <w:rPr>
          <w:rFonts w:hint="eastAsia"/>
          <w:color w:val="auto"/>
        </w:rPr>
        <w:t>2.4政府采购监督管理部门：</w:t>
      </w:r>
      <w:r>
        <w:rPr>
          <w:color w:val="auto"/>
        </w:rPr>
        <w:t>见</w:t>
      </w:r>
      <w:r>
        <w:rPr>
          <w:rFonts w:hint="eastAsia"/>
          <w:color w:val="auto"/>
        </w:rPr>
        <w:t>“投标供应商须知前附表”。</w:t>
      </w:r>
    </w:p>
    <w:p w14:paraId="58B74CD4">
      <w:pPr>
        <w:pStyle w:val="42"/>
        <w:rPr>
          <w:rFonts w:hint="eastAsia"/>
          <w:color w:val="auto"/>
        </w:rPr>
      </w:pPr>
      <w:r>
        <w:rPr>
          <w:rFonts w:hint="eastAsia"/>
          <w:color w:val="auto"/>
        </w:rPr>
        <w:t>2.</w:t>
      </w:r>
      <w:r>
        <w:rPr>
          <w:color w:val="auto"/>
        </w:rPr>
        <w:t>5</w:t>
      </w:r>
      <w:r>
        <w:rPr>
          <w:rFonts w:hint="eastAsia"/>
          <w:color w:val="auto"/>
        </w:rPr>
        <w:t>项目名称：见“投标供应商须知前附表”。</w:t>
      </w:r>
    </w:p>
    <w:p w14:paraId="2D2FCD39">
      <w:pPr>
        <w:pStyle w:val="42"/>
        <w:rPr>
          <w:rFonts w:hint="eastAsia"/>
          <w:color w:val="auto"/>
        </w:rPr>
      </w:pPr>
      <w:r>
        <w:rPr>
          <w:rFonts w:hint="eastAsia"/>
          <w:color w:val="auto"/>
        </w:rPr>
        <w:t>2.</w:t>
      </w:r>
      <w:r>
        <w:rPr>
          <w:color w:val="auto"/>
        </w:rPr>
        <w:t>6</w:t>
      </w:r>
      <w:r>
        <w:rPr>
          <w:rFonts w:hint="eastAsia"/>
          <w:color w:val="auto"/>
        </w:rPr>
        <w:t>项目地点：见“投标供应商须知前附表”。</w:t>
      </w:r>
    </w:p>
    <w:p w14:paraId="57B0CCBF">
      <w:pPr>
        <w:pStyle w:val="42"/>
        <w:rPr>
          <w:rFonts w:hint="eastAsia"/>
          <w:color w:val="auto"/>
        </w:rPr>
      </w:pPr>
      <w:r>
        <w:rPr>
          <w:rFonts w:hint="eastAsia"/>
          <w:color w:val="auto"/>
        </w:rPr>
        <w:t>2.</w:t>
      </w:r>
      <w:r>
        <w:rPr>
          <w:color w:val="auto"/>
        </w:rPr>
        <w:t>7</w:t>
      </w:r>
      <w:r>
        <w:rPr>
          <w:rFonts w:hint="eastAsia"/>
          <w:color w:val="auto"/>
        </w:rPr>
        <w:t>项目内容：见“投标供应商须知前附表”。</w:t>
      </w:r>
    </w:p>
    <w:p w14:paraId="16933CF0">
      <w:pPr>
        <w:pStyle w:val="42"/>
        <w:rPr>
          <w:rFonts w:hint="eastAsia"/>
          <w:color w:val="auto"/>
        </w:rPr>
      </w:pPr>
      <w:r>
        <w:rPr>
          <w:rFonts w:hint="eastAsia"/>
          <w:color w:val="auto"/>
        </w:rPr>
        <w:t>2.8项目属性：见“投标供应商须知前附表”。</w:t>
      </w:r>
    </w:p>
    <w:p w14:paraId="2E4D86A5">
      <w:pPr>
        <w:pStyle w:val="5"/>
        <w:numPr>
          <w:ilvl w:val="0"/>
          <w:numId w:val="5"/>
        </w:numPr>
        <w:rPr>
          <w:rFonts w:hint="eastAsia"/>
          <w:color w:val="auto"/>
        </w:rPr>
      </w:pPr>
      <w:bookmarkStart w:id="90" w:name="_Toc140132758"/>
      <w:bookmarkStart w:id="91" w:name="_Toc11616"/>
      <w:r>
        <w:rPr>
          <w:rFonts w:hint="eastAsia"/>
          <w:color w:val="auto"/>
        </w:rPr>
        <w:t>资金来源</w:t>
      </w:r>
      <w:bookmarkEnd w:id="90"/>
      <w:bookmarkEnd w:id="91"/>
    </w:p>
    <w:p w14:paraId="475F8A89">
      <w:pPr>
        <w:pStyle w:val="42"/>
        <w:rPr>
          <w:rFonts w:hint="eastAsia"/>
          <w:color w:val="auto"/>
        </w:rPr>
      </w:pPr>
      <w:r>
        <w:rPr>
          <w:rFonts w:hint="eastAsia"/>
          <w:color w:val="auto"/>
        </w:rPr>
        <w:t>3.1资金来源：见“投标供应商须知前附表”。</w:t>
      </w:r>
    </w:p>
    <w:p w14:paraId="2DE86918">
      <w:pPr>
        <w:pStyle w:val="5"/>
        <w:numPr>
          <w:ilvl w:val="0"/>
          <w:numId w:val="5"/>
        </w:numPr>
        <w:rPr>
          <w:rFonts w:hint="eastAsia"/>
          <w:color w:val="auto"/>
        </w:rPr>
      </w:pPr>
      <w:bookmarkStart w:id="92" w:name="_Toc19075"/>
      <w:bookmarkStart w:id="93" w:name="_Toc140132760"/>
      <w:r>
        <w:rPr>
          <w:rFonts w:hint="eastAsia"/>
          <w:color w:val="auto"/>
        </w:rPr>
        <w:t>投标供应商资格要求</w:t>
      </w:r>
      <w:bookmarkEnd w:id="92"/>
      <w:bookmarkEnd w:id="93"/>
    </w:p>
    <w:p w14:paraId="6018B019">
      <w:pPr>
        <w:pStyle w:val="42"/>
        <w:rPr>
          <w:rFonts w:hint="eastAsia"/>
          <w:color w:val="auto"/>
        </w:rPr>
      </w:pPr>
      <w:r>
        <w:rPr>
          <w:rFonts w:hint="eastAsia"/>
          <w:color w:val="auto"/>
        </w:rPr>
        <w:t>4.1投标供应商资格要求：见“投标供应商须知前附表”；</w:t>
      </w:r>
    </w:p>
    <w:p w14:paraId="5CE0CA6D">
      <w:pPr>
        <w:pStyle w:val="42"/>
        <w:rPr>
          <w:rFonts w:hint="eastAsia"/>
          <w:color w:val="auto"/>
        </w:rPr>
      </w:pPr>
      <w:r>
        <w:rPr>
          <w:rFonts w:hint="eastAsia"/>
          <w:color w:val="auto"/>
        </w:rPr>
        <w:t xml:space="preserve">4.2“投标供应商须知前附表”规定接受联合体投标的，还应遵守以下规定： </w:t>
      </w:r>
      <w:r>
        <w:rPr>
          <w:rFonts w:hint="eastAsia"/>
          <w:color w:val="auto"/>
          <w:lang w:val="en-US" w:eastAsia="zh-CN"/>
        </w:rPr>
        <w:t xml:space="preserve">  </w:t>
      </w:r>
      <w:r>
        <w:rPr>
          <w:rFonts w:hint="eastAsia"/>
          <w:color w:val="auto"/>
        </w:rPr>
        <w:t>（1）联合体各方应按招标文件提供的格式签订联合体协议书，明确联合体牵头人和各方权利义务；</w:t>
      </w:r>
    </w:p>
    <w:p w14:paraId="06471484">
      <w:pPr>
        <w:pStyle w:val="42"/>
        <w:rPr>
          <w:rFonts w:hint="eastAsia"/>
          <w:color w:val="auto"/>
        </w:rPr>
      </w:pPr>
      <w:r>
        <w:rPr>
          <w:rFonts w:hint="eastAsia"/>
          <w:color w:val="auto"/>
        </w:rPr>
        <w:t>（2）由同一专业的单位组成的联合体，按照资质等级较低的单位确定资质等级；</w:t>
      </w:r>
    </w:p>
    <w:p w14:paraId="05FAC370">
      <w:pPr>
        <w:pStyle w:val="42"/>
        <w:rPr>
          <w:rFonts w:hint="eastAsia"/>
          <w:color w:val="auto"/>
        </w:rPr>
      </w:pPr>
      <w:r>
        <w:rPr>
          <w:rFonts w:hint="eastAsia"/>
          <w:color w:val="auto"/>
        </w:rPr>
        <w:t>（3）联合体各方不得再以自己名义单独或参加其他联合体在本招标项目中投标。</w:t>
      </w:r>
    </w:p>
    <w:p w14:paraId="58C42EBF">
      <w:pPr>
        <w:pStyle w:val="5"/>
        <w:numPr>
          <w:ilvl w:val="0"/>
          <w:numId w:val="5"/>
        </w:numPr>
        <w:rPr>
          <w:rFonts w:hint="eastAsia"/>
          <w:color w:val="auto"/>
        </w:rPr>
      </w:pPr>
      <w:bookmarkStart w:id="94" w:name="_Toc229"/>
      <w:r>
        <w:rPr>
          <w:rFonts w:hint="eastAsia"/>
          <w:color w:val="auto"/>
        </w:rPr>
        <w:t>费用承担</w:t>
      </w:r>
      <w:bookmarkEnd w:id="94"/>
    </w:p>
    <w:p w14:paraId="26609ADE">
      <w:pPr>
        <w:pStyle w:val="42"/>
        <w:rPr>
          <w:rFonts w:hint="eastAsia"/>
          <w:color w:val="auto"/>
        </w:rPr>
      </w:pPr>
      <w:r>
        <w:rPr>
          <w:rFonts w:hint="eastAsia"/>
          <w:color w:val="auto"/>
        </w:rPr>
        <w:t>5.1不论投标的结果如何，投标供应商应承担所有与准备和参加投标有关的费用。</w:t>
      </w:r>
    </w:p>
    <w:p w14:paraId="5F0A3DA1">
      <w:pPr>
        <w:pStyle w:val="5"/>
        <w:numPr>
          <w:ilvl w:val="0"/>
          <w:numId w:val="5"/>
        </w:numPr>
        <w:rPr>
          <w:rFonts w:hint="eastAsia"/>
          <w:color w:val="auto"/>
        </w:rPr>
      </w:pPr>
      <w:bookmarkStart w:id="95" w:name="_Toc31051"/>
      <w:bookmarkStart w:id="96" w:name="_Toc140132761"/>
      <w:r>
        <w:rPr>
          <w:rFonts w:hint="eastAsia"/>
          <w:color w:val="auto"/>
        </w:rPr>
        <w:t>保密</w:t>
      </w:r>
      <w:bookmarkEnd w:id="95"/>
      <w:bookmarkEnd w:id="96"/>
    </w:p>
    <w:p w14:paraId="74501843">
      <w:pPr>
        <w:pStyle w:val="42"/>
        <w:rPr>
          <w:rFonts w:hint="eastAsia"/>
          <w:color w:val="auto"/>
        </w:rPr>
      </w:pPr>
      <w:r>
        <w:rPr>
          <w:rFonts w:hint="eastAsia"/>
          <w:color w:val="auto"/>
        </w:rPr>
        <w:t xml:space="preserve">6.1参与招标投标活动的各方应对招标文件和投标文件中的商业和技术等秘密保密，否则应承担相应的法律责任。 </w:t>
      </w:r>
    </w:p>
    <w:p w14:paraId="4A26F617">
      <w:pPr>
        <w:pStyle w:val="5"/>
        <w:numPr>
          <w:ilvl w:val="0"/>
          <w:numId w:val="5"/>
        </w:numPr>
        <w:rPr>
          <w:rFonts w:hint="eastAsia"/>
          <w:color w:val="auto"/>
        </w:rPr>
      </w:pPr>
      <w:bookmarkStart w:id="97" w:name="_Toc140132762"/>
      <w:bookmarkStart w:id="98" w:name="_Toc11945"/>
      <w:r>
        <w:rPr>
          <w:rFonts w:hint="eastAsia"/>
          <w:color w:val="auto"/>
        </w:rPr>
        <w:t>语言文字</w:t>
      </w:r>
      <w:bookmarkEnd w:id="97"/>
      <w:bookmarkEnd w:id="98"/>
    </w:p>
    <w:p w14:paraId="3BF2868C">
      <w:pPr>
        <w:pStyle w:val="42"/>
        <w:rPr>
          <w:rFonts w:hint="eastAsia"/>
          <w:color w:val="auto"/>
        </w:rPr>
      </w:pPr>
      <w:r>
        <w:rPr>
          <w:rFonts w:hint="eastAsia"/>
          <w:color w:val="auto"/>
        </w:rPr>
        <w:t>7.1招标投标文件使用的语言文字为中文。专用术语使用外文的，应附有中文注释。</w:t>
      </w:r>
    </w:p>
    <w:p w14:paraId="5FB05A21">
      <w:pPr>
        <w:pStyle w:val="5"/>
        <w:numPr>
          <w:ilvl w:val="0"/>
          <w:numId w:val="5"/>
        </w:numPr>
        <w:rPr>
          <w:rFonts w:hint="eastAsia"/>
          <w:color w:val="auto"/>
        </w:rPr>
      </w:pPr>
      <w:bookmarkStart w:id="99" w:name="_Toc140132764"/>
      <w:bookmarkStart w:id="100" w:name="_Toc5582"/>
      <w:r>
        <w:rPr>
          <w:rFonts w:hint="eastAsia"/>
          <w:color w:val="auto"/>
        </w:rPr>
        <w:t>现场考察和答疑会</w:t>
      </w:r>
      <w:bookmarkEnd w:id="99"/>
      <w:bookmarkEnd w:id="100"/>
    </w:p>
    <w:p w14:paraId="6FBD58B5">
      <w:pPr>
        <w:pStyle w:val="42"/>
        <w:rPr>
          <w:rFonts w:hint="eastAsia"/>
          <w:color w:val="auto"/>
        </w:rPr>
      </w:pPr>
      <w:bookmarkStart w:id="101" w:name="_Hlk143529198"/>
      <w:r>
        <w:rPr>
          <w:rFonts w:hint="eastAsia"/>
          <w:color w:val="auto"/>
          <w:lang w:val="en-US" w:eastAsia="zh-CN"/>
        </w:rPr>
        <w:t>8</w:t>
      </w:r>
      <w:r>
        <w:rPr>
          <w:rFonts w:hint="eastAsia"/>
          <w:color w:val="auto"/>
        </w:rPr>
        <w:t xml:space="preserve">.1 “投标供应商须知前附表”规定组织现场考察的，采购代理机构按“投标供应商须知前附表”规定的时间、地点组织投标供应商项目现场考察。 </w:t>
      </w:r>
    </w:p>
    <w:p w14:paraId="3AE2C25A">
      <w:pPr>
        <w:pStyle w:val="42"/>
        <w:rPr>
          <w:rFonts w:hint="eastAsia"/>
          <w:color w:val="auto"/>
        </w:rPr>
      </w:pPr>
      <w:r>
        <w:rPr>
          <w:rFonts w:hint="eastAsia"/>
          <w:color w:val="auto"/>
          <w:lang w:val="en-US" w:eastAsia="zh-CN"/>
        </w:rPr>
        <w:t>8</w:t>
      </w:r>
      <w:r>
        <w:rPr>
          <w:rFonts w:hint="eastAsia"/>
          <w:color w:val="auto"/>
        </w:rPr>
        <w:t>.2 投标供应商现场考察发生的费用自理。</w:t>
      </w:r>
    </w:p>
    <w:p w14:paraId="7FA14B1C">
      <w:pPr>
        <w:pStyle w:val="42"/>
        <w:rPr>
          <w:rFonts w:hint="eastAsia"/>
          <w:color w:val="auto"/>
        </w:rPr>
      </w:pPr>
      <w:r>
        <w:rPr>
          <w:rFonts w:hint="eastAsia"/>
          <w:color w:val="auto"/>
          <w:lang w:val="en-US" w:eastAsia="zh-CN"/>
        </w:rPr>
        <w:t>8</w:t>
      </w:r>
      <w:r>
        <w:rPr>
          <w:rFonts w:hint="eastAsia"/>
          <w:color w:val="auto"/>
        </w:rPr>
        <w:t>.3 在现场考察中，因投标供应商自身原因发生的人员伤亡和财产损失，由投标供应商自行负责。</w:t>
      </w:r>
    </w:p>
    <w:p w14:paraId="5C2CA33E">
      <w:pPr>
        <w:pStyle w:val="42"/>
        <w:rPr>
          <w:rFonts w:hint="eastAsia"/>
          <w:color w:val="auto"/>
        </w:rPr>
      </w:pPr>
      <w:r>
        <w:rPr>
          <w:rFonts w:hint="eastAsia"/>
          <w:color w:val="auto"/>
          <w:lang w:val="en-US" w:eastAsia="zh-CN"/>
        </w:rPr>
        <w:t>8</w:t>
      </w:r>
      <w:r>
        <w:rPr>
          <w:rFonts w:hint="eastAsia"/>
          <w:color w:val="auto"/>
        </w:rPr>
        <w:t>.4 采购人在现场考察中介绍的项目场地和相关的周边环境情况，仅供投标供应商在编制投标文件时参考，采购人和采购代理机构不对投标供应商据此作出的判断和决策负责。</w:t>
      </w:r>
    </w:p>
    <w:p w14:paraId="4C30E044">
      <w:pPr>
        <w:pStyle w:val="42"/>
        <w:rPr>
          <w:rFonts w:hint="eastAsia"/>
          <w:color w:val="auto"/>
        </w:rPr>
      </w:pPr>
      <w:r>
        <w:rPr>
          <w:rFonts w:hint="eastAsia"/>
          <w:color w:val="auto"/>
          <w:lang w:val="en-US" w:eastAsia="zh-CN"/>
        </w:rPr>
        <w:t>8</w:t>
      </w:r>
      <w:r>
        <w:rPr>
          <w:rFonts w:hint="eastAsia"/>
          <w:color w:val="auto"/>
        </w:rPr>
        <w:t>.5 “投标供应商须知前附表”规定召开答疑会的，采购代理机构按“投标供应商须知前附表”规定的时间和地点召开答疑会，澄清投标供应商提出的问题。</w:t>
      </w:r>
    </w:p>
    <w:bookmarkEnd w:id="101"/>
    <w:p w14:paraId="27E5DEAD">
      <w:pPr>
        <w:pStyle w:val="5"/>
        <w:numPr>
          <w:ilvl w:val="0"/>
          <w:numId w:val="5"/>
        </w:numPr>
        <w:rPr>
          <w:rFonts w:hint="eastAsia"/>
          <w:color w:val="auto"/>
        </w:rPr>
      </w:pPr>
      <w:bookmarkStart w:id="102" w:name="_Toc10471"/>
      <w:bookmarkStart w:id="103" w:name="_Toc140132765"/>
      <w:r>
        <w:rPr>
          <w:rFonts w:hint="eastAsia"/>
          <w:color w:val="auto"/>
        </w:rPr>
        <w:t>中标后分包</w:t>
      </w:r>
      <w:bookmarkEnd w:id="102"/>
      <w:bookmarkEnd w:id="103"/>
    </w:p>
    <w:p w14:paraId="6A9294F9">
      <w:pPr>
        <w:pStyle w:val="42"/>
        <w:rPr>
          <w:rFonts w:hint="eastAsia"/>
          <w:color w:val="auto"/>
        </w:rPr>
      </w:pPr>
      <w:r>
        <w:rPr>
          <w:rFonts w:hint="eastAsia"/>
          <w:color w:val="auto"/>
          <w:lang w:val="en-US" w:eastAsia="zh-CN"/>
        </w:rPr>
        <w:t>9</w:t>
      </w:r>
      <w:r>
        <w:rPr>
          <w:rFonts w:hint="eastAsia"/>
          <w:color w:val="auto"/>
        </w:rPr>
        <w:t>.1 “投标供应商须知前附表”规定允许分包的，投标供应商应当遵守其分包规定。</w:t>
      </w:r>
    </w:p>
    <w:p w14:paraId="29F9F4AF">
      <w:pPr>
        <w:pStyle w:val="42"/>
        <w:rPr>
          <w:rFonts w:hint="eastAsia"/>
          <w:color w:val="auto"/>
        </w:rPr>
      </w:pPr>
      <w:r>
        <w:rPr>
          <w:rFonts w:hint="eastAsia"/>
          <w:color w:val="auto"/>
          <w:lang w:val="en-US" w:eastAsia="zh-CN"/>
        </w:rPr>
        <w:t>9</w:t>
      </w:r>
      <w:r>
        <w:rPr>
          <w:rFonts w:hint="eastAsia"/>
          <w:color w:val="auto"/>
        </w:rPr>
        <w:t>.2 投标供应商未遵守招标文件分包规定的，其</w:t>
      </w:r>
      <w:r>
        <w:rPr>
          <w:rFonts w:hint="eastAsia"/>
          <w:b/>
          <w:bCs/>
          <w:color w:val="auto"/>
        </w:rPr>
        <w:t>投标无效</w:t>
      </w:r>
      <w:r>
        <w:rPr>
          <w:rFonts w:hint="eastAsia"/>
          <w:color w:val="auto"/>
        </w:rPr>
        <w:t>。分包规定见“投标供应商须知前附表”。</w:t>
      </w:r>
    </w:p>
    <w:p w14:paraId="04BE1BDC">
      <w:pPr>
        <w:pStyle w:val="5"/>
        <w:numPr>
          <w:ilvl w:val="0"/>
          <w:numId w:val="5"/>
        </w:numPr>
        <w:rPr>
          <w:rFonts w:hint="eastAsia"/>
          <w:color w:val="auto"/>
        </w:rPr>
      </w:pPr>
      <w:bookmarkStart w:id="104" w:name="_Toc23562"/>
      <w:bookmarkStart w:id="105" w:name="_Toc155185858"/>
      <w:bookmarkStart w:id="106" w:name="_Toc155185871"/>
      <w:r>
        <w:rPr>
          <w:rFonts w:hint="eastAsia"/>
          <w:color w:val="auto"/>
        </w:rPr>
        <w:t>电子投标说明</w:t>
      </w:r>
      <w:bookmarkEnd w:id="104"/>
      <w:bookmarkEnd w:id="105"/>
    </w:p>
    <w:p w14:paraId="7CFEE9E8">
      <w:pPr>
        <w:pStyle w:val="42"/>
        <w:rPr>
          <w:rFonts w:hint="eastAsia"/>
          <w:color w:val="auto"/>
        </w:rPr>
      </w:pPr>
      <w:r>
        <w:rPr>
          <w:rFonts w:hint="eastAsia"/>
          <w:color w:val="auto"/>
        </w:rPr>
        <w:t>1</w:t>
      </w:r>
      <w:r>
        <w:rPr>
          <w:rFonts w:hint="eastAsia"/>
          <w:color w:val="auto"/>
          <w:lang w:val="en-US" w:eastAsia="zh-CN"/>
        </w:rPr>
        <w:t>0</w:t>
      </w:r>
      <w:r>
        <w:rPr>
          <w:color w:val="auto"/>
        </w:rPr>
        <w:t>.1</w:t>
      </w:r>
      <w:r>
        <w:rPr>
          <w:rFonts w:hint="eastAsia"/>
          <w:color w:val="auto"/>
        </w:rPr>
        <w:t>由于本项目采用电子招标方式，潜在投标供应商的名单将在投标截止时间后才会解密。因此，采购人或采购代理机构无法通过传统的传真或邮件方式，将招标文件的澄清或修改内容逐一通知到每位已获取招标文件的潜在投标供应商。为确保信息的及时性和准确性，澄清或修改的内容将仅在云南省政府采购网上以更正公告的形式发布。潜在投标供应商需密切关注该网站，及时查看并下载相关更正公告。若因潜在投标供应商未能及时查看或下载相关更正公告，而导致的一切后果，将由潜在投标供应商自行承担；</w:t>
      </w:r>
    </w:p>
    <w:p w14:paraId="701BE002">
      <w:pPr>
        <w:pStyle w:val="42"/>
        <w:rPr>
          <w:rFonts w:hint="eastAsia"/>
          <w:color w:val="auto"/>
        </w:rPr>
      </w:pPr>
      <w:r>
        <w:rPr>
          <w:rFonts w:hint="eastAsia"/>
          <w:color w:val="auto"/>
        </w:rPr>
        <w:t>1</w:t>
      </w:r>
      <w:r>
        <w:rPr>
          <w:rFonts w:hint="eastAsia"/>
          <w:color w:val="auto"/>
          <w:lang w:val="en-US" w:eastAsia="zh-CN"/>
        </w:rPr>
        <w:t>0</w:t>
      </w:r>
      <w:r>
        <w:rPr>
          <w:color w:val="auto"/>
        </w:rPr>
        <w:t>.2制作电子投标文件需要数字证书（简称“CA”）和电子签章，请</w:t>
      </w:r>
      <w:r>
        <w:rPr>
          <w:rFonts w:hint="eastAsia"/>
          <w:color w:val="auto"/>
        </w:rPr>
        <w:t>供应商</w:t>
      </w:r>
      <w:r>
        <w:rPr>
          <w:color w:val="auto"/>
        </w:rPr>
        <w:t>及时办理数字证书及电子签章；</w:t>
      </w:r>
    </w:p>
    <w:p w14:paraId="43AE4C62">
      <w:pPr>
        <w:pStyle w:val="42"/>
        <w:rPr>
          <w:rFonts w:hint="eastAsia"/>
          <w:color w:val="auto"/>
        </w:rPr>
      </w:pPr>
      <w:r>
        <w:rPr>
          <w:color w:val="auto"/>
        </w:rPr>
        <w:t>1</w:t>
      </w:r>
      <w:r>
        <w:rPr>
          <w:rFonts w:hint="eastAsia"/>
          <w:color w:val="auto"/>
          <w:lang w:val="en-US" w:eastAsia="zh-CN"/>
        </w:rPr>
        <w:t>0</w:t>
      </w:r>
      <w:r>
        <w:rPr>
          <w:color w:val="auto"/>
        </w:rPr>
        <w:t>.3数字证书及电子签章必须是在</w:t>
      </w:r>
      <w:r>
        <w:rPr>
          <w:rFonts w:hint="eastAsia"/>
          <w:color w:val="auto"/>
          <w:lang w:val="en-US"/>
        </w:rPr>
        <w:t>云南省政府采购电子交易系统</w:t>
      </w:r>
      <w:r>
        <w:rPr>
          <w:color w:val="auto"/>
        </w:rPr>
        <w:t>中实现了互联互通对接的产品。办理地点详见</w:t>
      </w:r>
      <w:r>
        <w:rPr>
          <w:rFonts w:hint="eastAsia"/>
          <w:color w:val="auto"/>
          <w:lang w:val="en-US"/>
        </w:rPr>
        <w:t>公告内容</w:t>
      </w:r>
      <w:r>
        <w:rPr>
          <w:color w:val="auto"/>
        </w:rPr>
        <w:t>。</w:t>
      </w:r>
    </w:p>
    <w:p w14:paraId="25CE77CC">
      <w:pPr>
        <w:pStyle w:val="42"/>
        <w:rPr>
          <w:rFonts w:hint="eastAsia"/>
          <w:color w:val="auto"/>
        </w:rPr>
      </w:pPr>
      <w:r>
        <w:rPr>
          <w:rFonts w:hint="eastAsia"/>
          <w:color w:val="auto"/>
        </w:rPr>
        <w:t>1</w:t>
      </w:r>
      <w:r>
        <w:rPr>
          <w:rFonts w:hint="eastAsia"/>
          <w:color w:val="auto"/>
          <w:lang w:val="en-US" w:eastAsia="zh-CN"/>
        </w:rPr>
        <w:t>0</w:t>
      </w:r>
      <w:r>
        <w:rPr>
          <w:color w:val="auto"/>
        </w:rPr>
        <w:t>.4本招标文件中电子化招标采购的有关概念：</w:t>
      </w:r>
    </w:p>
    <w:p w14:paraId="344B14EC">
      <w:pPr>
        <w:pStyle w:val="42"/>
        <w:numPr>
          <w:ilvl w:val="0"/>
          <w:numId w:val="6"/>
        </w:numPr>
        <w:rPr>
          <w:rFonts w:hint="eastAsia"/>
          <w:color w:val="auto"/>
        </w:rPr>
      </w:pPr>
      <w:r>
        <w:rPr>
          <w:rFonts w:hint="eastAsia"/>
          <w:b/>
          <w:bCs/>
          <w:color w:val="auto"/>
        </w:rPr>
        <w:t>电子签名</w:t>
      </w:r>
      <w:r>
        <w:rPr>
          <w:rFonts w:hint="eastAsia"/>
          <w:color w:val="auto"/>
        </w:rPr>
        <w:t>：指运用电子密码技术，在数据电文中以电子形式所含，用于识别签名人（法人或自然人）身份并表明签名人认可其中内容的数据。</w:t>
      </w:r>
    </w:p>
    <w:p w14:paraId="4905A0CC">
      <w:pPr>
        <w:pStyle w:val="42"/>
        <w:numPr>
          <w:ilvl w:val="0"/>
          <w:numId w:val="6"/>
        </w:numPr>
        <w:rPr>
          <w:rFonts w:hint="eastAsia"/>
          <w:color w:val="auto"/>
        </w:rPr>
      </w:pPr>
      <w:r>
        <w:rPr>
          <w:rFonts w:hint="eastAsia"/>
          <w:b/>
          <w:bCs/>
          <w:color w:val="auto"/>
        </w:rPr>
        <w:t>电子印章</w:t>
      </w:r>
      <w:r>
        <w:rPr>
          <w:rFonts w:hint="eastAsia"/>
          <w:color w:val="auto"/>
        </w:rPr>
        <w:t>：指模拟在纸质文件上加盖传统实物印章的外观和方式进行电子签名的形式。</w:t>
      </w:r>
    </w:p>
    <w:p w14:paraId="2C2D0F72">
      <w:pPr>
        <w:pStyle w:val="42"/>
        <w:numPr>
          <w:ilvl w:val="0"/>
          <w:numId w:val="6"/>
        </w:numPr>
        <w:rPr>
          <w:rFonts w:hint="eastAsia"/>
          <w:color w:val="auto"/>
        </w:rPr>
      </w:pPr>
      <w:r>
        <w:rPr>
          <w:rFonts w:hint="eastAsia"/>
          <w:b/>
          <w:bCs/>
          <w:color w:val="auto"/>
        </w:rPr>
        <w:t>数字证书（简称“</w:t>
      </w:r>
      <w:r>
        <w:rPr>
          <w:b/>
          <w:bCs/>
          <w:color w:val="auto"/>
        </w:rPr>
        <w:t>CA”）：</w:t>
      </w:r>
      <w:r>
        <w:rPr>
          <w:color w:val="auto"/>
        </w:rPr>
        <w:t>经过有关部门认可的电子认证服务机构基于 PKI 技术签发、认证和管理的数字证书。CA 证书具有数据电文交换中身份识别、电子签名、加密解密等功能。</w:t>
      </w:r>
    </w:p>
    <w:p w14:paraId="5C83E147">
      <w:pPr>
        <w:pStyle w:val="42"/>
        <w:numPr>
          <w:ilvl w:val="0"/>
          <w:numId w:val="6"/>
        </w:numPr>
        <w:rPr>
          <w:rFonts w:hint="eastAsia"/>
          <w:color w:val="auto"/>
        </w:rPr>
      </w:pPr>
      <w:r>
        <w:rPr>
          <w:rFonts w:hint="eastAsia"/>
          <w:b/>
          <w:bCs/>
          <w:color w:val="auto"/>
        </w:rPr>
        <w:t>供应商客户端：</w:t>
      </w:r>
      <w:r>
        <w:rPr>
          <w:rFonts w:hint="eastAsia"/>
          <w:color w:val="auto"/>
        </w:rPr>
        <w:t>供应商可在</w:t>
      </w:r>
      <w:r>
        <w:rPr>
          <w:rFonts w:hint="eastAsia"/>
          <w:color w:val="auto"/>
          <w:lang w:val="en-US"/>
        </w:rPr>
        <w:t>云南</w:t>
      </w:r>
      <w:r>
        <w:rPr>
          <w:rFonts w:hint="eastAsia"/>
          <w:color w:val="auto"/>
        </w:rPr>
        <w:t>省政府采购电子交易平台中下载使用。</w:t>
      </w:r>
    </w:p>
    <w:p w14:paraId="56126626">
      <w:pPr>
        <w:pStyle w:val="42"/>
        <w:rPr>
          <w:rFonts w:hint="eastAsia"/>
          <w:color w:val="auto"/>
        </w:rPr>
      </w:pPr>
      <w:r>
        <w:rPr>
          <w:color w:val="auto"/>
        </w:rPr>
        <w:t>1</w:t>
      </w:r>
      <w:r>
        <w:rPr>
          <w:rFonts w:hint="eastAsia"/>
          <w:color w:val="auto"/>
          <w:lang w:val="en-US" w:eastAsia="zh-CN"/>
        </w:rPr>
        <w:t>0</w:t>
      </w:r>
      <w:r>
        <w:rPr>
          <w:color w:val="auto"/>
        </w:rPr>
        <w:t>.5</w:t>
      </w:r>
      <w:r>
        <w:rPr>
          <w:rFonts w:hint="eastAsia"/>
          <w:color w:val="auto"/>
        </w:rPr>
        <w:t>电子交易系统咨询：投标供应商应当充分考虑到电子投标可能会发生的各种问题和风险，特别是投标文件签署、提交等问题，无特殊情况，应当按照“投标供应商须知前附表”的规定咨询采购代理机构或政府采购交易系统。</w:t>
      </w:r>
    </w:p>
    <w:p w14:paraId="0360DC85">
      <w:pPr>
        <w:pStyle w:val="42"/>
        <w:rPr>
          <w:rFonts w:hint="eastAsia"/>
          <w:color w:val="auto"/>
        </w:rPr>
      </w:pPr>
      <w:r>
        <w:rPr>
          <w:color w:val="auto"/>
        </w:rPr>
        <w:t>1</w:t>
      </w:r>
      <w:r>
        <w:rPr>
          <w:rFonts w:hint="eastAsia"/>
          <w:color w:val="auto"/>
          <w:lang w:val="en-US" w:eastAsia="zh-CN"/>
        </w:rPr>
        <w:t>0</w:t>
      </w:r>
      <w:r>
        <w:rPr>
          <w:color w:val="auto"/>
        </w:rPr>
        <w:t>.6</w:t>
      </w:r>
      <w:r>
        <w:rPr>
          <w:rFonts w:hint="eastAsia"/>
          <w:color w:val="auto"/>
        </w:rPr>
        <w:t>政府采购交易系统</w:t>
      </w:r>
      <w:r>
        <w:rPr>
          <w:color w:val="auto"/>
        </w:rPr>
        <w:t>联系方式详见“</w:t>
      </w:r>
      <w:r>
        <w:rPr>
          <w:rFonts w:hint="eastAsia"/>
          <w:color w:val="auto"/>
        </w:rPr>
        <w:t>投标供应商</w:t>
      </w:r>
      <w:r>
        <w:rPr>
          <w:color w:val="auto"/>
        </w:rPr>
        <w:t>须知前附表”</w:t>
      </w:r>
      <w:r>
        <w:rPr>
          <w:rFonts w:hint="eastAsia"/>
          <w:color w:val="auto"/>
        </w:rPr>
        <w:t>。</w:t>
      </w:r>
    </w:p>
    <w:p w14:paraId="35289E08">
      <w:pPr>
        <w:pStyle w:val="4"/>
        <w:numPr>
          <w:ilvl w:val="0"/>
          <w:numId w:val="4"/>
        </w:numPr>
        <w:rPr>
          <w:rFonts w:hint="eastAsia"/>
          <w:color w:val="auto"/>
        </w:rPr>
      </w:pPr>
      <w:bookmarkStart w:id="107" w:name="_Toc19657"/>
      <w:r>
        <w:rPr>
          <w:rFonts w:hint="eastAsia"/>
          <w:color w:val="auto"/>
        </w:rPr>
        <w:t>招标文件</w:t>
      </w:r>
      <w:bookmarkEnd w:id="106"/>
      <w:bookmarkEnd w:id="107"/>
    </w:p>
    <w:p w14:paraId="7AAA816B">
      <w:pPr>
        <w:pStyle w:val="5"/>
        <w:numPr>
          <w:ilvl w:val="0"/>
          <w:numId w:val="5"/>
        </w:numPr>
        <w:rPr>
          <w:rFonts w:hint="eastAsia"/>
          <w:color w:val="auto"/>
        </w:rPr>
      </w:pPr>
      <w:bookmarkStart w:id="108" w:name="_Toc140132768"/>
      <w:bookmarkStart w:id="109" w:name="_Toc11714"/>
      <w:r>
        <w:rPr>
          <w:rFonts w:hint="eastAsia"/>
          <w:color w:val="auto"/>
        </w:rPr>
        <w:t>招标文件的组成</w:t>
      </w:r>
      <w:bookmarkEnd w:id="108"/>
      <w:bookmarkEnd w:id="109"/>
    </w:p>
    <w:p w14:paraId="48597327">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1</w:t>
      </w:r>
      <w:r>
        <w:rPr>
          <w:rFonts w:hint="eastAsia" w:cs="仿宋_GB2312"/>
          <w:color w:val="auto"/>
          <w:szCs w:val="24"/>
        </w:rPr>
        <w:t>.1本招标文件包括下列文件及根据本章第9款、第</w:t>
      </w:r>
      <w:r>
        <w:rPr>
          <w:rFonts w:cs="仿宋_GB2312"/>
          <w:color w:val="auto"/>
          <w:szCs w:val="24"/>
        </w:rPr>
        <w:t>13</w:t>
      </w:r>
      <w:r>
        <w:rPr>
          <w:rFonts w:hint="eastAsia" w:cs="仿宋_GB2312"/>
          <w:color w:val="auto"/>
          <w:szCs w:val="24"/>
        </w:rPr>
        <w:t>款对招标文件所作的澄清或者修改。</w:t>
      </w:r>
    </w:p>
    <w:p w14:paraId="20FA0196">
      <w:pPr>
        <w:ind w:firstLine="480" w:firstLineChars="200"/>
        <w:rPr>
          <w:rFonts w:hint="eastAsia" w:cs="仿宋_GB2312"/>
          <w:color w:val="auto"/>
          <w:szCs w:val="24"/>
        </w:rPr>
      </w:pPr>
      <w:r>
        <w:rPr>
          <w:rFonts w:hint="eastAsia" w:cs="仿宋_GB2312"/>
          <w:color w:val="auto"/>
          <w:szCs w:val="24"/>
        </w:rPr>
        <w:t>第一章 投标邀请</w:t>
      </w:r>
    </w:p>
    <w:p w14:paraId="777DF74F">
      <w:pPr>
        <w:ind w:firstLine="480" w:firstLineChars="200"/>
        <w:rPr>
          <w:rFonts w:hint="eastAsia" w:cs="仿宋_GB2312"/>
          <w:color w:val="auto"/>
          <w:szCs w:val="24"/>
        </w:rPr>
      </w:pPr>
      <w:r>
        <w:rPr>
          <w:rFonts w:hint="eastAsia" w:cs="仿宋_GB2312"/>
          <w:color w:val="auto"/>
          <w:szCs w:val="24"/>
        </w:rPr>
        <w:t>第二章 投标供应商须知</w:t>
      </w:r>
    </w:p>
    <w:p w14:paraId="4C69A653">
      <w:pPr>
        <w:ind w:firstLine="480" w:firstLineChars="200"/>
        <w:rPr>
          <w:rFonts w:hint="eastAsia" w:cs="仿宋_GB2312"/>
          <w:color w:val="auto"/>
          <w:szCs w:val="24"/>
        </w:rPr>
      </w:pPr>
      <w:r>
        <w:rPr>
          <w:rFonts w:hint="eastAsia" w:cs="仿宋_GB2312"/>
          <w:color w:val="auto"/>
          <w:szCs w:val="24"/>
        </w:rPr>
        <w:t>第三章 采购需求</w:t>
      </w:r>
    </w:p>
    <w:p w14:paraId="21A36CED">
      <w:pPr>
        <w:ind w:firstLine="480" w:firstLineChars="200"/>
        <w:rPr>
          <w:rFonts w:hint="eastAsia" w:cs="仿宋_GB2312"/>
          <w:color w:val="auto"/>
          <w:szCs w:val="24"/>
        </w:rPr>
      </w:pPr>
      <w:r>
        <w:rPr>
          <w:rFonts w:hint="eastAsia" w:cs="仿宋_GB2312"/>
          <w:color w:val="auto"/>
          <w:szCs w:val="24"/>
        </w:rPr>
        <w:t>第四章 资格审查方法及标准</w:t>
      </w:r>
    </w:p>
    <w:p w14:paraId="685C4FB1">
      <w:pPr>
        <w:ind w:firstLine="480" w:firstLineChars="200"/>
        <w:rPr>
          <w:rFonts w:hint="eastAsia" w:cs="仿宋_GB2312"/>
          <w:color w:val="auto"/>
          <w:szCs w:val="24"/>
        </w:rPr>
      </w:pPr>
      <w:r>
        <w:rPr>
          <w:rFonts w:hint="eastAsia" w:cs="仿宋_GB2312"/>
          <w:color w:val="auto"/>
          <w:szCs w:val="24"/>
        </w:rPr>
        <w:t>第五章 评标办法及标准</w:t>
      </w:r>
    </w:p>
    <w:p w14:paraId="4C6B1849">
      <w:pPr>
        <w:ind w:firstLine="480" w:firstLineChars="200"/>
        <w:rPr>
          <w:rFonts w:hint="eastAsia" w:cs="仿宋_GB2312"/>
          <w:color w:val="auto"/>
          <w:szCs w:val="24"/>
        </w:rPr>
      </w:pPr>
      <w:r>
        <w:rPr>
          <w:rFonts w:hint="eastAsia" w:cs="仿宋_GB2312"/>
          <w:color w:val="auto"/>
          <w:szCs w:val="24"/>
        </w:rPr>
        <w:t>第六章 合同草案</w:t>
      </w:r>
    </w:p>
    <w:p w14:paraId="7DBC26F8">
      <w:pPr>
        <w:ind w:firstLine="480" w:firstLineChars="200"/>
        <w:rPr>
          <w:rFonts w:hint="eastAsia" w:cs="仿宋_GB2312"/>
          <w:color w:val="auto"/>
          <w:szCs w:val="24"/>
        </w:rPr>
      </w:pPr>
      <w:r>
        <w:rPr>
          <w:rFonts w:hint="eastAsia" w:cs="仿宋_GB2312"/>
          <w:color w:val="auto"/>
          <w:szCs w:val="24"/>
        </w:rPr>
        <w:t>第七章 投标文件的格式</w:t>
      </w:r>
    </w:p>
    <w:p w14:paraId="637AA79A">
      <w:pPr>
        <w:pStyle w:val="5"/>
        <w:numPr>
          <w:ilvl w:val="0"/>
          <w:numId w:val="5"/>
        </w:numPr>
        <w:rPr>
          <w:rFonts w:hint="eastAsia"/>
          <w:color w:val="auto"/>
        </w:rPr>
      </w:pPr>
      <w:bookmarkStart w:id="110" w:name="_Toc140132769"/>
      <w:bookmarkStart w:id="111" w:name="_Toc15397"/>
      <w:r>
        <w:rPr>
          <w:rFonts w:hint="eastAsia"/>
          <w:color w:val="auto"/>
        </w:rPr>
        <w:t>招标文件的询问、澄清或者修改</w:t>
      </w:r>
      <w:bookmarkEnd w:id="110"/>
      <w:bookmarkEnd w:id="111"/>
    </w:p>
    <w:p w14:paraId="1DDA3457">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2</w:t>
      </w:r>
      <w:r>
        <w:rPr>
          <w:rFonts w:hint="eastAsia" w:cs="仿宋_GB2312"/>
          <w:color w:val="auto"/>
          <w:szCs w:val="24"/>
        </w:rPr>
        <w:t>.</w:t>
      </w:r>
      <w:r>
        <w:rPr>
          <w:rFonts w:cs="仿宋_GB2312"/>
          <w:color w:val="auto"/>
          <w:szCs w:val="24"/>
        </w:rPr>
        <w:t>1</w:t>
      </w:r>
      <w:r>
        <w:rPr>
          <w:rFonts w:hint="eastAsia" w:cs="仿宋_GB2312"/>
          <w:color w:val="auto"/>
          <w:szCs w:val="24"/>
        </w:rPr>
        <w:t xml:space="preserve"> 投标供应商对采购项目有疑问的，可以按照“投标供应商须知前附表”中的规定提出询问。采购人或采购代理机构将在收到询问后依法予以答复。对招标文件询问的答复，在必要时将以澄清形式推送给每个获取招标文件的潜在投标供应商(答复中不包括问题的来源)。</w:t>
      </w:r>
    </w:p>
    <w:p w14:paraId="3CF1E5B1">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2</w:t>
      </w:r>
      <w:r>
        <w:rPr>
          <w:rFonts w:hint="eastAsia" w:cs="仿宋_GB2312"/>
          <w:color w:val="auto"/>
          <w:szCs w:val="24"/>
        </w:rPr>
        <w:t>.2 采购人或者采购代理机构可以对已发出的招标文件进行必要的澄清或者修改。</w:t>
      </w:r>
      <w:r>
        <w:rPr>
          <w:rFonts w:hint="eastAsia"/>
          <w:color w:val="auto"/>
        </w:rPr>
        <w:t>澄清或修改的内容为招标文件的组成部分，并对所有获取招标文件的潜在投标供应商具有约束力。</w:t>
      </w:r>
    </w:p>
    <w:p w14:paraId="4A40FC46">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2</w:t>
      </w:r>
      <w:r>
        <w:rPr>
          <w:rFonts w:hint="eastAsia" w:cs="仿宋_GB2312"/>
          <w:color w:val="auto"/>
          <w:szCs w:val="24"/>
        </w:rPr>
        <w:t>.3 招标文件的澄清或者修改以书面形式发给所有领取招标文件的投标供应商，但不包括问题的来源。澄清或者修改的内容可能影响投标文件编制的，采购人或者采购代理机构应当在投标截止时间至少15日前，以书面形式通知所有获取招标文件的潜在投标供应商；不足15日的，采购人或者采购代理机构应当顺延提交投标文件的截止时间。</w:t>
      </w:r>
    </w:p>
    <w:p w14:paraId="708ED085">
      <w:pPr>
        <w:pStyle w:val="42"/>
        <w:rPr>
          <w:rFonts w:hint="eastAsia"/>
          <w:color w:val="auto"/>
        </w:rPr>
      </w:pPr>
      <w:r>
        <w:rPr>
          <w:color w:val="auto"/>
        </w:rPr>
        <w:t>1</w:t>
      </w:r>
      <w:r>
        <w:rPr>
          <w:rFonts w:hint="eastAsia"/>
          <w:color w:val="auto"/>
          <w:lang w:val="en-US" w:eastAsia="zh-CN"/>
        </w:rPr>
        <w:t>2</w:t>
      </w:r>
      <w:r>
        <w:rPr>
          <w:color w:val="auto"/>
        </w:rPr>
        <w:t>.</w:t>
      </w:r>
      <w:r>
        <w:rPr>
          <w:rFonts w:hint="eastAsia"/>
          <w:color w:val="auto"/>
        </w:rPr>
        <w:t xml:space="preserve">4 </w:t>
      </w:r>
      <w:r>
        <w:rPr>
          <w:rFonts w:hint="eastAsia" w:cs="仿宋_GB2312"/>
          <w:color w:val="auto"/>
          <w:szCs w:val="24"/>
        </w:rPr>
        <w:t>本”投标供应商须知”所称“</w:t>
      </w:r>
      <w:r>
        <w:rPr>
          <w:rFonts w:hint="eastAsia"/>
          <w:color w:val="auto"/>
        </w:rPr>
        <w:t>书面形式</w:t>
      </w:r>
      <w:r>
        <w:rPr>
          <w:rFonts w:hint="eastAsia" w:cs="仿宋_GB2312"/>
          <w:color w:val="auto"/>
          <w:szCs w:val="24"/>
        </w:rPr>
        <w:t>”</w:t>
      </w:r>
      <w:r>
        <w:rPr>
          <w:rFonts w:hint="eastAsia"/>
          <w:color w:val="auto"/>
        </w:rPr>
        <w:t>包括系统消息、云南省政府采购网中发布的公告。</w:t>
      </w:r>
    </w:p>
    <w:p w14:paraId="64D3C6C4">
      <w:pPr>
        <w:pStyle w:val="4"/>
        <w:numPr>
          <w:ilvl w:val="0"/>
          <w:numId w:val="4"/>
        </w:numPr>
        <w:rPr>
          <w:rFonts w:hint="eastAsia"/>
          <w:color w:val="auto"/>
        </w:rPr>
      </w:pPr>
      <w:bookmarkStart w:id="112" w:name="_Toc155185872"/>
      <w:bookmarkStart w:id="113" w:name="_Toc23618"/>
      <w:r>
        <w:rPr>
          <w:rFonts w:hint="eastAsia"/>
          <w:color w:val="auto"/>
        </w:rPr>
        <w:t>投标文件</w:t>
      </w:r>
      <w:bookmarkEnd w:id="112"/>
      <w:bookmarkEnd w:id="113"/>
    </w:p>
    <w:p w14:paraId="79264B1A">
      <w:pPr>
        <w:pStyle w:val="5"/>
        <w:numPr>
          <w:ilvl w:val="0"/>
          <w:numId w:val="5"/>
        </w:numPr>
        <w:rPr>
          <w:rFonts w:hint="eastAsia"/>
          <w:color w:val="auto"/>
        </w:rPr>
      </w:pPr>
      <w:bookmarkStart w:id="114" w:name="_Toc15498"/>
      <w:r>
        <w:rPr>
          <w:rFonts w:hint="eastAsia"/>
          <w:color w:val="auto"/>
        </w:rPr>
        <w:t>投标文件的组成</w:t>
      </w:r>
      <w:bookmarkEnd w:id="114"/>
    </w:p>
    <w:p w14:paraId="62F176C9">
      <w:pPr>
        <w:ind w:firstLine="480" w:firstLineChars="200"/>
        <w:rPr>
          <w:rFonts w:hint="eastAsia" w:cs="仿宋_GB2312"/>
          <w:color w:val="auto"/>
          <w:szCs w:val="24"/>
        </w:rPr>
      </w:pPr>
      <w:r>
        <w:rPr>
          <w:rFonts w:hint="eastAsia" w:cs="仿宋_GB2312"/>
          <w:color w:val="auto"/>
          <w:szCs w:val="24"/>
        </w:rPr>
        <w:t>一、投标函及报价文件</w:t>
      </w:r>
    </w:p>
    <w:p w14:paraId="6D6D5235">
      <w:pPr>
        <w:ind w:firstLine="480" w:firstLineChars="200"/>
        <w:rPr>
          <w:rFonts w:hint="eastAsia" w:cs="仿宋_GB2312"/>
          <w:color w:val="auto"/>
          <w:szCs w:val="24"/>
        </w:rPr>
      </w:pPr>
      <w:r>
        <w:rPr>
          <w:rFonts w:hint="eastAsia" w:cs="仿宋_GB2312"/>
          <w:color w:val="auto"/>
          <w:szCs w:val="24"/>
        </w:rPr>
        <w:t>（一）投标函</w:t>
      </w:r>
    </w:p>
    <w:p w14:paraId="74FE7815">
      <w:pPr>
        <w:ind w:firstLine="480" w:firstLineChars="200"/>
        <w:rPr>
          <w:rFonts w:hint="eastAsia" w:cs="仿宋_GB2312"/>
          <w:color w:val="auto"/>
          <w:szCs w:val="24"/>
        </w:rPr>
      </w:pPr>
      <w:r>
        <w:rPr>
          <w:rFonts w:hint="eastAsia" w:cs="仿宋_GB2312"/>
          <w:color w:val="auto"/>
          <w:szCs w:val="24"/>
        </w:rPr>
        <w:t>（二）开标一览表</w:t>
      </w:r>
    </w:p>
    <w:p w14:paraId="1954EDA6">
      <w:pPr>
        <w:ind w:firstLine="480" w:firstLineChars="200"/>
        <w:rPr>
          <w:rFonts w:hint="eastAsia" w:cs="仿宋_GB2312"/>
          <w:color w:val="auto"/>
          <w:szCs w:val="24"/>
        </w:rPr>
      </w:pPr>
      <w:r>
        <w:rPr>
          <w:rFonts w:hint="eastAsia" w:cs="仿宋_GB2312"/>
          <w:color w:val="auto"/>
          <w:szCs w:val="24"/>
        </w:rPr>
        <w:t>（三）法定代表人（负责人）身份证明</w:t>
      </w:r>
    </w:p>
    <w:p w14:paraId="27B57A29">
      <w:pPr>
        <w:ind w:firstLine="480" w:firstLineChars="200"/>
        <w:rPr>
          <w:rFonts w:hint="eastAsia" w:cs="仿宋_GB2312"/>
          <w:color w:val="auto"/>
          <w:szCs w:val="24"/>
        </w:rPr>
      </w:pPr>
      <w:r>
        <w:rPr>
          <w:rFonts w:hint="eastAsia" w:cs="仿宋_GB2312"/>
          <w:color w:val="auto"/>
          <w:szCs w:val="24"/>
        </w:rPr>
        <w:t>（四）法定代表人（负责人）授权书</w:t>
      </w:r>
    </w:p>
    <w:p w14:paraId="5E50DD86">
      <w:pPr>
        <w:ind w:firstLine="480" w:firstLineChars="200"/>
        <w:rPr>
          <w:rFonts w:hint="eastAsia" w:cs="仿宋_GB2312"/>
          <w:color w:val="auto"/>
          <w:szCs w:val="24"/>
        </w:rPr>
      </w:pPr>
      <w:r>
        <w:rPr>
          <w:rFonts w:hint="eastAsia" w:cs="仿宋_GB2312"/>
          <w:color w:val="auto"/>
          <w:szCs w:val="24"/>
        </w:rPr>
        <w:t>二、资格证明文件</w:t>
      </w:r>
    </w:p>
    <w:p w14:paraId="5D01874D">
      <w:pPr>
        <w:ind w:firstLine="480" w:firstLineChars="200"/>
        <w:rPr>
          <w:rFonts w:hint="eastAsia" w:cs="仿宋_GB2312"/>
          <w:color w:val="auto"/>
          <w:szCs w:val="24"/>
        </w:rPr>
      </w:pPr>
      <w:r>
        <w:rPr>
          <w:rFonts w:hint="eastAsia" w:cs="仿宋_GB2312"/>
          <w:color w:val="auto"/>
          <w:szCs w:val="24"/>
        </w:rPr>
        <w:t>（一）企业法人营业执照、事业单位法人证书或团体组织法人证书</w:t>
      </w:r>
    </w:p>
    <w:p w14:paraId="491C8FC5">
      <w:pPr>
        <w:ind w:firstLine="480" w:firstLineChars="200"/>
        <w:rPr>
          <w:rFonts w:hint="eastAsia" w:cs="仿宋_GB2312"/>
          <w:color w:val="auto"/>
          <w:szCs w:val="24"/>
        </w:rPr>
      </w:pPr>
      <w:r>
        <w:rPr>
          <w:rFonts w:hint="eastAsia" w:cs="仿宋_GB2312"/>
          <w:color w:val="auto"/>
          <w:szCs w:val="24"/>
        </w:rPr>
        <w:t>（二）资格条件承诺书</w:t>
      </w:r>
    </w:p>
    <w:p w14:paraId="54DA1C30">
      <w:pPr>
        <w:ind w:firstLine="480" w:firstLineChars="200"/>
        <w:rPr>
          <w:rFonts w:hint="eastAsia" w:cs="仿宋_GB2312"/>
          <w:color w:val="auto"/>
          <w:szCs w:val="24"/>
        </w:rPr>
      </w:pPr>
      <w:r>
        <w:rPr>
          <w:rFonts w:hint="eastAsia" w:cs="仿宋_GB2312"/>
          <w:color w:val="auto"/>
          <w:szCs w:val="24"/>
        </w:rPr>
        <w:t>（三）资格证明文件</w:t>
      </w:r>
    </w:p>
    <w:p w14:paraId="6F83D9B4">
      <w:pPr>
        <w:ind w:firstLine="480" w:firstLineChars="200"/>
        <w:rPr>
          <w:rFonts w:hint="eastAsia" w:cs="仿宋_GB2312"/>
          <w:color w:val="auto"/>
          <w:szCs w:val="24"/>
        </w:rPr>
      </w:pPr>
      <w:r>
        <w:rPr>
          <w:rFonts w:hint="eastAsia" w:cs="仿宋_GB2312"/>
          <w:color w:val="auto"/>
          <w:szCs w:val="24"/>
        </w:rPr>
        <w:t>（四）其他资格证明文件</w:t>
      </w:r>
    </w:p>
    <w:p w14:paraId="3544D95D">
      <w:pPr>
        <w:ind w:firstLine="480" w:firstLineChars="200"/>
        <w:rPr>
          <w:rFonts w:hint="eastAsia" w:cs="仿宋_GB2312"/>
          <w:b/>
          <w:bCs/>
          <w:color w:val="auto"/>
          <w:szCs w:val="24"/>
        </w:rPr>
      </w:pPr>
      <w:r>
        <w:rPr>
          <w:rFonts w:hint="eastAsia" w:cs="仿宋_GB2312"/>
          <w:color w:val="auto"/>
          <w:szCs w:val="24"/>
        </w:rPr>
        <w:t>三、其他响应文件</w:t>
      </w:r>
    </w:p>
    <w:p w14:paraId="3B2E9A0A">
      <w:pPr>
        <w:ind w:firstLine="480" w:firstLineChars="200"/>
        <w:rPr>
          <w:rFonts w:hint="eastAsia" w:cs="仿宋_GB2312"/>
          <w:color w:val="auto"/>
          <w:szCs w:val="24"/>
        </w:rPr>
      </w:pPr>
      <w:r>
        <w:rPr>
          <w:rFonts w:hint="eastAsia" w:cs="仿宋_GB2312"/>
          <w:color w:val="auto"/>
          <w:szCs w:val="24"/>
        </w:rPr>
        <w:t>（一）商务部分</w:t>
      </w:r>
    </w:p>
    <w:p w14:paraId="0A69CDB0">
      <w:pPr>
        <w:ind w:left="240" w:leftChars="100" w:firstLine="480" w:firstLineChars="200"/>
        <w:rPr>
          <w:rFonts w:hint="eastAsia" w:cs="仿宋_GB2312"/>
          <w:color w:val="auto"/>
          <w:szCs w:val="24"/>
        </w:rPr>
      </w:pPr>
      <w:r>
        <w:rPr>
          <w:rFonts w:hint="eastAsia" w:cs="仿宋_GB2312"/>
          <w:color w:val="auto"/>
          <w:szCs w:val="24"/>
          <w:lang w:val="en-US" w:eastAsia="zh-CN"/>
        </w:rPr>
        <w:t>1</w:t>
      </w:r>
      <w:r>
        <w:rPr>
          <w:rFonts w:cs="仿宋_GB2312"/>
          <w:color w:val="auto"/>
          <w:szCs w:val="24"/>
        </w:rPr>
        <w:t>.商务响应偏离表</w:t>
      </w:r>
    </w:p>
    <w:p w14:paraId="3CE6A9B8">
      <w:pPr>
        <w:ind w:left="240" w:leftChars="100" w:firstLine="480" w:firstLineChars="200"/>
        <w:rPr>
          <w:rFonts w:hint="eastAsia" w:cs="仿宋_GB2312"/>
          <w:color w:val="auto"/>
          <w:szCs w:val="24"/>
        </w:rPr>
      </w:pPr>
      <w:r>
        <w:rPr>
          <w:rFonts w:hint="eastAsia" w:cs="仿宋_GB2312"/>
          <w:color w:val="auto"/>
          <w:szCs w:val="24"/>
          <w:lang w:val="en-US" w:eastAsia="zh-CN"/>
        </w:rPr>
        <w:t>2</w:t>
      </w:r>
      <w:r>
        <w:rPr>
          <w:rFonts w:cs="仿宋_GB2312"/>
          <w:color w:val="auto"/>
          <w:szCs w:val="24"/>
        </w:rPr>
        <w:t>.其它商务文件</w:t>
      </w:r>
    </w:p>
    <w:p w14:paraId="53ED796A">
      <w:pPr>
        <w:ind w:firstLine="480" w:firstLineChars="200"/>
        <w:rPr>
          <w:rFonts w:hint="eastAsia" w:cs="仿宋_GB2312"/>
          <w:color w:val="auto"/>
          <w:szCs w:val="24"/>
        </w:rPr>
      </w:pPr>
      <w:r>
        <w:rPr>
          <w:rFonts w:hint="eastAsia" w:cs="仿宋_GB2312"/>
          <w:color w:val="auto"/>
          <w:szCs w:val="24"/>
        </w:rPr>
        <w:t>（二）技术部分</w:t>
      </w:r>
    </w:p>
    <w:p w14:paraId="00B4220E">
      <w:pPr>
        <w:ind w:left="240" w:leftChars="100" w:firstLine="480" w:firstLineChars="200"/>
        <w:rPr>
          <w:rFonts w:hint="eastAsia" w:cs="仿宋_GB2312"/>
          <w:color w:val="auto"/>
          <w:szCs w:val="24"/>
        </w:rPr>
      </w:pPr>
      <w:r>
        <w:rPr>
          <w:rFonts w:cs="仿宋_GB2312"/>
          <w:color w:val="auto"/>
          <w:szCs w:val="24"/>
        </w:rPr>
        <w:t>1.技术响应偏离表</w:t>
      </w:r>
    </w:p>
    <w:p w14:paraId="1362FF53">
      <w:pPr>
        <w:ind w:left="240" w:leftChars="100" w:firstLine="480" w:firstLineChars="200"/>
        <w:rPr>
          <w:rFonts w:hint="eastAsia" w:cs="仿宋_GB2312"/>
          <w:color w:val="auto"/>
          <w:szCs w:val="24"/>
        </w:rPr>
      </w:pPr>
      <w:r>
        <w:rPr>
          <w:rFonts w:cs="仿宋_GB2312"/>
          <w:color w:val="auto"/>
          <w:szCs w:val="24"/>
        </w:rPr>
        <w:t>2.技术</w:t>
      </w:r>
      <w:r>
        <w:rPr>
          <w:rFonts w:hint="eastAsia" w:cs="仿宋_GB2312"/>
          <w:color w:val="auto"/>
          <w:szCs w:val="24"/>
          <w:lang w:val="en-US" w:eastAsia="zh-CN"/>
        </w:rPr>
        <w:t>商务</w:t>
      </w:r>
      <w:r>
        <w:rPr>
          <w:rFonts w:cs="仿宋_GB2312"/>
          <w:color w:val="auto"/>
          <w:szCs w:val="24"/>
        </w:rPr>
        <w:t>方案</w:t>
      </w:r>
    </w:p>
    <w:p w14:paraId="4EAEEA1E">
      <w:pPr>
        <w:ind w:left="240" w:leftChars="100" w:firstLine="480" w:firstLineChars="200"/>
        <w:rPr>
          <w:rFonts w:hint="eastAsia" w:cs="仿宋_GB2312"/>
          <w:color w:val="auto"/>
          <w:szCs w:val="24"/>
        </w:rPr>
      </w:pPr>
      <w:r>
        <w:rPr>
          <w:rFonts w:cs="仿宋_GB2312"/>
          <w:color w:val="auto"/>
          <w:szCs w:val="24"/>
        </w:rPr>
        <w:t>3.其他技术文件</w:t>
      </w:r>
    </w:p>
    <w:p w14:paraId="6185A72E">
      <w:pPr>
        <w:ind w:firstLine="480" w:firstLineChars="200"/>
        <w:rPr>
          <w:rFonts w:hint="eastAsia" w:cs="仿宋_GB2312"/>
          <w:color w:val="auto"/>
          <w:szCs w:val="24"/>
        </w:rPr>
      </w:pPr>
      <w:r>
        <w:rPr>
          <w:rFonts w:hint="eastAsia" w:cs="仿宋_GB2312"/>
          <w:color w:val="auto"/>
          <w:szCs w:val="24"/>
        </w:rPr>
        <w:t>（三）</w:t>
      </w:r>
      <w:bookmarkStart w:id="115" w:name="_Hlk161562968"/>
      <w:r>
        <w:rPr>
          <w:rFonts w:hint="eastAsia" w:cs="仿宋_GB2312"/>
          <w:color w:val="auto"/>
          <w:szCs w:val="24"/>
        </w:rPr>
        <w:t>落实政府采购政策相关证明文件</w:t>
      </w:r>
      <w:bookmarkEnd w:id="115"/>
    </w:p>
    <w:p w14:paraId="18384116">
      <w:pPr>
        <w:ind w:left="240" w:leftChars="100" w:firstLine="480" w:firstLineChars="200"/>
        <w:rPr>
          <w:rFonts w:hint="eastAsia" w:cs="仿宋_GB2312"/>
          <w:color w:val="auto"/>
          <w:szCs w:val="24"/>
        </w:rPr>
      </w:pPr>
      <w:r>
        <w:rPr>
          <w:rFonts w:cs="仿宋_GB2312"/>
          <w:color w:val="auto"/>
          <w:szCs w:val="24"/>
        </w:rPr>
        <w:t>1.节能环保产品清单及证明材料【如适用】</w:t>
      </w:r>
    </w:p>
    <w:p w14:paraId="2F93BC0F">
      <w:pPr>
        <w:ind w:left="240" w:leftChars="100" w:firstLine="480" w:firstLineChars="200"/>
        <w:rPr>
          <w:rFonts w:hint="eastAsia" w:cs="仿宋_GB2312"/>
          <w:color w:val="auto"/>
          <w:szCs w:val="24"/>
        </w:rPr>
      </w:pPr>
      <w:r>
        <w:rPr>
          <w:rFonts w:cs="仿宋_GB2312"/>
          <w:color w:val="auto"/>
          <w:szCs w:val="24"/>
        </w:rPr>
        <w:t>2.中小企业声明函【如适用】</w:t>
      </w:r>
    </w:p>
    <w:p w14:paraId="71E1DFBB">
      <w:pPr>
        <w:ind w:left="240" w:leftChars="100" w:firstLine="480" w:firstLineChars="200"/>
        <w:rPr>
          <w:rFonts w:hint="eastAsia" w:cs="仿宋_GB2312"/>
          <w:color w:val="auto"/>
          <w:szCs w:val="24"/>
        </w:rPr>
      </w:pPr>
      <w:r>
        <w:rPr>
          <w:rFonts w:cs="仿宋_GB2312"/>
          <w:color w:val="auto"/>
          <w:szCs w:val="24"/>
        </w:rPr>
        <w:t>3.监狱企业证明文件【如适用】</w:t>
      </w:r>
    </w:p>
    <w:p w14:paraId="7CEE2CCB">
      <w:pPr>
        <w:ind w:left="240" w:leftChars="100" w:firstLine="480" w:firstLineChars="200"/>
        <w:rPr>
          <w:rFonts w:hint="eastAsia" w:cs="仿宋_GB2312"/>
          <w:color w:val="auto"/>
          <w:szCs w:val="24"/>
        </w:rPr>
      </w:pPr>
      <w:r>
        <w:rPr>
          <w:rFonts w:cs="仿宋_GB2312"/>
          <w:color w:val="auto"/>
          <w:szCs w:val="24"/>
        </w:rPr>
        <w:t>4.残疾人福利性单位声明函【如适用】</w:t>
      </w:r>
    </w:p>
    <w:p w14:paraId="0D392416">
      <w:pPr>
        <w:ind w:left="240" w:leftChars="100" w:firstLine="480" w:firstLineChars="200"/>
        <w:rPr>
          <w:rFonts w:hint="eastAsia" w:cs="仿宋_GB2312"/>
          <w:color w:val="auto"/>
          <w:szCs w:val="24"/>
        </w:rPr>
      </w:pPr>
      <w:r>
        <w:rPr>
          <w:rFonts w:cs="仿宋_GB2312"/>
          <w:color w:val="auto"/>
          <w:szCs w:val="24"/>
        </w:rPr>
        <w:t>5.</w:t>
      </w:r>
      <w:r>
        <w:rPr>
          <w:rFonts w:hint="eastAsia" w:cs="仿宋_GB2312"/>
          <w:color w:val="auto"/>
          <w:szCs w:val="24"/>
        </w:rPr>
        <w:t>投标供应商</w:t>
      </w:r>
      <w:r>
        <w:rPr>
          <w:rFonts w:cs="仿宋_GB2312"/>
          <w:color w:val="auto"/>
          <w:szCs w:val="24"/>
        </w:rPr>
        <w:t>认为需要提供的其他资料</w:t>
      </w:r>
    </w:p>
    <w:p w14:paraId="0887619E">
      <w:pPr>
        <w:pStyle w:val="5"/>
        <w:numPr>
          <w:ilvl w:val="0"/>
          <w:numId w:val="5"/>
        </w:numPr>
        <w:rPr>
          <w:rFonts w:hint="eastAsia"/>
          <w:color w:val="auto"/>
        </w:rPr>
      </w:pPr>
      <w:bookmarkStart w:id="116" w:name="_Toc140132772"/>
      <w:bookmarkStart w:id="117" w:name="_Toc12935"/>
      <w:r>
        <w:rPr>
          <w:rFonts w:hint="eastAsia"/>
          <w:color w:val="auto"/>
        </w:rPr>
        <w:t>投标报价</w:t>
      </w:r>
      <w:bookmarkEnd w:id="116"/>
      <w:bookmarkEnd w:id="117"/>
    </w:p>
    <w:p w14:paraId="1F8AA0DE">
      <w:pPr>
        <w:ind w:firstLine="480" w:firstLineChars="200"/>
        <w:rPr>
          <w:rFonts w:hint="eastAsia" w:cs="宋体"/>
          <w:snapToGrid w:val="0"/>
          <w:color w:val="auto"/>
          <w:szCs w:val="24"/>
          <w:lang w:val="zh-CN"/>
        </w:rPr>
      </w:pPr>
      <w:r>
        <w:rPr>
          <w:rFonts w:cs="宋体"/>
          <w:snapToGrid w:val="0"/>
          <w:color w:val="auto"/>
          <w:szCs w:val="24"/>
        </w:rPr>
        <w:t>1</w:t>
      </w:r>
      <w:r>
        <w:rPr>
          <w:rFonts w:hint="eastAsia" w:cs="宋体"/>
          <w:snapToGrid w:val="0"/>
          <w:color w:val="auto"/>
          <w:szCs w:val="24"/>
          <w:lang w:val="en-US" w:eastAsia="zh-CN"/>
        </w:rPr>
        <w:t>4</w:t>
      </w:r>
      <w:r>
        <w:rPr>
          <w:rFonts w:hint="eastAsia" w:cs="宋体"/>
          <w:snapToGrid w:val="0"/>
          <w:color w:val="auto"/>
          <w:szCs w:val="24"/>
        </w:rPr>
        <w:t xml:space="preserve">.1 </w:t>
      </w:r>
      <w:r>
        <w:rPr>
          <w:rFonts w:hint="eastAsia" w:cs="宋体"/>
          <w:snapToGrid w:val="0"/>
          <w:color w:val="auto"/>
          <w:szCs w:val="24"/>
          <w:lang w:val="zh-CN"/>
        </w:rPr>
        <w:t>投标供应商的报价均应以人民币进行报价。</w:t>
      </w:r>
    </w:p>
    <w:p w14:paraId="5EA097B7">
      <w:pPr>
        <w:ind w:firstLine="480" w:firstLineChars="200"/>
        <w:rPr>
          <w:rFonts w:hint="eastAsia" w:cs="宋体"/>
          <w:snapToGrid w:val="0"/>
          <w:color w:val="auto"/>
          <w:szCs w:val="24"/>
        </w:rPr>
      </w:pPr>
      <w:r>
        <w:rPr>
          <w:rFonts w:cs="宋体"/>
          <w:snapToGrid w:val="0"/>
          <w:color w:val="auto"/>
          <w:szCs w:val="24"/>
        </w:rPr>
        <w:t>1</w:t>
      </w:r>
      <w:r>
        <w:rPr>
          <w:rFonts w:hint="eastAsia" w:cs="宋体"/>
          <w:snapToGrid w:val="0"/>
          <w:color w:val="auto"/>
          <w:szCs w:val="24"/>
          <w:lang w:val="en-US" w:eastAsia="zh-CN"/>
        </w:rPr>
        <w:t>4</w:t>
      </w:r>
      <w:r>
        <w:rPr>
          <w:rFonts w:hint="eastAsia" w:cs="宋体"/>
          <w:snapToGrid w:val="0"/>
          <w:color w:val="auto"/>
          <w:szCs w:val="24"/>
        </w:rPr>
        <w:t>.2 投标供应商应按照本招标文件规定的报价方式进行报价，具体报价方式见“投标供应商须知前附表”。投标报价中不得包含招标文件要求以外的内容，否则，在评标时不予核减。投标报价中也不得遗漏招标文件所要求的内容，否则，其</w:t>
      </w:r>
      <w:r>
        <w:rPr>
          <w:rFonts w:hint="eastAsia" w:cs="宋体"/>
          <w:b/>
          <w:bCs/>
          <w:snapToGrid w:val="0"/>
          <w:color w:val="auto"/>
          <w:szCs w:val="24"/>
        </w:rPr>
        <w:t>投标无效</w:t>
      </w:r>
      <w:r>
        <w:rPr>
          <w:rFonts w:hint="eastAsia" w:cs="宋体"/>
          <w:snapToGrid w:val="0"/>
          <w:color w:val="auto"/>
          <w:szCs w:val="24"/>
        </w:rPr>
        <w:t>。</w:t>
      </w:r>
    </w:p>
    <w:p w14:paraId="03E5FCC2">
      <w:pPr>
        <w:ind w:firstLine="480" w:firstLineChars="200"/>
        <w:rPr>
          <w:rFonts w:hint="eastAsia" w:cs="宋体"/>
          <w:snapToGrid w:val="0"/>
          <w:color w:val="auto"/>
          <w:szCs w:val="24"/>
          <w:lang w:val="zh-CN"/>
        </w:rPr>
      </w:pPr>
      <w:r>
        <w:rPr>
          <w:rFonts w:cs="宋体"/>
          <w:snapToGrid w:val="0"/>
          <w:color w:val="auto"/>
          <w:szCs w:val="24"/>
        </w:rPr>
        <w:t>1</w:t>
      </w:r>
      <w:r>
        <w:rPr>
          <w:rFonts w:hint="eastAsia" w:cs="宋体"/>
          <w:snapToGrid w:val="0"/>
          <w:color w:val="auto"/>
          <w:szCs w:val="24"/>
          <w:lang w:val="en-US" w:eastAsia="zh-CN"/>
        </w:rPr>
        <w:t>4</w:t>
      </w:r>
      <w:r>
        <w:rPr>
          <w:rFonts w:hint="eastAsia" w:cs="宋体"/>
          <w:snapToGrid w:val="0"/>
          <w:color w:val="auto"/>
          <w:szCs w:val="24"/>
        </w:rPr>
        <w:t xml:space="preserve">.3 </w:t>
      </w:r>
      <w:r>
        <w:rPr>
          <w:rFonts w:hint="eastAsia" w:cs="宋体"/>
          <w:snapToGrid w:val="0"/>
          <w:color w:val="auto"/>
          <w:szCs w:val="24"/>
          <w:lang w:val="zh-CN"/>
        </w:rPr>
        <w:t>投标供应商应根据本招标文件的规定和要求、市场价格水平及其走势、投标供应商的管理水平、投标供应商的方案和由这些因素决定的投标供应商之于本项目的成本水平等提出自己的报价。报价应合理，并包含完成本招标文件采购需求全部内容的所有费用，所有根据本招标文件或其它原因应由投标供应商支付的税款和其他应交纳的费用都应包括在投标供应商提交的投标报价中。</w:t>
      </w:r>
    </w:p>
    <w:p w14:paraId="62BFDDDB">
      <w:pPr>
        <w:ind w:firstLine="480" w:firstLineChars="200"/>
        <w:rPr>
          <w:rFonts w:hint="eastAsia" w:cs="宋体"/>
          <w:snapToGrid w:val="0"/>
          <w:color w:val="auto"/>
          <w:szCs w:val="24"/>
        </w:rPr>
      </w:pPr>
      <w:r>
        <w:rPr>
          <w:rFonts w:cs="宋体"/>
          <w:snapToGrid w:val="0"/>
          <w:color w:val="auto"/>
          <w:szCs w:val="24"/>
        </w:rPr>
        <w:t>1</w:t>
      </w:r>
      <w:r>
        <w:rPr>
          <w:rFonts w:hint="eastAsia" w:cs="宋体"/>
          <w:snapToGrid w:val="0"/>
          <w:color w:val="auto"/>
          <w:szCs w:val="24"/>
          <w:lang w:val="en-US" w:eastAsia="zh-CN"/>
        </w:rPr>
        <w:t>4</w:t>
      </w:r>
      <w:r>
        <w:rPr>
          <w:rFonts w:hint="eastAsia" w:cs="宋体"/>
          <w:snapToGrid w:val="0"/>
          <w:color w:val="auto"/>
          <w:szCs w:val="24"/>
        </w:rPr>
        <w:t>.4 投标供应商在投标文件中注明免费的项目将视为包含在投标报价中。</w:t>
      </w:r>
    </w:p>
    <w:p w14:paraId="6504CED4">
      <w:pPr>
        <w:ind w:firstLine="480" w:firstLineChars="200"/>
        <w:rPr>
          <w:rFonts w:hint="eastAsia" w:cs="宋体"/>
          <w:snapToGrid w:val="0"/>
          <w:color w:val="auto"/>
          <w:szCs w:val="24"/>
        </w:rPr>
      </w:pPr>
      <w:r>
        <w:rPr>
          <w:rFonts w:cs="宋体"/>
          <w:snapToGrid w:val="0"/>
          <w:color w:val="auto"/>
          <w:szCs w:val="24"/>
        </w:rPr>
        <w:t>1</w:t>
      </w:r>
      <w:r>
        <w:rPr>
          <w:rFonts w:hint="eastAsia" w:cs="宋体"/>
          <w:snapToGrid w:val="0"/>
          <w:color w:val="auto"/>
          <w:szCs w:val="24"/>
          <w:lang w:val="en-US" w:eastAsia="zh-CN"/>
        </w:rPr>
        <w:t>4</w:t>
      </w:r>
      <w:r>
        <w:rPr>
          <w:rFonts w:hint="eastAsia" w:cs="宋体"/>
          <w:snapToGrid w:val="0"/>
          <w:color w:val="auto"/>
          <w:szCs w:val="24"/>
        </w:rPr>
        <w:t>.5 每一种采购内容只允许有一个报价，否则其</w:t>
      </w:r>
      <w:r>
        <w:rPr>
          <w:rFonts w:hint="eastAsia" w:cs="宋体"/>
          <w:b/>
          <w:bCs/>
          <w:snapToGrid w:val="0"/>
          <w:color w:val="auto"/>
          <w:szCs w:val="24"/>
        </w:rPr>
        <w:t>投标无效</w:t>
      </w:r>
      <w:r>
        <w:rPr>
          <w:rFonts w:hint="eastAsia" w:cs="宋体"/>
          <w:snapToGrid w:val="0"/>
          <w:color w:val="auto"/>
          <w:szCs w:val="24"/>
        </w:rPr>
        <w:t>。</w:t>
      </w:r>
    </w:p>
    <w:p w14:paraId="0A2B6100">
      <w:pPr>
        <w:ind w:firstLine="480" w:firstLineChars="200"/>
        <w:rPr>
          <w:rFonts w:cs="仿宋_GB2312"/>
          <w:color w:val="auto"/>
          <w:szCs w:val="24"/>
        </w:rPr>
      </w:pPr>
      <w:r>
        <w:rPr>
          <w:rFonts w:cs="仿宋_GB2312"/>
          <w:color w:val="auto"/>
          <w:szCs w:val="24"/>
        </w:rPr>
        <w:t>1</w:t>
      </w:r>
      <w:r>
        <w:rPr>
          <w:rFonts w:hint="eastAsia" w:cs="仿宋_GB2312"/>
          <w:color w:val="auto"/>
          <w:szCs w:val="24"/>
          <w:lang w:val="en-US" w:eastAsia="zh-CN"/>
        </w:rPr>
        <w:t>4</w:t>
      </w:r>
      <w:r>
        <w:rPr>
          <w:rFonts w:cs="仿宋_GB2312"/>
          <w:color w:val="auto"/>
          <w:szCs w:val="24"/>
        </w:rPr>
        <w:t>.</w:t>
      </w:r>
      <w:r>
        <w:rPr>
          <w:rFonts w:hint="eastAsia" w:cs="仿宋_GB2312"/>
          <w:color w:val="auto"/>
          <w:szCs w:val="24"/>
        </w:rPr>
        <w:t>6投标报价不得超过“投标供应商</w:t>
      </w:r>
      <w:r>
        <w:rPr>
          <w:rFonts w:cs="仿宋_GB2312"/>
          <w:color w:val="auto"/>
          <w:szCs w:val="24"/>
        </w:rPr>
        <w:t>须知前附表</w:t>
      </w:r>
      <w:r>
        <w:rPr>
          <w:rFonts w:hint="eastAsia" w:cs="仿宋_GB2312"/>
          <w:color w:val="auto"/>
          <w:szCs w:val="24"/>
        </w:rPr>
        <w:t>”中规定的最高投标限价，否则</w:t>
      </w:r>
      <w:r>
        <w:rPr>
          <w:rFonts w:cs="仿宋_GB2312"/>
          <w:color w:val="auto"/>
          <w:szCs w:val="24"/>
        </w:rPr>
        <w:t>评标委员会将否决其投标。</w:t>
      </w:r>
    </w:p>
    <w:p w14:paraId="473F5FEE">
      <w:pPr>
        <w:adjustRightInd w:val="0"/>
        <w:snapToGrid w:val="0"/>
        <w:spacing w:line="360" w:lineRule="auto"/>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所有投标均按投标人须知表12.1条中要求货币进行报价。投标人的投标报价应遵守《中华人民共和国价格法》。同时，根据《中华人民共和国政府采购法》第三条的规定，为保证公平竞争，如有服务主体部分的赠与行为，其投标将被认定为</w:t>
      </w:r>
      <w:r>
        <w:rPr>
          <w:rFonts w:hint="eastAsia" w:ascii="宋体" w:hAnsi="宋体" w:eastAsia="宋体" w:cs="宋体"/>
          <w:b/>
          <w:bCs/>
          <w:color w:val="auto"/>
          <w:szCs w:val="21"/>
          <w:highlight w:val="none"/>
        </w:rPr>
        <w:t>投标无效</w:t>
      </w:r>
      <w:r>
        <w:rPr>
          <w:rFonts w:hint="eastAsia" w:ascii="宋体" w:hAnsi="宋体" w:eastAsia="宋体" w:cs="宋体"/>
          <w:color w:val="auto"/>
          <w:szCs w:val="21"/>
          <w:highlight w:val="none"/>
        </w:rPr>
        <w:t>。</w:t>
      </w:r>
    </w:p>
    <w:p w14:paraId="315E7D9E">
      <w:pPr>
        <w:adjustRightInd w:val="0"/>
        <w:snapToGrid w:val="0"/>
        <w:spacing w:line="360" w:lineRule="auto"/>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投标人应按招标文件要求在相关表格中标明投标服务及伴随货物的单价和总价，并由法定代表人（非法人组织的负责人）或其委托代理人签署。</w:t>
      </w:r>
    </w:p>
    <w:p w14:paraId="3E101542">
      <w:pPr>
        <w:adjustRightInd w:val="0"/>
        <w:snapToGrid w:val="0"/>
        <w:spacing w:line="360" w:lineRule="auto"/>
        <w:ind w:firstLine="48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投标人所报的各分项投标单价在合同履行过程中是固定不变的，不得以任何理由予以变更。任何包含价格调整要求的投标，其投标将被认定为</w:t>
      </w:r>
      <w:r>
        <w:rPr>
          <w:rFonts w:hint="eastAsia" w:ascii="宋体" w:hAnsi="宋体" w:eastAsia="宋体" w:cs="宋体"/>
          <w:b/>
          <w:bCs/>
          <w:color w:val="auto"/>
          <w:szCs w:val="21"/>
          <w:highlight w:val="none"/>
        </w:rPr>
        <w:t>投标无效。</w:t>
      </w:r>
    </w:p>
    <w:p w14:paraId="22D2A86C">
      <w:pPr>
        <w:adjustRightInd w:val="0"/>
        <w:snapToGrid w:val="0"/>
        <w:spacing w:line="360" w:lineRule="auto"/>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每种服务只能有一个投标报价。采购人不接受具有附加条件的报价。</w:t>
      </w:r>
    </w:p>
    <w:p w14:paraId="0DE4332E">
      <w:pPr>
        <w:adjustRightInd w:val="0"/>
        <w:snapToGrid w:val="0"/>
        <w:spacing w:line="360" w:lineRule="auto"/>
        <w:ind w:firstLine="480" w:firstLineChars="200"/>
        <w:rPr>
          <w:rFonts w:hint="eastAsia" w:ascii="宋体" w:hAnsi="宋体" w:eastAsia="宋体" w:cs="宋体"/>
          <w:color w:val="auto"/>
          <w:szCs w:val="21"/>
          <w:highlight w:val="none"/>
        </w:rPr>
      </w:pPr>
      <w:bookmarkStart w:id="118" w:name="_Toc22507_WPSOffice_Level2"/>
      <w:bookmarkStart w:id="119" w:name="_Toc31973_WPSOffice_Level2"/>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除非招标文件另有规定，报价原则上精确到小数点后两位。</w:t>
      </w:r>
      <w:bookmarkEnd w:id="118"/>
      <w:bookmarkEnd w:id="119"/>
    </w:p>
    <w:p w14:paraId="5093FB4B">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cs="宋体"/>
          <w:color w:val="auto"/>
          <w:szCs w:val="21"/>
          <w:highlight w:val="none"/>
          <w:lang w:val="en-US" w:eastAsia="zh-CN"/>
        </w:rPr>
        <w:t>4</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评标委员会认为投标人的报价明显低于其他通过符合性审查投标人，有可能影响产品质量或者不能诚信履约的，且投标人不能按评标委员会的要求证明其报价合理性的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根据《关于推动解决政府采购异常低价问题的通知》财库(2026)2号</w:t>
      </w:r>
      <w:r>
        <w:rPr>
          <w:rFonts w:hint="eastAsia" w:ascii="宋体" w:hAnsi="宋体" w:eastAsia="宋体" w:cs="宋体"/>
          <w:color w:val="auto"/>
          <w:szCs w:val="21"/>
          <w:highlight w:val="none"/>
          <w:lang w:val="en-US" w:eastAsia="zh-CN"/>
        </w:rPr>
        <w:t>文件规定将</w:t>
      </w:r>
      <w:r>
        <w:rPr>
          <w:rFonts w:hint="eastAsia" w:ascii="宋体" w:hAnsi="宋体" w:eastAsia="宋体" w:cs="宋体"/>
          <w:color w:val="auto"/>
          <w:szCs w:val="21"/>
          <w:highlight w:val="none"/>
        </w:rPr>
        <w:t>启动异常低价投标(响应)审查程序:</w:t>
      </w:r>
    </w:p>
    <w:p w14:paraId="497E8D01">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投标报价低于全部通过符合性审查供应商投标报价平均值50%的，即投标报价〈全部通过符合性审查供应商投标报价平均值</w:t>
      </w:r>
      <w:r>
        <w:rPr>
          <w:rFonts w:ascii="宋体" w:hAnsi="宋体" w:eastAsia="宋体" w:cs="宋体"/>
          <w:color w:val="auto"/>
          <w:szCs w:val="21"/>
          <w:highlight w:val="none"/>
        </w:rPr>
        <w:t>×</w:t>
      </w:r>
      <w:r>
        <w:rPr>
          <w:rFonts w:hint="eastAsia" w:ascii="宋体" w:hAnsi="宋体" w:eastAsia="宋体" w:cs="宋体"/>
          <w:color w:val="auto"/>
          <w:szCs w:val="21"/>
          <w:highlight w:val="none"/>
        </w:rPr>
        <w:t>50%；</w:t>
      </w:r>
    </w:p>
    <w:p w14:paraId="31F6662D">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投标报价低于通过符合性审查的次低报价供应商投标报价50%的，即投标报价〈通过符合性审查的次低报价供应商投标报价</w:t>
      </w:r>
      <w:r>
        <w:rPr>
          <w:rFonts w:ascii="宋体" w:hAnsi="宋体" w:eastAsia="宋体" w:cs="宋体"/>
          <w:color w:val="auto"/>
          <w:szCs w:val="21"/>
          <w:highlight w:val="none"/>
        </w:rPr>
        <w:t>×</w:t>
      </w:r>
      <w:r>
        <w:rPr>
          <w:rFonts w:hint="eastAsia" w:ascii="宋体" w:hAnsi="宋体" w:eastAsia="宋体" w:cs="宋体"/>
          <w:color w:val="auto"/>
          <w:szCs w:val="21"/>
          <w:highlight w:val="none"/>
        </w:rPr>
        <w:t>50%；</w:t>
      </w:r>
    </w:p>
    <w:p w14:paraId="66331085">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投标报价低于采购项目最高限价45%的，即投标报价</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采购项目最高限价×45%。</w:t>
      </w:r>
    </w:p>
    <w:p w14:paraId="78500786">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评审委员会基于专业判断，认为供应商报价过低，有可能影响产品质量或者不能诚信履约的其他情形。</w:t>
      </w:r>
    </w:p>
    <w:p w14:paraId="212DDEF5">
      <w:pPr>
        <w:adjustRightInd w:val="0"/>
        <w:snapToGrid w:val="0"/>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评审委员会启动异常低价投标审查后，属于前述第</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项至第</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项情形的，</w:t>
      </w:r>
      <w:r>
        <w:rPr>
          <w:rFonts w:hint="eastAsia" w:ascii="宋体" w:hAnsi="宋体" w:eastAsia="宋体" w:cs="宋体"/>
          <w:color w:val="auto"/>
          <w:szCs w:val="21"/>
          <w:highlight w:val="none"/>
          <w:lang w:val="en-US" w:eastAsia="zh-CN"/>
        </w:rPr>
        <w:t>将</w:t>
      </w:r>
      <w:r>
        <w:rPr>
          <w:rFonts w:hint="eastAsia" w:ascii="宋体" w:hAnsi="宋体" w:eastAsia="宋体" w:cs="宋体"/>
          <w:color w:val="auto"/>
          <w:szCs w:val="21"/>
          <w:highlight w:val="none"/>
        </w:rPr>
        <w:t>要求相关供应商在评审现场合理的时间内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60分钟内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72A0692D">
      <w:pPr>
        <w:adjustRightInd w:val="0"/>
        <w:snapToGrid w:val="0"/>
        <w:spacing w:line="360" w:lineRule="auto"/>
        <w:ind w:firstLine="480" w:firstLineChars="200"/>
        <w:jc w:val="left"/>
        <w:rPr>
          <w:color w:val="auto"/>
        </w:rPr>
      </w:pPr>
      <w:r>
        <w:rPr>
          <w:rFonts w:hint="eastAsia" w:ascii="宋体" w:hAnsi="宋体" w:eastAsia="宋体" w:cs="宋体"/>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E9241F5">
      <w:pPr>
        <w:numPr>
          <w:ilvl w:val="0"/>
          <w:numId w:val="0"/>
        </w:numPr>
        <w:ind w:firstLine="480" w:firstLineChars="200"/>
        <w:rPr>
          <w:rFonts w:hint="default" w:cs="仿宋_GB2312"/>
          <w:color w:val="auto"/>
          <w:szCs w:val="24"/>
          <w:lang w:val="en-US" w:eastAsia="zh-CN"/>
        </w:rPr>
      </w:pPr>
    </w:p>
    <w:p w14:paraId="27046374">
      <w:pPr>
        <w:pStyle w:val="5"/>
        <w:numPr>
          <w:ilvl w:val="0"/>
          <w:numId w:val="5"/>
        </w:numPr>
        <w:rPr>
          <w:rFonts w:hint="eastAsia"/>
          <w:color w:val="auto"/>
        </w:rPr>
      </w:pPr>
      <w:bookmarkStart w:id="120" w:name="_Toc140132773"/>
      <w:bookmarkStart w:id="121" w:name="_Toc16897"/>
      <w:r>
        <w:rPr>
          <w:rFonts w:hint="eastAsia"/>
          <w:color w:val="auto"/>
        </w:rPr>
        <w:t>投标有效期</w:t>
      </w:r>
      <w:bookmarkEnd w:id="120"/>
      <w:bookmarkEnd w:id="121"/>
    </w:p>
    <w:p w14:paraId="457EC9B5">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5</w:t>
      </w:r>
      <w:r>
        <w:rPr>
          <w:rFonts w:hint="eastAsia" w:cs="仿宋_GB2312"/>
          <w:color w:val="auto"/>
          <w:szCs w:val="24"/>
        </w:rPr>
        <w:t xml:space="preserve">.1 </w:t>
      </w:r>
      <w:r>
        <w:rPr>
          <w:rFonts w:ascii="Arial" w:hAnsi="Arial" w:cs="Arial"/>
          <w:color w:val="auto"/>
          <w:kern w:val="0"/>
          <w:szCs w:val="21"/>
          <w:lang w:val="en"/>
        </w:rPr>
        <w:t>投标有效期</w:t>
      </w:r>
      <w:r>
        <w:rPr>
          <w:rFonts w:hint="eastAsia" w:cs="仿宋_GB2312"/>
          <w:color w:val="auto"/>
          <w:szCs w:val="24"/>
        </w:rPr>
        <w:t>见“投标供应商</w:t>
      </w:r>
      <w:r>
        <w:rPr>
          <w:rFonts w:cs="仿宋_GB2312"/>
          <w:color w:val="auto"/>
          <w:szCs w:val="24"/>
        </w:rPr>
        <w:t>须知前附表</w:t>
      </w:r>
      <w:r>
        <w:rPr>
          <w:rFonts w:hint="eastAsia" w:cs="仿宋_GB2312"/>
          <w:color w:val="auto"/>
          <w:szCs w:val="24"/>
        </w:rPr>
        <w:t>”，投标供应商承诺的投标有效期不足的，其投标文件将被视为</w:t>
      </w:r>
      <w:r>
        <w:rPr>
          <w:rFonts w:hint="eastAsia" w:cs="仿宋_GB2312"/>
          <w:b/>
          <w:bCs/>
          <w:color w:val="auto"/>
          <w:szCs w:val="24"/>
        </w:rPr>
        <w:t>投标无效</w:t>
      </w:r>
      <w:r>
        <w:rPr>
          <w:rFonts w:hint="eastAsia" w:cs="仿宋_GB2312"/>
          <w:color w:val="auto"/>
          <w:szCs w:val="24"/>
        </w:rPr>
        <w:t>。</w:t>
      </w:r>
    </w:p>
    <w:p w14:paraId="685D220C">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5</w:t>
      </w:r>
      <w:r>
        <w:rPr>
          <w:rFonts w:cs="仿宋_GB2312"/>
          <w:color w:val="auto"/>
          <w:szCs w:val="24"/>
        </w:rPr>
        <w:t>.2特殊情况下，在原</w:t>
      </w:r>
      <w:r>
        <w:rPr>
          <w:rFonts w:hint="eastAsia" w:cs="仿宋_GB2312"/>
          <w:color w:val="auto"/>
          <w:szCs w:val="24"/>
        </w:rPr>
        <w:t>投标文件</w:t>
      </w:r>
      <w:r>
        <w:rPr>
          <w:rFonts w:cs="仿宋_GB2312"/>
          <w:color w:val="auto"/>
          <w:szCs w:val="24"/>
        </w:rPr>
        <w:t>有效期截止之前，采购代理机构或采购人可要求</w:t>
      </w:r>
      <w:r>
        <w:rPr>
          <w:rFonts w:hint="eastAsia" w:cs="仿宋_GB2312"/>
          <w:color w:val="auto"/>
          <w:szCs w:val="24"/>
        </w:rPr>
        <w:t>投标供应商</w:t>
      </w:r>
      <w:r>
        <w:rPr>
          <w:rFonts w:cs="仿宋_GB2312"/>
          <w:color w:val="auto"/>
          <w:szCs w:val="24"/>
        </w:rPr>
        <w:t>延长</w:t>
      </w:r>
      <w:r>
        <w:rPr>
          <w:rFonts w:hint="eastAsia" w:cs="仿宋_GB2312"/>
          <w:color w:val="auto"/>
          <w:szCs w:val="24"/>
        </w:rPr>
        <w:t>投标</w:t>
      </w:r>
      <w:r>
        <w:rPr>
          <w:rFonts w:cs="仿宋_GB2312"/>
          <w:color w:val="auto"/>
          <w:szCs w:val="24"/>
        </w:rPr>
        <w:t>有效期。需要延长</w:t>
      </w:r>
      <w:r>
        <w:rPr>
          <w:rFonts w:hint="eastAsia" w:cs="仿宋_GB2312"/>
          <w:color w:val="auto"/>
          <w:szCs w:val="24"/>
        </w:rPr>
        <w:t>投标</w:t>
      </w:r>
      <w:r>
        <w:rPr>
          <w:rFonts w:cs="仿宋_GB2312"/>
          <w:color w:val="auto"/>
          <w:szCs w:val="24"/>
        </w:rPr>
        <w:t>有效期时，采购代理机构或采购人将以书面形式通知所有</w:t>
      </w:r>
      <w:r>
        <w:rPr>
          <w:rFonts w:hint="eastAsia" w:cs="仿宋_GB2312"/>
          <w:color w:val="auto"/>
          <w:szCs w:val="24"/>
        </w:rPr>
        <w:t>投标供应商</w:t>
      </w:r>
      <w:r>
        <w:rPr>
          <w:rFonts w:cs="仿宋_GB2312"/>
          <w:color w:val="auto"/>
          <w:szCs w:val="24"/>
        </w:rPr>
        <w:t>，</w:t>
      </w:r>
      <w:r>
        <w:rPr>
          <w:rFonts w:hint="eastAsia" w:cs="仿宋_GB2312"/>
          <w:color w:val="auto"/>
          <w:szCs w:val="24"/>
        </w:rPr>
        <w:t>投标供应商</w:t>
      </w:r>
      <w:r>
        <w:rPr>
          <w:rFonts w:cs="仿宋_GB2312"/>
          <w:color w:val="auto"/>
          <w:szCs w:val="24"/>
        </w:rPr>
        <w:t>应以书面形式答复是否同意延长</w:t>
      </w:r>
      <w:r>
        <w:rPr>
          <w:rFonts w:hint="eastAsia" w:cs="仿宋_GB2312"/>
          <w:color w:val="auto"/>
          <w:szCs w:val="24"/>
        </w:rPr>
        <w:t>投标</w:t>
      </w:r>
      <w:r>
        <w:rPr>
          <w:rFonts w:cs="仿宋_GB2312"/>
          <w:color w:val="auto"/>
          <w:szCs w:val="24"/>
        </w:rPr>
        <w:t>有效期。</w:t>
      </w:r>
    </w:p>
    <w:p w14:paraId="191125BE">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5</w:t>
      </w:r>
      <w:r>
        <w:rPr>
          <w:rFonts w:cs="仿宋_GB2312"/>
          <w:color w:val="auto"/>
          <w:szCs w:val="24"/>
        </w:rPr>
        <w:t>.3</w:t>
      </w:r>
      <w:r>
        <w:rPr>
          <w:rFonts w:hint="eastAsia" w:cs="仿宋_GB2312"/>
          <w:color w:val="auto"/>
          <w:szCs w:val="24"/>
        </w:rPr>
        <w:t>投标供应商</w:t>
      </w:r>
      <w:r>
        <w:rPr>
          <w:rFonts w:cs="仿宋_GB2312"/>
          <w:color w:val="auto"/>
          <w:szCs w:val="24"/>
        </w:rPr>
        <w:t>同意延长的，不得要求或被允许修改或撤销其</w:t>
      </w:r>
      <w:r>
        <w:rPr>
          <w:rFonts w:hint="eastAsia" w:cs="仿宋_GB2312"/>
          <w:color w:val="auto"/>
          <w:szCs w:val="24"/>
        </w:rPr>
        <w:t>投标文件</w:t>
      </w:r>
      <w:r>
        <w:rPr>
          <w:rFonts w:cs="仿宋_GB2312"/>
          <w:color w:val="auto"/>
          <w:szCs w:val="24"/>
        </w:rPr>
        <w:t>；供应商拒绝延长的，其</w:t>
      </w:r>
      <w:r>
        <w:rPr>
          <w:rFonts w:hint="eastAsia" w:cs="仿宋_GB2312"/>
          <w:color w:val="auto"/>
          <w:szCs w:val="24"/>
        </w:rPr>
        <w:t>投标文件</w:t>
      </w:r>
      <w:r>
        <w:rPr>
          <w:rFonts w:cs="仿宋_GB2312"/>
          <w:color w:val="auto"/>
          <w:szCs w:val="24"/>
        </w:rPr>
        <w:t>在原</w:t>
      </w:r>
      <w:r>
        <w:rPr>
          <w:rFonts w:hint="eastAsia" w:cs="仿宋_GB2312"/>
          <w:color w:val="auto"/>
          <w:szCs w:val="24"/>
        </w:rPr>
        <w:t>投标</w:t>
      </w:r>
      <w:r>
        <w:rPr>
          <w:rFonts w:cs="仿宋_GB2312"/>
          <w:color w:val="auto"/>
          <w:szCs w:val="24"/>
        </w:rPr>
        <w:t>有效期满后将不再有效。</w:t>
      </w:r>
    </w:p>
    <w:p w14:paraId="546A25A3">
      <w:pPr>
        <w:pStyle w:val="5"/>
        <w:numPr>
          <w:ilvl w:val="0"/>
          <w:numId w:val="5"/>
        </w:numPr>
        <w:rPr>
          <w:rFonts w:hint="eastAsia"/>
          <w:color w:val="auto"/>
        </w:rPr>
      </w:pPr>
      <w:bookmarkStart w:id="122" w:name="_Toc23918"/>
      <w:bookmarkStart w:id="123" w:name="_Toc140132774"/>
      <w:r>
        <w:rPr>
          <w:rFonts w:hint="eastAsia"/>
          <w:color w:val="auto"/>
        </w:rPr>
        <w:t>投标文件的编制</w:t>
      </w:r>
      <w:bookmarkEnd w:id="122"/>
      <w:bookmarkEnd w:id="123"/>
    </w:p>
    <w:p w14:paraId="2784F323">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6</w:t>
      </w:r>
      <w:r>
        <w:rPr>
          <w:rFonts w:hint="eastAsia" w:cs="仿宋_GB2312"/>
          <w:color w:val="auto"/>
          <w:szCs w:val="24"/>
        </w:rPr>
        <w:t>.1投标文件应在供应商客户端中进行编制，在投标文件中要求加盖印章的，除有特殊说明之外，一律使用电子签章签署。</w:t>
      </w:r>
    </w:p>
    <w:p w14:paraId="0854DC8A">
      <w:pPr>
        <w:pStyle w:val="42"/>
        <w:rPr>
          <w:rFonts w:hint="eastAsia"/>
          <w:color w:val="auto"/>
        </w:rPr>
      </w:pPr>
      <w:r>
        <w:rPr>
          <w:color w:val="auto"/>
        </w:rPr>
        <w:t>1</w:t>
      </w:r>
      <w:r>
        <w:rPr>
          <w:rFonts w:hint="eastAsia"/>
          <w:color w:val="auto"/>
          <w:lang w:val="en-US" w:eastAsia="zh-CN"/>
        </w:rPr>
        <w:t>6</w:t>
      </w:r>
      <w:r>
        <w:rPr>
          <w:rFonts w:hint="eastAsia"/>
          <w:color w:val="auto"/>
        </w:rPr>
        <w:t>.</w:t>
      </w:r>
      <w:bookmarkStart w:id="124" w:name="_Hlk143528557"/>
      <w:r>
        <w:rPr>
          <w:color w:val="auto"/>
        </w:rPr>
        <w:t>2</w:t>
      </w:r>
      <w:r>
        <w:rPr>
          <w:rFonts w:hint="eastAsia"/>
          <w:color w:val="auto"/>
        </w:rPr>
        <w:t>投标供应商在供应商客户端中按照供应商客户端中的格式要求填写响应内容后，生成投标文件。投标供应商须按照招标文件的要求使用电子签章对要求加盖印章的部分逐一进行签章。</w:t>
      </w:r>
      <w:bookmarkEnd w:id="124"/>
    </w:p>
    <w:p w14:paraId="497CF18D">
      <w:pPr>
        <w:pStyle w:val="4"/>
        <w:numPr>
          <w:ilvl w:val="0"/>
          <w:numId w:val="4"/>
        </w:numPr>
        <w:rPr>
          <w:rFonts w:hint="eastAsia"/>
          <w:color w:val="auto"/>
        </w:rPr>
      </w:pPr>
      <w:bookmarkStart w:id="125" w:name="_Toc155185873"/>
      <w:bookmarkStart w:id="126" w:name="_Toc4873"/>
      <w:r>
        <w:rPr>
          <w:rFonts w:hint="eastAsia" w:asciiTheme="minorHAnsi" w:hAnsiTheme="minorHAnsi"/>
          <w:color w:val="auto"/>
        </w:rPr>
        <w:t>投标</w:t>
      </w:r>
      <w:bookmarkEnd w:id="125"/>
      <w:bookmarkEnd w:id="126"/>
    </w:p>
    <w:p w14:paraId="1DD0510E">
      <w:pPr>
        <w:pStyle w:val="5"/>
        <w:numPr>
          <w:ilvl w:val="0"/>
          <w:numId w:val="5"/>
        </w:numPr>
        <w:rPr>
          <w:rFonts w:hint="eastAsia"/>
          <w:color w:val="auto"/>
        </w:rPr>
      </w:pPr>
      <w:bookmarkStart w:id="127" w:name="_Toc27206"/>
      <w:r>
        <w:rPr>
          <w:rFonts w:hint="eastAsia"/>
          <w:color w:val="auto"/>
        </w:rPr>
        <w:t>投标文件的加密</w:t>
      </w:r>
      <w:bookmarkEnd w:id="127"/>
    </w:p>
    <w:p w14:paraId="7C1DA3CD">
      <w:pPr>
        <w:ind w:firstLine="480" w:firstLineChars="200"/>
        <w:rPr>
          <w:rFonts w:hint="eastAsia" w:cs="仿宋_GB2312"/>
          <w:color w:val="auto"/>
          <w:szCs w:val="24"/>
          <w:u w:val="single"/>
        </w:rPr>
      </w:pPr>
      <w:bookmarkStart w:id="128" w:name="_Hlk143531864"/>
      <w:r>
        <w:rPr>
          <w:rFonts w:cs="仿宋_GB2312"/>
          <w:color w:val="auto"/>
          <w:szCs w:val="24"/>
        </w:rPr>
        <w:t>1</w:t>
      </w:r>
      <w:r>
        <w:rPr>
          <w:rFonts w:hint="eastAsia" w:cs="仿宋_GB2312"/>
          <w:color w:val="auto"/>
          <w:szCs w:val="24"/>
          <w:lang w:val="en-US" w:eastAsia="zh-CN"/>
        </w:rPr>
        <w:t>7</w:t>
      </w:r>
      <w:r>
        <w:rPr>
          <w:rFonts w:hint="eastAsia" w:cs="仿宋_GB2312"/>
          <w:color w:val="auto"/>
          <w:szCs w:val="24"/>
        </w:rPr>
        <w:t>.1投标供应商在供应商客户端中生成投标文件并完成签章之后，使用CA证书在供应商客户端中对投标文件进行加密。</w:t>
      </w:r>
    </w:p>
    <w:p w14:paraId="698572C1">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7</w:t>
      </w:r>
      <w:r>
        <w:rPr>
          <w:rFonts w:hint="eastAsia" w:cs="仿宋_GB2312"/>
          <w:color w:val="auto"/>
          <w:szCs w:val="24"/>
        </w:rPr>
        <w:t>.2投标供应商应在供应商客户端中对加密的投标文件进行解密验证，以防止投标文件加密异常，在开标时无法解密。</w:t>
      </w:r>
    </w:p>
    <w:p w14:paraId="623F80CD">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7</w:t>
      </w:r>
      <w:r>
        <w:rPr>
          <w:rFonts w:hint="eastAsia" w:cs="仿宋_GB2312"/>
          <w:color w:val="auto"/>
          <w:szCs w:val="24"/>
        </w:rPr>
        <w:t>.3 投标供应商应保证加密投标文件的CA证书有效期在开标时间之前。若CA证书有效期临近开标时间，建议投标供应商提前办理CA证书续期，以免开标时无法进行解密。</w:t>
      </w:r>
    </w:p>
    <w:bookmarkEnd w:id="128"/>
    <w:p w14:paraId="38901CA0">
      <w:pPr>
        <w:pStyle w:val="5"/>
        <w:numPr>
          <w:ilvl w:val="0"/>
          <w:numId w:val="5"/>
        </w:numPr>
        <w:rPr>
          <w:rFonts w:hint="eastAsia"/>
          <w:color w:val="auto"/>
        </w:rPr>
      </w:pPr>
      <w:bookmarkStart w:id="129" w:name="_Toc140132777"/>
      <w:bookmarkStart w:id="130" w:name="_Toc3408"/>
      <w:r>
        <w:rPr>
          <w:rFonts w:hint="eastAsia"/>
          <w:color w:val="auto"/>
        </w:rPr>
        <w:t>投标文件的递交</w:t>
      </w:r>
      <w:bookmarkEnd w:id="129"/>
      <w:r>
        <w:rPr>
          <w:rFonts w:hint="eastAsia"/>
          <w:color w:val="auto"/>
        </w:rPr>
        <w:t>（上传）</w:t>
      </w:r>
      <w:bookmarkEnd w:id="130"/>
    </w:p>
    <w:p w14:paraId="351B2D98">
      <w:pPr>
        <w:ind w:firstLine="480" w:firstLineChars="200"/>
        <w:rPr>
          <w:rFonts w:hint="eastAsia" w:cs="仿宋_GB2312"/>
          <w:color w:val="auto"/>
          <w:szCs w:val="24"/>
        </w:rPr>
      </w:pPr>
      <w:bookmarkStart w:id="131" w:name="_Hlk143531977"/>
      <w:r>
        <w:rPr>
          <w:rFonts w:cs="仿宋_GB2312"/>
          <w:color w:val="auto"/>
          <w:szCs w:val="24"/>
        </w:rPr>
        <w:t>1</w:t>
      </w:r>
      <w:r>
        <w:rPr>
          <w:rFonts w:hint="eastAsia" w:cs="仿宋_GB2312"/>
          <w:color w:val="auto"/>
          <w:szCs w:val="24"/>
          <w:lang w:val="en-US" w:eastAsia="zh-CN"/>
        </w:rPr>
        <w:t>8</w:t>
      </w:r>
      <w:r>
        <w:rPr>
          <w:rFonts w:hint="eastAsia" w:cs="仿宋_GB2312"/>
          <w:color w:val="auto"/>
          <w:szCs w:val="24"/>
        </w:rPr>
        <w:t>.1 投标供应商应在“投标供应商</w:t>
      </w:r>
      <w:r>
        <w:rPr>
          <w:rFonts w:cs="仿宋_GB2312"/>
          <w:color w:val="auto"/>
          <w:szCs w:val="24"/>
        </w:rPr>
        <w:t>须知前附表</w:t>
      </w:r>
      <w:r>
        <w:rPr>
          <w:rFonts w:hint="eastAsia" w:cs="仿宋_GB2312"/>
          <w:color w:val="auto"/>
          <w:szCs w:val="24"/>
        </w:rPr>
        <w:t>”规定的投标截止时间前递交（上传）投标文件。</w:t>
      </w:r>
    </w:p>
    <w:p w14:paraId="226C588B">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8</w:t>
      </w:r>
      <w:r>
        <w:rPr>
          <w:rFonts w:hint="eastAsia" w:cs="仿宋_GB2312"/>
          <w:color w:val="auto"/>
          <w:szCs w:val="24"/>
        </w:rPr>
        <w:t>.2 投标供应商递交（上传）投标文件的地点见“投标供应商</w:t>
      </w:r>
      <w:r>
        <w:rPr>
          <w:rFonts w:cs="仿宋_GB2312"/>
          <w:color w:val="auto"/>
          <w:szCs w:val="24"/>
        </w:rPr>
        <w:t>须知前附表</w:t>
      </w:r>
      <w:r>
        <w:rPr>
          <w:rFonts w:hint="eastAsia" w:cs="仿宋_GB2312"/>
          <w:color w:val="auto"/>
          <w:szCs w:val="24"/>
        </w:rPr>
        <w:t>”。</w:t>
      </w:r>
    </w:p>
    <w:p w14:paraId="193B7B8B">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8</w:t>
      </w:r>
      <w:r>
        <w:rPr>
          <w:rFonts w:hint="eastAsia" w:cs="仿宋_GB2312"/>
          <w:color w:val="auto"/>
          <w:szCs w:val="24"/>
        </w:rPr>
        <w:t>.3投标供应商应充分评估集中同时投标带来的网络影响，尽量避开投标高峰时间，错峰进行电子投标。投标供应商递交全部的投标文件后可在递交投标文件的交易系统中获取投标文件递交回执单。</w:t>
      </w:r>
    </w:p>
    <w:p w14:paraId="476630F6">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8</w:t>
      </w:r>
      <w:r>
        <w:rPr>
          <w:rFonts w:hint="eastAsia" w:cs="仿宋_GB2312"/>
          <w:color w:val="auto"/>
          <w:szCs w:val="24"/>
        </w:rPr>
        <w:t>.4</w:t>
      </w:r>
      <w:r>
        <w:rPr>
          <w:rFonts w:cs="仿宋_GB2312"/>
          <w:color w:val="auto"/>
          <w:szCs w:val="24"/>
        </w:rPr>
        <w:t xml:space="preserve"> </w:t>
      </w:r>
      <w:r>
        <w:rPr>
          <w:rFonts w:hint="eastAsia" w:cs="仿宋_GB2312"/>
          <w:color w:val="auto"/>
          <w:szCs w:val="24"/>
        </w:rPr>
        <w:t>投标供应商应在供应商客户端中下载未加密且完成签章的投标文件妥善保存，以便启动应急开标程序时使用。</w:t>
      </w:r>
    </w:p>
    <w:p w14:paraId="1B3BB586">
      <w:pPr>
        <w:ind w:firstLine="480" w:firstLineChars="200"/>
        <w:rPr>
          <w:rFonts w:hint="eastAsia" w:cs="仿宋_GB2312"/>
          <w:color w:val="auto"/>
          <w:szCs w:val="24"/>
        </w:rPr>
      </w:pPr>
      <w:r>
        <w:rPr>
          <w:rFonts w:cs="仿宋_GB2312"/>
          <w:color w:val="auto"/>
          <w:szCs w:val="24"/>
        </w:rPr>
        <w:t>1</w:t>
      </w:r>
      <w:r>
        <w:rPr>
          <w:rFonts w:hint="eastAsia" w:cs="仿宋_GB2312"/>
          <w:color w:val="auto"/>
          <w:szCs w:val="24"/>
          <w:lang w:val="en-US" w:eastAsia="zh-CN"/>
        </w:rPr>
        <w:t>8</w:t>
      </w:r>
      <w:r>
        <w:rPr>
          <w:rFonts w:hint="eastAsia" w:cs="仿宋_GB2312"/>
          <w:color w:val="auto"/>
          <w:szCs w:val="24"/>
        </w:rPr>
        <w:t>.</w:t>
      </w:r>
      <w:r>
        <w:rPr>
          <w:rFonts w:cs="仿宋_GB2312"/>
          <w:color w:val="auto"/>
          <w:szCs w:val="24"/>
        </w:rPr>
        <w:t>5</w:t>
      </w:r>
      <w:r>
        <w:rPr>
          <w:rFonts w:hint="eastAsia" w:cs="仿宋_GB2312"/>
          <w:color w:val="auto"/>
          <w:szCs w:val="24"/>
        </w:rPr>
        <w:t>投标供应商所递交的投标文件不予退还。</w:t>
      </w:r>
    </w:p>
    <w:bookmarkEnd w:id="131"/>
    <w:p w14:paraId="2A584D91">
      <w:pPr>
        <w:pStyle w:val="5"/>
        <w:numPr>
          <w:ilvl w:val="0"/>
          <w:numId w:val="5"/>
        </w:numPr>
        <w:rPr>
          <w:rFonts w:hint="eastAsia"/>
          <w:color w:val="auto"/>
        </w:rPr>
      </w:pPr>
      <w:bookmarkStart w:id="132" w:name="_Toc14110"/>
      <w:r>
        <w:rPr>
          <w:rFonts w:hint="eastAsia"/>
          <w:color w:val="auto"/>
        </w:rPr>
        <w:t>拒收</w:t>
      </w:r>
      <w:bookmarkEnd w:id="132"/>
    </w:p>
    <w:p w14:paraId="1EF76C61">
      <w:pPr>
        <w:ind w:firstLine="480" w:firstLineChars="200"/>
        <w:rPr>
          <w:rFonts w:hint="eastAsia" w:cs="仿宋_GB2312"/>
          <w:color w:val="auto"/>
          <w:szCs w:val="24"/>
        </w:rPr>
      </w:pPr>
      <w:r>
        <w:rPr>
          <w:rFonts w:hint="eastAsia" w:cs="仿宋_GB2312"/>
          <w:color w:val="auto"/>
          <w:szCs w:val="24"/>
          <w:lang w:val="en-US" w:eastAsia="zh-CN"/>
        </w:rPr>
        <w:t>19</w:t>
      </w:r>
      <w:r>
        <w:rPr>
          <w:rFonts w:hint="eastAsia" w:cs="仿宋_GB2312"/>
          <w:color w:val="auto"/>
          <w:szCs w:val="24"/>
        </w:rPr>
        <w:t>.1 超过投标文件提交截止时间</w:t>
      </w:r>
      <w:bookmarkStart w:id="133" w:name="_Hlk143532404"/>
      <w:r>
        <w:rPr>
          <w:rFonts w:hint="eastAsia" w:cs="仿宋_GB2312"/>
          <w:color w:val="auto"/>
          <w:szCs w:val="24"/>
        </w:rPr>
        <w:t>或者不按照本章要求加密的投标文件，交易系统应当拒收</w:t>
      </w:r>
      <w:bookmarkEnd w:id="133"/>
      <w:r>
        <w:rPr>
          <w:rFonts w:hint="eastAsia" w:cs="仿宋_GB2312"/>
          <w:color w:val="auto"/>
          <w:szCs w:val="24"/>
        </w:rPr>
        <w:t>。</w:t>
      </w:r>
    </w:p>
    <w:p w14:paraId="3AC4A6F1">
      <w:pPr>
        <w:pStyle w:val="5"/>
        <w:numPr>
          <w:ilvl w:val="0"/>
          <w:numId w:val="5"/>
        </w:numPr>
        <w:rPr>
          <w:rFonts w:hint="eastAsia"/>
          <w:color w:val="auto"/>
        </w:rPr>
      </w:pPr>
      <w:bookmarkStart w:id="134" w:name="_Toc6497"/>
      <w:bookmarkStart w:id="135" w:name="_Toc140132778"/>
      <w:r>
        <w:rPr>
          <w:rFonts w:hint="eastAsia"/>
          <w:color w:val="auto"/>
        </w:rPr>
        <w:t>投标文件的修改与撤回</w:t>
      </w:r>
      <w:bookmarkEnd w:id="134"/>
      <w:bookmarkEnd w:id="135"/>
    </w:p>
    <w:p w14:paraId="3ABB5502">
      <w:pPr>
        <w:pStyle w:val="42"/>
        <w:rPr>
          <w:rFonts w:hint="eastAsia"/>
          <w:color w:val="auto"/>
        </w:rPr>
      </w:pPr>
      <w:r>
        <w:rPr>
          <w:color w:val="auto"/>
        </w:rPr>
        <w:t>2</w:t>
      </w:r>
      <w:r>
        <w:rPr>
          <w:rFonts w:hint="eastAsia"/>
          <w:color w:val="auto"/>
          <w:lang w:val="en-US" w:eastAsia="zh-CN"/>
        </w:rPr>
        <w:t>0</w:t>
      </w:r>
      <w:r>
        <w:rPr>
          <w:rFonts w:hint="eastAsia"/>
          <w:color w:val="auto"/>
        </w:rPr>
        <w:t xml:space="preserve">.1 </w:t>
      </w:r>
      <w:bookmarkStart w:id="136" w:name="_Hlk143532466"/>
      <w:r>
        <w:rPr>
          <w:rFonts w:hint="eastAsia"/>
          <w:color w:val="auto"/>
        </w:rPr>
        <w:t>在投标截止时间前，投标供应商可使用CA证书在递交投标文件的系统中撤回已提交的投标文件。投标文件撤回后，需重新递交的，投标供应商按照本章第1</w:t>
      </w:r>
      <w:r>
        <w:rPr>
          <w:color w:val="auto"/>
        </w:rPr>
        <w:t>9</w:t>
      </w:r>
      <w:r>
        <w:rPr>
          <w:rFonts w:hint="eastAsia"/>
          <w:color w:val="auto"/>
        </w:rPr>
        <w:t>款中的要求重新提交投标文件。</w:t>
      </w:r>
      <w:bookmarkEnd w:id="136"/>
    </w:p>
    <w:p w14:paraId="45F78A63">
      <w:pPr>
        <w:pStyle w:val="5"/>
        <w:numPr>
          <w:ilvl w:val="0"/>
          <w:numId w:val="5"/>
        </w:numPr>
        <w:rPr>
          <w:rFonts w:hint="eastAsia"/>
          <w:color w:val="auto"/>
        </w:rPr>
      </w:pPr>
      <w:bookmarkStart w:id="137" w:name="_Toc155185874"/>
      <w:bookmarkStart w:id="138" w:name="_Toc19007"/>
      <w:r>
        <w:rPr>
          <w:rFonts w:hint="eastAsia"/>
          <w:color w:val="auto"/>
        </w:rPr>
        <w:t>实物样品</w:t>
      </w:r>
      <w:bookmarkEnd w:id="137"/>
      <w:bookmarkEnd w:id="138"/>
    </w:p>
    <w:p w14:paraId="6084A281">
      <w:pPr>
        <w:pStyle w:val="42"/>
        <w:rPr>
          <w:rFonts w:hint="eastAsia"/>
          <w:color w:val="auto"/>
        </w:rPr>
      </w:pPr>
      <w:r>
        <w:rPr>
          <w:rFonts w:hint="eastAsia"/>
          <w:color w:val="auto"/>
        </w:rPr>
        <w:t>2</w:t>
      </w:r>
      <w:r>
        <w:rPr>
          <w:rFonts w:hint="eastAsia"/>
          <w:color w:val="auto"/>
          <w:lang w:val="en-US" w:eastAsia="zh-CN"/>
        </w:rPr>
        <w:t>1</w:t>
      </w:r>
      <w:r>
        <w:rPr>
          <w:rFonts w:hint="eastAsia"/>
          <w:color w:val="auto"/>
        </w:rPr>
        <w:t>.1“投标供应商须知前附表”要求提供样品的，样品的具体要求及评审详见“第三章 采购需求”和“第五章 评标办法及标准”。</w:t>
      </w:r>
    </w:p>
    <w:p w14:paraId="484FD09C">
      <w:pPr>
        <w:pStyle w:val="42"/>
        <w:rPr>
          <w:rFonts w:hint="eastAsia" w:cs="仿宋_GB2312"/>
          <w:b/>
          <w:color w:val="auto"/>
          <w:szCs w:val="24"/>
        </w:rPr>
      </w:pPr>
      <w:r>
        <w:rPr>
          <w:color w:val="auto"/>
        </w:rPr>
        <w:t>2</w:t>
      </w:r>
      <w:r>
        <w:rPr>
          <w:rFonts w:hint="eastAsia"/>
          <w:color w:val="auto"/>
          <w:lang w:val="en-US" w:eastAsia="zh-CN"/>
        </w:rPr>
        <w:t>1</w:t>
      </w:r>
      <w:r>
        <w:rPr>
          <w:rFonts w:hint="eastAsia"/>
          <w:color w:val="auto"/>
        </w:rPr>
        <w:t>.2样品退还：未中标的投标供应商应于中标结果公告发布之日起10日内自行联系采购人取回投标样品；中标人的样品由采购人进行保管、封存，并作为履约验收的参考（招标文件另有规定的从其规定）。</w:t>
      </w:r>
    </w:p>
    <w:p w14:paraId="5A599543">
      <w:pPr>
        <w:pStyle w:val="5"/>
        <w:numPr>
          <w:ilvl w:val="0"/>
          <w:numId w:val="5"/>
        </w:numPr>
        <w:rPr>
          <w:rFonts w:hint="eastAsia"/>
          <w:color w:val="auto"/>
        </w:rPr>
      </w:pPr>
      <w:bookmarkStart w:id="139" w:name="_Toc3235"/>
      <w:bookmarkStart w:id="140" w:name="_Toc155185875"/>
      <w:r>
        <w:rPr>
          <w:rFonts w:hint="eastAsia"/>
          <w:color w:val="auto"/>
        </w:rPr>
        <w:t>演示</w:t>
      </w:r>
      <w:bookmarkEnd w:id="139"/>
      <w:bookmarkEnd w:id="140"/>
    </w:p>
    <w:p w14:paraId="2AAFFDCD">
      <w:pPr>
        <w:pStyle w:val="42"/>
        <w:rPr>
          <w:rFonts w:hint="eastAsia"/>
          <w:color w:val="auto"/>
        </w:rPr>
      </w:pPr>
      <w:r>
        <w:rPr>
          <w:color w:val="auto"/>
        </w:rPr>
        <w:t>2</w:t>
      </w:r>
      <w:r>
        <w:rPr>
          <w:rFonts w:hint="eastAsia"/>
          <w:color w:val="auto"/>
          <w:lang w:val="en-US" w:eastAsia="zh-CN"/>
        </w:rPr>
        <w:t>2</w:t>
      </w:r>
      <w:r>
        <w:rPr>
          <w:rFonts w:hint="eastAsia"/>
          <w:color w:val="auto"/>
        </w:rPr>
        <w:t>.1要求投标供应商进行演示的，演示要求详见“投标供应商须知前附表”。</w:t>
      </w:r>
    </w:p>
    <w:p w14:paraId="685B2DA6">
      <w:pPr>
        <w:pStyle w:val="42"/>
        <w:rPr>
          <w:rFonts w:hint="eastAsia"/>
          <w:color w:val="auto"/>
        </w:rPr>
      </w:pPr>
      <w:r>
        <w:rPr>
          <w:color w:val="auto"/>
        </w:rPr>
        <w:t>2</w:t>
      </w:r>
      <w:r>
        <w:rPr>
          <w:rFonts w:hint="eastAsia"/>
          <w:color w:val="auto"/>
          <w:lang w:val="en-US" w:eastAsia="zh-CN"/>
        </w:rPr>
        <w:t>2</w:t>
      </w:r>
      <w:r>
        <w:rPr>
          <w:rFonts w:hint="eastAsia"/>
          <w:color w:val="auto"/>
        </w:rPr>
        <w:t>.2演示的评审详见“第三章 采购需求”和“第五章 评标办法及标准”。</w:t>
      </w:r>
    </w:p>
    <w:p w14:paraId="769DA1D0">
      <w:pPr>
        <w:pStyle w:val="4"/>
        <w:numPr>
          <w:ilvl w:val="0"/>
          <w:numId w:val="4"/>
        </w:numPr>
        <w:rPr>
          <w:rFonts w:hint="eastAsia" w:asciiTheme="minorHAnsi" w:hAnsiTheme="minorHAnsi"/>
          <w:color w:val="auto"/>
        </w:rPr>
      </w:pPr>
      <w:bookmarkStart w:id="141" w:name="_Toc29358"/>
      <w:bookmarkStart w:id="142" w:name="_Toc140132779"/>
      <w:bookmarkStart w:id="143" w:name="_Toc155185876"/>
      <w:r>
        <w:rPr>
          <w:rFonts w:hint="eastAsia" w:asciiTheme="minorHAnsi" w:hAnsiTheme="minorHAnsi"/>
          <w:color w:val="auto"/>
        </w:rPr>
        <w:t>开标</w:t>
      </w:r>
      <w:bookmarkEnd w:id="141"/>
      <w:bookmarkEnd w:id="142"/>
      <w:bookmarkEnd w:id="143"/>
    </w:p>
    <w:p w14:paraId="23B186A8">
      <w:pPr>
        <w:pStyle w:val="5"/>
        <w:numPr>
          <w:ilvl w:val="0"/>
          <w:numId w:val="5"/>
        </w:numPr>
        <w:rPr>
          <w:rFonts w:hint="eastAsia"/>
          <w:color w:val="auto"/>
        </w:rPr>
      </w:pPr>
      <w:bookmarkStart w:id="144" w:name="_Toc140132780"/>
      <w:bookmarkStart w:id="145" w:name="_Toc29781"/>
      <w:r>
        <w:rPr>
          <w:rFonts w:hint="eastAsia"/>
          <w:color w:val="auto"/>
        </w:rPr>
        <w:t>开标会议准备</w:t>
      </w:r>
      <w:bookmarkEnd w:id="144"/>
      <w:bookmarkEnd w:id="145"/>
    </w:p>
    <w:p w14:paraId="5280D342">
      <w:pPr>
        <w:ind w:firstLine="480" w:firstLineChars="200"/>
        <w:rPr>
          <w:rFonts w:hint="eastAsia" w:cs="仿宋_GB2312"/>
          <w:bCs/>
          <w:color w:val="auto"/>
          <w:szCs w:val="24"/>
        </w:rPr>
      </w:pPr>
      <w:bookmarkStart w:id="146" w:name="_Toc140132781"/>
      <w:r>
        <w:rPr>
          <w:rFonts w:cs="仿宋_GB2312"/>
          <w:color w:val="auto"/>
          <w:szCs w:val="24"/>
        </w:rPr>
        <w:t>2</w:t>
      </w:r>
      <w:r>
        <w:rPr>
          <w:rFonts w:hint="eastAsia" w:cs="仿宋_GB2312"/>
          <w:color w:val="auto"/>
          <w:szCs w:val="24"/>
          <w:lang w:val="en-US" w:eastAsia="zh-CN"/>
        </w:rPr>
        <w:t>3</w:t>
      </w:r>
      <w:r>
        <w:rPr>
          <w:rFonts w:hint="eastAsia" w:cs="仿宋_GB2312"/>
          <w:color w:val="auto"/>
          <w:szCs w:val="24"/>
        </w:rPr>
        <w:t>.1 投标供应商应按照“投标供应商须知前附表”中的要求参与远程开标。</w:t>
      </w:r>
      <w:bookmarkEnd w:id="146"/>
    </w:p>
    <w:p w14:paraId="4D3A0536">
      <w:pPr>
        <w:pStyle w:val="5"/>
        <w:numPr>
          <w:ilvl w:val="0"/>
          <w:numId w:val="5"/>
        </w:numPr>
        <w:rPr>
          <w:rFonts w:hint="eastAsia"/>
          <w:color w:val="auto"/>
        </w:rPr>
      </w:pPr>
      <w:bookmarkStart w:id="147" w:name="_Toc140132782"/>
      <w:bookmarkStart w:id="148" w:name="_Toc25018"/>
      <w:r>
        <w:rPr>
          <w:rFonts w:hint="eastAsia"/>
          <w:color w:val="auto"/>
        </w:rPr>
        <w:t>开标时间和地点</w:t>
      </w:r>
      <w:bookmarkEnd w:id="147"/>
      <w:bookmarkEnd w:id="148"/>
    </w:p>
    <w:p w14:paraId="6AAD13A8">
      <w:pPr>
        <w:ind w:firstLine="480" w:firstLineChars="200"/>
        <w:rPr>
          <w:rFonts w:hint="eastAsia" w:cs="仿宋_GB2312"/>
          <w:color w:val="auto"/>
          <w:szCs w:val="24"/>
        </w:rPr>
      </w:pPr>
      <w:r>
        <w:rPr>
          <w:rFonts w:cs="仿宋_GB2312"/>
          <w:color w:val="auto"/>
          <w:szCs w:val="24"/>
        </w:rPr>
        <w:t>2</w:t>
      </w:r>
      <w:r>
        <w:rPr>
          <w:rFonts w:hint="eastAsia" w:cs="仿宋_GB2312"/>
          <w:color w:val="auto"/>
          <w:szCs w:val="24"/>
          <w:lang w:val="en-US" w:eastAsia="zh-CN"/>
        </w:rPr>
        <w:t>4</w:t>
      </w:r>
      <w:r>
        <w:rPr>
          <w:rFonts w:hint="eastAsia" w:cs="仿宋_GB2312"/>
          <w:color w:val="auto"/>
          <w:szCs w:val="24"/>
        </w:rPr>
        <w:t>.1开标会按“投标供应商须知前附表”规定的开标时间和地点准时举行，采购人、采购代理机构邀请所有投标供应商授权代表准时参加开标会。投标供应商授权代表如出席会议，应在供应商客户端中登录政府采购交易系统后，使用CA证书验证投标供应商身份后参与开标会。</w:t>
      </w:r>
    </w:p>
    <w:p w14:paraId="7BC7D415">
      <w:pPr>
        <w:pStyle w:val="5"/>
        <w:numPr>
          <w:ilvl w:val="0"/>
          <w:numId w:val="5"/>
        </w:numPr>
        <w:rPr>
          <w:rFonts w:hint="eastAsia"/>
          <w:color w:val="auto"/>
        </w:rPr>
      </w:pPr>
      <w:bookmarkStart w:id="149" w:name="_Toc22894"/>
      <w:bookmarkStart w:id="150" w:name="_Toc140132783"/>
      <w:r>
        <w:rPr>
          <w:rFonts w:hint="eastAsia"/>
          <w:color w:val="auto"/>
        </w:rPr>
        <w:t>开标程序</w:t>
      </w:r>
      <w:bookmarkEnd w:id="149"/>
      <w:bookmarkEnd w:id="150"/>
    </w:p>
    <w:p w14:paraId="505181ED">
      <w:pPr>
        <w:widowControl/>
        <w:ind w:firstLine="480" w:firstLineChars="200"/>
        <w:rPr>
          <w:rFonts w:hint="eastAsia" w:cs="仿宋_GB2312"/>
          <w:color w:val="auto"/>
          <w:szCs w:val="24"/>
        </w:rPr>
      </w:pPr>
      <w:r>
        <w:rPr>
          <w:rFonts w:cs="仿宋_GB2312"/>
          <w:color w:val="auto"/>
          <w:szCs w:val="24"/>
        </w:rPr>
        <w:t>2</w:t>
      </w:r>
      <w:r>
        <w:rPr>
          <w:rFonts w:hint="eastAsia" w:cs="仿宋_GB2312"/>
          <w:color w:val="auto"/>
          <w:szCs w:val="24"/>
          <w:lang w:val="en-US" w:eastAsia="zh-CN"/>
        </w:rPr>
        <w:t>5</w:t>
      </w:r>
      <w:r>
        <w:rPr>
          <w:rFonts w:hint="eastAsia" w:cs="仿宋_GB2312"/>
          <w:color w:val="auto"/>
          <w:szCs w:val="24"/>
        </w:rPr>
        <w:t>.1 投标供应商不足3家的，不得开标。</w:t>
      </w:r>
    </w:p>
    <w:p w14:paraId="76C00A41">
      <w:pPr>
        <w:widowControl/>
        <w:ind w:firstLine="480" w:firstLineChars="200"/>
        <w:rPr>
          <w:rFonts w:hint="eastAsia"/>
          <w:color w:val="auto"/>
        </w:rPr>
      </w:pPr>
      <w:r>
        <w:rPr>
          <w:rFonts w:cs="仿宋_GB2312"/>
          <w:color w:val="auto"/>
          <w:szCs w:val="24"/>
        </w:rPr>
        <w:t>2</w:t>
      </w:r>
      <w:r>
        <w:rPr>
          <w:rFonts w:hint="eastAsia" w:cs="仿宋_GB2312"/>
          <w:color w:val="auto"/>
          <w:szCs w:val="24"/>
          <w:lang w:val="en-US" w:eastAsia="zh-CN"/>
        </w:rPr>
        <w:t>5</w:t>
      </w:r>
      <w:r>
        <w:rPr>
          <w:rFonts w:hint="eastAsia" w:cs="仿宋_GB2312"/>
          <w:color w:val="auto"/>
          <w:szCs w:val="24"/>
        </w:rPr>
        <w:t>.2 评标委员会成员不得参加开标活动。</w:t>
      </w:r>
    </w:p>
    <w:p w14:paraId="261E59CF">
      <w:pPr>
        <w:ind w:firstLine="480" w:firstLineChars="200"/>
        <w:rPr>
          <w:rFonts w:hint="eastAsia" w:cs="仿宋_GB2312"/>
          <w:color w:val="auto"/>
          <w:szCs w:val="24"/>
        </w:rPr>
      </w:pPr>
      <w:r>
        <w:rPr>
          <w:rFonts w:cs="仿宋_GB2312"/>
          <w:color w:val="auto"/>
          <w:szCs w:val="24"/>
        </w:rPr>
        <w:t>2</w:t>
      </w:r>
      <w:r>
        <w:rPr>
          <w:rFonts w:hint="eastAsia" w:cs="仿宋_GB2312"/>
          <w:color w:val="auto"/>
          <w:szCs w:val="24"/>
          <w:lang w:val="en-US" w:eastAsia="zh-CN"/>
        </w:rPr>
        <w:t>5</w:t>
      </w:r>
      <w:r>
        <w:rPr>
          <w:rFonts w:hint="eastAsia" w:cs="仿宋_GB2312"/>
          <w:color w:val="auto"/>
          <w:szCs w:val="24"/>
        </w:rPr>
        <w:t>.3主持人按下列程序进行开标：</w:t>
      </w:r>
    </w:p>
    <w:p w14:paraId="14C766C1">
      <w:pPr>
        <w:ind w:firstLine="398" w:firstLineChars="166"/>
        <w:rPr>
          <w:rFonts w:hint="eastAsia" w:cs="仿宋_GB2312"/>
          <w:color w:val="auto"/>
          <w:szCs w:val="24"/>
        </w:rPr>
      </w:pPr>
      <w:r>
        <w:rPr>
          <w:rFonts w:hint="eastAsia" w:cs="仿宋_GB2312"/>
          <w:color w:val="auto"/>
          <w:szCs w:val="24"/>
        </w:rPr>
        <w:t>（1）宣布开标会纪律；</w:t>
      </w:r>
    </w:p>
    <w:p w14:paraId="1F9DD3B0">
      <w:pPr>
        <w:ind w:firstLine="398" w:firstLineChars="166"/>
        <w:rPr>
          <w:rFonts w:hint="eastAsia" w:cs="仿宋_GB2312"/>
          <w:color w:val="auto"/>
          <w:szCs w:val="24"/>
        </w:rPr>
      </w:pPr>
      <w:r>
        <w:rPr>
          <w:rFonts w:hint="eastAsia" w:cs="仿宋_GB2312"/>
          <w:color w:val="auto"/>
          <w:szCs w:val="24"/>
        </w:rPr>
        <w:t>（2）介绍参加开标会的单位和人员；</w:t>
      </w:r>
    </w:p>
    <w:p w14:paraId="29990167">
      <w:pPr>
        <w:ind w:firstLine="398" w:firstLineChars="166"/>
        <w:rPr>
          <w:rFonts w:hint="eastAsia" w:cs="仿宋_GB2312"/>
          <w:color w:val="auto"/>
          <w:szCs w:val="24"/>
        </w:rPr>
      </w:pPr>
      <w:r>
        <w:rPr>
          <w:rFonts w:hint="eastAsia" w:cs="仿宋_GB2312"/>
          <w:color w:val="auto"/>
          <w:szCs w:val="24"/>
        </w:rPr>
        <w:t>（3）发起投标文件解密。投标供应商应在“投标供应商须知前附表”规定的时间内使用加密投标文件的CA证书在系统中完成投标文件的解密；</w:t>
      </w:r>
    </w:p>
    <w:p w14:paraId="51B70327">
      <w:pPr>
        <w:ind w:firstLine="398" w:firstLineChars="166"/>
        <w:rPr>
          <w:rFonts w:hint="eastAsia" w:cs="仿宋_GB2312"/>
          <w:color w:val="auto"/>
          <w:szCs w:val="24"/>
        </w:rPr>
      </w:pPr>
      <w:r>
        <w:rPr>
          <w:rFonts w:hint="eastAsia" w:cs="仿宋_GB2312"/>
          <w:color w:val="auto"/>
          <w:szCs w:val="24"/>
        </w:rPr>
        <w:t>（4）解密完成后，系统自动显示投标供应商名称、投标价格和招标文件规定的需要宣布的其他内容；</w:t>
      </w:r>
    </w:p>
    <w:p w14:paraId="6566B148">
      <w:pPr>
        <w:ind w:firstLine="398" w:firstLineChars="166"/>
        <w:rPr>
          <w:rFonts w:hint="eastAsia" w:cs="仿宋_GB2312"/>
          <w:color w:val="auto"/>
          <w:szCs w:val="24"/>
        </w:rPr>
      </w:pPr>
      <w:r>
        <w:rPr>
          <w:rFonts w:hint="eastAsia" w:cs="仿宋_GB2312"/>
          <w:color w:val="auto"/>
          <w:szCs w:val="24"/>
        </w:rPr>
        <w:t>（5）系统自动生成开标记录表，供应商应在线对开标记录进行签署确认；</w:t>
      </w:r>
    </w:p>
    <w:p w14:paraId="4306859B">
      <w:pPr>
        <w:widowControl/>
        <w:ind w:firstLine="480" w:firstLineChars="200"/>
        <w:rPr>
          <w:rFonts w:hint="eastAsia" w:cs="仿宋_GB2312"/>
          <w:color w:val="auto"/>
          <w:szCs w:val="24"/>
        </w:rPr>
      </w:pPr>
      <w:r>
        <w:rPr>
          <w:rFonts w:hint="eastAsia" w:cs="仿宋_GB2312"/>
          <w:color w:val="auto"/>
          <w:szCs w:val="24"/>
        </w:rPr>
        <w:t>（6）开标会结束。</w:t>
      </w:r>
    </w:p>
    <w:p w14:paraId="1354F15F">
      <w:pPr>
        <w:pStyle w:val="5"/>
        <w:numPr>
          <w:ilvl w:val="0"/>
          <w:numId w:val="5"/>
        </w:numPr>
        <w:rPr>
          <w:rFonts w:hint="eastAsia"/>
          <w:color w:val="auto"/>
        </w:rPr>
      </w:pPr>
      <w:bookmarkStart w:id="151" w:name="_Toc140132784"/>
      <w:bookmarkStart w:id="152" w:name="_Toc11732"/>
      <w:r>
        <w:rPr>
          <w:rFonts w:hint="eastAsia"/>
          <w:color w:val="auto"/>
        </w:rPr>
        <w:t>开标疑义及回避情形</w:t>
      </w:r>
      <w:bookmarkEnd w:id="151"/>
      <w:bookmarkEnd w:id="152"/>
    </w:p>
    <w:p w14:paraId="1E7C9DF1">
      <w:pPr>
        <w:pStyle w:val="42"/>
        <w:rPr>
          <w:rFonts w:hint="eastAsia"/>
          <w:color w:val="auto"/>
          <w:lang w:val="en-US"/>
        </w:rPr>
      </w:pPr>
      <w:r>
        <w:rPr>
          <w:color w:val="auto"/>
        </w:rPr>
        <w:t>2</w:t>
      </w:r>
      <w:r>
        <w:rPr>
          <w:rFonts w:hint="eastAsia"/>
          <w:color w:val="auto"/>
          <w:lang w:val="en-US" w:eastAsia="zh-CN"/>
        </w:rPr>
        <w:t>6</w:t>
      </w:r>
      <w:r>
        <w:rPr>
          <w:rFonts w:hint="eastAsia"/>
          <w:color w:val="auto"/>
        </w:rPr>
        <w:t>.1投标供应商代表对开标过程和开标记录有疑义，以及认为采购人、采购代理机构相关工作人员有需要回避的情形的，应在开标会议中提出询问或者回避申请。采购人、采购代理机构对投标供应商授权代表提出的询问或者回避申请应当及时处理。</w:t>
      </w:r>
      <w:r>
        <w:rPr>
          <w:rFonts w:hint="eastAsia"/>
          <w:color w:val="auto"/>
          <w:lang w:val="en-US"/>
        </w:rPr>
        <w:t>采购人、采购人代表依法需要回避的情形在“投标供应商须知前附表”已列举。</w:t>
      </w:r>
    </w:p>
    <w:p w14:paraId="1D69ADE5">
      <w:pPr>
        <w:pStyle w:val="42"/>
        <w:rPr>
          <w:rFonts w:hint="eastAsia"/>
          <w:color w:val="auto"/>
        </w:rPr>
      </w:pPr>
      <w:r>
        <w:rPr>
          <w:rFonts w:hint="eastAsia"/>
          <w:color w:val="auto"/>
        </w:rPr>
        <w:t>2</w:t>
      </w:r>
      <w:r>
        <w:rPr>
          <w:rFonts w:hint="eastAsia"/>
          <w:color w:val="auto"/>
          <w:lang w:val="en-US" w:eastAsia="zh-CN"/>
        </w:rPr>
        <w:t>6</w:t>
      </w:r>
      <w:r>
        <w:rPr>
          <w:rFonts w:hint="eastAsia"/>
          <w:color w:val="auto"/>
        </w:rPr>
        <w:t>.2投标供应商未参加开标的，视同认可开标结果。</w:t>
      </w:r>
    </w:p>
    <w:p w14:paraId="541C1466">
      <w:pPr>
        <w:pStyle w:val="4"/>
        <w:numPr>
          <w:ilvl w:val="0"/>
          <w:numId w:val="4"/>
        </w:numPr>
        <w:rPr>
          <w:rFonts w:hint="eastAsia" w:asciiTheme="minorHAnsi" w:hAnsiTheme="minorHAnsi"/>
          <w:color w:val="auto"/>
        </w:rPr>
      </w:pPr>
      <w:bookmarkStart w:id="153" w:name="_Toc140132785"/>
      <w:bookmarkStart w:id="154" w:name="_Toc155185877"/>
      <w:bookmarkStart w:id="155" w:name="_Toc19601"/>
      <w:r>
        <w:rPr>
          <w:rFonts w:hint="eastAsia" w:asciiTheme="minorHAnsi" w:hAnsiTheme="minorHAnsi"/>
          <w:color w:val="auto"/>
        </w:rPr>
        <w:t>资格审查</w:t>
      </w:r>
      <w:bookmarkEnd w:id="153"/>
      <w:bookmarkEnd w:id="154"/>
      <w:bookmarkEnd w:id="155"/>
    </w:p>
    <w:p w14:paraId="114A9968">
      <w:pPr>
        <w:pStyle w:val="5"/>
        <w:numPr>
          <w:ilvl w:val="0"/>
          <w:numId w:val="5"/>
        </w:numPr>
        <w:rPr>
          <w:rFonts w:hint="eastAsia"/>
          <w:color w:val="auto"/>
        </w:rPr>
      </w:pPr>
      <w:bookmarkStart w:id="156" w:name="_Toc28993"/>
      <w:r>
        <w:rPr>
          <w:rFonts w:hint="eastAsia"/>
          <w:color w:val="auto"/>
        </w:rPr>
        <w:t>资格审查及审查主体</w:t>
      </w:r>
      <w:bookmarkEnd w:id="156"/>
    </w:p>
    <w:p w14:paraId="2CD4E1F5">
      <w:pPr>
        <w:pStyle w:val="42"/>
        <w:rPr>
          <w:rFonts w:hint="eastAsia"/>
          <w:color w:val="auto"/>
        </w:rPr>
      </w:pPr>
      <w:bookmarkStart w:id="157" w:name="_Toc140132786"/>
      <w:r>
        <w:rPr>
          <w:rFonts w:hint="eastAsia"/>
          <w:color w:val="auto"/>
        </w:rPr>
        <w:t>2</w:t>
      </w:r>
      <w:r>
        <w:rPr>
          <w:rFonts w:hint="eastAsia"/>
          <w:color w:val="auto"/>
          <w:lang w:val="en-US" w:eastAsia="zh-CN"/>
        </w:rPr>
        <w:t>7</w:t>
      </w:r>
      <w:r>
        <w:rPr>
          <w:rFonts w:hint="eastAsia"/>
          <w:color w:val="auto"/>
        </w:rPr>
        <w:t>.1</w:t>
      </w:r>
      <w:r>
        <w:rPr>
          <w:color w:val="auto"/>
        </w:rPr>
        <w:t>开标结束后，根据委托代理协议由资格审查的责任主体依据法律法规和本招标文件的规定，依法对</w:t>
      </w:r>
      <w:r>
        <w:rPr>
          <w:rFonts w:hint="eastAsia"/>
          <w:color w:val="auto"/>
        </w:rPr>
        <w:t>投标供应商</w:t>
      </w:r>
      <w:r>
        <w:rPr>
          <w:color w:val="auto"/>
        </w:rPr>
        <w:t>资格进行审查，以确定</w:t>
      </w:r>
      <w:r>
        <w:rPr>
          <w:rFonts w:hint="eastAsia"/>
          <w:color w:val="auto"/>
        </w:rPr>
        <w:t>投标供应商</w:t>
      </w:r>
      <w:r>
        <w:rPr>
          <w:color w:val="auto"/>
        </w:rPr>
        <w:t>是否具备投标资格。</w:t>
      </w:r>
      <w:bookmarkEnd w:id="157"/>
    </w:p>
    <w:p w14:paraId="15859D37">
      <w:pPr>
        <w:pStyle w:val="42"/>
        <w:rPr>
          <w:rFonts w:hint="eastAsia"/>
          <w:color w:val="auto"/>
        </w:rPr>
      </w:pPr>
      <w:bookmarkStart w:id="158" w:name="_Toc140132787"/>
      <w:r>
        <w:rPr>
          <w:color w:val="auto"/>
        </w:rPr>
        <w:t>2</w:t>
      </w:r>
      <w:r>
        <w:rPr>
          <w:rFonts w:hint="eastAsia"/>
          <w:color w:val="auto"/>
          <w:lang w:val="en-US" w:eastAsia="zh-CN"/>
        </w:rPr>
        <w:t>7</w:t>
      </w:r>
      <w:r>
        <w:rPr>
          <w:rFonts w:hint="eastAsia"/>
          <w:color w:val="auto"/>
        </w:rPr>
        <w:t>.2</w:t>
      </w:r>
      <w:r>
        <w:rPr>
          <w:color w:val="auto"/>
        </w:rPr>
        <w:t>资格审查</w:t>
      </w:r>
      <w:r>
        <w:rPr>
          <w:rFonts w:hint="eastAsia"/>
          <w:color w:val="auto"/>
        </w:rPr>
        <w:t>按第四章“资格审查方法及标准”的规定进行。</w:t>
      </w:r>
      <w:bookmarkEnd w:id="158"/>
    </w:p>
    <w:p w14:paraId="0273D143">
      <w:pPr>
        <w:pStyle w:val="42"/>
        <w:rPr>
          <w:rFonts w:hint="eastAsia"/>
          <w:color w:val="auto"/>
        </w:rPr>
      </w:pPr>
      <w:bookmarkStart w:id="159" w:name="_Toc140132788"/>
      <w:r>
        <w:rPr>
          <w:color w:val="auto"/>
        </w:rPr>
        <w:t>2</w:t>
      </w:r>
      <w:r>
        <w:rPr>
          <w:rFonts w:hint="eastAsia"/>
          <w:color w:val="auto"/>
          <w:lang w:val="en-US" w:eastAsia="zh-CN"/>
        </w:rPr>
        <w:t>7</w:t>
      </w:r>
      <w:r>
        <w:rPr>
          <w:rFonts w:hint="eastAsia"/>
          <w:color w:val="auto"/>
        </w:rPr>
        <w:t>.3</w:t>
      </w:r>
      <w:r>
        <w:rPr>
          <w:color w:val="auto"/>
        </w:rPr>
        <w:t>资格审查结束后，应及时对资格性审查结果进行复核，对资格性审查错误进行及时纠正并记录。</w:t>
      </w:r>
      <w:bookmarkEnd w:id="159"/>
    </w:p>
    <w:p w14:paraId="68F42CA6">
      <w:pPr>
        <w:pStyle w:val="4"/>
        <w:numPr>
          <w:ilvl w:val="0"/>
          <w:numId w:val="4"/>
        </w:numPr>
        <w:rPr>
          <w:rFonts w:hint="eastAsia" w:asciiTheme="minorHAnsi" w:hAnsiTheme="minorHAnsi"/>
          <w:color w:val="auto"/>
        </w:rPr>
      </w:pPr>
      <w:bookmarkStart w:id="160" w:name="_Toc140132789"/>
      <w:bookmarkStart w:id="161" w:name="_Toc155185878"/>
      <w:bookmarkStart w:id="162" w:name="_Toc17002"/>
      <w:r>
        <w:rPr>
          <w:rFonts w:hint="eastAsia" w:asciiTheme="minorHAnsi" w:hAnsiTheme="minorHAnsi"/>
          <w:color w:val="auto"/>
        </w:rPr>
        <w:t>评标</w:t>
      </w:r>
      <w:bookmarkEnd w:id="160"/>
      <w:bookmarkEnd w:id="161"/>
      <w:bookmarkEnd w:id="162"/>
    </w:p>
    <w:p w14:paraId="669B1ADF">
      <w:pPr>
        <w:pStyle w:val="5"/>
        <w:numPr>
          <w:ilvl w:val="0"/>
          <w:numId w:val="5"/>
        </w:numPr>
        <w:rPr>
          <w:rFonts w:hint="eastAsia"/>
          <w:color w:val="auto"/>
        </w:rPr>
      </w:pPr>
      <w:bookmarkStart w:id="163" w:name="_Toc2933"/>
      <w:bookmarkStart w:id="164" w:name="_Toc140132790"/>
      <w:r>
        <w:rPr>
          <w:rFonts w:hint="eastAsia"/>
          <w:color w:val="auto"/>
        </w:rPr>
        <w:t>评标委员会</w:t>
      </w:r>
      <w:bookmarkEnd w:id="163"/>
      <w:bookmarkEnd w:id="164"/>
    </w:p>
    <w:p w14:paraId="6B5115F4">
      <w:pPr>
        <w:pStyle w:val="42"/>
        <w:rPr>
          <w:rFonts w:hint="eastAsia"/>
          <w:color w:val="auto"/>
        </w:rPr>
      </w:pPr>
      <w:r>
        <w:rPr>
          <w:color w:val="auto"/>
        </w:rPr>
        <w:t>2</w:t>
      </w:r>
      <w:r>
        <w:rPr>
          <w:rFonts w:hint="eastAsia"/>
          <w:color w:val="auto"/>
          <w:lang w:val="en-US" w:eastAsia="zh-CN"/>
        </w:rPr>
        <w:t>8</w:t>
      </w:r>
      <w:r>
        <w:rPr>
          <w:rFonts w:hint="eastAsia"/>
          <w:color w:val="auto"/>
        </w:rPr>
        <w:t>.1 评标由采购人依法组建的评标委员会负责。评标委员会由采购人代表和评审专家组成。</w:t>
      </w:r>
    </w:p>
    <w:p w14:paraId="0D566120">
      <w:pPr>
        <w:pStyle w:val="42"/>
        <w:rPr>
          <w:rFonts w:hint="eastAsia"/>
          <w:color w:val="auto"/>
        </w:rPr>
      </w:pPr>
      <w:r>
        <w:rPr>
          <w:color w:val="auto"/>
        </w:rPr>
        <w:t>2</w:t>
      </w:r>
      <w:r>
        <w:rPr>
          <w:rFonts w:hint="eastAsia"/>
          <w:color w:val="auto"/>
          <w:lang w:val="en-US" w:eastAsia="zh-CN"/>
        </w:rPr>
        <w:t>8</w:t>
      </w:r>
      <w:r>
        <w:rPr>
          <w:rFonts w:hint="eastAsia"/>
          <w:color w:val="auto"/>
        </w:rPr>
        <w:t>.2 评标委员会成员有下列情形之一的，应当回避：</w:t>
      </w:r>
    </w:p>
    <w:p w14:paraId="5F92C766">
      <w:pPr>
        <w:pStyle w:val="42"/>
        <w:rPr>
          <w:rFonts w:hint="eastAsia"/>
          <w:color w:val="auto"/>
        </w:rPr>
      </w:pPr>
      <w:r>
        <w:rPr>
          <w:rFonts w:hint="eastAsia"/>
          <w:color w:val="auto"/>
        </w:rPr>
        <w:t>（1）参加采购活动前3年内与投标供应商存在劳动关系；</w:t>
      </w:r>
    </w:p>
    <w:p w14:paraId="00D162AC">
      <w:pPr>
        <w:pStyle w:val="42"/>
        <w:rPr>
          <w:rFonts w:hint="eastAsia"/>
          <w:color w:val="auto"/>
        </w:rPr>
      </w:pPr>
      <w:r>
        <w:rPr>
          <w:rFonts w:hint="eastAsia"/>
          <w:color w:val="auto"/>
        </w:rPr>
        <w:t>（2）参加采购活动前3年内担任投标供应商的董事、监事；</w:t>
      </w:r>
    </w:p>
    <w:p w14:paraId="14B04ABC">
      <w:pPr>
        <w:pStyle w:val="42"/>
        <w:rPr>
          <w:rFonts w:hint="eastAsia"/>
          <w:color w:val="auto"/>
        </w:rPr>
      </w:pPr>
      <w:r>
        <w:rPr>
          <w:rFonts w:hint="eastAsia"/>
          <w:color w:val="auto"/>
        </w:rPr>
        <w:t>（3）参加采购活动前3年内是投标供应商的控股股东或者实际控制人；</w:t>
      </w:r>
    </w:p>
    <w:p w14:paraId="023AD995">
      <w:pPr>
        <w:pStyle w:val="42"/>
        <w:rPr>
          <w:rFonts w:hint="eastAsia"/>
          <w:color w:val="auto"/>
        </w:rPr>
      </w:pPr>
      <w:r>
        <w:rPr>
          <w:rFonts w:hint="eastAsia"/>
          <w:color w:val="auto"/>
        </w:rPr>
        <w:t>（4）与投标供应商的法定代表人或者负责人有夫妻、直系血亲、三代以内旁系血亲或者近姻亲关系；</w:t>
      </w:r>
    </w:p>
    <w:p w14:paraId="7A28B4A2">
      <w:pPr>
        <w:pStyle w:val="42"/>
        <w:rPr>
          <w:rFonts w:hint="eastAsia"/>
          <w:color w:val="auto"/>
        </w:rPr>
      </w:pPr>
      <w:r>
        <w:rPr>
          <w:rFonts w:hint="eastAsia"/>
          <w:color w:val="auto"/>
        </w:rPr>
        <w:t>（5）与投标供应商有其他可能影响采购活动公平、公正进行的关系。</w:t>
      </w:r>
    </w:p>
    <w:p w14:paraId="3A6A33A2">
      <w:pPr>
        <w:pStyle w:val="5"/>
        <w:numPr>
          <w:ilvl w:val="0"/>
          <w:numId w:val="5"/>
        </w:numPr>
        <w:rPr>
          <w:rFonts w:hint="eastAsia"/>
          <w:color w:val="auto"/>
        </w:rPr>
      </w:pPr>
      <w:bookmarkStart w:id="165" w:name="_Toc140132791"/>
      <w:bookmarkStart w:id="166" w:name="_Toc19506"/>
      <w:r>
        <w:rPr>
          <w:rFonts w:hint="eastAsia"/>
          <w:color w:val="auto"/>
        </w:rPr>
        <w:t>评标</w:t>
      </w:r>
      <w:bookmarkEnd w:id="165"/>
      <w:bookmarkEnd w:id="166"/>
    </w:p>
    <w:p w14:paraId="422D18BE">
      <w:pPr>
        <w:pStyle w:val="42"/>
        <w:rPr>
          <w:rFonts w:hint="eastAsia"/>
          <w:color w:val="auto"/>
        </w:rPr>
      </w:pPr>
      <w:r>
        <w:rPr>
          <w:rFonts w:hint="eastAsia"/>
          <w:color w:val="auto"/>
          <w:lang w:val="en-US" w:eastAsia="zh-CN"/>
        </w:rPr>
        <w:t>29</w:t>
      </w:r>
      <w:r>
        <w:rPr>
          <w:rFonts w:hint="eastAsia"/>
          <w:color w:val="auto"/>
        </w:rPr>
        <w:t>.1评标委员会按照第五章“评标方法及标准”规定对投标文件进行评审。“评标办法”没有规定的方法、评审因素和标准，不作为评标依据。</w:t>
      </w:r>
    </w:p>
    <w:p w14:paraId="6A7D998F">
      <w:pPr>
        <w:pStyle w:val="42"/>
        <w:rPr>
          <w:rFonts w:hint="eastAsia"/>
          <w:color w:val="auto"/>
        </w:rPr>
      </w:pPr>
      <w:r>
        <w:rPr>
          <w:rFonts w:hint="eastAsia"/>
          <w:color w:val="auto"/>
          <w:lang w:val="en-US" w:eastAsia="zh-CN"/>
        </w:rPr>
        <w:t>29</w:t>
      </w:r>
      <w:r>
        <w:rPr>
          <w:rFonts w:hint="eastAsia"/>
          <w:color w:val="auto"/>
        </w:rPr>
        <w:t>.2评标委员会按“投标供应商须知前附表”规定的中标候选人数量在评标报告中向采购人推荐中标候选人。</w:t>
      </w:r>
    </w:p>
    <w:p w14:paraId="72559AF6">
      <w:pPr>
        <w:pStyle w:val="4"/>
        <w:numPr>
          <w:ilvl w:val="0"/>
          <w:numId w:val="4"/>
        </w:numPr>
        <w:rPr>
          <w:rFonts w:hint="eastAsia" w:asciiTheme="minorHAnsi" w:hAnsiTheme="minorHAnsi"/>
          <w:color w:val="auto"/>
        </w:rPr>
      </w:pPr>
      <w:bookmarkStart w:id="167" w:name="_Toc524"/>
      <w:bookmarkStart w:id="168" w:name="_Toc155185879"/>
      <w:bookmarkStart w:id="169" w:name="_Toc140132792"/>
      <w:r>
        <w:rPr>
          <w:rFonts w:hint="eastAsia" w:asciiTheme="minorHAnsi" w:hAnsiTheme="minorHAnsi"/>
          <w:color w:val="auto"/>
        </w:rPr>
        <w:t>中标</w:t>
      </w:r>
      <w:bookmarkEnd w:id="167"/>
      <w:bookmarkEnd w:id="168"/>
      <w:bookmarkEnd w:id="169"/>
    </w:p>
    <w:p w14:paraId="48BCC51F">
      <w:pPr>
        <w:pStyle w:val="5"/>
        <w:numPr>
          <w:ilvl w:val="0"/>
          <w:numId w:val="5"/>
        </w:numPr>
        <w:rPr>
          <w:rFonts w:hint="eastAsia"/>
          <w:color w:val="auto"/>
        </w:rPr>
      </w:pPr>
      <w:bookmarkStart w:id="170" w:name="_Toc140132793"/>
      <w:bookmarkStart w:id="171" w:name="_Toc21815"/>
      <w:r>
        <w:rPr>
          <w:rFonts w:hint="eastAsia"/>
          <w:color w:val="auto"/>
        </w:rPr>
        <w:t>确定中标人</w:t>
      </w:r>
      <w:bookmarkEnd w:id="170"/>
      <w:bookmarkEnd w:id="171"/>
    </w:p>
    <w:p w14:paraId="57AC9D17">
      <w:pPr>
        <w:pStyle w:val="42"/>
        <w:rPr>
          <w:rFonts w:hint="eastAsia"/>
          <w:color w:val="auto"/>
        </w:rPr>
      </w:pPr>
      <w:r>
        <w:rPr>
          <w:bCs/>
          <w:color w:val="auto"/>
        </w:rPr>
        <w:t>3</w:t>
      </w:r>
      <w:r>
        <w:rPr>
          <w:rFonts w:hint="eastAsia"/>
          <w:bCs/>
          <w:color w:val="auto"/>
          <w:lang w:val="en-US" w:eastAsia="zh-CN"/>
        </w:rPr>
        <w:t>0</w:t>
      </w:r>
      <w:r>
        <w:rPr>
          <w:rFonts w:hint="eastAsia"/>
          <w:color w:val="auto"/>
        </w:rPr>
        <w:t>.1确定中标人详见“投标供应商须知前附表”。</w:t>
      </w:r>
    </w:p>
    <w:p w14:paraId="2B2B9277">
      <w:pPr>
        <w:pStyle w:val="5"/>
        <w:numPr>
          <w:ilvl w:val="0"/>
          <w:numId w:val="5"/>
        </w:numPr>
        <w:rPr>
          <w:rFonts w:hint="eastAsia"/>
          <w:color w:val="auto"/>
        </w:rPr>
      </w:pPr>
      <w:bookmarkStart w:id="172" w:name="_Toc9917"/>
      <w:bookmarkStart w:id="173" w:name="_Toc140132794"/>
      <w:r>
        <w:rPr>
          <w:rFonts w:hint="eastAsia"/>
          <w:color w:val="auto"/>
        </w:rPr>
        <w:t>中标结果公告</w:t>
      </w:r>
      <w:bookmarkEnd w:id="172"/>
      <w:bookmarkEnd w:id="173"/>
    </w:p>
    <w:p w14:paraId="4CAB19AF">
      <w:pPr>
        <w:pStyle w:val="42"/>
        <w:rPr>
          <w:rFonts w:hint="eastAsia"/>
          <w:color w:val="auto"/>
        </w:rPr>
      </w:pPr>
      <w:r>
        <w:rPr>
          <w:bCs/>
          <w:color w:val="auto"/>
        </w:rPr>
        <w:t>3</w:t>
      </w:r>
      <w:r>
        <w:rPr>
          <w:rFonts w:hint="eastAsia"/>
          <w:bCs/>
          <w:color w:val="auto"/>
          <w:lang w:val="en-US" w:eastAsia="zh-CN"/>
        </w:rPr>
        <w:t>1</w:t>
      </w:r>
      <w:r>
        <w:rPr>
          <w:rFonts w:hint="eastAsia"/>
          <w:color w:val="auto"/>
        </w:rPr>
        <w:t>.1采购代理机构应当自中标人确定之日起2个工作日内，发出中标通知书，并在“投标供应商须知前附表”中规定的媒体上发布中标结果公告，招标文件随中标结果同时公告，中标结果公告期限为1个工作日。</w:t>
      </w:r>
    </w:p>
    <w:p w14:paraId="7059C5CF">
      <w:pPr>
        <w:pStyle w:val="42"/>
        <w:rPr>
          <w:rFonts w:hint="eastAsia"/>
          <w:color w:val="auto"/>
        </w:rPr>
      </w:pPr>
      <w:r>
        <w:rPr>
          <w:rFonts w:hint="eastAsia"/>
          <w:color w:val="auto"/>
        </w:rPr>
        <w:t>3</w:t>
      </w:r>
      <w:r>
        <w:rPr>
          <w:rFonts w:hint="eastAsia"/>
          <w:color w:val="auto"/>
          <w:lang w:val="en-US" w:eastAsia="zh-CN"/>
        </w:rPr>
        <w:t>1</w:t>
      </w:r>
      <w:r>
        <w:rPr>
          <w:color w:val="auto"/>
        </w:rPr>
        <w:t>.2</w:t>
      </w:r>
      <w:r>
        <w:rPr>
          <w:rFonts w:hint="eastAsia"/>
          <w:color w:val="auto"/>
        </w:rPr>
        <w:t>项目采购采用最低评标价法的，公告中标结果时同时公告因落实政府采购政策等原因进行价格扣除后中标供应商的评审报价；项目采购采用综合评分法的，公告中标结果时同时公告中标供应商的评审总得分。</w:t>
      </w:r>
    </w:p>
    <w:p w14:paraId="17FC0A24">
      <w:pPr>
        <w:pStyle w:val="5"/>
        <w:numPr>
          <w:ilvl w:val="0"/>
          <w:numId w:val="5"/>
        </w:numPr>
        <w:rPr>
          <w:rFonts w:hint="eastAsia"/>
          <w:color w:val="auto"/>
        </w:rPr>
      </w:pPr>
      <w:bookmarkStart w:id="174" w:name="_Toc140132795"/>
      <w:bookmarkStart w:id="175" w:name="_Toc5513"/>
      <w:r>
        <w:rPr>
          <w:rFonts w:hint="eastAsia"/>
          <w:color w:val="auto"/>
        </w:rPr>
        <w:t>中标通知</w:t>
      </w:r>
      <w:bookmarkEnd w:id="174"/>
      <w:bookmarkEnd w:id="175"/>
    </w:p>
    <w:p w14:paraId="6B5F5636">
      <w:pPr>
        <w:pStyle w:val="42"/>
        <w:rPr>
          <w:rFonts w:hint="eastAsia"/>
          <w:color w:val="auto"/>
        </w:rPr>
      </w:pPr>
      <w:r>
        <w:rPr>
          <w:bCs/>
          <w:color w:val="auto"/>
        </w:rPr>
        <w:t>3</w:t>
      </w:r>
      <w:r>
        <w:rPr>
          <w:rFonts w:hint="eastAsia"/>
          <w:bCs/>
          <w:color w:val="auto"/>
          <w:lang w:val="en-US" w:eastAsia="zh-CN"/>
        </w:rPr>
        <w:t>2</w:t>
      </w:r>
      <w:r>
        <w:rPr>
          <w:rFonts w:hint="eastAsia"/>
          <w:color w:val="auto"/>
        </w:rPr>
        <w:t>.1采购人和采购代理机构以书面形式向中标人发出中标通知书，同时将招标结果通知未中标的投标供应商。对未通过资格审查的投标供应商，应当告知其未通过的原因；采用综合评分法评审的，还应当告知未中标人本人的评审得分与排序。</w:t>
      </w:r>
    </w:p>
    <w:p w14:paraId="634F98E4">
      <w:pPr>
        <w:pStyle w:val="4"/>
        <w:numPr>
          <w:ilvl w:val="0"/>
          <w:numId w:val="4"/>
        </w:numPr>
        <w:rPr>
          <w:rFonts w:hint="eastAsia" w:asciiTheme="minorHAnsi" w:hAnsiTheme="minorHAnsi"/>
          <w:color w:val="auto"/>
        </w:rPr>
      </w:pPr>
      <w:bookmarkStart w:id="176" w:name="_Toc4541"/>
      <w:r>
        <w:rPr>
          <w:rFonts w:hint="eastAsia" w:asciiTheme="minorHAnsi" w:hAnsiTheme="minorHAnsi"/>
          <w:color w:val="auto"/>
        </w:rPr>
        <w:t>签订</w:t>
      </w:r>
      <w:bookmarkStart w:id="177" w:name="_Toc155185880"/>
      <w:bookmarkStart w:id="178" w:name="_Toc140132796"/>
      <w:r>
        <w:rPr>
          <w:rFonts w:hint="eastAsia" w:asciiTheme="minorHAnsi" w:hAnsiTheme="minorHAnsi"/>
          <w:color w:val="auto"/>
        </w:rPr>
        <w:t>合同</w:t>
      </w:r>
      <w:bookmarkEnd w:id="176"/>
      <w:bookmarkEnd w:id="177"/>
      <w:bookmarkEnd w:id="178"/>
    </w:p>
    <w:p w14:paraId="4BCCC222">
      <w:pPr>
        <w:pStyle w:val="5"/>
        <w:numPr>
          <w:ilvl w:val="0"/>
          <w:numId w:val="5"/>
        </w:numPr>
        <w:rPr>
          <w:rFonts w:hint="eastAsia"/>
          <w:color w:val="auto"/>
        </w:rPr>
      </w:pPr>
      <w:bookmarkStart w:id="179" w:name="_Toc140132797"/>
      <w:bookmarkStart w:id="180" w:name="_Toc11078"/>
      <w:r>
        <w:rPr>
          <w:rFonts w:hint="eastAsia"/>
          <w:color w:val="auto"/>
        </w:rPr>
        <w:t>履约保证金</w:t>
      </w:r>
      <w:bookmarkEnd w:id="179"/>
      <w:bookmarkEnd w:id="180"/>
    </w:p>
    <w:p w14:paraId="5BFDBED7">
      <w:pPr>
        <w:pStyle w:val="42"/>
        <w:rPr>
          <w:rFonts w:hint="eastAsia"/>
          <w:color w:val="auto"/>
        </w:rPr>
      </w:pPr>
      <w:r>
        <w:rPr>
          <w:bCs/>
          <w:color w:val="auto"/>
        </w:rPr>
        <w:t>3</w:t>
      </w:r>
      <w:r>
        <w:rPr>
          <w:rFonts w:hint="eastAsia"/>
          <w:bCs/>
          <w:color w:val="auto"/>
          <w:lang w:val="en-US" w:eastAsia="zh-CN"/>
        </w:rPr>
        <w:t>3</w:t>
      </w:r>
      <w:r>
        <w:rPr>
          <w:rFonts w:hint="eastAsia"/>
          <w:color w:val="auto"/>
        </w:rPr>
        <w:t>.1在签订合同前，中标人应按“投标供应商须知前附表”规定的金额、担保形式和采购人认可的履约担保格式向采购人提交履约保证金。</w:t>
      </w:r>
    </w:p>
    <w:p w14:paraId="6CC015B8">
      <w:pPr>
        <w:pStyle w:val="42"/>
        <w:rPr>
          <w:rFonts w:hint="eastAsia"/>
          <w:color w:val="auto"/>
        </w:rPr>
      </w:pPr>
      <w:r>
        <w:rPr>
          <w:bCs/>
          <w:color w:val="auto"/>
        </w:rPr>
        <w:t>3</w:t>
      </w:r>
      <w:r>
        <w:rPr>
          <w:rFonts w:hint="eastAsia"/>
          <w:bCs/>
          <w:color w:val="auto"/>
          <w:lang w:val="en-US" w:eastAsia="zh-CN"/>
        </w:rPr>
        <w:t>3</w:t>
      </w:r>
      <w:r>
        <w:rPr>
          <w:rFonts w:hint="eastAsia"/>
          <w:color w:val="auto"/>
        </w:rPr>
        <w:t>.2中标人不能按本章第</w:t>
      </w:r>
      <w:r>
        <w:rPr>
          <w:color w:val="auto"/>
        </w:rPr>
        <w:t>34</w:t>
      </w:r>
      <w:r>
        <w:rPr>
          <w:rFonts w:hint="eastAsia"/>
          <w:color w:val="auto"/>
        </w:rPr>
        <w:t>.1项要求提交履约担保的，视为放弃中标，给采购人造成损失的，中标人还应当承担民事责任。</w:t>
      </w:r>
    </w:p>
    <w:p w14:paraId="7D27CA4C">
      <w:pPr>
        <w:pStyle w:val="5"/>
        <w:numPr>
          <w:ilvl w:val="0"/>
          <w:numId w:val="5"/>
        </w:numPr>
        <w:rPr>
          <w:rFonts w:hint="eastAsia"/>
          <w:color w:val="auto"/>
        </w:rPr>
      </w:pPr>
      <w:bookmarkStart w:id="181" w:name="_Toc140132798"/>
      <w:bookmarkStart w:id="182" w:name="_Toc15470"/>
      <w:r>
        <w:rPr>
          <w:rFonts w:hint="eastAsia"/>
          <w:color w:val="auto"/>
        </w:rPr>
        <w:t>签订合同</w:t>
      </w:r>
      <w:bookmarkEnd w:id="181"/>
      <w:bookmarkEnd w:id="182"/>
    </w:p>
    <w:p w14:paraId="1788948A">
      <w:pPr>
        <w:pStyle w:val="42"/>
        <w:rPr>
          <w:rFonts w:hint="eastAsia"/>
          <w:color w:val="auto"/>
        </w:rPr>
      </w:pPr>
      <w:r>
        <w:rPr>
          <w:bCs/>
          <w:color w:val="auto"/>
        </w:rPr>
        <w:t>3</w:t>
      </w:r>
      <w:r>
        <w:rPr>
          <w:rFonts w:hint="eastAsia"/>
          <w:bCs/>
          <w:color w:val="auto"/>
          <w:lang w:val="en-US" w:eastAsia="zh-CN"/>
        </w:rPr>
        <w:t>4</w:t>
      </w:r>
      <w:r>
        <w:rPr>
          <w:rFonts w:hint="eastAsia"/>
          <w:color w:val="auto"/>
        </w:rPr>
        <w:t>.1 采购人和中标人应当自中标通知书发出之日起30天内，根据招标文件和中标人的投标文件订立书面合同。采购人因不可抗力原因迟延签订合同的，应当自不可抗力事由消除之日起</w:t>
      </w:r>
      <w:r>
        <w:rPr>
          <w:color w:val="auto"/>
        </w:rPr>
        <w:t>7日内完成合同签订事宜。</w:t>
      </w:r>
      <w:r>
        <w:rPr>
          <w:rFonts w:hint="eastAsia"/>
          <w:color w:val="auto"/>
        </w:rPr>
        <w:t>所签订的合同不得对招标文件和中标人投标文件作实质性修改。中标人无正当理由拒签合同的，给采购人造成损失的，中标人还应当承担民事责任。</w:t>
      </w:r>
    </w:p>
    <w:p w14:paraId="3E1D64DA">
      <w:pPr>
        <w:pStyle w:val="42"/>
        <w:rPr>
          <w:rFonts w:hint="eastAsia"/>
          <w:color w:val="auto"/>
        </w:rPr>
      </w:pPr>
      <w:r>
        <w:rPr>
          <w:bCs/>
          <w:color w:val="auto"/>
        </w:rPr>
        <w:t>3</w:t>
      </w:r>
      <w:r>
        <w:rPr>
          <w:rFonts w:hint="eastAsia"/>
          <w:bCs/>
          <w:color w:val="auto"/>
          <w:lang w:val="en-US" w:eastAsia="zh-CN"/>
        </w:rPr>
        <w:t>4</w:t>
      </w:r>
      <w:r>
        <w:rPr>
          <w:rFonts w:hint="eastAsia"/>
          <w:color w:val="auto"/>
        </w:rPr>
        <w:t>.2 采购人和中标人不得向对方提出任何不合理的要求，作为签订合同的条件，双方不得私下订立背离合同实质性内容的协议。</w:t>
      </w:r>
    </w:p>
    <w:p w14:paraId="4303B79B">
      <w:pPr>
        <w:pStyle w:val="42"/>
        <w:rPr>
          <w:rFonts w:hint="eastAsia"/>
          <w:color w:val="auto"/>
        </w:rPr>
      </w:pPr>
      <w:r>
        <w:rPr>
          <w:bCs/>
          <w:color w:val="auto"/>
        </w:rPr>
        <w:t>3</w:t>
      </w:r>
      <w:r>
        <w:rPr>
          <w:rFonts w:hint="eastAsia"/>
          <w:bCs/>
          <w:color w:val="auto"/>
          <w:lang w:val="en-US" w:eastAsia="zh-CN"/>
        </w:rPr>
        <w:t>4</w:t>
      </w:r>
      <w:r>
        <w:rPr>
          <w:rFonts w:hint="eastAsia"/>
          <w:color w:val="auto"/>
        </w:rPr>
        <w:t>.3采购合同履行中，采购人需追加与合同标的相同的服务的，在不改变合同其他条款的前提下，可以与中标人协商签订补充合同，但所有补充合同的采购金额不得超过原合同采购金额的百分之十。</w:t>
      </w:r>
    </w:p>
    <w:p w14:paraId="2B7D583A">
      <w:pPr>
        <w:pStyle w:val="4"/>
        <w:numPr>
          <w:ilvl w:val="0"/>
          <w:numId w:val="4"/>
        </w:numPr>
        <w:rPr>
          <w:rFonts w:hint="eastAsia" w:asciiTheme="minorHAnsi" w:hAnsiTheme="minorHAnsi"/>
          <w:color w:val="auto"/>
        </w:rPr>
      </w:pPr>
      <w:bookmarkStart w:id="183" w:name="_Toc140132799"/>
      <w:bookmarkStart w:id="184" w:name="_Toc155185881"/>
      <w:bookmarkStart w:id="185" w:name="_Toc5916"/>
      <w:r>
        <w:rPr>
          <w:rFonts w:hint="eastAsia" w:asciiTheme="minorHAnsi" w:hAnsiTheme="minorHAnsi"/>
          <w:color w:val="auto"/>
        </w:rPr>
        <w:t>质疑和投诉</w:t>
      </w:r>
      <w:bookmarkEnd w:id="183"/>
      <w:bookmarkEnd w:id="184"/>
      <w:bookmarkEnd w:id="185"/>
    </w:p>
    <w:p w14:paraId="4479B2B1">
      <w:pPr>
        <w:pStyle w:val="5"/>
        <w:numPr>
          <w:ilvl w:val="0"/>
          <w:numId w:val="5"/>
        </w:numPr>
        <w:rPr>
          <w:rFonts w:hint="eastAsia"/>
          <w:color w:val="auto"/>
        </w:rPr>
      </w:pPr>
      <w:bookmarkStart w:id="186" w:name="_Toc9806"/>
      <w:bookmarkStart w:id="187" w:name="_Toc140132800"/>
      <w:r>
        <w:rPr>
          <w:rFonts w:hint="eastAsia"/>
          <w:color w:val="auto"/>
        </w:rPr>
        <w:t>质疑</w:t>
      </w:r>
      <w:bookmarkEnd w:id="186"/>
      <w:bookmarkEnd w:id="187"/>
    </w:p>
    <w:p w14:paraId="305F4371">
      <w:pPr>
        <w:pStyle w:val="42"/>
        <w:rPr>
          <w:rFonts w:hint="eastAsia"/>
          <w:color w:val="auto"/>
        </w:rPr>
      </w:pPr>
      <w:r>
        <w:rPr>
          <w:bCs/>
          <w:color w:val="auto"/>
        </w:rPr>
        <w:t>3</w:t>
      </w:r>
      <w:r>
        <w:rPr>
          <w:rFonts w:hint="eastAsia"/>
          <w:bCs/>
          <w:color w:val="auto"/>
          <w:lang w:val="en-US" w:eastAsia="zh-CN"/>
        </w:rPr>
        <w:t>5</w:t>
      </w:r>
      <w:r>
        <w:rPr>
          <w:rFonts w:hint="eastAsia"/>
          <w:color w:val="auto"/>
        </w:rPr>
        <w:t>.1投标供应商认为招标文件、招标过程和中标结果使自己的权益受到损害的，可以在知道或者应知其权益受到损害之日起7个工作日内</w:t>
      </w:r>
      <w:bookmarkStart w:id="188" w:name="_Hlk143534740"/>
      <w:r>
        <w:rPr>
          <w:rFonts w:hint="eastAsia"/>
          <w:color w:val="auto"/>
        </w:rPr>
        <w:t>，向采购人或采购代理机构提出质疑</w:t>
      </w:r>
      <w:bookmarkEnd w:id="188"/>
      <w:r>
        <w:rPr>
          <w:rFonts w:hint="eastAsia"/>
          <w:color w:val="auto"/>
        </w:rPr>
        <w:t>。质疑函可在供应商客户端中编制、提交。</w:t>
      </w:r>
    </w:p>
    <w:p w14:paraId="60EB68B2">
      <w:pPr>
        <w:pStyle w:val="42"/>
        <w:rPr>
          <w:rFonts w:hint="eastAsia"/>
          <w:color w:val="auto"/>
        </w:rPr>
      </w:pPr>
      <w:r>
        <w:rPr>
          <w:bCs/>
          <w:color w:val="auto"/>
        </w:rPr>
        <w:t>3</w:t>
      </w:r>
      <w:r>
        <w:rPr>
          <w:rFonts w:hint="eastAsia"/>
          <w:bCs/>
          <w:color w:val="auto"/>
          <w:lang w:val="en-US" w:eastAsia="zh-CN"/>
        </w:rPr>
        <w:t>5</w:t>
      </w:r>
      <w:r>
        <w:rPr>
          <w:rFonts w:hint="eastAsia"/>
          <w:color w:val="auto"/>
        </w:rPr>
        <w:t>.2投标供应商</w:t>
      </w:r>
      <w:r>
        <w:rPr>
          <w:color w:val="auto"/>
        </w:rPr>
        <w:t>提出质疑应当提交质疑函和必要的证明材料。质疑函应当包括下列内容：</w:t>
      </w:r>
    </w:p>
    <w:p w14:paraId="0A82867C">
      <w:pPr>
        <w:pStyle w:val="42"/>
        <w:rPr>
          <w:rFonts w:hint="eastAsia"/>
          <w:color w:val="auto"/>
        </w:rPr>
      </w:pPr>
      <w:r>
        <w:rPr>
          <w:color w:val="auto"/>
        </w:rPr>
        <w:t>（1）</w:t>
      </w:r>
      <w:r>
        <w:rPr>
          <w:rFonts w:hint="eastAsia"/>
          <w:color w:val="auto"/>
        </w:rPr>
        <w:t>质疑人</w:t>
      </w:r>
      <w:r>
        <w:rPr>
          <w:color w:val="auto"/>
        </w:rPr>
        <w:t>的姓名或者名称、地址、邮编、联系人及联系电话；</w:t>
      </w:r>
    </w:p>
    <w:p w14:paraId="4D077C27">
      <w:pPr>
        <w:pStyle w:val="42"/>
        <w:rPr>
          <w:rFonts w:hint="eastAsia"/>
          <w:color w:val="auto"/>
        </w:rPr>
      </w:pPr>
      <w:r>
        <w:rPr>
          <w:color w:val="auto"/>
        </w:rPr>
        <w:t>（2）质疑项目的名称、编号；</w:t>
      </w:r>
    </w:p>
    <w:p w14:paraId="4FE5469E">
      <w:pPr>
        <w:pStyle w:val="42"/>
        <w:rPr>
          <w:rFonts w:hint="eastAsia"/>
          <w:color w:val="auto"/>
        </w:rPr>
      </w:pPr>
      <w:r>
        <w:rPr>
          <w:color w:val="auto"/>
        </w:rPr>
        <w:t>（3）具体、明确的质疑事项和与质疑事项相关的请求；</w:t>
      </w:r>
    </w:p>
    <w:p w14:paraId="230957B2">
      <w:pPr>
        <w:pStyle w:val="42"/>
        <w:rPr>
          <w:rFonts w:hint="eastAsia"/>
          <w:color w:val="auto"/>
        </w:rPr>
      </w:pPr>
      <w:r>
        <w:rPr>
          <w:color w:val="auto"/>
        </w:rPr>
        <w:t>（4）事实依据；</w:t>
      </w:r>
    </w:p>
    <w:p w14:paraId="6ED6B699">
      <w:pPr>
        <w:pStyle w:val="42"/>
        <w:rPr>
          <w:rFonts w:hint="eastAsia"/>
          <w:color w:val="auto"/>
        </w:rPr>
      </w:pPr>
      <w:r>
        <w:rPr>
          <w:color w:val="auto"/>
        </w:rPr>
        <w:t>（5）必要的法律依据；</w:t>
      </w:r>
    </w:p>
    <w:p w14:paraId="79A62E86">
      <w:pPr>
        <w:pStyle w:val="42"/>
        <w:rPr>
          <w:rFonts w:hint="eastAsia"/>
          <w:color w:val="auto"/>
        </w:rPr>
      </w:pPr>
      <w:r>
        <w:rPr>
          <w:color w:val="auto"/>
        </w:rPr>
        <w:t>（6）提出质疑的日期。</w:t>
      </w:r>
    </w:p>
    <w:p w14:paraId="6CE4DC36">
      <w:pPr>
        <w:pStyle w:val="42"/>
        <w:rPr>
          <w:rFonts w:hint="eastAsia"/>
          <w:color w:val="auto"/>
        </w:rPr>
      </w:pPr>
      <w:r>
        <w:rPr>
          <w:color w:val="auto"/>
        </w:rPr>
        <w:t>3</w:t>
      </w:r>
      <w:r>
        <w:rPr>
          <w:rFonts w:hint="eastAsia"/>
          <w:color w:val="auto"/>
          <w:lang w:val="en-US" w:eastAsia="zh-CN"/>
        </w:rPr>
        <w:t>5</w:t>
      </w:r>
      <w:r>
        <w:rPr>
          <w:color w:val="auto"/>
        </w:rPr>
        <w:t>.3</w:t>
      </w:r>
      <w:r>
        <w:rPr>
          <w:rFonts w:hint="eastAsia"/>
          <w:color w:val="auto"/>
        </w:rPr>
        <w:t>质疑人</w:t>
      </w:r>
      <w:r>
        <w:rPr>
          <w:color w:val="auto"/>
        </w:rPr>
        <w:t>为自然人的，应当由本人签字；</w:t>
      </w:r>
      <w:r>
        <w:rPr>
          <w:rFonts w:hint="eastAsia"/>
          <w:color w:val="auto"/>
        </w:rPr>
        <w:t>质疑人</w:t>
      </w:r>
      <w:r>
        <w:rPr>
          <w:color w:val="auto"/>
        </w:rPr>
        <w:t>为法人或者其他组织的，应当由法定代表人、主要负责人，或者其授权代表签字或者盖章，并加盖公章。</w:t>
      </w:r>
    </w:p>
    <w:p w14:paraId="56A43A43">
      <w:pPr>
        <w:pStyle w:val="42"/>
        <w:rPr>
          <w:rFonts w:hint="eastAsia"/>
          <w:color w:val="auto"/>
        </w:rPr>
      </w:pPr>
      <w:r>
        <w:rPr>
          <w:color w:val="auto"/>
        </w:rPr>
        <w:t>3</w:t>
      </w:r>
      <w:r>
        <w:rPr>
          <w:rFonts w:hint="eastAsia"/>
          <w:color w:val="auto"/>
          <w:lang w:val="en-US" w:eastAsia="zh-CN"/>
        </w:rPr>
        <w:t>5</w:t>
      </w:r>
      <w:r>
        <w:rPr>
          <w:color w:val="auto"/>
        </w:rPr>
        <w:t>.4</w:t>
      </w:r>
      <w:r>
        <w:rPr>
          <w:rFonts w:hint="eastAsia"/>
          <w:color w:val="auto"/>
        </w:rPr>
        <w:t>通过客户端提出质疑的，</w:t>
      </w:r>
      <w:bookmarkStart w:id="189" w:name="_Hlk143534761"/>
      <w:r>
        <w:rPr>
          <w:rFonts w:hint="eastAsia"/>
          <w:color w:val="auto"/>
        </w:rPr>
        <w:t>质疑</w:t>
      </w:r>
      <w:r>
        <w:rPr>
          <w:color w:val="auto"/>
        </w:rPr>
        <w:t>人为自然人的，应当</w:t>
      </w:r>
      <w:r>
        <w:rPr>
          <w:rFonts w:hint="eastAsia"/>
          <w:color w:val="auto"/>
        </w:rPr>
        <w:t>加盖</w:t>
      </w:r>
      <w:r>
        <w:rPr>
          <w:color w:val="auto"/>
        </w:rPr>
        <w:t>本人</w:t>
      </w:r>
      <w:r>
        <w:rPr>
          <w:rFonts w:hint="eastAsia"/>
          <w:color w:val="auto"/>
        </w:rPr>
        <w:t>电子印章</w:t>
      </w:r>
      <w:r>
        <w:rPr>
          <w:color w:val="auto"/>
        </w:rPr>
        <w:t>；</w:t>
      </w:r>
      <w:r>
        <w:rPr>
          <w:rFonts w:hint="eastAsia"/>
          <w:color w:val="auto"/>
        </w:rPr>
        <w:t>质疑</w:t>
      </w:r>
      <w:r>
        <w:rPr>
          <w:color w:val="auto"/>
        </w:rPr>
        <w:t>人为法人或者其他组织的，应当</w:t>
      </w:r>
      <w:r>
        <w:rPr>
          <w:rFonts w:hint="eastAsia"/>
          <w:color w:val="auto"/>
        </w:rPr>
        <w:t>加盖单位电子印章</w:t>
      </w:r>
      <w:bookmarkEnd w:id="189"/>
      <w:r>
        <w:rPr>
          <w:rFonts w:hint="eastAsia"/>
          <w:color w:val="auto"/>
        </w:rPr>
        <w:t>。</w:t>
      </w:r>
    </w:p>
    <w:p w14:paraId="306CDB12">
      <w:pPr>
        <w:pStyle w:val="42"/>
        <w:rPr>
          <w:rFonts w:hint="eastAsia"/>
          <w:color w:val="auto"/>
        </w:rPr>
      </w:pPr>
      <w:r>
        <w:rPr>
          <w:color w:val="auto"/>
        </w:rPr>
        <w:t>3</w:t>
      </w:r>
      <w:r>
        <w:rPr>
          <w:rFonts w:hint="eastAsia"/>
          <w:color w:val="auto"/>
          <w:lang w:val="en-US" w:eastAsia="zh-CN"/>
        </w:rPr>
        <w:t>5</w:t>
      </w:r>
      <w:r>
        <w:rPr>
          <w:rFonts w:hint="eastAsia"/>
          <w:color w:val="auto"/>
        </w:rPr>
        <w:t>.5质疑函不符合上述要求的，采购人或代理机构应书面告知具体事项，质疑人应当按要求进行修改或补充，并在质疑有效期限内提交。</w:t>
      </w:r>
    </w:p>
    <w:p w14:paraId="36BD5962">
      <w:pPr>
        <w:pStyle w:val="5"/>
        <w:numPr>
          <w:ilvl w:val="0"/>
          <w:numId w:val="5"/>
        </w:numPr>
        <w:rPr>
          <w:rFonts w:hint="eastAsia"/>
          <w:color w:val="auto"/>
        </w:rPr>
      </w:pPr>
      <w:bookmarkStart w:id="190" w:name="_Toc32246"/>
      <w:bookmarkStart w:id="191" w:name="_Toc140132801"/>
      <w:r>
        <w:rPr>
          <w:rFonts w:hint="eastAsia"/>
          <w:color w:val="auto"/>
        </w:rPr>
        <w:t>质疑答复</w:t>
      </w:r>
      <w:bookmarkEnd w:id="190"/>
      <w:bookmarkEnd w:id="191"/>
    </w:p>
    <w:p w14:paraId="688E89A6">
      <w:pPr>
        <w:pStyle w:val="42"/>
        <w:rPr>
          <w:rFonts w:hint="eastAsia"/>
          <w:color w:val="auto"/>
        </w:rPr>
      </w:pPr>
      <w:r>
        <w:rPr>
          <w:bCs/>
          <w:color w:val="auto"/>
        </w:rPr>
        <w:t>3</w:t>
      </w:r>
      <w:r>
        <w:rPr>
          <w:rFonts w:hint="eastAsia"/>
          <w:bCs/>
          <w:color w:val="auto"/>
          <w:lang w:val="en-US" w:eastAsia="zh-CN"/>
        </w:rPr>
        <w:t>6</w:t>
      </w:r>
      <w:r>
        <w:rPr>
          <w:rFonts w:hint="eastAsia"/>
          <w:color w:val="auto"/>
        </w:rPr>
        <w:t>.1采购人或采购代理机构应当在收到投标供应商的书面质疑后7个工作日内作出答复，并以书面形式通知质疑投标供应商和其他有关投标供应商，但答复的内容不得涉及商业秘密。</w:t>
      </w:r>
    </w:p>
    <w:p w14:paraId="6FD030B8">
      <w:pPr>
        <w:pStyle w:val="42"/>
        <w:rPr>
          <w:rFonts w:hint="eastAsia"/>
          <w:color w:val="auto"/>
        </w:rPr>
      </w:pPr>
      <w:r>
        <w:rPr>
          <w:bCs/>
          <w:color w:val="auto"/>
        </w:rPr>
        <w:t>3</w:t>
      </w:r>
      <w:r>
        <w:rPr>
          <w:rFonts w:hint="eastAsia"/>
          <w:bCs/>
          <w:color w:val="auto"/>
          <w:lang w:val="en-US" w:eastAsia="zh-CN"/>
        </w:rPr>
        <w:t>6</w:t>
      </w:r>
      <w:r>
        <w:rPr>
          <w:rFonts w:hint="eastAsia"/>
          <w:color w:val="auto"/>
        </w:rPr>
        <w:t>.2质疑答复应当包括下列内容：</w:t>
      </w:r>
    </w:p>
    <w:p w14:paraId="720376C8">
      <w:pPr>
        <w:pStyle w:val="42"/>
        <w:rPr>
          <w:rFonts w:hint="eastAsia"/>
          <w:snapToGrid w:val="0"/>
          <w:color w:val="auto"/>
        </w:rPr>
      </w:pPr>
      <w:r>
        <w:rPr>
          <w:rFonts w:hint="eastAsia"/>
          <w:snapToGrid w:val="0"/>
          <w:color w:val="auto"/>
        </w:rPr>
        <w:t>（1）质疑人的姓名或者名称；</w:t>
      </w:r>
    </w:p>
    <w:p w14:paraId="7082DBA7">
      <w:pPr>
        <w:pStyle w:val="42"/>
        <w:rPr>
          <w:rFonts w:hint="eastAsia"/>
          <w:snapToGrid w:val="0"/>
          <w:color w:val="auto"/>
        </w:rPr>
      </w:pPr>
      <w:r>
        <w:rPr>
          <w:rFonts w:hint="eastAsia"/>
          <w:snapToGrid w:val="0"/>
          <w:color w:val="auto"/>
        </w:rPr>
        <w:t>（2）收到质疑函的日期、质疑项目名称及编号；</w:t>
      </w:r>
    </w:p>
    <w:p w14:paraId="33A03F38">
      <w:pPr>
        <w:pStyle w:val="42"/>
        <w:rPr>
          <w:rFonts w:hint="eastAsia"/>
          <w:snapToGrid w:val="0"/>
          <w:color w:val="auto"/>
        </w:rPr>
      </w:pPr>
      <w:r>
        <w:rPr>
          <w:rFonts w:hint="eastAsia"/>
          <w:snapToGrid w:val="0"/>
          <w:color w:val="auto"/>
        </w:rPr>
        <w:t>（3）质疑事项、质疑答复的具体内容、事实依据和法律依据；</w:t>
      </w:r>
    </w:p>
    <w:p w14:paraId="363EA7D2">
      <w:pPr>
        <w:pStyle w:val="42"/>
        <w:rPr>
          <w:rFonts w:hint="eastAsia"/>
          <w:snapToGrid w:val="0"/>
          <w:color w:val="auto"/>
        </w:rPr>
      </w:pPr>
      <w:r>
        <w:rPr>
          <w:rFonts w:hint="eastAsia"/>
          <w:snapToGrid w:val="0"/>
          <w:color w:val="auto"/>
        </w:rPr>
        <w:t>（4）告知质疑人依法投诉的权利；</w:t>
      </w:r>
    </w:p>
    <w:p w14:paraId="5D3C5373">
      <w:pPr>
        <w:pStyle w:val="42"/>
        <w:rPr>
          <w:rFonts w:hint="eastAsia"/>
          <w:snapToGrid w:val="0"/>
          <w:color w:val="auto"/>
        </w:rPr>
      </w:pPr>
      <w:r>
        <w:rPr>
          <w:rFonts w:hint="eastAsia"/>
          <w:snapToGrid w:val="0"/>
          <w:color w:val="auto"/>
        </w:rPr>
        <w:t>（5）质疑答复人名称；</w:t>
      </w:r>
    </w:p>
    <w:p w14:paraId="0382E6FD">
      <w:pPr>
        <w:pStyle w:val="42"/>
        <w:rPr>
          <w:rFonts w:hint="eastAsia"/>
          <w:snapToGrid w:val="0"/>
          <w:color w:val="auto"/>
        </w:rPr>
      </w:pPr>
      <w:r>
        <w:rPr>
          <w:rFonts w:hint="eastAsia"/>
          <w:snapToGrid w:val="0"/>
          <w:color w:val="auto"/>
        </w:rPr>
        <w:t>（6）答复质疑的日期。</w:t>
      </w:r>
    </w:p>
    <w:p w14:paraId="5A4FD1C5">
      <w:pPr>
        <w:pStyle w:val="5"/>
        <w:numPr>
          <w:ilvl w:val="0"/>
          <w:numId w:val="5"/>
        </w:numPr>
        <w:rPr>
          <w:rFonts w:hint="eastAsia"/>
          <w:color w:val="auto"/>
        </w:rPr>
      </w:pPr>
      <w:bookmarkStart w:id="192" w:name="_Toc140132802"/>
      <w:bookmarkStart w:id="193" w:name="_Toc32376"/>
      <w:r>
        <w:rPr>
          <w:rFonts w:hint="eastAsia"/>
          <w:color w:val="auto"/>
        </w:rPr>
        <w:t>投诉</w:t>
      </w:r>
      <w:bookmarkEnd w:id="192"/>
      <w:bookmarkEnd w:id="193"/>
    </w:p>
    <w:p w14:paraId="02265311">
      <w:pPr>
        <w:pStyle w:val="42"/>
        <w:rPr>
          <w:rFonts w:hint="eastAsia"/>
          <w:color w:val="auto"/>
        </w:rPr>
      </w:pPr>
      <w:r>
        <w:rPr>
          <w:bCs/>
          <w:color w:val="auto"/>
        </w:rPr>
        <w:t>3</w:t>
      </w:r>
      <w:r>
        <w:rPr>
          <w:rFonts w:hint="eastAsia"/>
          <w:bCs/>
          <w:color w:val="auto"/>
          <w:lang w:val="en-US" w:eastAsia="zh-CN"/>
        </w:rPr>
        <w:t>7</w:t>
      </w:r>
      <w:r>
        <w:rPr>
          <w:rFonts w:hint="eastAsia"/>
          <w:color w:val="auto"/>
        </w:rPr>
        <w:t>.1质疑投标供应商对采购人、采购代理机构的答复不满意或者采购人、采购代理机构未在规定的时间内作出答复的，可以在答复期满后15个工作日内向同级政府采购监督管理部门投诉。投标供应商投诉应当有明确的请求和必要的证明材料，且投诉的事项不得超出已质疑事项的范围。</w:t>
      </w:r>
    </w:p>
    <w:p w14:paraId="04354F70">
      <w:pPr>
        <w:pStyle w:val="42"/>
        <w:rPr>
          <w:rFonts w:hint="eastAsia"/>
          <w:color w:val="auto"/>
        </w:rPr>
      </w:pPr>
      <w:r>
        <w:rPr>
          <w:bCs/>
          <w:color w:val="auto"/>
        </w:rPr>
        <w:t>3</w:t>
      </w:r>
      <w:r>
        <w:rPr>
          <w:rFonts w:hint="eastAsia"/>
          <w:bCs/>
          <w:color w:val="auto"/>
          <w:lang w:val="en-US" w:eastAsia="zh-CN"/>
        </w:rPr>
        <w:t>7</w:t>
      </w:r>
      <w:r>
        <w:rPr>
          <w:rFonts w:hint="eastAsia"/>
          <w:color w:val="auto"/>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14:paraId="351C5C6E">
      <w:pPr>
        <w:pStyle w:val="4"/>
        <w:numPr>
          <w:ilvl w:val="0"/>
          <w:numId w:val="4"/>
        </w:numPr>
        <w:rPr>
          <w:rFonts w:hint="eastAsia" w:asciiTheme="minorHAnsi" w:hAnsiTheme="minorHAnsi"/>
          <w:color w:val="auto"/>
        </w:rPr>
      </w:pPr>
      <w:bookmarkStart w:id="194" w:name="_Toc24814"/>
      <w:bookmarkStart w:id="195" w:name="_Toc155185882"/>
      <w:bookmarkStart w:id="196" w:name="_Toc140132803"/>
      <w:r>
        <w:rPr>
          <w:rFonts w:hint="eastAsia" w:asciiTheme="minorHAnsi" w:hAnsiTheme="minorHAnsi"/>
          <w:color w:val="auto"/>
        </w:rPr>
        <w:t>采购代理服务费</w:t>
      </w:r>
      <w:bookmarkEnd w:id="194"/>
      <w:bookmarkEnd w:id="195"/>
      <w:bookmarkEnd w:id="196"/>
    </w:p>
    <w:p w14:paraId="6124A83E">
      <w:pPr>
        <w:pStyle w:val="5"/>
        <w:numPr>
          <w:ilvl w:val="0"/>
          <w:numId w:val="5"/>
        </w:numPr>
        <w:rPr>
          <w:rFonts w:hint="eastAsia"/>
          <w:color w:val="auto"/>
        </w:rPr>
      </w:pPr>
      <w:bookmarkStart w:id="197" w:name="_Toc140132804"/>
      <w:bookmarkStart w:id="198" w:name="_Toc24135"/>
      <w:r>
        <w:rPr>
          <w:rFonts w:hint="eastAsia"/>
          <w:color w:val="auto"/>
        </w:rPr>
        <w:t>收取方式和标准</w:t>
      </w:r>
      <w:bookmarkEnd w:id="197"/>
      <w:bookmarkEnd w:id="198"/>
    </w:p>
    <w:p w14:paraId="520D713A">
      <w:pPr>
        <w:pStyle w:val="42"/>
        <w:rPr>
          <w:rFonts w:hint="eastAsia"/>
          <w:color w:val="auto"/>
        </w:rPr>
      </w:pPr>
      <w:r>
        <w:rPr>
          <w:bCs/>
          <w:color w:val="auto"/>
        </w:rPr>
        <w:t>3</w:t>
      </w:r>
      <w:r>
        <w:rPr>
          <w:rFonts w:hint="eastAsia"/>
          <w:bCs/>
          <w:color w:val="auto"/>
          <w:lang w:val="en-US" w:eastAsia="zh-CN"/>
        </w:rPr>
        <w:t>8</w:t>
      </w:r>
      <w:r>
        <w:rPr>
          <w:rFonts w:hint="eastAsia"/>
          <w:color w:val="auto"/>
        </w:rPr>
        <w:t>.1采购代理机构按“投标供应商须知前附表”规定的方式和标准收取采购代理服务费。</w:t>
      </w:r>
    </w:p>
    <w:p w14:paraId="7CD4E5B4">
      <w:pPr>
        <w:pStyle w:val="4"/>
        <w:numPr>
          <w:ilvl w:val="0"/>
          <w:numId w:val="4"/>
        </w:numPr>
        <w:rPr>
          <w:rFonts w:hint="eastAsia" w:asciiTheme="minorHAnsi" w:hAnsiTheme="minorHAnsi"/>
          <w:color w:val="auto"/>
        </w:rPr>
      </w:pPr>
      <w:bookmarkStart w:id="199" w:name="_Toc17917"/>
      <w:bookmarkStart w:id="200" w:name="_Toc140132805"/>
      <w:bookmarkStart w:id="201" w:name="_Toc155185883"/>
      <w:r>
        <w:rPr>
          <w:rFonts w:hint="eastAsia" w:asciiTheme="minorHAnsi" w:hAnsiTheme="minorHAnsi"/>
          <w:color w:val="auto"/>
        </w:rPr>
        <w:t>无效投标和废标</w:t>
      </w:r>
      <w:bookmarkEnd w:id="199"/>
      <w:bookmarkEnd w:id="200"/>
      <w:bookmarkEnd w:id="201"/>
    </w:p>
    <w:p w14:paraId="0914D008">
      <w:pPr>
        <w:pStyle w:val="5"/>
        <w:numPr>
          <w:ilvl w:val="0"/>
          <w:numId w:val="5"/>
        </w:numPr>
        <w:rPr>
          <w:rFonts w:hint="eastAsia"/>
          <w:color w:val="auto"/>
        </w:rPr>
      </w:pPr>
      <w:bookmarkStart w:id="202" w:name="_Toc17867"/>
      <w:bookmarkStart w:id="203" w:name="_Toc140132806"/>
      <w:r>
        <w:rPr>
          <w:rFonts w:hint="eastAsia"/>
          <w:color w:val="auto"/>
        </w:rPr>
        <w:t>无效投标</w:t>
      </w:r>
      <w:bookmarkEnd w:id="202"/>
      <w:bookmarkEnd w:id="203"/>
    </w:p>
    <w:p w14:paraId="154E0279">
      <w:pPr>
        <w:pStyle w:val="42"/>
        <w:rPr>
          <w:rFonts w:hint="eastAsia"/>
          <w:color w:val="auto"/>
        </w:rPr>
      </w:pPr>
      <w:r>
        <w:rPr>
          <w:rFonts w:hint="eastAsia"/>
          <w:color w:val="auto"/>
          <w:lang w:val="en-US" w:eastAsia="zh-CN"/>
        </w:rPr>
        <w:t>39</w:t>
      </w:r>
      <w:r>
        <w:rPr>
          <w:rFonts w:hint="eastAsia"/>
          <w:color w:val="auto"/>
        </w:rPr>
        <w:t>.1投标文件存在第四章“资格审查方法及标准”、第五章 “评标方法及标准”规定的投标无效情形的，其</w:t>
      </w:r>
      <w:r>
        <w:rPr>
          <w:rFonts w:hint="eastAsia"/>
          <w:b/>
          <w:bCs/>
          <w:color w:val="auto"/>
        </w:rPr>
        <w:t>投标无效</w:t>
      </w:r>
      <w:r>
        <w:rPr>
          <w:rFonts w:hint="eastAsia"/>
          <w:color w:val="auto"/>
        </w:rPr>
        <w:t>。</w:t>
      </w:r>
    </w:p>
    <w:p w14:paraId="2CD9604A">
      <w:pPr>
        <w:pStyle w:val="5"/>
        <w:numPr>
          <w:ilvl w:val="0"/>
          <w:numId w:val="5"/>
        </w:numPr>
        <w:rPr>
          <w:rFonts w:hint="eastAsia"/>
          <w:color w:val="auto"/>
        </w:rPr>
      </w:pPr>
      <w:bookmarkStart w:id="204" w:name="_Toc24321"/>
      <w:bookmarkStart w:id="205" w:name="_Toc140132807"/>
      <w:r>
        <w:rPr>
          <w:rFonts w:hint="eastAsia"/>
          <w:color w:val="auto"/>
        </w:rPr>
        <w:t>废标</w:t>
      </w:r>
      <w:bookmarkEnd w:id="204"/>
      <w:bookmarkEnd w:id="205"/>
    </w:p>
    <w:p w14:paraId="18101949">
      <w:pPr>
        <w:pStyle w:val="42"/>
        <w:rPr>
          <w:rFonts w:hint="eastAsia"/>
          <w:color w:val="auto"/>
        </w:rPr>
      </w:pPr>
      <w:r>
        <w:rPr>
          <w:color w:val="auto"/>
        </w:rPr>
        <w:t>4</w:t>
      </w:r>
      <w:r>
        <w:rPr>
          <w:rFonts w:hint="eastAsia"/>
          <w:color w:val="auto"/>
          <w:lang w:val="en-US" w:eastAsia="zh-CN"/>
        </w:rPr>
        <w:t>0</w:t>
      </w:r>
      <w:r>
        <w:rPr>
          <w:rFonts w:hint="eastAsia"/>
          <w:color w:val="auto"/>
        </w:rPr>
        <w:t>.1在招标采购中出现有下列情形之一的，应予以</w:t>
      </w:r>
      <w:r>
        <w:rPr>
          <w:rFonts w:hint="eastAsia"/>
          <w:b/>
          <w:bCs/>
          <w:color w:val="auto"/>
        </w:rPr>
        <w:t>废标</w:t>
      </w:r>
      <w:r>
        <w:rPr>
          <w:rFonts w:hint="eastAsia"/>
          <w:color w:val="auto"/>
        </w:rPr>
        <w:t>：</w:t>
      </w:r>
    </w:p>
    <w:p w14:paraId="34CB3ED2">
      <w:pPr>
        <w:pStyle w:val="42"/>
        <w:rPr>
          <w:rFonts w:hint="eastAsia"/>
          <w:color w:val="auto"/>
        </w:rPr>
      </w:pPr>
      <w:r>
        <w:rPr>
          <w:rFonts w:hint="eastAsia"/>
          <w:color w:val="auto"/>
        </w:rPr>
        <w:t>（1）符合专业条件的投标供应商或者对招标文件作实质响应的投标供应商不足三家的；</w:t>
      </w:r>
    </w:p>
    <w:p w14:paraId="18679CE3">
      <w:pPr>
        <w:pStyle w:val="42"/>
        <w:rPr>
          <w:rFonts w:hint="eastAsia"/>
          <w:color w:val="auto"/>
        </w:rPr>
      </w:pPr>
      <w:r>
        <w:rPr>
          <w:rFonts w:hint="eastAsia"/>
          <w:color w:val="auto"/>
        </w:rPr>
        <w:t>（2）出现影响采购公正的违法、违规行为的；</w:t>
      </w:r>
    </w:p>
    <w:p w14:paraId="3083F51D">
      <w:pPr>
        <w:pStyle w:val="42"/>
        <w:rPr>
          <w:rFonts w:hint="eastAsia"/>
          <w:color w:val="auto"/>
        </w:rPr>
      </w:pPr>
      <w:r>
        <w:rPr>
          <w:rFonts w:hint="eastAsia"/>
          <w:color w:val="auto"/>
        </w:rPr>
        <w:t>（3）投标供应商的报价均超过了采购预算，采购人不能支付的；</w:t>
      </w:r>
    </w:p>
    <w:p w14:paraId="77BE50D9">
      <w:pPr>
        <w:pStyle w:val="42"/>
        <w:rPr>
          <w:rFonts w:hint="eastAsia"/>
          <w:color w:val="auto"/>
        </w:rPr>
      </w:pPr>
      <w:r>
        <w:rPr>
          <w:rFonts w:hint="eastAsia"/>
          <w:color w:val="auto"/>
        </w:rPr>
        <w:t>（4）因重大变故，采购任务取消的。</w:t>
      </w:r>
    </w:p>
    <w:p w14:paraId="4695A20E">
      <w:pPr>
        <w:pStyle w:val="4"/>
        <w:numPr>
          <w:ilvl w:val="0"/>
          <w:numId w:val="4"/>
        </w:numPr>
        <w:rPr>
          <w:rFonts w:hint="eastAsia" w:asciiTheme="minorHAnsi" w:hAnsiTheme="minorHAnsi"/>
          <w:color w:val="auto"/>
        </w:rPr>
      </w:pPr>
      <w:bookmarkStart w:id="206" w:name="_Toc140132766"/>
      <w:bookmarkStart w:id="207" w:name="_Toc20788"/>
      <w:bookmarkStart w:id="208" w:name="_Toc155185884"/>
      <w:bookmarkStart w:id="209" w:name="_Toc140132808"/>
      <w:r>
        <w:rPr>
          <w:rFonts w:hint="eastAsia" w:asciiTheme="minorHAnsi" w:hAnsiTheme="minorHAnsi"/>
          <w:color w:val="auto"/>
        </w:rPr>
        <w:t>落实政府采购政策</w:t>
      </w:r>
      <w:bookmarkEnd w:id="206"/>
      <w:bookmarkEnd w:id="207"/>
    </w:p>
    <w:p w14:paraId="7D5BC789">
      <w:pPr>
        <w:pStyle w:val="5"/>
        <w:numPr>
          <w:ilvl w:val="0"/>
          <w:numId w:val="5"/>
        </w:numPr>
        <w:rPr>
          <w:rFonts w:hint="eastAsia"/>
          <w:color w:val="auto"/>
        </w:rPr>
      </w:pPr>
      <w:bookmarkStart w:id="210" w:name="_Toc27146"/>
      <w:r>
        <w:rPr>
          <w:color w:val="auto"/>
        </w:rPr>
        <w:t>支持国产和进口产品审批</w:t>
      </w:r>
      <w:bookmarkEnd w:id="210"/>
    </w:p>
    <w:p w14:paraId="125DA298">
      <w:pPr>
        <w:pStyle w:val="42"/>
        <w:rPr>
          <w:rFonts w:hint="eastAsia"/>
          <w:snapToGrid w:val="0"/>
          <w:color w:val="auto"/>
        </w:rPr>
      </w:pPr>
      <w:r>
        <w:rPr>
          <w:snapToGrid w:val="0"/>
          <w:color w:val="auto"/>
        </w:rPr>
        <w:t>4</w:t>
      </w:r>
      <w:r>
        <w:rPr>
          <w:rFonts w:hint="eastAsia"/>
          <w:snapToGrid w:val="0"/>
          <w:color w:val="auto"/>
          <w:lang w:val="en-US" w:eastAsia="zh-CN"/>
        </w:rPr>
        <w:t>1</w:t>
      </w:r>
      <w:r>
        <w:rPr>
          <w:rFonts w:hint="eastAsia"/>
          <w:snapToGrid w:val="0"/>
          <w:color w:val="auto"/>
        </w:rPr>
        <w:t>.1除“投标供应商须知前附表”另有规定外，政府采购应当采购本国产品，确需采购进口产品的，采购人应当按照《关于政府采购进口产品管理有关问题的通知》（财办库〔</w:t>
      </w:r>
      <w:r>
        <w:rPr>
          <w:snapToGrid w:val="0"/>
          <w:color w:val="auto"/>
        </w:rPr>
        <w:t>2008〕248号）规定执行（进口产品审批制，科研院所监管部门另有规定的从其规定）。</w:t>
      </w:r>
      <w:r>
        <w:rPr>
          <w:rFonts w:hint="eastAsia"/>
          <w:snapToGrid w:val="0"/>
          <w:color w:val="auto"/>
        </w:rPr>
        <w:t>项目若涉及采购进口产品的，具体要求详见“第三章</w:t>
      </w:r>
      <w:r>
        <w:rPr>
          <w:snapToGrid w:val="0"/>
          <w:color w:val="auto"/>
        </w:rPr>
        <w:t xml:space="preserve"> 采购需求”</w:t>
      </w:r>
      <w:r>
        <w:rPr>
          <w:rFonts w:hint="eastAsia"/>
          <w:snapToGrid w:val="0"/>
          <w:color w:val="auto"/>
        </w:rPr>
        <w:t>。</w:t>
      </w:r>
    </w:p>
    <w:p w14:paraId="1CF3AB01">
      <w:pPr>
        <w:pStyle w:val="5"/>
        <w:numPr>
          <w:ilvl w:val="0"/>
          <w:numId w:val="5"/>
        </w:numPr>
        <w:rPr>
          <w:rFonts w:hint="eastAsia"/>
          <w:color w:val="auto"/>
        </w:rPr>
      </w:pPr>
      <w:bookmarkStart w:id="211" w:name="_Toc5737"/>
      <w:r>
        <w:rPr>
          <w:rFonts w:hint="eastAsia"/>
          <w:color w:val="auto"/>
        </w:rPr>
        <w:t>中小企业、监狱企业及残疾人福利性单位</w:t>
      </w:r>
      <w:bookmarkEnd w:id="211"/>
    </w:p>
    <w:p w14:paraId="34010D0C">
      <w:pPr>
        <w:pStyle w:val="42"/>
        <w:rPr>
          <w:rFonts w:hint="eastAsia"/>
          <w:snapToGrid w:val="0"/>
          <w:color w:val="auto"/>
        </w:rPr>
      </w:pPr>
      <w:r>
        <w:rPr>
          <w:rFonts w:hint="eastAsia"/>
          <w:snapToGrid w:val="0"/>
          <w:color w:val="auto"/>
        </w:rPr>
        <w:t>为促进中小企业发展，依据《</w:t>
      </w:r>
      <w:r>
        <w:rPr>
          <w:snapToGrid w:val="0"/>
          <w:color w:val="auto"/>
        </w:rPr>
        <w:t>关于印发</w:t>
      </w:r>
      <w:r>
        <w:rPr>
          <w:rFonts w:hint="eastAsia"/>
          <w:snapToGrid w:val="0"/>
          <w:color w:val="auto"/>
        </w:rPr>
        <w:t>&lt;</w:t>
      </w:r>
      <w:r>
        <w:rPr>
          <w:snapToGrid w:val="0"/>
          <w:color w:val="auto"/>
        </w:rPr>
        <w:t>政府采购促进中小企业发展管理办法</w:t>
      </w:r>
      <w:r>
        <w:rPr>
          <w:rFonts w:hint="eastAsia"/>
          <w:snapToGrid w:val="0"/>
          <w:color w:val="auto"/>
        </w:rPr>
        <w:t>&gt;</w:t>
      </w:r>
      <w:r>
        <w:rPr>
          <w:snapToGrid w:val="0"/>
          <w:color w:val="auto"/>
        </w:rPr>
        <w:t>的通知</w:t>
      </w:r>
      <w:r>
        <w:rPr>
          <w:rFonts w:hint="eastAsia"/>
          <w:snapToGrid w:val="0"/>
          <w:color w:val="auto"/>
        </w:rPr>
        <w:t>》（财库〔2020〕46号）、《财政部 司法部关于政府采购支持监狱企业发展有关问题的通知》（财库〔2014〕68号）、《关于促进残疾人就业政府采购政策的通知》（财库〔2017〕141号）</w:t>
      </w:r>
      <w:r>
        <w:rPr>
          <w:rFonts w:hint="eastAsia"/>
          <w:snapToGrid w:val="0"/>
          <w:color w:val="auto"/>
          <w:lang w:val="en-US"/>
        </w:rPr>
        <w:t>等文件</w:t>
      </w:r>
      <w:r>
        <w:rPr>
          <w:rFonts w:hint="eastAsia"/>
          <w:snapToGrid w:val="0"/>
          <w:color w:val="auto"/>
        </w:rPr>
        <w:t>的规定，本项目投标供应商如符合上述文件规定的，需提供《中小企业声明函》、监狱企业证明文件、</w:t>
      </w:r>
      <w:r>
        <w:rPr>
          <w:snapToGrid w:val="0"/>
          <w:color w:val="auto"/>
        </w:rPr>
        <w:t>《残疾人福利性单位声明函》</w:t>
      </w:r>
      <w:r>
        <w:rPr>
          <w:rFonts w:hint="eastAsia"/>
          <w:snapToGrid w:val="0"/>
          <w:color w:val="auto"/>
        </w:rPr>
        <w:t>，评审时，评标委员会将依据“投标供应商须知前附表”规定的报价扣除比例，对投标供应商报价进行价格扣除，用扣除后的价格参与评审。</w:t>
      </w:r>
    </w:p>
    <w:p w14:paraId="49A504BA">
      <w:pPr>
        <w:pStyle w:val="5"/>
        <w:numPr>
          <w:ilvl w:val="0"/>
          <w:numId w:val="5"/>
        </w:numPr>
        <w:rPr>
          <w:rFonts w:hint="eastAsia"/>
          <w:color w:val="auto"/>
        </w:rPr>
      </w:pPr>
      <w:bookmarkStart w:id="212" w:name="_Toc7448"/>
      <w:r>
        <w:rPr>
          <w:rFonts w:hint="eastAsia"/>
          <w:color w:val="auto"/>
        </w:rPr>
        <w:t>政府采购节能产品、环境标志产品</w:t>
      </w:r>
      <w:bookmarkEnd w:id="212"/>
    </w:p>
    <w:p w14:paraId="26CBC4F9">
      <w:pPr>
        <w:pStyle w:val="42"/>
        <w:rPr>
          <w:rFonts w:hint="eastAsia"/>
          <w:snapToGrid w:val="0"/>
          <w:color w:val="auto"/>
        </w:rPr>
      </w:pPr>
      <w:r>
        <w:rPr>
          <w:snapToGrid w:val="0"/>
          <w:color w:val="auto"/>
        </w:rPr>
        <w:t>4</w:t>
      </w:r>
      <w:r>
        <w:rPr>
          <w:rFonts w:hint="eastAsia"/>
          <w:snapToGrid w:val="0"/>
          <w:color w:val="auto"/>
          <w:lang w:val="en-US" w:eastAsia="zh-CN"/>
        </w:rPr>
        <w:t>3</w:t>
      </w:r>
      <w:r>
        <w:rPr>
          <w:rFonts w:hint="eastAsia"/>
          <w:snapToGrid w:val="0"/>
          <w:color w:val="auto"/>
        </w:rPr>
        <w:t>.1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投标供应商所投产品如属于节能产品政府采购品目清单、环境标志产品政府采购品目清单范围的，投标供应商须提供国家确定的认证机构出具的、处于有效期内的节能产品认证证书，认证证书的产品型号与所投产品不一致的，视为未提供。属于政府强制采购产品的，</w:t>
      </w:r>
      <w:r>
        <w:rPr>
          <w:snapToGrid w:val="0"/>
          <w:color w:val="auto"/>
        </w:rPr>
        <w:t>已作为投标时强制性要求不再给予价格扣除</w:t>
      </w:r>
      <w:r>
        <w:rPr>
          <w:rFonts w:hint="eastAsia"/>
          <w:snapToGrid w:val="0"/>
          <w:color w:val="auto"/>
        </w:rPr>
        <w:t>，未提供认证证书的视为</w:t>
      </w:r>
      <w:r>
        <w:rPr>
          <w:rFonts w:hint="eastAsia"/>
          <w:b/>
          <w:bCs/>
          <w:snapToGrid w:val="0"/>
          <w:color w:val="auto"/>
        </w:rPr>
        <w:t>无效响应</w:t>
      </w:r>
      <w:r>
        <w:rPr>
          <w:rFonts w:hint="eastAsia"/>
          <w:snapToGrid w:val="0"/>
          <w:color w:val="auto"/>
        </w:rPr>
        <w:t>。属于优先采购范围的，按照“投标供应商须知前附表”中相关规定，对该项产品的价格给予一定比例的扣除，具体扣除比例详见“投标供应商须知前附表”。</w:t>
      </w:r>
    </w:p>
    <w:p w14:paraId="0DE3E410">
      <w:pPr>
        <w:pStyle w:val="4"/>
        <w:numPr>
          <w:ilvl w:val="0"/>
          <w:numId w:val="4"/>
        </w:numPr>
        <w:rPr>
          <w:rFonts w:hint="eastAsia" w:asciiTheme="minorHAnsi" w:hAnsiTheme="minorHAnsi"/>
          <w:color w:val="auto"/>
        </w:rPr>
      </w:pPr>
      <w:bookmarkStart w:id="213" w:name="_Toc21590"/>
      <w:r>
        <w:rPr>
          <w:rFonts w:hint="eastAsia" w:asciiTheme="minorHAnsi" w:hAnsiTheme="minorHAnsi"/>
          <w:color w:val="auto"/>
        </w:rPr>
        <w:t>政府采购合同融资政策</w:t>
      </w:r>
      <w:bookmarkEnd w:id="208"/>
      <w:bookmarkEnd w:id="209"/>
      <w:bookmarkEnd w:id="213"/>
    </w:p>
    <w:p w14:paraId="51D1E4C0">
      <w:pPr>
        <w:pStyle w:val="5"/>
        <w:numPr>
          <w:ilvl w:val="0"/>
          <w:numId w:val="5"/>
        </w:numPr>
        <w:rPr>
          <w:rFonts w:hint="eastAsia"/>
          <w:color w:val="auto"/>
        </w:rPr>
      </w:pPr>
      <w:bookmarkStart w:id="214" w:name="_Toc16553"/>
      <w:r>
        <w:rPr>
          <w:rFonts w:hint="eastAsia"/>
          <w:color w:val="auto"/>
        </w:rPr>
        <w:t>政府采购合同融资政策</w:t>
      </w:r>
      <w:bookmarkEnd w:id="214"/>
    </w:p>
    <w:p w14:paraId="49809D51">
      <w:pPr>
        <w:pStyle w:val="42"/>
        <w:rPr>
          <w:rFonts w:hint="eastAsia"/>
          <w:color w:val="auto"/>
        </w:rPr>
      </w:pPr>
      <w:r>
        <w:rPr>
          <w:rFonts w:hint="eastAsia"/>
          <w:color w:val="auto"/>
        </w:rPr>
        <w:t>4</w:t>
      </w:r>
      <w:r>
        <w:rPr>
          <w:rFonts w:hint="eastAsia"/>
          <w:color w:val="auto"/>
          <w:lang w:val="en-US" w:eastAsia="zh-CN"/>
        </w:rPr>
        <w:t>4</w:t>
      </w:r>
      <w:r>
        <w:rPr>
          <w:color w:val="auto"/>
        </w:rPr>
        <w:t>.</w:t>
      </w:r>
      <w:r>
        <w:rPr>
          <w:rFonts w:hint="eastAsia"/>
          <w:color w:val="auto"/>
        </w:rPr>
        <w:t>1政府采购合同融资政策：见投标供应商须知前附表。</w:t>
      </w:r>
    </w:p>
    <w:p w14:paraId="39F3DF71">
      <w:pPr>
        <w:pStyle w:val="4"/>
        <w:numPr>
          <w:ilvl w:val="0"/>
          <w:numId w:val="4"/>
        </w:numPr>
        <w:rPr>
          <w:rFonts w:hint="eastAsia" w:asciiTheme="minorHAnsi" w:hAnsiTheme="minorHAnsi"/>
          <w:color w:val="auto"/>
        </w:rPr>
      </w:pPr>
      <w:bookmarkStart w:id="215" w:name="_Toc10687"/>
      <w:r>
        <w:rPr>
          <w:rFonts w:hint="eastAsia" w:asciiTheme="minorHAnsi" w:hAnsiTheme="minorHAnsi"/>
          <w:color w:val="auto"/>
        </w:rPr>
        <w:t>其他</w:t>
      </w:r>
      <w:bookmarkEnd w:id="215"/>
    </w:p>
    <w:p w14:paraId="6AC40C57">
      <w:pPr>
        <w:pStyle w:val="5"/>
        <w:numPr>
          <w:ilvl w:val="0"/>
          <w:numId w:val="5"/>
        </w:numPr>
        <w:rPr>
          <w:rFonts w:hint="eastAsia"/>
          <w:color w:val="auto"/>
        </w:rPr>
      </w:pPr>
      <w:bookmarkStart w:id="216" w:name="_Toc30657"/>
      <w:r>
        <w:rPr>
          <w:rFonts w:hint="eastAsia"/>
          <w:color w:val="auto"/>
        </w:rPr>
        <w:t>需要补充的其他内容</w:t>
      </w:r>
      <w:bookmarkEnd w:id="216"/>
    </w:p>
    <w:p w14:paraId="2A114159">
      <w:pPr>
        <w:pStyle w:val="42"/>
        <w:rPr>
          <w:rFonts w:hint="eastAsia"/>
          <w:color w:val="auto"/>
        </w:rPr>
      </w:pPr>
      <w:r>
        <w:rPr>
          <w:rFonts w:hint="eastAsia"/>
          <w:color w:val="auto"/>
        </w:rPr>
        <w:t>4</w:t>
      </w:r>
      <w:r>
        <w:rPr>
          <w:rFonts w:hint="eastAsia"/>
          <w:color w:val="auto"/>
          <w:lang w:val="en-US" w:eastAsia="zh-CN"/>
        </w:rPr>
        <w:t>5</w:t>
      </w:r>
      <w:r>
        <w:rPr>
          <w:color w:val="auto"/>
        </w:rPr>
        <w:t>.1</w:t>
      </w:r>
      <w:r>
        <w:rPr>
          <w:rFonts w:hint="eastAsia"/>
          <w:color w:val="auto"/>
        </w:rPr>
        <w:t>需要补充的其他内容：见投标供应商须知前附表。</w:t>
      </w:r>
    </w:p>
    <w:p w14:paraId="35FBED53">
      <w:pPr>
        <w:pStyle w:val="5"/>
        <w:numPr>
          <w:ilvl w:val="0"/>
          <w:numId w:val="5"/>
        </w:numPr>
        <w:rPr>
          <w:rFonts w:hint="eastAsia"/>
          <w:color w:val="auto"/>
        </w:rPr>
      </w:pPr>
      <w:bookmarkStart w:id="217" w:name="_Toc155185886"/>
      <w:bookmarkStart w:id="218" w:name="_Toc30617"/>
      <w:bookmarkStart w:id="219" w:name="_Toc140132810"/>
      <w:r>
        <w:rPr>
          <w:rFonts w:hint="eastAsia"/>
          <w:color w:val="auto"/>
        </w:rPr>
        <w:t>适用法律</w:t>
      </w:r>
      <w:bookmarkEnd w:id="217"/>
      <w:bookmarkEnd w:id="218"/>
      <w:bookmarkEnd w:id="219"/>
    </w:p>
    <w:p w14:paraId="0B27F95D">
      <w:pPr>
        <w:pStyle w:val="42"/>
        <w:rPr>
          <w:rFonts w:hint="eastAsia"/>
          <w:snapToGrid w:val="0"/>
          <w:color w:val="auto"/>
        </w:rPr>
      </w:pPr>
      <w:r>
        <w:rPr>
          <w:rFonts w:hint="eastAsia"/>
          <w:snapToGrid w:val="0"/>
          <w:color w:val="auto"/>
        </w:rPr>
        <w:t>4</w:t>
      </w:r>
      <w:r>
        <w:rPr>
          <w:rFonts w:hint="eastAsia"/>
          <w:snapToGrid w:val="0"/>
          <w:color w:val="auto"/>
          <w:lang w:val="en-US" w:eastAsia="zh-CN"/>
        </w:rPr>
        <w:t>6</w:t>
      </w:r>
      <w:r>
        <w:rPr>
          <w:snapToGrid w:val="0"/>
          <w:color w:val="auto"/>
        </w:rPr>
        <w:t>.1</w:t>
      </w:r>
      <w:r>
        <w:rPr>
          <w:rFonts w:hint="eastAsia"/>
          <w:snapToGrid w:val="0"/>
          <w:color w:val="auto"/>
        </w:rPr>
        <w:t>采购人、采购代理机构及投标供应商的一切采购活动均适用《中华人民共和国政府采购法》、《中华人民共和国政府采购法实施条例》、《政府采购货物和服务招标投标管理办法》（财政部令第87号）及相关法律法规。</w:t>
      </w:r>
    </w:p>
    <w:p w14:paraId="77FD9A98">
      <w:pPr>
        <w:pStyle w:val="42"/>
        <w:rPr>
          <w:rFonts w:hint="eastAsia"/>
          <w:color w:val="auto"/>
        </w:rPr>
      </w:pPr>
      <w:r>
        <w:rPr>
          <w:rFonts w:hint="eastAsia"/>
          <w:snapToGrid w:val="0"/>
          <w:color w:val="auto"/>
        </w:rPr>
        <w:t>4</w:t>
      </w:r>
      <w:r>
        <w:rPr>
          <w:rFonts w:hint="eastAsia"/>
          <w:snapToGrid w:val="0"/>
          <w:color w:val="auto"/>
          <w:lang w:val="en-US" w:eastAsia="zh-CN"/>
        </w:rPr>
        <w:t>6</w:t>
      </w:r>
      <w:r>
        <w:rPr>
          <w:snapToGrid w:val="0"/>
          <w:color w:val="auto"/>
        </w:rPr>
        <w:t>.2</w:t>
      </w:r>
      <w:r>
        <w:rPr>
          <w:rFonts w:hint="eastAsia"/>
          <w:snapToGrid w:val="0"/>
          <w:color w:val="auto"/>
        </w:rPr>
        <w:t>政府采购合同的履行、违约责任和解决争议的方法等适用《中华人民共和国民法典》。</w:t>
      </w:r>
    </w:p>
    <w:p w14:paraId="03FFAAED">
      <w:pPr>
        <w:pStyle w:val="5"/>
        <w:numPr>
          <w:ilvl w:val="0"/>
          <w:numId w:val="5"/>
        </w:numPr>
        <w:rPr>
          <w:rFonts w:hint="eastAsia"/>
          <w:color w:val="auto"/>
        </w:rPr>
      </w:pPr>
      <w:bookmarkStart w:id="220" w:name="_Toc155185887"/>
      <w:bookmarkStart w:id="221" w:name="_Toc26982"/>
      <w:r>
        <w:rPr>
          <w:rFonts w:hint="eastAsia"/>
          <w:color w:val="auto"/>
        </w:rPr>
        <w:t>解释权</w:t>
      </w:r>
      <w:bookmarkEnd w:id="220"/>
      <w:bookmarkEnd w:id="221"/>
    </w:p>
    <w:p w14:paraId="55E319B2">
      <w:pPr>
        <w:pStyle w:val="42"/>
        <w:rPr>
          <w:rFonts w:hint="eastAsia"/>
          <w:snapToGrid w:val="0"/>
          <w:color w:val="auto"/>
        </w:rPr>
      </w:pPr>
      <w:r>
        <w:rPr>
          <w:rFonts w:hint="eastAsia"/>
          <w:snapToGrid w:val="0"/>
          <w:color w:val="auto"/>
        </w:rPr>
        <w:t>4</w:t>
      </w:r>
      <w:r>
        <w:rPr>
          <w:rFonts w:hint="eastAsia"/>
          <w:snapToGrid w:val="0"/>
          <w:color w:val="auto"/>
          <w:lang w:val="en-US" w:eastAsia="zh-CN"/>
        </w:rPr>
        <w:t>7</w:t>
      </w:r>
      <w:r>
        <w:rPr>
          <w:snapToGrid w:val="0"/>
          <w:color w:val="auto"/>
        </w:rPr>
        <w:t>.</w:t>
      </w:r>
      <w:r>
        <w:rPr>
          <w:rFonts w:hint="eastAsia"/>
          <w:snapToGrid w:val="0"/>
          <w:color w:val="auto"/>
        </w:rPr>
        <w:t>1本招标文件最终解释权归采购人或采购代理机构所有。</w:t>
      </w:r>
    </w:p>
    <w:p w14:paraId="73192E20">
      <w:pPr>
        <w:pStyle w:val="42"/>
        <w:rPr>
          <w:rFonts w:hint="eastAsia"/>
          <w:snapToGrid w:val="0"/>
          <w:color w:val="auto"/>
        </w:rPr>
      </w:pPr>
    </w:p>
    <w:p w14:paraId="1E3FE649">
      <w:pPr>
        <w:pStyle w:val="42"/>
        <w:rPr>
          <w:rFonts w:hint="eastAsia"/>
          <w:color w:val="auto"/>
        </w:rPr>
        <w:sectPr>
          <w:footerReference r:id="rId7" w:type="default"/>
          <w:pgSz w:w="11906" w:h="16838"/>
          <w:pgMar w:top="1440" w:right="1800" w:bottom="1440" w:left="1800" w:header="851" w:footer="992" w:gutter="0"/>
          <w:cols w:space="425" w:num="1"/>
          <w:docGrid w:type="lines" w:linePitch="312" w:charSpace="0"/>
        </w:sectPr>
      </w:pPr>
    </w:p>
    <w:p w14:paraId="4B55753F">
      <w:pPr>
        <w:pStyle w:val="2"/>
        <w:numPr>
          <w:ilvl w:val="0"/>
          <w:numId w:val="2"/>
        </w:numPr>
        <w:rPr>
          <w:rFonts w:hint="eastAsia"/>
          <w:color w:val="auto"/>
        </w:rPr>
      </w:pPr>
      <w:bookmarkStart w:id="222" w:name="_Toc29493"/>
      <w:bookmarkStart w:id="223" w:name="_Toc155185888"/>
      <w:r>
        <w:rPr>
          <w:rFonts w:hint="eastAsia"/>
          <w:color w:val="auto"/>
        </w:rPr>
        <w:t>采购需求</w:t>
      </w:r>
      <w:bookmarkEnd w:id="222"/>
      <w:bookmarkEnd w:id="223"/>
    </w:p>
    <w:p w14:paraId="665BE3E8">
      <w:pPr>
        <w:pStyle w:val="4"/>
        <w:bidi w:val="0"/>
        <w:rPr>
          <w:rFonts w:hint="eastAsia"/>
          <w:color w:val="auto"/>
          <w:sz w:val="28"/>
          <w:szCs w:val="28"/>
        </w:rPr>
      </w:pPr>
      <w:r>
        <w:rPr>
          <w:rFonts w:hint="eastAsia"/>
          <w:color w:val="auto"/>
          <w:sz w:val="28"/>
          <w:szCs w:val="28"/>
        </w:rPr>
        <w:t>（一）采购标的需实现的功能或者目标，以及为落实政府采购政策需满足的要求：</w:t>
      </w:r>
    </w:p>
    <w:p w14:paraId="25048089">
      <w:pPr>
        <w:pageBreakBefore w:val="0"/>
        <w:wordWrap/>
        <w:overflowPunct/>
        <w:topLinePunct w:val="0"/>
        <w:bidi w:val="0"/>
        <w:spacing w:beforeAutospacing="0" w:line="360" w:lineRule="auto"/>
        <w:ind w:firstLine="480" w:firstLineChars="200"/>
        <w:rPr>
          <w:rFonts w:hint="eastAsia" w:ascii="宋体" w:hAnsi="宋体" w:eastAsia="宋体" w:cs="宋体"/>
          <w:bCs/>
          <w:color w:val="auto"/>
          <w:sz w:val="24"/>
          <w:szCs w:val="24"/>
        </w:rPr>
      </w:pPr>
      <w:r>
        <w:rPr>
          <w:rFonts w:hint="eastAsia" w:cs="宋体"/>
          <w:bCs/>
          <w:color w:val="auto"/>
          <w:sz w:val="24"/>
          <w:szCs w:val="24"/>
        </w:rPr>
        <w:t>1.实现的功能或者目标：</w:t>
      </w:r>
      <w:r>
        <w:rPr>
          <w:rFonts w:hint="eastAsia" w:ascii="宋体" w:hAnsi="宋体" w:eastAsia="宋体" w:cs="宋体"/>
          <w:bCs/>
          <w:color w:val="auto"/>
          <w:sz w:val="24"/>
          <w:szCs w:val="24"/>
        </w:rPr>
        <w:t>紧密型医联体可根据区域实际情况，充分利用现有设施和资源，因地制宜实现中心(云)药房建</w:t>
      </w:r>
      <w:r>
        <w:rPr>
          <w:rFonts w:hint="eastAsia" w:cs="宋体"/>
          <w:bCs/>
          <w:color w:val="auto"/>
          <w:sz w:val="24"/>
          <w:szCs w:val="24"/>
          <w:lang w:val="en-US" w:eastAsia="zh-CN"/>
        </w:rPr>
        <w:t>设从基础应用到深化应用的提升</w:t>
      </w:r>
      <w:r>
        <w:rPr>
          <w:rFonts w:hint="eastAsia" w:ascii="宋体" w:hAnsi="宋体" w:eastAsia="宋体" w:cs="宋体"/>
          <w:bCs/>
          <w:color w:val="auto"/>
          <w:sz w:val="24"/>
          <w:szCs w:val="24"/>
        </w:rPr>
        <w:t>。</w:t>
      </w:r>
    </w:p>
    <w:p w14:paraId="132FA66B">
      <w:pPr>
        <w:pageBreakBefore w:val="0"/>
        <w:wordWrap/>
        <w:overflowPunct/>
        <w:topLinePunct w:val="0"/>
        <w:bidi w:val="0"/>
        <w:spacing w:beforeAutospacing="0"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a)基础应用:围绕紧密型医联体用药目录(以下简称“用药目录”)、生产企业</w:t>
      </w:r>
      <w:r>
        <w:rPr>
          <w:rFonts w:hint="eastAsia" w:cs="宋体"/>
          <w:bCs/>
          <w:color w:val="auto"/>
          <w:sz w:val="24"/>
          <w:szCs w:val="24"/>
          <w:lang w:eastAsia="zh-CN"/>
        </w:rPr>
        <w:t>、</w:t>
      </w:r>
      <w:r>
        <w:rPr>
          <w:rFonts w:hint="eastAsia" w:ascii="宋体" w:hAnsi="宋体" w:eastAsia="宋体" w:cs="宋体"/>
          <w:bCs/>
          <w:color w:val="auto"/>
          <w:sz w:val="24"/>
          <w:szCs w:val="24"/>
        </w:rPr>
        <w:t>配送企业、用</w:t>
      </w:r>
      <w:r>
        <w:rPr>
          <w:rFonts w:hint="eastAsia" w:cs="宋体"/>
          <w:bCs/>
          <w:color w:val="auto"/>
          <w:sz w:val="24"/>
          <w:szCs w:val="24"/>
          <w:lang w:val="en-US" w:eastAsia="zh-CN"/>
        </w:rPr>
        <w:t>药</w:t>
      </w:r>
      <w:r>
        <w:rPr>
          <w:rFonts w:hint="eastAsia" w:ascii="宋体" w:hAnsi="宋体" w:eastAsia="宋体" w:cs="宋体"/>
          <w:bCs/>
          <w:color w:val="auto"/>
          <w:sz w:val="24"/>
          <w:szCs w:val="24"/>
        </w:rPr>
        <w:t>需求、采购计划、采购订单、配送、结算、价格、出入库、调拨、调配以及药学服务等关键环节，建立管理制度和运行机制，通过人工和/或信息化手段，能够开展用药衔接比对、供需监测对接、定期集中配送、药品库存警戒监测、近效期药品监测和调配、余缺调度、缺药登记、统计分析等工作。</w:t>
      </w:r>
    </w:p>
    <w:p w14:paraId="347AADF6">
      <w:pPr>
        <w:pageBreakBefore w:val="0"/>
        <w:wordWrap/>
        <w:overflowPunct/>
        <w:topLinePunct w:val="0"/>
        <w:bidi w:val="0"/>
        <w:spacing w:beforeAutospacing="0"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b)深化应用:运用大数据、互联网、人工智能等技术，实现药品订单汇总、采购、配送、结算、库存、处方、使用、居民用药监测、统计分析等全流程智能管理。</w:t>
      </w:r>
    </w:p>
    <w:p w14:paraId="67363801">
      <w:pPr>
        <w:pStyle w:val="10"/>
        <w:spacing w:line="360" w:lineRule="auto"/>
        <w:ind w:firstLine="480" w:firstLineChars="200"/>
        <w:rPr>
          <w:rFonts w:hint="eastAsia" w:cs="宋体"/>
          <w:bCs/>
          <w:color w:val="auto"/>
          <w:sz w:val="24"/>
          <w:szCs w:val="24"/>
        </w:rPr>
      </w:pPr>
      <w:r>
        <w:rPr>
          <w:rFonts w:hint="eastAsia" w:cs="宋体"/>
          <w:bCs/>
          <w:color w:val="auto"/>
          <w:sz w:val="24"/>
          <w:szCs w:val="24"/>
        </w:rPr>
        <w:t>2.本项目</w:t>
      </w:r>
      <w:r>
        <w:rPr>
          <w:rFonts w:hint="eastAsia" w:cs="宋体"/>
          <w:bCs/>
          <w:color w:val="auto"/>
          <w:sz w:val="24"/>
          <w:szCs w:val="24"/>
          <w:lang w:val="en-US" w:eastAsia="zh-CN"/>
        </w:rPr>
        <w:t>非</w:t>
      </w:r>
      <w:r>
        <w:rPr>
          <w:rFonts w:hint="eastAsia" w:cs="宋体"/>
          <w:bCs/>
          <w:color w:val="auto"/>
          <w:sz w:val="24"/>
          <w:szCs w:val="24"/>
        </w:rPr>
        <w:t>专门面向中小</w:t>
      </w:r>
      <w:r>
        <w:rPr>
          <w:rFonts w:hint="eastAsia" w:cs="宋体"/>
          <w:bCs/>
          <w:color w:val="auto"/>
          <w:sz w:val="24"/>
          <w:szCs w:val="24"/>
          <w:lang w:val="en-US" w:eastAsia="zh-CN"/>
        </w:rPr>
        <w:t>微</w:t>
      </w:r>
      <w:r>
        <w:rPr>
          <w:rFonts w:hint="eastAsia" w:cs="宋体"/>
          <w:bCs/>
          <w:color w:val="auto"/>
          <w:sz w:val="24"/>
          <w:szCs w:val="24"/>
        </w:rPr>
        <w:t>企业采购。</w:t>
      </w:r>
    </w:p>
    <w:p w14:paraId="3CF87B93">
      <w:pPr>
        <w:pStyle w:val="4"/>
        <w:bidi w:val="0"/>
        <w:spacing w:line="240" w:lineRule="auto"/>
        <w:rPr>
          <w:rFonts w:hint="eastAsia"/>
          <w:color w:val="auto"/>
          <w:sz w:val="28"/>
          <w:szCs w:val="28"/>
        </w:rPr>
      </w:pPr>
      <w:r>
        <w:rPr>
          <w:rFonts w:hint="eastAsia"/>
          <w:color w:val="auto"/>
          <w:sz w:val="28"/>
          <w:szCs w:val="28"/>
        </w:rPr>
        <w:t>（二）采购标的需执行的国家相关标准、行业标准、地方标准或者其他标准、规范:</w:t>
      </w:r>
    </w:p>
    <w:p w14:paraId="5F152127">
      <w:pPr>
        <w:spacing w:line="360" w:lineRule="auto"/>
        <w:ind w:left="120" w:firstLine="480" w:firstLineChars="200"/>
        <w:rPr>
          <w:rFonts w:hint="eastAsia"/>
          <w:color w:val="auto"/>
        </w:rPr>
      </w:pPr>
      <w:r>
        <w:rPr>
          <w:rFonts w:hint="eastAsia" w:ascii="宋体" w:hAnsi="宋体" w:eastAsia="宋体" w:cs="宋体"/>
          <w:bCs/>
          <w:i w:val="0"/>
          <w:iCs w:val="0"/>
          <w:color w:val="auto"/>
          <w:sz w:val="24"/>
          <w:szCs w:val="24"/>
          <w:u w:val="none"/>
          <w:shd w:val="clear" w:color="auto" w:fill="FFFFFF"/>
          <w:lang w:val="en-US" w:eastAsia="zh-CN"/>
        </w:rPr>
        <w:t>符合国家相关标准、行业标准、地方标准或者其他标准、规范。</w:t>
      </w:r>
    </w:p>
    <w:p w14:paraId="7DD952A7">
      <w:pPr>
        <w:pStyle w:val="4"/>
        <w:numPr>
          <w:ilvl w:val="0"/>
          <w:numId w:val="0"/>
        </w:numPr>
        <w:bidi w:val="0"/>
        <w:rPr>
          <w:rFonts w:hint="eastAsia"/>
          <w:color w:val="auto"/>
          <w:sz w:val="28"/>
          <w:szCs w:val="28"/>
        </w:rPr>
      </w:pPr>
      <w:r>
        <w:rPr>
          <w:rFonts w:hint="eastAsia" w:ascii="宋体" w:hAnsi="宋体" w:eastAsia="宋体"/>
          <w:color w:val="auto"/>
          <w:sz w:val="28"/>
          <w:szCs w:val="28"/>
          <w:lang w:eastAsia="zh-CN"/>
        </w:rPr>
        <w:t>（</w:t>
      </w:r>
      <w:r>
        <w:rPr>
          <w:rFonts w:hint="eastAsia" w:ascii="宋体" w:hAnsi="宋体" w:eastAsia="宋体"/>
          <w:color w:val="auto"/>
          <w:sz w:val="28"/>
          <w:szCs w:val="28"/>
          <w:lang w:val="en-US" w:eastAsia="zh-CN"/>
        </w:rPr>
        <w:t>三）</w:t>
      </w:r>
      <w:r>
        <w:rPr>
          <w:rFonts w:hint="eastAsia" w:ascii="宋体" w:hAnsi="宋体" w:eastAsia="宋体"/>
          <w:color w:val="auto"/>
          <w:sz w:val="28"/>
          <w:szCs w:val="28"/>
        </w:rPr>
        <w:t>采购标的需满</w:t>
      </w:r>
      <w:r>
        <w:rPr>
          <w:rFonts w:hint="eastAsia"/>
          <w:color w:val="auto"/>
          <w:sz w:val="28"/>
          <w:szCs w:val="28"/>
        </w:rPr>
        <w:t>足的质量、安全、技术规格、物理特性等要求</w:t>
      </w:r>
      <w:r>
        <w:rPr>
          <w:rFonts w:hint="eastAsia"/>
          <w:color w:val="auto"/>
          <w:sz w:val="28"/>
          <w:szCs w:val="28"/>
          <w:lang w:eastAsia="zh-CN"/>
        </w:rPr>
        <w:t>：</w:t>
      </w:r>
    </w:p>
    <w:p w14:paraId="0B0BB08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eastAsia" w:ascii="宋体" w:hAnsi="宋体" w:eastAsia="宋体"/>
          <w:color w:val="auto"/>
          <w:sz w:val="24"/>
          <w:szCs w:val="24"/>
          <w:lang w:val="en-US" w:eastAsia="en-US"/>
        </w:rPr>
      </w:pPr>
      <w:r>
        <w:rPr>
          <w:rFonts w:hint="eastAsia" w:ascii="宋体" w:hAnsi="宋体" w:eastAsia="宋体"/>
          <w:color w:val="auto"/>
          <w:sz w:val="24"/>
          <w:szCs w:val="24"/>
          <w:lang w:val="en-US" w:eastAsia="zh-CN"/>
        </w:rPr>
        <w:t>功能参数要求（“▲”号项需提供系统截图）</w:t>
      </w:r>
    </w:p>
    <w:p w14:paraId="4359ED6A">
      <w:pPr>
        <w:numPr>
          <w:ilvl w:val="1"/>
          <w:numId w:val="7"/>
        </w:numPr>
        <w:spacing w:line="360" w:lineRule="auto"/>
        <w:ind w:left="567" w:leftChars="0" w:hanging="567" w:firstLineChars="0"/>
        <w:jc w:val="left"/>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医共体招采业务对接</w:t>
      </w:r>
    </w:p>
    <w:p w14:paraId="077D5B9C">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要求医共体中心药房系统能够与医共体各成员单位的</w:t>
      </w:r>
      <w:r>
        <w:rPr>
          <w:rFonts w:hint="eastAsia" w:ascii="宋体" w:hAnsi="宋体" w:eastAsia="宋体" w:cs="宋体"/>
          <w:color w:val="auto"/>
          <w:sz w:val="24"/>
          <w:szCs w:val="21"/>
          <w:lang w:val="en-US" w:eastAsia="zh-CN" w:bidi="ar-SA"/>
        </w:rPr>
        <w:t>HIS端</w:t>
      </w:r>
      <w:r>
        <w:rPr>
          <w:rFonts w:hint="eastAsia" w:ascii="宋体" w:hAnsi="宋体" w:eastAsia="宋体" w:cs="宋体"/>
          <w:color w:val="auto"/>
          <w:sz w:val="24"/>
          <w:szCs w:val="21"/>
          <w:lang w:val="en-US" w:eastAsia="zh-CN" w:bidi="ar-SA"/>
        </w:rPr>
        <w:t>进行接口对接，包含HIS药品目录获取、省医保阳光采购平台院内目录下发、院内采购上传（选择性对接）、入库数据下载等接口。</w:t>
      </w:r>
    </w:p>
    <w:p w14:paraId="232D9989">
      <w:pPr>
        <w:numPr>
          <w:ilvl w:val="1"/>
          <w:numId w:val="7"/>
        </w:numPr>
        <w:spacing w:line="360" w:lineRule="auto"/>
        <w:ind w:left="567" w:leftChars="0" w:hanging="567" w:firstLineChars="0"/>
        <w:jc w:val="left"/>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医共体招采服务业务模块</w:t>
      </w:r>
    </w:p>
    <w:p w14:paraId="44A457B0">
      <w:pPr>
        <w:bidi w:val="0"/>
        <w:rPr>
          <w:rFonts w:hint="eastAsia" w:eastAsia="宋体"/>
          <w:color w:val="auto"/>
          <w:lang w:val="en-US" w:eastAsia="zh-CN"/>
        </w:rPr>
      </w:pPr>
    </w:p>
    <w:p w14:paraId="66963E7D">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▲省级挂网目录</w:t>
      </w:r>
    </w:p>
    <w:p w14:paraId="417D9E64">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支持维护省级挂网目录信息，主要包括药品的</w:t>
      </w:r>
      <w:r>
        <w:rPr>
          <w:rFonts w:hint="eastAsia" w:cs="宋体"/>
          <w:color w:val="auto"/>
          <w:sz w:val="24"/>
          <w:szCs w:val="21"/>
          <w:lang w:val="en-US" w:eastAsia="zh-CN" w:bidi="ar-SA"/>
        </w:rPr>
        <w:t>国家</w:t>
      </w:r>
      <w:r>
        <w:rPr>
          <w:rFonts w:hint="eastAsia" w:ascii="宋体" w:hAnsi="宋体" w:eastAsia="宋体" w:cs="宋体"/>
          <w:color w:val="auto"/>
          <w:sz w:val="24"/>
          <w:szCs w:val="21"/>
          <w:lang w:val="en-US" w:eastAsia="zh-CN" w:bidi="ar-SA"/>
        </w:rPr>
        <w:t>药品编码、医保代码、</w:t>
      </w:r>
      <w:r>
        <w:rPr>
          <w:rFonts w:hint="eastAsia" w:cs="宋体"/>
          <w:color w:val="auto"/>
          <w:sz w:val="24"/>
          <w:szCs w:val="21"/>
          <w:lang w:val="en-US" w:eastAsia="zh-CN" w:bidi="ar-SA"/>
        </w:rPr>
        <w:t>追溯码、</w:t>
      </w:r>
      <w:r>
        <w:rPr>
          <w:rFonts w:hint="eastAsia" w:ascii="宋体" w:hAnsi="宋体" w:eastAsia="宋体" w:cs="宋体"/>
          <w:color w:val="auto"/>
          <w:sz w:val="24"/>
          <w:szCs w:val="21"/>
          <w:lang w:val="en-US" w:eastAsia="zh-CN" w:bidi="ar-SA"/>
        </w:rPr>
        <w:t>通用名称、规格、包装信息、剂型、生产厂家、批准文号、基药属性、医保属性、采购限价等标准数据信息。</w:t>
      </w:r>
    </w:p>
    <w:p w14:paraId="1523DB68">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w:t>
      </w:r>
      <w:r>
        <w:rPr>
          <w:rFonts w:hint="eastAsia" w:cs="宋体"/>
          <w:color w:val="auto"/>
          <w:sz w:val="24"/>
          <w:szCs w:val="21"/>
          <w:lang w:val="en-US" w:eastAsia="zh-CN" w:bidi="ar-SA"/>
        </w:rPr>
        <w:t>国家</w:t>
      </w:r>
      <w:r>
        <w:rPr>
          <w:rFonts w:hint="eastAsia" w:ascii="宋体" w:hAnsi="宋体" w:eastAsia="宋体" w:cs="宋体"/>
          <w:color w:val="auto"/>
          <w:sz w:val="24"/>
          <w:szCs w:val="21"/>
          <w:lang w:val="en-US" w:eastAsia="zh-CN" w:bidi="ar-SA"/>
        </w:rPr>
        <w:t>药品编码、医保代码、药品名称、生产企业、基药属性、项目名称、挂网状态等条件筛选省级挂网目录数据。</w:t>
      </w:r>
    </w:p>
    <w:p w14:paraId="0D39575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▲统一目录</w:t>
      </w:r>
    </w:p>
    <w:p w14:paraId="4907476D">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支持维护医共体内统一目录信息，主要包括药品的</w:t>
      </w:r>
      <w:r>
        <w:rPr>
          <w:rFonts w:hint="eastAsia" w:cs="宋体"/>
          <w:color w:val="auto"/>
          <w:sz w:val="24"/>
          <w:szCs w:val="21"/>
          <w:lang w:val="en-US" w:eastAsia="zh-CN" w:bidi="ar-SA"/>
        </w:rPr>
        <w:t>国家</w:t>
      </w:r>
      <w:r>
        <w:rPr>
          <w:rFonts w:hint="eastAsia" w:ascii="宋体" w:hAnsi="宋体" w:eastAsia="宋体" w:cs="宋体"/>
          <w:color w:val="auto"/>
          <w:sz w:val="24"/>
          <w:szCs w:val="21"/>
          <w:lang w:val="en-US" w:eastAsia="zh-CN" w:bidi="ar-SA"/>
        </w:rPr>
        <w:t>药品编码、医保代码、通用名称、规格、包装信息、剂型、生产厂家、批准文号、基药属性、医保属性、采购限价、统一目录状态及药品自定义属性维护</w:t>
      </w:r>
      <w:r>
        <w:rPr>
          <w:rFonts w:hint="eastAsia" w:cs="宋体"/>
          <w:color w:val="auto"/>
          <w:sz w:val="24"/>
          <w:szCs w:val="21"/>
          <w:lang w:val="en-US" w:eastAsia="zh-CN" w:bidi="ar-SA"/>
        </w:rPr>
        <w:t>、医保红黄标状态（实时更新）</w:t>
      </w:r>
      <w:r>
        <w:rPr>
          <w:rFonts w:hint="eastAsia" w:ascii="宋体" w:hAnsi="宋体" w:eastAsia="宋体" w:cs="宋体"/>
          <w:color w:val="auto"/>
          <w:sz w:val="24"/>
          <w:szCs w:val="21"/>
          <w:lang w:val="en-US" w:eastAsia="zh-CN" w:bidi="ar-SA"/>
        </w:rPr>
        <w:t>等</w:t>
      </w:r>
      <w:r>
        <w:rPr>
          <w:rFonts w:hint="eastAsia" w:ascii="宋体" w:hAnsi="宋体" w:eastAsia="宋体" w:cs="宋体"/>
          <w:color w:val="auto"/>
          <w:sz w:val="24"/>
          <w:szCs w:val="21"/>
          <w:lang w:val="en-US" w:eastAsia="zh-CN" w:bidi="ar-SA"/>
        </w:rPr>
        <w:t>标准数</w:t>
      </w:r>
      <w:r>
        <w:rPr>
          <w:rFonts w:hint="eastAsia" w:ascii="宋体" w:hAnsi="宋体" w:eastAsia="宋体" w:cs="宋体"/>
          <w:color w:val="auto"/>
          <w:sz w:val="24"/>
          <w:szCs w:val="21"/>
          <w:lang w:val="en-US" w:eastAsia="zh-CN" w:bidi="ar-SA"/>
        </w:rPr>
        <w:t>据信息。</w:t>
      </w:r>
    </w:p>
    <w:p w14:paraId="5896C80B">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default" w:ascii="宋体" w:hAnsi="宋体" w:eastAsia="宋体" w:cs="宋体"/>
          <w:color w:val="auto"/>
          <w:sz w:val="24"/>
          <w:szCs w:val="21"/>
          <w:lang w:val="en-US" w:eastAsia="zh-CN" w:bidi="ar-SA"/>
        </w:rPr>
        <w:t>支持根据</w:t>
      </w:r>
      <w:r>
        <w:rPr>
          <w:rFonts w:hint="eastAsia" w:cs="宋体"/>
          <w:color w:val="auto"/>
          <w:sz w:val="24"/>
          <w:szCs w:val="21"/>
          <w:lang w:val="en-US" w:eastAsia="zh-CN" w:bidi="ar-SA"/>
        </w:rPr>
        <w:t>国家</w:t>
      </w:r>
      <w:r>
        <w:rPr>
          <w:rFonts w:hint="default" w:ascii="宋体" w:hAnsi="宋体" w:eastAsia="宋体" w:cs="宋体"/>
          <w:color w:val="auto"/>
          <w:sz w:val="24"/>
          <w:szCs w:val="21"/>
          <w:lang w:val="en-US" w:eastAsia="zh-CN" w:bidi="ar-SA"/>
        </w:rPr>
        <w:t>药品编码、药品名称、生产企业、基药属性、项目名称、</w:t>
      </w:r>
      <w:r>
        <w:rPr>
          <w:rFonts w:hint="eastAsia" w:ascii="宋体" w:hAnsi="宋体" w:eastAsia="宋体" w:cs="宋体"/>
          <w:color w:val="auto"/>
          <w:sz w:val="24"/>
          <w:szCs w:val="21"/>
          <w:lang w:val="en-US" w:eastAsia="zh-CN" w:bidi="ar-SA"/>
        </w:rPr>
        <w:t>统一目录状态、挂网、统一目录标识</w:t>
      </w:r>
      <w:r>
        <w:rPr>
          <w:rFonts w:hint="default" w:ascii="宋体" w:hAnsi="宋体" w:eastAsia="宋体" w:cs="宋体"/>
          <w:color w:val="auto"/>
          <w:sz w:val="24"/>
          <w:szCs w:val="21"/>
          <w:lang w:val="en-US" w:eastAsia="zh-CN" w:bidi="ar-SA"/>
        </w:rPr>
        <w:t>等条件筛选</w:t>
      </w:r>
      <w:r>
        <w:rPr>
          <w:rFonts w:hint="eastAsia" w:ascii="宋体" w:hAnsi="宋体" w:eastAsia="宋体" w:cs="宋体"/>
          <w:color w:val="auto"/>
          <w:sz w:val="24"/>
          <w:szCs w:val="21"/>
          <w:lang w:val="en-US" w:eastAsia="zh-CN" w:bidi="ar-SA"/>
        </w:rPr>
        <w:t>统一目录</w:t>
      </w:r>
      <w:r>
        <w:rPr>
          <w:rFonts w:hint="default" w:ascii="宋体" w:hAnsi="宋体" w:eastAsia="宋体" w:cs="宋体"/>
          <w:color w:val="auto"/>
          <w:sz w:val="24"/>
          <w:szCs w:val="21"/>
          <w:lang w:val="en-US" w:eastAsia="zh-CN" w:bidi="ar-SA"/>
        </w:rPr>
        <w:t>数据。</w:t>
      </w:r>
    </w:p>
    <w:p w14:paraId="56B9174B">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支持从省级挂网目录的挂网状态为启用的数据里新增统一目录的药品。</w:t>
      </w:r>
      <w:r>
        <w:rPr>
          <w:rFonts w:hint="eastAsia" w:ascii="宋体" w:hAnsi="宋体" w:eastAsia="宋体" w:cs="宋体"/>
          <w:color w:val="auto"/>
          <w:sz w:val="24"/>
          <w:szCs w:val="21"/>
          <w:lang w:val="en-US" w:eastAsia="zh-CN" w:bidi="ar-SA"/>
        </w:rPr>
        <w:t>也</w:t>
      </w:r>
      <w:r>
        <w:rPr>
          <w:rFonts w:hint="eastAsia" w:ascii="宋体" w:hAnsi="宋体" w:eastAsia="宋体" w:cs="宋体"/>
          <w:color w:val="auto"/>
          <w:sz w:val="24"/>
          <w:szCs w:val="21"/>
          <w:lang w:val="en-US" w:eastAsia="zh-CN" w:bidi="ar-SA"/>
        </w:rPr>
        <w:t>支持excel表格将统一目录数据导入至中心药房系统。</w:t>
      </w:r>
    </w:p>
    <w:p w14:paraId="2D8793B6">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▲院内目录</w:t>
      </w:r>
    </w:p>
    <w:p w14:paraId="3A20C8AC">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支持同步医院的</w:t>
      </w:r>
      <w:r>
        <w:rPr>
          <w:rFonts w:hint="eastAsia" w:cs="宋体"/>
          <w:color w:val="auto"/>
          <w:sz w:val="24"/>
          <w:szCs w:val="21"/>
          <w:lang w:val="en-US" w:eastAsia="zh-CN" w:bidi="ar-SA"/>
        </w:rPr>
        <w:t>云南</w:t>
      </w:r>
      <w:r>
        <w:rPr>
          <w:rFonts w:hint="eastAsia" w:ascii="宋体" w:hAnsi="宋体" w:eastAsia="宋体" w:cs="宋体"/>
          <w:color w:val="auto"/>
          <w:sz w:val="24"/>
          <w:szCs w:val="21"/>
          <w:lang w:val="en-US" w:eastAsia="zh-CN" w:bidi="ar-SA"/>
        </w:rPr>
        <w:t>省招采平台常用院内目录信息，支持定时、手动同步两种机制。主要同步信息有药品名称、商品名称、药品规格、包装规格、包装单位、剂型、生产厂家、采购价格、采购限价、默认配送企业等关键字典数据。</w:t>
      </w:r>
    </w:p>
    <w:p w14:paraId="1C35FC00">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新增药品（演示）</w:t>
      </w:r>
    </w:p>
    <w:p w14:paraId="52EF362F">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支持医疗机构超目录采购药品申请，统一从医共体统一目录遴选药品，统一新药申请提交。</w:t>
      </w:r>
    </w:p>
    <w:p w14:paraId="0219A7E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新增药品审核（演示）</w:t>
      </w:r>
    </w:p>
    <w:p w14:paraId="0840E282">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支持医共体药事管理人员进行医疗机构新增药品申请单据进行审核，审核通过后，遴选</w:t>
      </w:r>
      <w:r>
        <w:rPr>
          <w:rFonts w:hint="eastAsia" w:ascii="宋体" w:hAnsi="宋体" w:eastAsia="宋体" w:cs="宋体"/>
          <w:color w:val="auto"/>
          <w:sz w:val="24"/>
          <w:szCs w:val="21"/>
          <w:lang w:val="en-US" w:eastAsia="zh-CN" w:bidi="ar-SA"/>
        </w:rPr>
        <w:t>增加进采购</w:t>
      </w:r>
      <w:r>
        <w:rPr>
          <w:rFonts w:hint="eastAsia" w:ascii="宋体" w:hAnsi="宋体" w:eastAsia="宋体" w:cs="宋体"/>
          <w:color w:val="auto"/>
          <w:sz w:val="24"/>
          <w:szCs w:val="21"/>
          <w:lang w:val="en-US" w:eastAsia="zh-CN" w:bidi="ar-SA"/>
        </w:rPr>
        <w:t>目录，方可进行药品采购。</w:t>
      </w:r>
    </w:p>
    <w:p w14:paraId="1A82D53B">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变更药品</w:t>
      </w:r>
    </w:p>
    <w:p w14:paraId="7412298E">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支持医疗机构的药品用药变更申请，统一从医共体体目录中遴选药品，统一变更审核单提交。</w:t>
      </w:r>
    </w:p>
    <w:p w14:paraId="6AEF0774">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变更审核（演示）</w:t>
      </w:r>
    </w:p>
    <w:p w14:paraId="498C6B54">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支持医共体药事管理人员进行医疗机构变更药品申请单据进行审核，审核通过后，遴选到采购目录并关联药品禁用，启用变更药品，进行采购。</w:t>
      </w:r>
    </w:p>
    <w:p w14:paraId="013258E9">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1▲目录校验提醒</w:t>
      </w:r>
    </w:p>
    <w:p w14:paraId="0FFAF5D6">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支持医共体药品目录与HIS院内目录匹配，关键匹配数据有批准文号、省标代码、医保代码、采购价格、包装数量、配送企业等，不匹配数据进行预警提醒。后期可根据医院管理需要进行调整。</w:t>
      </w:r>
    </w:p>
    <w:p w14:paraId="78A559D5">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配送地址管理</w:t>
      </w:r>
    </w:p>
    <w:p w14:paraId="16577154">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支持医疗机构常用配送地址维护，主要有联系人、库房名称、配送详细地址等。</w:t>
      </w:r>
    </w:p>
    <w:p w14:paraId="7FFB12D8">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配送企业目录管理</w:t>
      </w:r>
    </w:p>
    <w:p w14:paraId="35E08173">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支持配送企业名单管理，主要信息配送企业社会信用代码、配送企业名称。</w:t>
      </w:r>
    </w:p>
    <w:p w14:paraId="04F9D0AB">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▲配送关系管理</w:t>
      </w:r>
    </w:p>
    <w:p w14:paraId="7A70CFFB">
      <w:pPr>
        <w:widowControl w:val="0"/>
        <w:adjustRightInd w:val="0"/>
        <w:snapToGrid w:val="0"/>
        <w:spacing w:line="360" w:lineRule="auto"/>
        <w:ind w:firstLine="480" w:firstLineChars="200"/>
        <w:jc w:val="both"/>
        <w:rPr>
          <w:rFonts w:hint="eastAsia" w:ascii="宋体" w:hAnsi="宋体" w:eastAsia="宋体"/>
          <w:color w:val="auto"/>
          <w:sz w:val="24"/>
          <w:szCs w:val="24"/>
          <w:lang w:eastAsia="zh-CN"/>
        </w:rPr>
      </w:pPr>
      <w:r>
        <w:rPr>
          <w:rFonts w:hint="eastAsia" w:ascii="宋体" w:hAnsi="宋体" w:eastAsia="宋体" w:cs="宋体"/>
          <w:color w:val="auto"/>
          <w:sz w:val="24"/>
          <w:szCs w:val="21"/>
          <w:lang w:val="en-US" w:eastAsia="zh-CN" w:bidi="ar-SA"/>
        </w:rPr>
        <w:t>支持药品的有效配送关系管理，超配送关系范围报错提醒，不允许采购。</w:t>
      </w:r>
    </w:p>
    <w:p w14:paraId="2F99825C">
      <w:pPr>
        <w:numPr>
          <w:ilvl w:val="1"/>
          <w:numId w:val="7"/>
        </w:numPr>
        <w:spacing w:line="360" w:lineRule="auto"/>
        <w:ind w:left="567" w:leftChars="0" w:hanging="567" w:firstLineChars="0"/>
        <w:jc w:val="left"/>
        <w:outlineLvl w:val="9"/>
        <w:rPr>
          <w:rFonts w:hint="eastAsia" w:ascii="宋体" w:hAnsi="宋体" w:eastAsia="宋体"/>
          <w:color w:val="auto"/>
          <w:sz w:val="24"/>
          <w:szCs w:val="24"/>
          <w:lang w:val="en-US" w:eastAsia="zh-CN"/>
        </w:rPr>
      </w:pPr>
      <w:r>
        <w:rPr>
          <w:rFonts w:hint="eastAsia" w:ascii="宋体" w:hAnsi="宋体" w:eastAsia="宋体"/>
          <w:color w:val="auto"/>
          <w:sz w:val="24"/>
          <w:szCs w:val="24"/>
          <w:highlight w:val="none"/>
          <w:lang w:val="en-US" w:eastAsia="zh-CN"/>
        </w:rPr>
        <w:t>供应链协同作业机制模块</w:t>
      </w:r>
    </w:p>
    <w:p w14:paraId="5B80DD8B">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采购计划新建（演示）</w:t>
      </w:r>
    </w:p>
    <w:p w14:paraId="6546192D">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支持医疗机构发起采购需求计划，编辑药品采购信息，主要有药品名称、规格、厂家、采购数量、药品的配送企业等。</w:t>
      </w:r>
      <w:r>
        <w:rPr>
          <w:rFonts w:hint="eastAsia" w:cs="宋体"/>
          <w:color w:val="auto"/>
          <w:sz w:val="24"/>
          <w:szCs w:val="21"/>
          <w:lang w:val="en-US" w:eastAsia="zh-CN" w:bidi="ar-SA"/>
        </w:rPr>
        <w:t>根据医疗机构药品消耗使用数量自动生成计划单。自定义采购需求，色标状态限定采购金额比例（根据以往累计采购金额）。</w:t>
      </w:r>
    </w:p>
    <w:p w14:paraId="53B4AF68">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▲提交计划单</w:t>
      </w:r>
    </w:p>
    <w:p w14:paraId="278AE8AF">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支持医共体各成员单位采购计划</w:t>
      </w:r>
      <w:r>
        <w:rPr>
          <w:rFonts w:hint="eastAsia" w:ascii="宋体" w:hAnsi="宋体" w:eastAsia="宋体" w:cs="宋体"/>
          <w:color w:val="auto"/>
          <w:sz w:val="24"/>
          <w:szCs w:val="21"/>
          <w:lang w:val="en-US" w:eastAsia="zh-CN" w:bidi="ar-SA"/>
        </w:rPr>
        <w:t>上报，可通过院内HIS上传至中心药房系统或者直接在中心药房系统中结合库存生成采购订单，各医疗机构进行采购数据调整后统一在系统进行提交。</w:t>
      </w:r>
      <w:r>
        <w:rPr>
          <w:rFonts w:hint="eastAsia" w:cs="宋体"/>
          <w:color w:val="auto"/>
          <w:sz w:val="24"/>
          <w:szCs w:val="21"/>
          <w:lang w:val="en-US" w:eastAsia="zh-CN" w:bidi="ar-SA"/>
        </w:rPr>
        <w:t>具备临时采购及常规采购模块。</w:t>
      </w:r>
    </w:p>
    <w:p w14:paraId="70123876">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审核计划单（演示）</w:t>
      </w:r>
    </w:p>
    <w:p w14:paraId="554F8BD1">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审核人员对采购需求计划审核。根据药品采购管理要求，</w:t>
      </w:r>
      <w:r>
        <w:rPr>
          <w:rFonts w:hint="eastAsia" w:ascii="宋体" w:hAnsi="宋体" w:eastAsia="宋体" w:cs="宋体"/>
          <w:color w:val="auto"/>
          <w:sz w:val="24"/>
          <w:szCs w:val="21"/>
          <w:lang w:val="en-US" w:eastAsia="zh-CN" w:bidi="ar-SA"/>
        </w:rPr>
        <w:t>设置</w:t>
      </w:r>
      <w:r>
        <w:rPr>
          <w:rFonts w:hint="eastAsia" w:ascii="宋体" w:hAnsi="宋体" w:eastAsia="宋体" w:cs="宋体"/>
          <w:color w:val="auto"/>
          <w:sz w:val="24"/>
          <w:szCs w:val="21"/>
          <w:highlight w:val="none"/>
          <w:lang w:val="en-US" w:eastAsia="zh-CN" w:bidi="ar-SA"/>
        </w:rPr>
        <w:t>审核流程</w:t>
      </w:r>
      <w:r>
        <w:rPr>
          <w:rFonts w:hint="eastAsia" w:ascii="宋体" w:hAnsi="宋体" w:eastAsia="宋体" w:cs="宋体"/>
          <w:color w:val="auto"/>
          <w:sz w:val="24"/>
          <w:szCs w:val="21"/>
          <w:lang w:val="en-US" w:eastAsia="zh-CN" w:bidi="ar-SA"/>
        </w:rPr>
        <w:t>，逐级审核。支持审核层级及审核岗位的灵活设置。</w:t>
      </w:r>
      <w:r>
        <w:rPr>
          <w:rFonts w:hint="eastAsia" w:cs="宋体"/>
          <w:color w:val="auto"/>
          <w:sz w:val="24"/>
          <w:szCs w:val="21"/>
          <w:lang w:val="en-US" w:eastAsia="zh-CN" w:bidi="ar-SA"/>
        </w:rPr>
        <w:t>具有OA办公软件审批功能。</w:t>
      </w:r>
    </w:p>
    <w:p w14:paraId="5E694B9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▲采购订单上传</w:t>
      </w:r>
    </w:p>
    <w:p w14:paraId="3FAE271E">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院内采购订单上传省招采平台，主数据有药品名称、采购数量、配送企业、配送地址等</w:t>
      </w:r>
      <w:r>
        <w:rPr>
          <w:rFonts w:hint="eastAsia" w:ascii="宋体" w:hAnsi="宋体" w:eastAsia="宋体" w:cs="宋体"/>
          <w:color w:val="auto"/>
          <w:sz w:val="24"/>
          <w:szCs w:val="21"/>
          <w:highlight w:val="none"/>
          <w:lang w:val="en-US" w:eastAsia="zh-CN" w:bidi="ar-SA"/>
        </w:rPr>
        <w:t>。支</w:t>
      </w:r>
      <w:r>
        <w:rPr>
          <w:rFonts w:hint="eastAsia" w:ascii="宋体" w:hAnsi="宋体" w:eastAsia="宋体" w:cs="宋体"/>
          <w:color w:val="auto"/>
          <w:sz w:val="24"/>
          <w:szCs w:val="21"/>
          <w:highlight w:val="none"/>
          <w:lang w:val="en-US" w:eastAsia="zh-CN" w:bidi="ar-SA"/>
        </w:rPr>
        <w:t>持中心药房建单</w:t>
      </w:r>
      <w:r>
        <w:rPr>
          <w:rFonts w:hint="eastAsia" w:ascii="宋体" w:hAnsi="宋体" w:eastAsia="宋体" w:cs="宋体"/>
          <w:color w:val="auto"/>
          <w:sz w:val="24"/>
          <w:szCs w:val="21"/>
          <w:highlight w:val="none"/>
          <w:lang w:val="en-US" w:eastAsia="zh-CN" w:bidi="ar-SA"/>
        </w:rPr>
        <w:t>、</w:t>
      </w:r>
      <w:r>
        <w:rPr>
          <w:rFonts w:hint="eastAsia" w:ascii="宋体" w:hAnsi="宋体" w:eastAsia="宋体" w:cs="宋体"/>
          <w:color w:val="auto"/>
          <w:sz w:val="24"/>
          <w:szCs w:val="21"/>
          <w:lang w:val="en-US" w:eastAsia="zh-CN" w:bidi="ar-SA"/>
        </w:rPr>
        <w:t>提交订单、上传订单业务模式。</w:t>
      </w:r>
    </w:p>
    <w:p w14:paraId="774E301E">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▲药品配送下载</w:t>
      </w:r>
    </w:p>
    <w:p w14:paraId="7C7ED016">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配送企业接收订单，省招采平台回填发货信息后，医共体中心药房系统进行发货信息下载，主数据有发货企业、发货数量、批号、效期、发票号等，支持定时任务、手动下载两种触发机制。</w:t>
      </w:r>
    </w:p>
    <w:p w14:paraId="079761E6">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收货单生成（演示）</w:t>
      </w:r>
    </w:p>
    <w:p w14:paraId="56415399">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根据省招采平台的配送明细，生成收货单。</w:t>
      </w:r>
    </w:p>
    <w:p w14:paraId="1B876539">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▲收货确认</w:t>
      </w:r>
    </w:p>
    <w:p w14:paraId="3DD65EF5">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根据药品的发货信息（配送企业、药品名称、批号、效期、发票等），进行药品确认收货工作，收货完成的数据省招采平台自动回传，完成业务闭环，无需</w:t>
      </w:r>
      <w:r>
        <w:rPr>
          <w:rFonts w:hint="eastAsia" w:ascii="宋体" w:hAnsi="宋体" w:eastAsia="宋体" w:cs="宋体"/>
          <w:color w:val="auto"/>
          <w:sz w:val="24"/>
          <w:szCs w:val="21"/>
          <w:lang w:val="en-US" w:eastAsia="zh-CN" w:bidi="ar-SA"/>
        </w:rPr>
        <w:t>验收入库后</w:t>
      </w:r>
      <w:r>
        <w:rPr>
          <w:rFonts w:hint="eastAsia" w:ascii="宋体" w:hAnsi="宋体" w:eastAsia="宋体" w:cs="宋体"/>
          <w:color w:val="auto"/>
          <w:sz w:val="24"/>
          <w:szCs w:val="21"/>
          <w:lang w:val="en-US" w:eastAsia="zh-CN" w:bidi="ar-SA"/>
        </w:rPr>
        <w:t>重复登录省平台确认收货操作，提高工作效率，降低人工成本，保证院内外收货数据一致，提高网采率。</w:t>
      </w:r>
    </w:p>
    <w:p w14:paraId="3A830216">
      <w:pPr>
        <w:numPr>
          <w:ilvl w:val="1"/>
          <w:numId w:val="7"/>
        </w:numPr>
        <w:spacing w:line="360" w:lineRule="auto"/>
        <w:ind w:left="567" w:leftChars="0" w:hanging="567" w:firstLineChars="0"/>
        <w:jc w:val="left"/>
        <w:outlineLvl w:val="9"/>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数据分析与监管功能模块</w:t>
      </w:r>
    </w:p>
    <w:p w14:paraId="15184290">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▲采购订单统计</w:t>
      </w:r>
    </w:p>
    <w:p w14:paraId="3D223D1C">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医疗机构名称和订单收货时间进行采购订单的筛选。采购订单统计内容包括但不限于以下内容：采购金额、收货金额、药品产品数、发货金额、采购明细数、基药产品数、基药收货金额、基药采购金额、基药收货金额占比、集采采购金额、集采收货金额占比、集采收货金额、国谈采购金额、国谈收货金额、国谈收货金额占比。</w:t>
      </w:r>
    </w:p>
    <w:p w14:paraId="49FF8BF9">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▲挂网状态统计</w:t>
      </w:r>
    </w:p>
    <w:p w14:paraId="52A710FE">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医疗机构名称进行药品挂网条目数的筛选挂网状态统计。筛选的挂网状态详细内容包括但不限于：排名序号、医疗机构名称、院内条目数、网采条目数、集采条目数、集采条目占比、基药条目数、基药条目占比、已挂网数、暂停挂网数、取消挂网数。</w:t>
      </w:r>
    </w:p>
    <w:p w14:paraId="60584845">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药品采购排名</w:t>
      </w:r>
    </w:p>
    <w:p w14:paraId="19F99CD8">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订单提交时间以及医疗机构名称进行药品采购排名的筛选。筛选到的药品采购详情包括但不限于：排名顺序、中心编码、采购流水号、药品名称、商品名称、规格、剂量、包装信息、生产企业、包装材质、项目名称、基药属性、医保属性、采购限价、采购数量、医疗机构数、药品属性等。</w:t>
      </w:r>
    </w:p>
    <w:p w14:paraId="427E974C">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医院采购排名</w:t>
      </w:r>
    </w:p>
    <w:p w14:paraId="4C056712">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支持根据订单收货时间和药品属性进行筛选，筛选到的医院采购排名详情内容包括但不限于：医疗机构名称、采购数量、采购数量占比、采购金额占比、采购量排名、采购金额排名。</w:t>
      </w:r>
    </w:p>
    <w:p w14:paraId="745E63E8">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医院订单数统计查询</w:t>
      </w:r>
    </w:p>
    <w:p w14:paraId="3FF06846">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支持根据订单提交世界进行医院订单数统计查询。筛选到的医院订单数统计查询详情内容包括但不限于：医疗机构名称、采购计划数、采购订单数、采购计划单占比、采购订单占比。</w:t>
      </w:r>
    </w:p>
    <w:p w14:paraId="539566A1">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▲配送企业排名</w:t>
      </w:r>
    </w:p>
    <w:p w14:paraId="616BAE74">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订单提交时间以及配送企业名称查询配送企业排名。配送企业排名详情包括但不限于：配送企业名称、采购数量、配送数量、采购金额、配送完成率、配送金额排名、平均配送时间、配送及时率、订单提交时间。</w:t>
      </w:r>
    </w:p>
    <w:p w14:paraId="4286F4D0">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▲药品配备采购情况</w:t>
      </w:r>
    </w:p>
    <w:p w14:paraId="645074FB">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根据订单提交时间和医疗机构名称筛选药品配备采购情况。筛选到的药品配备采购详情包括但不限于：医疗机构、药品品种数、基药品种数、基药配备占比、集采品种数、集采配备占比、国谈品种数、国谈配备占比、药品采购总金额、基药采购金额、基药采购金额占比、集采平均金额、集采采购金额占比、国谈采购金额、国谈采购金额占比。</w:t>
      </w:r>
    </w:p>
    <w:p w14:paraId="287E0B9D">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▲监控大屏（驾驶舱）</w:t>
      </w:r>
    </w:p>
    <w:p w14:paraId="6EF3E84B">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医共体药品统一目录监管、药品统一采购/审批监管。以及医共体/基本用药采购使用情况的TOP排名。</w:t>
      </w:r>
    </w:p>
    <w:p w14:paraId="01B1D18C">
      <w:pPr>
        <w:widowControl w:val="0"/>
        <w:adjustRightInd w:val="0"/>
        <w:snapToGrid w:val="0"/>
        <w:spacing w:line="360" w:lineRule="auto"/>
        <w:ind w:firstLine="480" w:firstLineChars="200"/>
        <w:jc w:val="both"/>
        <w:rPr>
          <w:rFonts w:hint="eastAsia" w:ascii="宋体" w:hAnsi="宋体" w:eastAsia="宋体" w:cs="宋体"/>
          <w:snapToGrid w:val="0"/>
          <w:color w:val="auto"/>
          <w:spacing w:val="-2"/>
          <w:kern w:val="0"/>
          <w:sz w:val="24"/>
          <w:szCs w:val="24"/>
          <w:lang w:val="en-US" w:eastAsia="en-US" w:bidi="ar-SA"/>
        </w:rPr>
      </w:pPr>
      <w:r>
        <w:rPr>
          <w:rFonts w:hint="eastAsia" w:ascii="宋体" w:hAnsi="宋体" w:eastAsia="宋体" w:cs="宋体"/>
          <w:color w:val="auto"/>
          <w:sz w:val="24"/>
          <w:szCs w:val="21"/>
          <w:lang w:val="en-US" w:eastAsia="zh-CN" w:bidi="ar-SA"/>
        </w:rPr>
        <w:t>提供全业务流程透明化、可视化。平台数据，驾驶舱可视化展示，给决策层提供有力的数据支撑。</w:t>
      </w:r>
    </w:p>
    <w:p w14:paraId="0954A5FE">
      <w:pPr>
        <w:numPr>
          <w:ilvl w:val="1"/>
          <w:numId w:val="7"/>
        </w:numPr>
        <w:spacing w:line="360" w:lineRule="auto"/>
        <w:ind w:left="567" w:leftChars="0" w:hanging="567" w:firstLineChars="0"/>
        <w:jc w:val="left"/>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医共体各成员单位追溯码入库功能模块</w:t>
      </w:r>
    </w:p>
    <w:p w14:paraId="00997ACF">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第三方追溯码平台接口</w:t>
      </w:r>
    </w:p>
    <w:p w14:paraId="5048CECF">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支持对接“码上放心”平台，未来医保追溯码库建成后转为备份。</w:t>
      </w:r>
    </w:p>
    <w:p w14:paraId="2133BE88">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追溯码集中解析转发平台</w:t>
      </w:r>
    </w:p>
    <w:p w14:paraId="3AA23CF9">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支持作为企业和配送企业传输追溯码的中转。</w:t>
      </w:r>
    </w:p>
    <w:p w14:paraId="7510EA3F">
      <w:pPr>
        <w:keepNext/>
        <w:keepLines/>
        <w:widowControl w:val="0"/>
        <w:numPr>
          <w:ilvl w:val="3"/>
          <w:numId w:val="7"/>
        </w:numPr>
        <w:adjustRightInd w:val="0"/>
        <w:snapToGrid w:val="0"/>
        <w:spacing w:before="0" w:beforeLines="0" w:after="32" w:afterLines="10" w:line="360" w:lineRule="auto"/>
        <w:ind w:left="850" w:leftChars="0" w:hanging="850"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配送企业追溯码上传接口</w:t>
      </w:r>
    </w:p>
    <w:p w14:paraId="3693D2C2">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支持配送企业在出库时将追溯码上传。</w:t>
      </w:r>
    </w:p>
    <w:p w14:paraId="48D506A8">
      <w:pPr>
        <w:keepNext/>
        <w:keepLines/>
        <w:widowControl w:val="0"/>
        <w:numPr>
          <w:ilvl w:val="3"/>
          <w:numId w:val="7"/>
        </w:numPr>
        <w:adjustRightInd w:val="0"/>
        <w:snapToGrid w:val="0"/>
        <w:spacing w:before="0" w:beforeLines="0" w:after="32" w:afterLines="10" w:line="360" w:lineRule="auto"/>
        <w:ind w:left="850" w:leftChars="0" w:hanging="850"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医院下载追溯码接口</w:t>
      </w:r>
    </w:p>
    <w:p w14:paraId="4C02E059">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支持医院下载追溯码集中解析转发平台配送企业上传的追溯码。</w:t>
      </w:r>
    </w:p>
    <w:p w14:paraId="0ACAC70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▲追溯码大小包解析</w:t>
      </w:r>
    </w:p>
    <w:p w14:paraId="071C4C76">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支持链接阿里健康码上放心，对药品大、中、小包装的追溯码关系解析获取。</w:t>
      </w:r>
    </w:p>
    <w:p w14:paraId="73E92B21">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追溯码信息获取</w:t>
      </w:r>
    </w:p>
    <w:p w14:paraId="5595915E">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支持按照追溯码获取药品的信息，包括通用名、商品名、批准文号、规格型号、包装、效期。</w:t>
      </w:r>
    </w:p>
    <w:p w14:paraId="489F1D51">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▲院内追溯码信息库</w:t>
      </w:r>
    </w:p>
    <w:p w14:paraId="74A835ED">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支持在院内形成验收入库后的追溯码信息库，将入库信息和追溯码对应，供发药和消耗核销。</w:t>
      </w:r>
    </w:p>
    <w:p w14:paraId="6EC826FD">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HIS视图或接口</w:t>
      </w:r>
    </w:p>
    <w:p w14:paraId="36DAF32E">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支持提供院内追溯码库与HIS的视图或者接口。</w:t>
      </w:r>
    </w:p>
    <w:p w14:paraId="3A95ECB9">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数据上传准备</w:t>
      </w:r>
    </w:p>
    <w:p w14:paraId="472EE427">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支持生成追溯码记录表，供HIS上传医保两定接口。</w:t>
      </w:r>
    </w:p>
    <w:p w14:paraId="5533CD92">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医保追溯码关系数据库接口</w:t>
      </w:r>
    </w:p>
    <w:p w14:paraId="0CB817DF">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提供对接医保追溯码关系数据库。</w:t>
      </w:r>
    </w:p>
    <w:p w14:paraId="4CBE2538">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kern w:val="2"/>
          <w:sz w:val="24"/>
          <w:szCs w:val="28"/>
          <w:lang w:val="en-US" w:eastAsia="zh-CN" w:bidi="ar-SA"/>
        </w:rPr>
      </w:pPr>
      <w:r>
        <w:rPr>
          <w:rFonts w:hint="eastAsia" w:ascii="宋体" w:hAnsi="宋体" w:eastAsia="宋体" w:cs="宋体"/>
          <w:bCs w:val="0"/>
          <w:color w:val="auto"/>
          <w:kern w:val="2"/>
          <w:sz w:val="24"/>
          <w:szCs w:val="28"/>
          <w:lang w:val="en-US" w:eastAsia="zh-CN" w:bidi="ar-SA"/>
        </w:rPr>
        <w:t>▲追溯码统计监管</w:t>
      </w:r>
    </w:p>
    <w:p w14:paraId="046D49CA">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查看各医疗机构采购入库药品追溯码匹配情况，包含追溯码入库明细统计、入库汇总统计。支持根据医保代码、药品名称、生产企业、配送企业、批号、收货时间以及配送明细编号等信息进行查询。支持excel导入追溯码信息，支持导出追溯码信息。</w:t>
      </w:r>
    </w:p>
    <w:p w14:paraId="178680D4">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追溯码统计明细包含但不限于以下内容：状态（匹配成功、匹配失败）、数据来源、收货量、追溯码数量、匹配率、医保代码、药品名称、包装信息、剂型、生产企业、配送企业、收货时间、批号、效期、配送明细编号等。</w:t>
      </w:r>
    </w:p>
    <w:p w14:paraId="5784DA7B">
      <w:pPr>
        <w:numPr>
          <w:ilvl w:val="1"/>
          <w:numId w:val="7"/>
        </w:numPr>
        <w:spacing w:line="360" w:lineRule="auto"/>
        <w:ind w:left="567" w:leftChars="0" w:hanging="567" w:firstLineChars="0"/>
        <w:jc w:val="left"/>
        <w:outlineLvl w:val="9"/>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PDA扫码验收模块</w:t>
      </w:r>
    </w:p>
    <w:p w14:paraId="49572CBA">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1"/>
          <w:lang w:val="en-US" w:eastAsia="zh-CN" w:bidi="ar-SA"/>
        </w:rPr>
      </w:pPr>
      <w:r>
        <w:rPr>
          <w:rFonts w:hint="eastAsia" w:ascii="宋体" w:hAnsi="宋体" w:eastAsia="宋体" w:cs="宋体"/>
          <w:bCs w:val="0"/>
          <w:color w:val="auto"/>
          <w:sz w:val="24"/>
          <w:szCs w:val="28"/>
          <w:lang w:val="en-US" w:eastAsia="zh-CN" w:bidi="ar-SA"/>
        </w:rPr>
        <w:t>▲配送企业</w:t>
      </w:r>
      <w:r>
        <w:rPr>
          <w:rFonts w:hint="eastAsia" w:ascii="宋体" w:hAnsi="宋体" w:eastAsia="宋体" w:cs="宋体"/>
          <w:bCs w:val="0"/>
          <w:color w:val="auto"/>
          <w:sz w:val="24"/>
          <w:szCs w:val="21"/>
          <w:lang w:val="en-US" w:eastAsia="zh-CN" w:bidi="ar-SA"/>
        </w:rPr>
        <w:t>发货管理</w:t>
      </w:r>
    </w:p>
    <w:p w14:paraId="79DF07FF">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支持配送企业登录中心药房系统，进行药品的装箱条码打印，并进行</w:t>
      </w:r>
      <w:r>
        <w:rPr>
          <w:rFonts w:hint="eastAsia" w:ascii="宋体" w:hAnsi="宋体" w:eastAsia="宋体" w:cs="宋体"/>
          <w:color w:val="auto"/>
          <w:sz w:val="24"/>
          <w:szCs w:val="21"/>
          <w:lang w:val="en-US" w:eastAsia="zh-CN" w:bidi="ar-SA"/>
        </w:rPr>
        <w:t>箱规贴码</w:t>
      </w:r>
      <w:r>
        <w:rPr>
          <w:rFonts w:hint="eastAsia" w:ascii="宋体" w:hAnsi="宋体" w:eastAsia="宋体" w:cs="宋体"/>
          <w:color w:val="auto"/>
          <w:sz w:val="24"/>
          <w:szCs w:val="21"/>
          <w:lang w:val="en-US" w:eastAsia="zh-CN" w:bidi="ar-SA"/>
        </w:rPr>
        <w:t>工作。装箱条码包括配送企业名称、药品名称、配送地址、医疗机构名称、规格、数量、包装单位、生产企业、批号、有效期、物流码等信息。</w:t>
      </w:r>
    </w:p>
    <w:p w14:paraId="4B1CF362">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支持与配送企业的WMS系统/ERP系统对接，中心药房系统直接同步配送企业的发货物流码。配送企业上传配送订单的同时一并上传药品医保追溯码。</w:t>
      </w:r>
    </w:p>
    <w:p w14:paraId="5B62D69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1"/>
          <w:lang w:val="en-US" w:eastAsia="zh-CN" w:bidi="ar-SA"/>
        </w:rPr>
      </w:pPr>
      <w:r>
        <w:rPr>
          <w:rFonts w:hint="eastAsia" w:ascii="宋体" w:hAnsi="宋体" w:eastAsia="宋体" w:cs="宋体"/>
          <w:bCs w:val="0"/>
          <w:color w:val="auto"/>
          <w:sz w:val="24"/>
          <w:szCs w:val="28"/>
          <w:lang w:val="en-US" w:eastAsia="zh-CN" w:bidi="ar-SA"/>
        </w:rPr>
        <w:t>▲医疗机构</w:t>
      </w:r>
      <w:r>
        <w:rPr>
          <w:rFonts w:hint="eastAsia" w:ascii="宋体" w:hAnsi="宋体" w:eastAsia="宋体" w:cs="宋体"/>
          <w:bCs w:val="0"/>
          <w:color w:val="auto"/>
          <w:sz w:val="24"/>
          <w:szCs w:val="21"/>
          <w:lang w:val="en-US" w:eastAsia="zh-CN" w:bidi="ar-SA"/>
        </w:rPr>
        <w:t>收货管理</w:t>
      </w:r>
    </w:p>
    <w:p w14:paraId="6E9E36D0">
      <w:pPr>
        <w:widowControl w:val="0"/>
        <w:adjustRightInd w:val="0"/>
        <w:snapToGrid w:val="0"/>
        <w:spacing w:line="360" w:lineRule="auto"/>
        <w:ind w:firstLine="480" w:firstLineChars="200"/>
        <w:jc w:val="both"/>
        <w:rPr>
          <w:rFonts w:hint="default"/>
          <w:color w:val="auto"/>
          <w:lang w:val="en-US" w:eastAsia="zh-CN"/>
        </w:rPr>
      </w:pPr>
      <w:r>
        <w:rPr>
          <w:rFonts w:hint="eastAsia" w:ascii="宋体" w:hAnsi="宋体" w:eastAsia="宋体" w:cs="宋体"/>
          <w:color w:val="auto"/>
          <w:sz w:val="24"/>
          <w:szCs w:val="21"/>
          <w:lang w:val="en-US" w:eastAsia="zh-CN" w:bidi="ar-SA"/>
        </w:rPr>
        <w:t>支持医疗机构入库验收流程利用PDA设备对药品上的物流码进行扫码，收货信息同步至中心药房系统。实现将追溯码的入库采集和省招采平台订单的采购、验收、发票核验、入库相结合。自动完成采购订单、配送信息、入库信息、追溯码（大小包装对应）等要素的关联绑定。</w:t>
      </w:r>
    </w:p>
    <w:p w14:paraId="7977126A">
      <w:pPr>
        <w:numPr>
          <w:ilvl w:val="1"/>
          <w:numId w:val="7"/>
        </w:numPr>
        <w:spacing w:line="360" w:lineRule="auto"/>
        <w:ind w:left="567" w:leftChars="0" w:hanging="567" w:firstLineChars="0"/>
        <w:jc w:val="left"/>
        <w:outlineLvl w:val="9"/>
        <w:rPr>
          <w:rFonts w:hint="eastAsia" w:ascii="宋体" w:hAnsi="宋体" w:eastAsia="宋体"/>
          <w:color w:val="auto"/>
          <w:sz w:val="24"/>
          <w:szCs w:val="24"/>
          <w:highlight w:val="none"/>
          <w:lang w:val="en-US" w:eastAsia="zh-CN"/>
        </w:rPr>
      </w:pPr>
      <w:r>
        <w:rPr>
          <w:rFonts w:hint="default" w:ascii="宋体" w:hAnsi="宋体" w:eastAsia="宋体"/>
          <w:color w:val="auto"/>
          <w:sz w:val="24"/>
          <w:szCs w:val="24"/>
          <w:highlight w:val="none"/>
          <w:lang w:val="en-US" w:eastAsia="zh-CN"/>
        </w:rPr>
        <w:t>中心药房</w:t>
      </w:r>
      <w:r>
        <w:rPr>
          <w:rFonts w:hint="eastAsia" w:ascii="宋体" w:hAnsi="宋体" w:eastAsia="宋体"/>
          <w:color w:val="auto"/>
          <w:sz w:val="24"/>
          <w:szCs w:val="24"/>
          <w:highlight w:val="none"/>
          <w:lang w:val="en-US" w:eastAsia="zh-CN"/>
        </w:rPr>
        <w:t>药品联动保障</w:t>
      </w:r>
      <w:r>
        <w:rPr>
          <w:rFonts w:hint="eastAsia"/>
          <w:color w:val="auto"/>
          <w:sz w:val="24"/>
          <w:szCs w:val="24"/>
          <w:highlight w:val="none"/>
          <w:lang w:val="en-US" w:eastAsia="zh-CN"/>
        </w:rPr>
        <w:t>，</w:t>
      </w:r>
      <w:r>
        <w:rPr>
          <w:rFonts w:hint="eastAsia"/>
          <w:color w:val="auto"/>
          <w:sz w:val="24"/>
          <w:szCs w:val="24"/>
          <w:highlight w:val="none"/>
          <w:lang w:val="en-US" w:eastAsia="zh-CN"/>
        </w:rPr>
        <w:t>支持因地制宜实现中心(云)药房建设。</w:t>
      </w:r>
    </w:p>
    <w:p w14:paraId="7BA1C83E">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kern w:val="2"/>
          <w:sz w:val="24"/>
          <w:szCs w:val="28"/>
          <w:highlight w:val="none"/>
          <w:lang w:val="en-US" w:eastAsia="zh-CN" w:bidi="ar-SA"/>
        </w:rPr>
      </w:pPr>
      <w:r>
        <w:rPr>
          <w:rFonts w:hint="eastAsia" w:ascii="宋体" w:hAnsi="宋体" w:eastAsia="宋体" w:cs="宋体"/>
          <w:bCs w:val="0"/>
          <w:color w:val="auto"/>
          <w:kern w:val="2"/>
          <w:sz w:val="24"/>
          <w:szCs w:val="28"/>
          <w:highlight w:val="none"/>
          <w:lang w:val="en-US" w:eastAsia="zh-CN" w:bidi="ar-SA"/>
        </w:rPr>
        <w:t>▲余缺药品登记</w:t>
      </w:r>
    </w:p>
    <w:p w14:paraId="11666F03">
      <w:pPr>
        <w:widowControl w:val="0"/>
        <w:adjustRightInd w:val="0"/>
        <w:snapToGrid w:val="0"/>
        <w:spacing w:line="360" w:lineRule="auto"/>
        <w:ind w:firstLine="480" w:firstLineChars="200"/>
        <w:jc w:val="both"/>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支持各医疗机构进行余缺药品登记。登记内容包含联系人、联系方式、药品名称、积压类型、上报量、批号、效期、国家医保代码、</w:t>
      </w:r>
      <w:r>
        <w:rPr>
          <w:rFonts w:hint="eastAsia" w:ascii="宋体" w:hAnsi="宋体" w:eastAsia="宋体" w:cs="宋体"/>
          <w:snapToGrid w:val="0"/>
          <w:color w:val="auto"/>
          <w:spacing w:val="-2"/>
          <w:kern w:val="0"/>
          <w:sz w:val="24"/>
          <w:szCs w:val="24"/>
          <w:highlight w:val="none"/>
          <w:lang w:val="en-US" w:eastAsia="zh-CN" w:bidi="ar-SA"/>
        </w:rPr>
        <w:t>省平台编码</w:t>
      </w:r>
      <w:r>
        <w:rPr>
          <w:rFonts w:hint="eastAsia" w:ascii="宋体" w:hAnsi="宋体" w:eastAsia="宋体" w:cs="宋体"/>
          <w:color w:val="auto"/>
          <w:sz w:val="24"/>
          <w:szCs w:val="21"/>
          <w:highlight w:val="none"/>
          <w:lang w:val="en-US" w:eastAsia="zh-CN" w:bidi="ar-SA"/>
        </w:rPr>
        <w:t>、规格、采购价格、生产企业、项目名称等内容。支持在各医疗机构的院内目录中选择新增药品进行余缺药品的登记上报。</w:t>
      </w:r>
    </w:p>
    <w:p w14:paraId="69703717">
      <w:pPr>
        <w:widowControl w:val="0"/>
        <w:adjustRightInd w:val="0"/>
        <w:snapToGrid w:val="0"/>
        <w:spacing w:line="360" w:lineRule="auto"/>
        <w:ind w:firstLine="480" w:firstLineChars="200"/>
        <w:jc w:val="both"/>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支持针对余缺药品上报后的调拨状态进行查看。调拨详情包括提交余缺药品登记的医疗机构名称、登记状态、提交时间。也包括发起调拨的医疗机构名称、发起调拨的时间、医疗机构入库的时间，调拨数量、联系人和联系方式等信息。</w:t>
      </w:r>
    </w:p>
    <w:p w14:paraId="1C8A55E2">
      <w:pPr>
        <w:widowControl w:val="0"/>
        <w:adjustRightInd w:val="0"/>
        <w:snapToGrid w:val="0"/>
        <w:spacing w:line="360" w:lineRule="auto"/>
        <w:ind w:firstLine="480" w:firstLineChars="200"/>
        <w:jc w:val="both"/>
        <w:rPr>
          <w:rFonts w:hint="default"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支持针对余缺药品登记超过7天的药品进行预警提示，各医疗机构及时进行上报。支持对余缺药品登记上报后进行撤单处理。</w:t>
      </w:r>
    </w:p>
    <w:p w14:paraId="2368F6EB">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en-US" w:bidi="ar-SA"/>
        </w:rPr>
      </w:pPr>
      <w:r>
        <w:rPr>
          <w:rFonts w:hint="eastAsia" w:ascii="宋体" w:hAnsi="宋体" w:eastAsia="宋体" w:cs="宋体"/>
          <w:bCs w:val="0"/>
          <w:color w:val="auto"/>
          <w:sz w:val="24"/>
          <w:szCs w:val="28"/>
          <w:lang w:val="en-US" w:eastAsia="zh-CN" w:bidi="ar-SA"/>
        </w:rPr>
        <w:t>余缺药品列表（演示）</w:t>
      </w:r>
    </w:p>
    <w:p w14:paraId="24FECF1B">
      <w:pPr>
        <w:numPr>
          <w:ilvl w:val="0"/>
          <w:numId w:val="0"/>
        </w:numPr>
        <w:spacing w:line="360" w:lineRule="auto"/>
        <w:ind w:firstLine="420" w:firstLineChars="0"/>
        <w:jc w:val="left"/>
        <w:rPr>
          <w:rFonts w:hint="default" w:ascii="宋体" w:hAnsi="宋体" w:eastAsia="宋体" w:cs="宋体"/>
          <w:snapToGrid w:val="0"/>
          <w:color w:val="auto"/>
          <w:spacing w:val="-2"/>
          <w:kern w:val="0"/>
          <w:sz w:val="24"/>
          <w:szCs w:val="24"/>
          <w:lang w:val="en-US" w:eastAsia="en-US" w:bidi="ar-SA"/>
        </w:rPr>
      </w:pPr>
      <w:r>
        <w:rPr>
          <w:rFonts w:hint="eastAsia" w:ascii="宋体" w:hAnsi="宋体" w:eastAsia="宋体" w:cs="宋体"/>
          <w:snapToGrid w:val="0"/>
          <w:color w:val="auto"/>
          <w:spacing w:val="-2"/>
          <w:kern w:val="0"/>
          <w:sz w:val="24"/>
          <w:szCs w:val="24"/>
          <w:lang w:val="en-US" w:eastAsia="zh-CN" w:bidi="ar-SA"/>
        </w:rPr>
        <w:t>支持</w:t>
      </w:r>
      <w:r>
        <w:rPr>
          <w:rFonts w:hint="default" w:ascii="宋体" w:hAnsi="宋体" w:eastAsia="宋体" w:cs="宋体"/>
          <w:snapToGrid w:val="0"/>
          <w:color w:val="auto"/>
          <w:spacing w:val="-2"/>
          <w:kern w:val="0"/>
          <w:sz w:val="24"/>
          <w:szCs w:val="24"/>
          <w:lang w:val="en-US" w:eastAsia="en-US" w:bidi="ar-SA"/>
        </w:rPr>
        <w:t>实时监控医共体内</w:t>
      </w:r>
      <w:r>
        <w:rPr>
          <w:rFonts w:hint="eastAsia" w:ascii="宋体" w:hAnsi="宋体" w:eastAsia="宋体" w:cs="宋体"/>
          <w:snapToGrid w:val="0"/>
          <w:color w:val="auto"/>
          <w:spacing w:val="-2"/>
          <w:kern w:val="0"/>
          <w:sz w:val="24"/>
          <w:szCs w:val="24"/>
          <w:lang w:val="en-US" w:eastAsia="zh-CN" w:bidi="ar-SA"/>
        </w:rPr>
        <w:t>各成员单位</w:t>
      </w:r>
      <w:r>
        <w:rPr>
          <w:rFonts w:hint="default" w:ascii="宋体" w:hAnsi="宋体" w:eastAsia="宋体" w:cs="宋体"/>
          <w:snapToGrid w:val="0"/>
          <w:color w:val="auto"/>
          <w:spacing w:val="-2"/>
          <w:kern w:val="0"/>
          <w:sz w:val="24"/>
          <w:szCs w:val="24"/>
          <w:lang w:val="en-US" w:eastAsia="en-US" w:bidi="ar-SA"/>
        </w:rPr>
        <w:t>的药品余缺情况</w:t>
      </w:r>
      <w:r>
        <w:rPr>
          <w:rFonts w:hint="eastAsia" w:ascii="宋体" w:hAnsi="宋体" w:eastAsia="宋体" w:cs="宋体"/>
          <w:snapToGrid w:val="0"/>
          <w:color w:val="auto"/>
          <w:spacing w:val="-2"/>
          <w:kern w:val="0"/>
          <w:sz w:val="24"/>
          <w:szCs w:val="24"/>
          <w:lang w:val="en-US" w:eastAsia="zh-CN" w:bidi="ar-SA"/>
        </w:rPr>
        <w:t>，</w:t>
      </w:r>
      <w:r>
        <w:rPr>
          <w:rFonts w:hint="eastAsia" w:ascii="宋体" w:hAnsi="宋体" w:eastAsia="宋体" w:cs="宋体"/>
          <w:snapToGrid w:val="0"/>
          <w:color w:val="auto"/>
          <w:spacing w:val="-2"/>
          <w:kern w:val="0"/>
          <w:sz w:val="24"/>
          <w:szCs w:val="24"/>
          <w:lang w:val="en-US" w:eastAsia="zh-CN" w:bidi="ar-SA"/>
        </w:rPr>
        <w:t>余缺药品列表包含积压列表和短缺药品列表。字段包含并不限于余缺药品登记单号、单据状态、药品名称、国家医保代码、省平台编码、批号、效期、采购价格、生产企业、项目名称、上报机构、创建时间、</w:t>
      </w:r>
      <w:r>
        <w:rPr>
          <w:rFonts w:hint="eastAsia" w:ascii="宋体" w:hAnsi="宋体" w:eastAsia="宋体" w:cs="宋体"/>
          <w:color w:val="auto"/>
          <w:sz w:val="24"/>
          <w:szCs w:val="21"/>
          <w:highlight w:val="none"/>
          <w:lang w:val="en-US" w:eastAsia="zh-CN" w:bidi="ar-SA"/>
        </w:rPr>
        <w:t>积压</w:t>
      </w:r>
      <w:r>
        <w:rPr>
          <w:rFonts w:hint="eastAsia" w:ascii="宋体" w:hAnsi="宋体" w:eastAsia="宋体" w:cs="宋体"/>
          <w:snapToGrid w:val="0"/>
          <w:color w:val="auto"/>
          <w:spacing w:val="-2"/>
          <w:kern w:val="0"/>
          <w:sz w:val="24"/>
          <w:szCs w:val="24"/>
          <w:lang w:val="en-US" w:eastAsia="zh-CN" w:bidi="ar-SA"/>
        </w:rPr>
        <w:t>量和调拨药品数量。</w:t>
      </w:r>
    </w:p>
    <w:p w14:paraId="4029E756">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en-US" w:bidi="ar-SA"/>
        </w:rPr>
      </w:pPr>
      <w:r>
        <w:rPr>
          <w:rFonts w:hint="eastAsia" w:ascii="宋体" w:hAnsi="宋体" w:eastAsia="宋体" w:cs="宋体"/>
          <w:bCs w:val="0"/>
          <w:color w:val="auto"/>
          <w:sz w:val="24"/>
          <w:szCs w:val="28"/>
          <w:lang w:val="en-US" w:eastAsia="zh-CN" w:bidi="ar-SA"/>
        </w:rPr>
        <w:t>▲余缺药品调拨审核</w:t>
      </w:r>
    </w:p>
    <w:p w14:paraId="1BE5B40E">
      <w:pPr>
        <w:numPr>
          <w:ilvl w:val="0"/>
          <w:numId w:val="0"/>
        </w:numPr>
        <w:spacing w:line="360" w:lineRule="auto"/>
        <w:ind w:firstLine="420" w:firstLineChars="0"/>
        <w:jc w:val="left"/>
        <w:rPr>
          <w:rFonts w:hint="default" w:ascii="宋体" w:hAnsi="宋体" w:eastAsia="宋体" w:cs="宋体"/>
          <w:snapToGrid w:val="0"/>
          <w:color w:val="auto"/>
          <w:spacing w:val="-2"/>
          <w:kern w:val="0"/>
          <w:sz w:val="24"/>
          <w:szCs w:val="24"/>
          <w:lang w:val="en-US" w:eastAsia="zh-CN" w:bidi="ar-SA"/>
        </w:rPr>
      </w:pPr>
      <w:r>
        <w:rPr>
          <w:rFonts w:hint="default" w:ascii="宋体" w:hAnsi="宋体" w:eastAsia="宋体" w:cs="宋体"/>
          <w:snapToGrid w:val="0"/>
          <w:color w:val="auto"/>
          <w:spacing w:val="-2"/>
          <w:kern w:val="0"/>
          <w:sz w:val="24"/>
          <w:szCs w:val="24"/>
          <w:lang w:val="en-US" w:eastAsia="en-US" w:bidi="ar-SA"/>
        </w:rPr>
        <w:t>支持</w:t>
      </w:r>
      <w:r>
        <w:rPr>
          <w:rFonts w:hint="eastAsia" w:ascii="宋体" w:hAnsi="宋体" w:eastAsia="宋体" w:cs="宋体"/>
          <w:snapToGrid w:val="0"/>
          <w:color w:val="auto"/>
          <w:spacing w:val="-2"/>
          <w:kern w:val="0"/>
          <w:sz w:val="24"/>
          <w:szCs w:val="24"/>
          <w:lang w:val="en-US" w:eastAsia="zh-CN" w:bidi="ar-SA"/>
        </w:rPr>
        <w:t>根据医共体内部审核管理权限，对于发起调拨申请的医疗机构进行余缺调拨的审核。支持查询调拨单号</w:t>
      </w:r>
      <w:r>
        <w:rPr>
          <w:rFonts w:hint="eastAsia" w:ascii="宋体" w:hAnsi="宋体" w:eastAsia="宋体" w:cs="宋体"/>
          <w:strike w:val="0"/>
          <w:dstrike w:val="0"/>
          <w:snapToGrid w:val="0"/>
          <w:color w:val="auto"/>
          <w:spacing w:val="-2"/>
          <w:kern w:val="0"/>
          <w:sz w:val="24"/>
          <w:szCs w:val="24"/>
          <w:lang w:val="en-US" w:eastAsia="zh-CN" w:bidi="ar-SA"/>
        </w:rPr>
        <w:t>、登记单号、药</w:t>
      </w:r>
      <w:r>
        <w:rPr>
          <w:rFonts w:hint="eastAsia" w:ascii="宋体" w:hAnsi="宋体" w:eastAsia="宋体" w:cs="宋体"/>
          <w:snapToGrid w:val="0"/>
          <w:color w:val="auto"/>
          <w:spacing w:val="-2"/>
          <w:kern w:val="0"/>
          <w:sz w:val="24"/>
          <w:szCs w:val="24"/>
          <w:lang w:val="en-US" w:eastAsia="zh-CN" w:bidi="ar-SA"/>
        </w:rPr>
        <w:t>品名称、医疗机构、审核状态、提交时间等信息。</w:t>
      </w:r>
    </w:p>
    <w:p w14:paraId="55CE6002">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en-US" w:bidi="ar-SA"/>
        </w:rPr>
      </w:pPr>
      <w:r>
        <w:rPr>
          <w:rFonts w:hint="eastAsia" w:ascii="宋体" w:hAnsi="宋体" w:eastAsia="宋体" w:cs="宋体"/>
          <w:bCs w:val="0"/>
          <w:color w:val="auto"/>
          <w:sz w:val="24"/>
          <w:szCs w:val="28"/>
          <w:lang w:val="en-US" w:eastAsia="zh-CN" w:bidi="ar-SA"/>
        </w:rPr>
        <w:t>▲余缺药品出库管理</w:t>
      </w:r>
    </w:p>
    <w:p w14:paraId="6D033DD8">
      <w:pPr>
        <w:numPr>
          <w:ilvl w:val="0"/>
          <w:numId w:val="0"/>
        </w:numPr>
        <w:spacing w:line="360" w:lineRule="auto"/>
        <w:ind w:firstLine="420" w:firstLineChars="0"/>
        <w:jc w:val="left"/>
        <w:rPr>
          <w:rFonts w:hint="default"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支持进行余缺药品登记的医共体各成员单位进行余缺</w:t>
      </w:r>
      <w:r>
        <w:rPr>
          <w:rFonts w:hint="default" w:ascii="宋体" w:hAnsi="宋体" w:eastAsia="宋体" w:cs="宋体"/>
          <w:snapToGrid w:val="0"/>
          <w:color w:val="auto"/>
          <w:spacing w:val="-2"/>
          <w:kern w:val="0"/>
          <w:sz w:val="24"/>
          <w:szCs w:val="24"/>
          <w:lang w:val="en-US" w:eastAsia="en-US" w:bidi="ar-SA"/>
        </w:rPr>
        <w:t>药品</w:t>
      </w:r>
      <w:r>
        <w:rPr>
          <w:rFonts w:hint="eastAsia" w:ascii="宋体" w:hAnsi="宋体" w:eastAsia="宋体" w:cs="宋体"/>
          <w:snapToGrid w:val="0"/>
          <w:color w:val="auto"/>
          <w:spacing w:val="-2"/>
          <w:kern w:val="0"/>
          <w:sz w:val="24"/>
          <w:szCs w:val="24"/>
          <w:lang w:val="en-US" w:eastAsia="zh-CN" w:bidi="ar-SA"/>
        </w:rPr>
        <w:t>出库</w:t>
      </w:r>
      <w:r>
        <w:rPr>
          <w:rFonts w:hint="default" w:ascii="宋体" w:hAnsi="宋体" w:eastAsia="宋体" w:cs="宋体"/>
          <w:snapToGrid w:val="0"/>
          <w:color w:val="auto"/>
          <w:spacing w:val="-2"/>
          <w:kern w:val="0"/>
          <w:sz w:val="24"/>
          <w:szCs w:val="24"/>
          <w:lang w:val="en-US" w:eastAsia="en-US" w:bidi="ar-SA"/>
        </w:rPr>
        <w:t>管理，</w:t>
      </w:r>
      <w:r>
        <w:rPr>
          <w:rFonts w:hint="eastAsia" w:ascii="宋体" w:hAnsi="宋体" w:eastAsia="宋体" w:cs="宋体"/>
          <w:snapToGrid w:val="0"/>
          <w:color w:val="auto"/>
          <w:spacing w:val="-2"/>
          <w:kern w:val="0"/>
          <w:sz w:val="24"/>
          <w:szCs w:val="24"/>
          <w:lang w:val="en-US" w:eastAsia="zh-CN" w:bidi="ar-SA"/>
        </w:rPr>
        <w:t>支持区分待出库和已出库信息。支持针对调拨单号、创建时间、药品名称、国家医保代码、单据类型、入库机构、登记单号进行筛选。</w:t>
      </w:r>
    </w:p>
    <w:p w14:paraId="70D989D6">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en-US" w:bidi="ar-SA"/>
        </w:rPr>
      </w:pPr>
      <w:r>
        <w:rPr>
          <w:rFonts w:hint="eastAsia" w:ascii="宋体" w:hAnsi="宋体" w:eastAsia="宋体" w:cs="宋体"/>
          <w:bCs w:val="0"/>
          <w:color w:val="auto"/>
          <w:sz w:val="24"/>
          <w:szCs w:val="28"/>
          <w:lang w:val="en-US" w:eastAsia="zh-CN" w:bidi="ar-SA"/>
        </w:rPr>
        <w:t>▲余缺药品入库管理</w:t>
      </w:r>
    </w:p>
    <w:p w14:paraId="7A1B61C3">
      <w:pPr>
        <w:numPr>
          <w:ilvl w:val="0"/>
          <w:numId w:val="0"/>
        </w:numPr>
        <w:spacing w:line="360" w:lineRule="auto"/>
        <w:ind w:firstLine="420" w:firstLineChars="0"/>
        <w:jc w:val="left"/>
        <w:rPr>
          <w:rFonts w:hint="default" w:eastAsia="宋体"/>
          <w:color w:val="auto"/>
          <w:lang w:val="en-US" w:eastAsia="en-US"/>
        </w:rPr>
      </w:pPr>
      <w:r>
        <w:rPr>
          <w:rFonts w:hint="default" w:ascii="宋体" w:hAnsi="宋体" w:eastAsia="宋体" w:cs="宋体"/>
          <w:snapToGrid w:val="0"/>
          <w:color w:val="auto"/>
          <w:spacing w:val="-2"/>
          <w:kern w:val="0"/>
          <w:sz w:val="24"/>
          <w:szCs w:val="24"/>
          <w:lang w:val="en-US" w:eastAsia="en-US" w:bidi="ar-SA"/>
        </w:rPr>
        <w:t>支持</w:t>
      </w:r>
      <w:r>
        <w:rPr>
          <w:rFonts w:hint="eastAsia" w:ascii="宋体" w:hAnsi="宋体" w:eastAsia="宋体" w:cs="宋体"/>
          <w:snapToGrid w:val="0"/>
          <w:color w:val="auto"/>
          <w:spacing w:val="-2"/>
          <w:kern w:val="0"/>
          <w:sz w:val="24"/>
          <w:szCs w:val="24"/>
          <w:lang w:val="en-US" w:eastAsia="zh-CN" w:bidi="ar-SA"/>
        </w:rPr>
        <w:t>发起</w:t>
      </w:r>
      <w:r>
        <w:rPr>
          <w:rFonts w:hint="default" w:ascii="宋体" w:hAnsi="宋体" w:eastAsia="宋体" w:cs="宋体"/>
          <w:snapToGrid w:val="0"/>
          <w:color w:val="auto"/>
          <w:spacing w:val="-2"/>
          <w:kern w:val="0"/>
          <w:sz w:val="24"/>
          <w:szCs w:val="24"/>
          <w:lang w:val="en-US" w:eastAsia="en-US" w:bidi="ar-SA"/>
        </w:rPr>
        <w:t>余缺药品</w:t>
      </w:r>
      <w:r>
        <w:rPr>
          <w:rFonts w:hint="eastAsia" w:ascii="宋体" w:hAnsi="宋体" w:eastAsia="宋体" w:cs="宋体"/>
          <w:snapToGrid w:val="0"/>
          <w:color w:val="auto"/>
          <w:spacing w:val="-2"/>
          <w:kern w:val="0"/>
          <w:sz w:val="24"/>
          <w:szCs w:val="24"/>
          <w:lang w:val="en-US" w:eastAsia="zh-CN" w:bidi="ar-SA"/>
        </w:rPr>
        <w:t>调拨</w:t>
      </w:r>
      <w:r>
        <w:rPr>
          <w:rFonts w:hint="default" w:ascii="宋体" w:hAnsi="宋体" w:eastAsia="宋体" w:cs="宋体"/>
          <w:snapToGrid w:val="0"/>
          <w:color w:val="auto"/>
          <w:spacing w:val="-2"/>
          <w:kern w:val="0"/>
          <w:sz w:val="24"/>
          <w:szCs w:val="24"/>
          <w:lang w:val="en-US" w:eastAsia="en-US" w:bidi="ar-SA"/>
        </w:rPr>
        <w:t>的医共体各成员单位进行余缺药品</w:t>
      </w:r>
      <w:r>
        <w:rPr>
          <w:rFonts w:hint="eastAsia" w:ascii="宋体" w:hAnsi="宋体" w:eastAsia="宋体" w:cs="宋体"/>
          <w:snapToGrid w:val="0"/>
          <w:color w:val="auto"/>
          <w:spacing w:val="-2"/>
          <w:kern w:val="0"/>
          <w:sz w:val="24"/>
          <w:szCs w:val="24"/>
          <w:lang w:val="en-US" w:eastAsia="zh-CN" w:bidi="ar-SA"/>
        </w:rPr>
        <w:t>入</w:t>
      </w:r>
      <w:r>
        <w:rPr>
          <w:rFonts w:hint="default" w:ascii="宋体" w:hAnsi="宋体" w:eastAsia="宋体" w:cs="宋体"/>
          <w:snapToGrid w:val="0"/>
          <w:color w:val="auto"/>
          <w:spacing w:val="-2"/>
          <w:kern w:val="0"/>
          <w:sz w:val="24"/>
          <w:szCs w:val="24"/>
          <w:lang w:val="en-US" w:eastAsia="en-US" w:bidi="ar-SA"/>
        </w:rPr>
        <w:t>库管理，支持区分待</w:t>
      </w:r>
      <w:r>
        <w:rPr>
          <w:rFonts w:hint="eastAsia" w:ascii="宋体" w:hAnsi="宋体" w:eastAsia="宋体" w:cs="宋体"/>
          <w:snapToGrid w:val="0"/>
          <w:color w:val="auto"/>
          <w:spacing w:val="-2"/>
          <w:kern w:val="0"/>
          <w:sz w:val="24"/>
          <w:szCs w:val="24"/>
          <w:lang w:val="en-US" w:eastAsia="zh-CN" w:bidi="ar-SA"/>
        </w:rPr>
        <w:t>入</w:t>
      </w:r>
      <w:r>
        <w:rPr>
          <w:rFonts w:hint="default" w:ascii="宋体" w:hAnsi="宋体" w:eastAsia="宋体" w:cs="宋体"/>
          <w:snapToGrid w:val="0"/>
          <w:color w:val="auto"/>
          <w:spacing w:val="-2"/>
          <w:kern w:val="0"/>
          <w:sz w:val="24"/>
          <w:szCs w:val="24"/>
          <w:lang w:val="en-US" w:eastAsia="en-US" w:bidi="ar-SA"/>
        </w:rPr>
        <w:t>库和已</w:t>
      </w:r>
      <w:r>
        <w:rPr>
          <w:rFonts w:hint="eastAsia" w:ascii="宋体" w:hAnsi="宋体" w:eastAsia="宋体" w:cs="宋体"/>
          <w:snapToGrid w:val="0"/>
          <w:color w:val="auto"/>
          <w:spacing w:val="-2"/>
          <w:kern w:val="0"/>
          <w:sz w:val="24"/>
          <w:szCs w:val="24"/>
          <w:lang w:val="en-US" w:eastAsia="zh-CN" w:bidi="ar-SA"/>
        </w:rPr>
        <w:t>入</w:t>
      </w:r>
      <w:r>
        <w:rPr>
          <w:rFonts w:hint="default" w:ascii="宋体" w:hAnsi="宋体" w:eastAsia="宋体" w:cs="宋体"/>
          <w:snapToGrid w:val="0"/>
          <w:color w:val="auto"/>
          <w:spacing w:val="-2"/>
          <w:kern w:val="0"/>
          <w:sz w:val="24"/>
          <w:szCs w:val="24"/>
          <w:lang w:val="en-US" w:eastAsia="en-US" w:bidi="ar-SA"/>
        </w:rPr>
        <w:t>库信息。支持针对调拨单号、创建时间、药品名称、国家医保代码、单据类型、入库机构</w:t>
      </w:r>
      <w:r>
        <w:rPr>
          <w:rFonts w:hint="default" w:ascii="宋体" w:hAnsi="宋体" w:eastAsia="宋体" w:cs="宋体"/>
          <w:strike w:val="0"/>
          <w:dstrike w:val="0"/>
          <w:snapToGrid w:val="0"/>
          <w:color w:val="auto"/>
          <w:spacing w:val="-2"/>
          <w:kern w:val="0"/>
          <w:sz w:val="24"/>
          <w:szCs w:val="24"/>
          <w:lang w:val="en-US" w:eastAsia="en-US" w:bidi="ar-SA"/>
        </w:rPr>
        <w:t>、登记单号</w:t>
      </w:r>
      <w:r>
        <w:rPr>
          <w:rFonts w:hint="default" w:ascii="宋体" w:hAnsi="宋体" w:eastAsia="宋体" w:cs="宋体"/>
          <w:snapToGrid w:val="0"/>
          <w:color w:val="auto"/>
          <w:spacing w:val="-2"/>
          <w:kern w:val="0"/>
          <w:sz w:val="24"/>
          <w:szCs w:val="24"/>
          <w:lang w:val="en-US" w:eastAsia="en-US" w:bidi="ar-SA"/>
        </w:rPr>
        <w:t>进行筛选。</w:t>
      </w:r>
    </w:p>
    <w:p w14:paraId="432CAE05">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en-US" w:bidi="ar-SA"/>
        </w:rPr>
      </w:pPr>
      <w:r>
        <w:rPr>
          <w:rFonts w:hint="eastAsia" w:ascii="宋体" w:hAnsi="宋体" w:eastAsia="宋体" w:cs="宋体"/>
          <w:bCs w:val="0"/>
          <w:color w:val="auto"/>
          <w:sz w:val="24"/>
          <w:szCs w:val="28"/>
          <w:lang w:val="en-US" w:eastAsia="zh-CN" w:bidi="ar-SA"/>
        </w:rPr>
        <w:t>余缺药品调拨查询（演示）</w:t>
      </w:r>
    </w:p>
    <w:p w14:paraId="1AFC5119">
      <w:pPr>
        <w:numPr>
          <w:ilvl w:val="0"/>
          <w:numId w:val="0"/>
        </w:numPr>
        <w:spacing w:line="360" w:lineRule="auto"/>
        <w:ind w:firstLine="420" w:firstLineChars="0"/>
        <w:jc w:val="left"/>
        <w:rPr>
          <w:rFonts w:hint="default" w:ascii="宋体" w:hAnsi="宋体" w:eastAsia="宋体" w:cs="宋体"/>
          <w:snapToGrid w:val="0"/>
          <w:color w:val="auto"/>
          <w:spacing w:val="-2"/>
          <w:kern w:val="0"/>
          <w:sz w:val="24"/>
          <w:szCs w:val="24"/>
          <w:lang w:val="en-US" w:eastAsia="zh-CN" w:bidi="ar-SA"/>
        </w:rPr>
      </w:pPr>
      <w:r>
        <w:rPr>
          <w:rFonts w:hint="eastAsia" w:ascii="宋体" w:hAnsi="宋体" w:eastAsia="宋体" w:cs="宋体"/>
          <w:snapToGrid w:val="0"/>
          <w:color w:val="auto"/>
          <w:spacing w:val="-2"/>
          <w:kern w:val="0"/>
          <w:sz w:val="24"/>
          <w:szCs w:val="24"/>
          <w:lang w:val="en-US" w:eastAsia="zh-CN" w:bidi="ar-SA"/>
        </w:rPr>
        <w:t>支持针对余缺药品调拨记录进行查询。支持针对调拨单号、提交时间、药品名称、国家医保代码、单据类型、入库机构、出库机构、登记单号进行查询。调拨记录包括调拨单号、登记单号、单据类型、药品名称、国家医保代码、规格、调拨数量、入库机构、出库机构、当前节点、提交时间等信息。</w:t>
      </w:r>
    </w:p>
    <w:p w14:paraId="139B05FF">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联动存储分拨响应（演示）</w:t>
      </w:r>
    </w:p>
    <w:p w14:paraId="42C405DA">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对各医共体成员单位上报的余缺药品进行查询，查询信息包括上报药品的登记单号、单据类型、上报机构、药品名称、国家医保代码、省平台编码、批号、效期、规格、生产企业、采购价格、项目名称、调拨状态、积压量/短缺量、单据状态等信息，并支持中心药房对各医共体成员单位上报的余缺药品进行调拨。</w:t>
      </w:r>
    </w:p>
    <w:p w14:paraId="7E86840F">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default"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联动存储分拨记录（演示）</w:t>
      </w:r>
    </w:p>
    <w:p w14:paraId="08B00C11">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支持查询调拨状态，包括调拨单号、登记单号、单据类型、药品名称、国家医保代码、规格、调拨数量、入库机构、出库机构、当前节点等信息。</w:t>
      </w:r>
    </w:p>
    <w:p w14:paraId="2594A140">
      <w:pPr>
        <w:keepNext/>
        <w:keepLines/>
        <w:pageBreakBefore w:val="0"/>
        <w:widowControl w:val="0"/>
        <w:numPr>
          <w:ilvl w:val="2"/>
          <w:numId w:val="7"/>
        </w:numPr>
        <w:kinsoku/>
        <w:wordWrap/>
        <w:overflowPunct/>
        <w:topLinePunct w:val="0"/>
        <w:autoSpaceDE/>
        <w:autoSpaceDN/>
        <w:bidi w:val="0"/>
        <w:adjustRightInd w:val="0"/>
        <w:snapToGrid w:val="0"/>
        <w:spacing w:before="0" w:beforeLines="0" w:after="32" w:afterLines="10" w:line="360" w:lineRule="auto"/>
        <w:ind w:left="567" w:leftChars="0" w:hanging="567" w:firstLineChars="0"/>
        <w:contextualSpacing/>
        <w:jc w:val="both"/>
        <w:textAlignment w:val="auto"/>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▲医疗机构间药品调拨管理</w:t>
      </w:r>
    </w:p>
    <w:p w14:paraId="44BBAE4E">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支持各医共体成员单位在中心药房系统进行余缺药品的登记上报。支持逐条进行余缺药品的登记，也支持批量上报。</w:t>
      </w:r>
    </w:p>
    <w:p w14:paraId="2AD60F0F">
      <w:pPr>
        <w:widowControl w:val="0"/>
        <w:adjustRightInd w:val="0"/>
        <w:snapToGrid w:val="0"/>
        <w:spacing w:line="360" w:lineRule="auto"/>
        <w:ind w:firstLine="480" w:firstLineChars="200"/>
        <w:jc w:val="both"/>
        <w:rPr>
          <w:rFonts w:hint="eastAsia" w:eastAsia="宋体"/>
          <w:color w:val="auto"/>
          <w:lang w:val="en-US" w:eastAsia="zh-CN"/>
        </w:rPr>
      </w:pPr>
      <w:r>
        <w:rPr>
          <w:rFonts w:hint="eastAsia" w:ascii="宋体" w:hAnsi="宋体" w:eastAsia="宋体" w:cs="宋体"/>
          <w:color w:val="auto"/>
          <w:sz w:val="24"/>
          <w:szCs w:val="21"/>
          <w:lang w:val="en-US" w:eastAsia="zh-CN" w:bidi="ar-SA"/>
        </w:rPr>
        <w:t>支持各家成员单位统一从中心药房系统进行药品余缺调度申请，中心药房系统接收余缺调度单，进行药品的出库确认、基层医疗机构接收短缺药品的流程管理。</w:t>
      </w:r>
    </w:p>
    <w:p w14:paraId="5F085D41">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▲近效期药品提醒追踪</w:t>
      </w:r>
    </w:p>
    <w:p w14:paraId="36C325BA">
      <w:pPr>
        <w:widowControl w:val="0"/>
        <w:adjustRightInd w:val="0"/>
        <w:snapToGrid w:val="0"/>
        <w:spacing w:line="360" w:lineRule="auto"/>
        <w:ind w:firstLine="480" w:firstLineChars="200"/>
        <w:jc w:val="both"/>
        <w:rPr>
          <w:rFonts w:hint="eastAsia" w:ascii="宋体" w:hAnsi="宋体" w:eastAsia="宋体"/>
          <w:color w:val="auto"/>
          <w:sz w:val="24"/>
          <w:szCs w:val="24"/>
          <w:lang w:val="en-US" w:eastAsia="zh-CN"/>
        </w:rPr>
      </w:pPr>
      <w:r>
        <w:rPr>
          <w:rFonts w:hint="eastAsia" w:ascii="宋体" w:hAnsi="宋体" w:eastAsia="宋体" w:cs="宋体"/>
          <w:color w:val="auto"/>
          <w:sz w:val="24"/>
          <w:szCs w:val="21"/>
          <w:lang w:val="en-US" w:eastAsia="zh-CN" w:bidi="ar-SA"/>
        </w:rPr>
        <w:t>支持医共体各成员单位的药品名称、生产企业、规格型号、批号、数量、存储位置、有效</w:t>
      </w:r>
      <w:r>
        <w:rPr>
          <w:rFonts w:hint="eastAsia" w:ascii="宋体" w:hAnsi="宋体" w:eastAsia="宋体" w:cs="宋体"/>
          <w:color w:val="auto"/>
          <w:sz w:val="24"/>
          <w:szCs w:val="21"/>
          <w:lang w:val="en-US" w:eastAsia="zh-CN" w:bidi="ar-SA"/>
        </w:rPr>
        <w:t>期、</w:t>
      </w:r>
      <w:r>
        <w:rPr>
          <w:rFonts w:hint="eastAsia" w:ascii="宋体" w:hAnsi="宋体" w:eastAsia="宋体" w:cs="宋体"/>
          <w:color w:val="auto"/>
          <w:sz w:val="24"/>
          <w:szCs w:val="21"/>
          <w:highlight w:val="none"/>
          <w:lang w:val="en-US" w:eastAsia="zh-CN" w:bidi="ar-SA"/>
        </w:rPr>
        <w:t>剩余效期进</w:t>
      </w:r>
      <w:r>
        <w:rPr>
          <w:rFonts w:hint="eastAsia" w:ascii="宋体" w:hAnsi="宋体" w:eastAsia="宋体" w:cs="宋体"/>
          <w:color w:val="auto"/>
          <w:sz w:val="24"/>
          <w:szCs w:val="21"/>
          <w:lang w:val="en-US" w:eastAsia="zh-CN" w:bidi="ar-SA"/>
        </w:rPr>
        <w:t>行效期警示及处置结果的追踪</w:t>
      </w:r>
      <w:r>
        <w:rPr>
          <w:rFonts w:hint="eastAsia" w:ascii="宋体" w:hAnsi="宋体" w:eastAsia="宋体" w:cs="宋体"/>
          <w:color w:val="auto"/>
          <w:sz w:val="24"/>
          <w:szCs w:val="21"/>
          <w:lang w:val="en-US" w:eastAsia="zh-CN" w:bidi="ar-SA"/>
        </w:rPr>
        <w:t>查询。支持根据时间条件进行检索。</w:t>
      </w:r>
    </w:p>
    <w:p w14:paraId="0603BF61">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▲药品库存监控</w:t>
      </w:r>
    </w:p>
    <w:p w14:paraId="5D935ABF">
      <w:pPr>
        <w:widowControl w:val="0"/>
        <w:adjustRightInd w:val="0"/>
        <w:snapToGrid w:val="0"/>
        <w:spacing w:line="360" w:lineRule="auto"/>
        <w:ind w:firstLine="480" w:firstLineChars="200"/>
        <w:jc w:val="both"/>
        <w:rPr>
          <w:rFonts w:hint="default"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支持医共体各成员单位药库的库存实时监控。监控内容包含但不限于以下内容：日期、药品名称、生产企业、规格型号、批号、数量、库存位置、有效期、剩余效期、库存量等内容。</w:t>
      </w:r>
    </w:p>
    <w:p w14:paraId="73FD55DC">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kern w:val="2"/>
          <w:sz w:val="24"/>
          <w:szCs w:val="28"/>
          <w:lang w:val="en-US" w:eastAsia="zh-CN" w:bidi="ar-SA"/>
        </w:rPr>
      </w:pPr>
      <w:r>
        <w:rPr>
          <w:rFonts w:hint="eastAsia" w:ascii="宋体" w:hAnsi="宋体" w:eastAsia="宋体" w:cs="宋体"/>
          <w:bCs w:val="0"/>
          <w:color w:val="auto"/>
          <w:kern w:val="2"/>
          <w:sz w:val="24"/>
          <w:szCs w:val="28"/>
          <w:lang w:val="en-US" w:eastAsia="zh-CN" w:bidi="ar-SA"/>
        </w:rPr>
        <w:t>▲个性化用药登记</w:t>
      </w:r>
    </w:p>
    <w:p w14:paraId="516B520F">
      <w:pPr>
        <w:widowControl w:val="0"/>
        <w:adjustRightInd w:val="0"/>
        <w:snapToGrid w:val="0"/>
        <w:spacing w:line="360" w:lineRule="auto"/>
        <w:ind w:firstLine="480" w:firstLineChars="200"/>
        <w:jc w:val="both"/>
        <w:rPr>
          <w:rFonts w:hint="eastAsia" w:ascii="宋体" w:hAnsi="宋体" w:eastAsia="宋体" w:cs="宋体"/>
          <w:color w:val="auto"/>
          <w:sz w:val="24"/>
          <w:szCs w:val="21"/>
          <w:lang w:val="en-US" w:eastAsia="zh-CN" w:bidi="ar-SA"/>
        </w:rPr>
      </w:pPr>
      <w:r>
        <w:rPr>
          <w:rFonts w:hint="eastAsia" w:ascii="宋体" w:hAnsi="宋体" w:eastAsia="宋体" w:cs="宋体"/>
          <w:color w:val="auto"/>
          <w:sz w:val="24"/>
          <w:szCs w:val="21"/>
          <w:lang w:val="en-US" w:eastAsia="zh-CN" w:bidi="ar-SA"/>
        </w:rPr>
        <w:t>支持各医疗机构进行个性化用药登记，满足各医疗机构的个性化用药需求。登记内容包含患者姓名、患者性别、出生年月、身份证号、医保账号、联系方式、疾病诊断、申请药品理由等信息。支持在省级挂网目录中新增个性化用药的药品信息。</w:t>
      </w:r>
    </w:p>
    <w:p w14:paraId="722172B7">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sz w:val="24"/>
          <w:szCs w:val="28"/>
          <w:lang w:val="en-US" w:eastAsia="zh-CN" w:bidi="ar-SA"/>
        </w:rPr>
      </w:pPr>
      <w:r>
        <w:rPr>
          <w:rFonts w:hint="eastAsia" w:ascii="宋体" w:hAnsi="宋体" w:eastAsia="宋体" w:cs="宋体"/>
          <w:bCs w:val="0"/>
          <w:color w:val="auto"/>
          <w:sz w:val="24"/>
          <w:szCs w:val="28"/>
          <w:lang w:val="en-US" w:eastAsia="zh-CN" w:bidi="ar-SA"/>
        </w:rPr>
        <w:t>▲短缺药品监测预警</w:t>
      </w:r>
    </w:p>
    <w:p w14:paraId="236095AC">
      <w:pPr>
        <w:widowControl w:val="0"/>
        <w:adjustRightInd w:val="0"/>
        <w:snapToGrid w:val="0"/>
        <w:spacing w:line="360" w:lineRule="auto"/>
        <w:ind w:firstLine="480" w:firstLineChars="200"/>
        <w:jc w:val="both"/>
        <w:rPr>
          <w:rFonts w:hint="eastAsia" w:eastAsia="宋体"/>
          <w:color w:val="auto"/>
          <w:lang w:val="en-US" w:eastAsia="zh-CN"/>
        </w:rPr>
      </w:pPr>
      <w:r>
        <w:rPr>
          <w:rFonts w:hint="eastAsia" w:ascii="宋体" w:hAnsi="宋体" w:eastAsia="宋体" w:cs="宋体"/>
          <w:color w:val="auto"/>
          <w:sz w:val="24"/>
          <w:szCs w:val="21"/>
          <w:lang w:val="en-US" w:eastAsia="zh-CN" w:bidi="ar-SA"/>
        </w:rPr>
        <w:t>支持医共体各成员单位的药品编码、药品名称、规格、剂型、包装信息、生产企业、采购数量、配送数量、配送完成率进行短缺药品的监测预警查询。支持根据时间条件进行检索。</w:t>
      </w:r>
    </w:p>
    <w:p w14:paraId="02A909F3">
      <w:pPr>
        <w:keepNext/>
        <w:keepLines/>
        <w:widowControl w:val="0"/>
        <w:numPr>
          <w:ilvl w:val="2"/>
          <w:numId w:val="7"/>
        </w:numPr>
        <w:adjustRightInd w:val="0"/>
        <w:snapToGrid w:val="0"/>
        <w:spacing w:before="0" w:beforeLines="0" w:after="32" w:afterLines="10" w:line="360" w:lineRule="auto"/>
        <w:ind w:left="709" w:leftChars="0" w:hanging="709" w:firstLineChars="0"/>
        <w:contextualSpacing/>
        <w:jc w:val="both"/>
        <w:outlineLvl w:val="9"/>
        <w:rPr>
          <w:rFonts w:hint="eastAsia" w:ascii="宋体" w:hAnsi="宋体" w:eastAsia="宋体" w:cs="宋体"/>
          <w:bCs w:val="0"/>
          <w:color w:val="auto"/>
          <w:kern w:val="2"/>
          <w:sz w:val="24"/>
          <w:szCs w:val="28"/>
          <w:lang w:val="en-US" w:eastAsia="zh-CN" w:bidi="ar-SA"/>
        </w:rPr>
      </w:pPr>
      <w:r>
        <w:rPr>
          <w:rFonts w:hint="eastAsia" w:ascii="宋体" w:hAnsi="宋体" w:eastAsia="宋体" w:cs="宋体"/>
          <w:bCs w:val="0"/>
          <w:color w:val="auto"/>
          <w:kern w:val="2"/>
          <w:sz w:val="24"/>
          <w:szCs w:val="28"/>
          <w:lang w:val="en-US" w:eastAsia="zh-CN" w:bidi="ar-SA"/>
        </w:rPr>
        <w:t>急抢救药品储备</w:t>
      </w:r>
    </w:p>
    <w:p w14:paraId="316613B4">
      <w:pPr>
        <w:ind w:firstLine="480" w:firstLineChars="200"/>
        <w:rPr>
          <w:rFonts w:hint="eastAsia"/>
          <w:color w:val="auto"/>
          <w:lang w:val="en-US" w:eastAsia="zh-CN"/>
        </w:rPr>
      </w:pPr>
      <w:r>
        <w:rPr>
          <w:rFonts w:hint="eastAsia" w:ascii="宋体" w:hAnsi="宋体" w:eastAsia="宋体" w:cs="宋体"/>
          <w:color w:val="auto"/>
          <w:sz w:val="24"/>
          <w:szCs w:val="21"/>
          <w:lang w:val="en-US" w:eastAsia="zh-CN" w:bidi="ar-SA"/>
        </w:rPr>
        <w:t>建立常用药品、季节性疾病药品、急（抢）救药品储备量，实时追踪药品库存数量、效期，自动触发低库存预警和效期临近提醒，建立医共体内药品调配通道，当某机构药品短缺时，可快速发起跨机构调拨申请。</w:t>
      </w:r>
    </w:p>
    <w:p w14:paraId="7AE04001">
      <w:pPr>
        <w:pStyle w:val="4"/>
        <w:bidi w:val="0"/>
        <w:rPr>
          <w:rFonts w:hint="eastAsia"/>
          <w:color w:val="auto"/>
          <w:sz w:val="28"/>
          <w:szCs w:val="28"/>
          <w:lang w:eastAsia="zh-CN"/>
        </w:rPr>
      </w:pPr>
      <w:r>
        <w:rPr>
          <w:rFonts w:hint="eastAsia"/>
          <w:color w:val="auto"/>
          <w:sz w:val="28"/>
          <w:szCs w:val="28"/>
          <w:lang w:eastAsia="zh-CN"/>
        </w:rPr>
        <w:t>（</w:t>
      </w:r>
      <w:r>
        <w:rPr>
          <w:rFonts w:hint="eastAsia"/>
          <w:color w:val="auto"/>
          <w:sz w:val="28"/>
          <w:szCs w:val="28"/>
          <w:lang w:val="en-US" w:eastAsia="zh-CN"/>
        </w:rPr>
        <w:t>四）</w:t>
      </w:r>
      <w:r>
        <w:rPr>
          <w:rFonts w:hint="eastAsia"/>
          <w:color w:val="auto"/>
          <w:sz w:val="28"/>
          <w:szCs w:val="28"/>
        </w:rPr>
        <w:t>采购标的的数量、采购项目交付或者实施的时间和地点</w:t>
      </w:r>
      <w:r>
        <w:rPr>
          <w:rFonts w:hint="eastAsia"/>
          <w:color w:val="auto"/>
          <w:sz w:val="28"/>
          <w:szCs w:val="28"/>
          <w:lang w:eastAsia="zh-CN"/>
        </w:rPr>
        <w:t>：</w:t>
      </w:r>
    </w:p>
    <w:p w14:paraId="24198535">
      <w:pPr>
        <w:pStyle w:val="10"/>
        <w:spacing w:line="360" w:lineRule="auto"/>
        <w:ind w:firstLine="480" w:firstLineChars="200"/>
        <w:rPr>
          <w:rFonts w:hint="eastAsia" w:cs="宋体"/>
          <w:bCs/>
          <w:color w:val="auto"/>
          <w:sz w:val="24"/>
          <w:szCs w:val="24"/>
          <w:shd w:val="clear" w:color="auto" w:fill="FFFFFF"/>
        </w:rPr>
      </w:pPr>
      <w:r>
        <w:rPr>
          <w:rFonts w:hint="eastAsia" w:cs="宋体"/>
          <w:bCs/>
          <w:color w:val="auto"/>
          <w:sz w:val="24"/>
          <w:szCs w:val="24"/>
          <w:shd w:val="clear" w:color="auto" w:fill="FFFFFF"/>
        </w:rPr>
        <w:t>1.采购标的数量：1项。</w:t>
      </w:r>
    </w:p>
    <w:p w14:paraId="052E6FB7">
      <w:pPr>
        <w:pStyle w:val="10"/>
        <w:spacing w:line="360" w:lineRule="auto"/>
        <w:ind w:firstLine="480" w:firstLineChars="200"/>
        <w:rPr>
          <w:rFonts w:hint="default" w:eastAsia="宋体" w:cs="宋体"/>
          <w:bCs/>
          <w:color w:val="auto"/>
          <w:sz w:val="24"/>
          <w:szCs w:val="24"/>
          <w:u w:val="single"/>
          <w:shd w:val="clear" w:color="auto" w:fill="FFFFFF"/>
          <w:lang w:val="en-US" w:eastAsia="zh-CN"/>
        </w:rPr>
      </w:pPr>
      <w:r>
        <w:rPr>
          <w:rFonts w:hint="eastAsia" w:cs="宋体"/>
          <w:bCs/>
          <w:color w:val="auto"/>
          <w:sz w:val="24"/>
          <w:szCs w:val="24"/>
          <w:shd w:val="clear" w:color="auto" w:fill="FFFFFF"/>
        </w:rPr>
        <w:t>2</w:t>
      </w:r>
      <w:r>
        <w:rPr>
          <w:rFonts w:hint="eastAsia" w:cs="宋体"/>
          <w:bCs/>
          <w:color w:val="auto"/>
          <w:sz w:val="24"/>
          <w:szCs w:val="24"/>
          <w:shd w:val="clear" w:color="auto" w:fill="FFFFFF"/>
          <w:lang w:val="en-US" w:eastAsia="zh-CN"/>
        </w:rPr>
        <w:t>.预计</w:t>
      </w:r>
      <w:r>
        <w:rPr>
          <w:rFonts w:hint="eastAsia" w:cs="宋体"/>
          <w:bCs/>
          <w:color w:val="auto"/>
          <w:sz w:val="24"/>
          <w:szCs w:val="24"/>
          <w:shd w:val="clear" w:color="auto" w:fill="FFFFFF"/>
        </w:rPr>
        <w:t>实施时间：</w:t>
      </w:r>
      <w:r>
        <w:rPr>
          <w:rFonts w:hint="eastAsia" w:cs="宋体"/>
          <w:bCs/>
          <w:color w:val="auto"/>
          <w:sz w:val="24"/>
          <w:szCs w:val="24"/>
          <w:u w:val="single"/>
          <w:shd w:val="clear" w:color="auto" w:fill="FFFFFF"/>
          <w:lang w:val="en-US" w:eastAsia="zh-CN"/>
        </w:rPr>
        <w:t>2026年8月</w:t>
      </w:r>
      <w:r>
        <w:rPr>
          <w:rFonts w:hint="eastAsia" w:cs="宋体"/>
          <w:bCs/>
          <w:color w:val="auto"/>
          <w:sz w:val="24"/>
          <w:szCs w:val="24"/>
          <w:u w:val="none"/>
          <w:shd w:val="clear" w:color="auto" w:fill="FFFFFF"/>
          <w:lang w:val="en-US" w:eastAsia="zh-CN"/>
        </w:rPr>
        <w:t>。</w:t>
      </w:r>
    </w:p>
    <w:p w14:paraId="0E456513">
      <w:pPr>
        <w:pStyle w:val="10"/>
        <w:spacing w:line="360" w:lineRule="auto"/>
        <w:ind w:firstLine="360" w:firstLineChars="200"/>
        <w:rPr>
          <w:rFonts w:hint="eastAsia" w:cs="宋体"/>
          <w:bCs/>
          <w:color w:val="auto"/>
          <w:sz w:val="24"/>
          <w:szCs w:val="24"/>
          <w:shd w:val="clear" w:color="auto" w:fill="FFFFFF"/>
        </w:rPr>
      </w:pPr>
      <w:r>
        <w:rPr>
          <w:rFonts w:hint="eastAsia" w:ascii="微软雅黑" w:hAnsi="微软雅黑" w:eastAsia="微软雅黑" w:cs="微软雅黑"/>
          <w:color w:val="auto"/>
          <w:lang w:val="en-US" w:eastAsia="zh-CN"/>
        </w:rPr>
        <w:t>★</w:t>
      </w:r>
      <w:r>
        <w:rPr>
          <w:rFonts w:hint="eastAsia" w:cs="宋体"/>
          <w:bCs/>
          <w:color w:val="auto"/>
          <w:sz w:val="24"/>
          <w:szCs w:val="24"/>
          <w:shd w:val="clear" w:color="auto" w:fill="FFFFFF"/>
        </w:rPr>
        <w:t>3.实施地点：</w:t>
      </w:r>
      <w:r>
        <w:rPr>
          <w:rFonts w:hint="eastAsia" w:ascii="宋体" w:hAnsi="宋体" w:eastAsia="宋体" w:cs="宋体"/>
          <w:bCs/>
          <w:color w:val="auto"/>
          <w:sz w:val="24"/>
          <w:szCs w:val="24"/>
          <w:u w:val="single"/>
          <w:shd w:val="clear" w:color="auto" w:fill="FFFFFF"/>
        </w:rPr>
        <w:t>采购人指定地点</w:t>
      </w:r>
      <w:r>
        <w:rPr>
          <w:rFonts w:hint="eastAsia" w:cs="宋体"/>
          <w:color w:val="auto"/>
          <w:sz w:val="24"/>
          <w:szCs w:val="24"/>
        </w:rPr>
        <w:t>。</w:t>
      </w:r>
    </w:p>
    <w:p w14:paraId="21E0CCB7">
      <w:pPr>
        <w:pStyle w:val="4"/>
        <w:numPr>
          <w:ilvl w:val="0"/>
          <w:numId w:val="8"/>
        </w:numPr>
        <w:bidi w:val="0"/>
        <w:rPr>
          <w:rFonts w:hint="eastAsia"/>
          <w:color w:val="auto"/>
          <w:sz w:val="28"/>
          <w:szCs w:val="28"/>
          <w:lang w:eastAsia="zh-CN"/>
        </w:rPr>
      </w:pPr>
      <w:r>
        <w:rPr>
          <w:rFonts w:hint="eastAsia"/>
          <w:color w:val="auto"/>
          <w:sz w:val="28"/>
          <w:szCs w:val="28"/>
        </w:rPr>
        <w:t>采购标的需满足的服务标准、期限、效率等要求</w:t>
      </w:r>
      <w:r>
        <w:rPr>
          <w:rFonts w:hint="eastAsia"/>
          <w:color w:val="auto"/>
          <w:sz w:val="28"/>
          <w:szCs w:val="28"/>
          <w:lang w:eastAsia="zh-CN"/>
        </w:rPr>
        <w:t>：</w:t>
      </w:r>
    </w:p>
    <w:p w14:paraId="1661C1C1">
      <w:pPr>
        <w:pStyle w:val="10"/>
        <w:spacing w:line="360" w:lineRule="auto"/>
        <w:ind w:firstLine="360" w:firstLineChars="200"/>
        <w:rPr>
          <w:rFonts w:hint="default" w:ascii="宋体" w:hAnsi="宋体" w:eastAsia="宋体" w:cs="宋体"/>
          <w:bCs/>
          <w:color w:val="auto"/>
          <w:sz w:val="24"/>
          <w:szCs w:val="24"/>
          <w:shd w:val="clear" w:color="auto" w:fill="FFFFFF"/>
          <w:lang w:val="en-US" w:eastAsia="zh-CN"/>
        </w:rPr>
      </w:pPr>
      <w:r>
        <w:rPr>
          <w:rFonts w:hint="eastAsia" w:ascii="微软雅黑" w:hAnsi="微软雅黑" w:eastAsia="微软雅黑" w:cs="微软雅黑"/>
          <w:color w:val="auto"/>
          <w:lang w:val="en-US" w:eastAsia="zh-CN"/>
        </w:rPr>
        <w:t>★</w:t>
      </w:r>
      <w:r>
        <w:rPr>
          <w:rFonts w:hint="eastAsia" w:ascii="宋体" w:hAnsi="宋体" w:eastAsia="宋体" w:cs="宋体"/>
          <w:bCs/>
          <w:color w:val="auto"/>
          <w:sz w:val="24"/>
          <w:szCs w:val="24"/>
          <w:shd w:val="clear" w:color="auto" w:fill="FFFFFF"/>
          <w:lang w:val="en-US" w:eastAsia="zh-CN"/>
        </w:rPr>
        <w:t>1.服务标准：严格按照国家、行业相关法律法规及满足采购人要求，确保一次性验收合格。</w:t>
      </w:r>
    </w:p>
    <w:p w14:paraId="446D06FD">
      <w:pPr>
        <w:pStyle w:val="10"/>
        <w:spacing w:line="360" w:lineRule="auto"/>
        <w:ind w:firstLine="360" w:firstLineChars="200"/>
        <w:rPr>
          <w:rFonts w:hint="eastAsia" w:ascii="宋体" w:hAnsi="宋体" w:eastAsia="宋体" w:cs="宋体"/>
          <w:bCs/>
          <w:color w:val="auto"/>
          <w:sz w:val="24"/>
          <w:szCs w:val="24"/>
          <w:shd w:val="clear" w:color="auto" w:fill="FFFFFF"/>
        </w:rPr>
      </w:pPr>
      <w:r>
        <w:rPr>
          <w:rFonts w:hint="eastAsia" w:ascii="微软雅黑" w:hAnsi="微软雅黑" w:eastAsia="微软雅黑" w:cs="微软雅黑"/>
          <w:color w:val="auto"/>
          <w:lang w:val="en-US" w:eastAsia="zh-CN"/>
        </w:rPr>
        <w:t>★</w:t>
      </w:r>
      <w:r>
        <w:rPr>
          <w:rFonts w:hint="eastAsia" w:ascii="宋体" w:hAnsi="宋体" w:eastAsia="宋体" w:cs="宋体"/>
          <w:bCs/>
          <w:color w:val="auto"/>
          <w:sz w:val="24"/>
          <w:szCs w:val="24"/>
          <w:shd w:val="clear" w:color="auto" w:fill="FFFFFF"/>
          <w:lang w:val="en-US" w:eastAsia="zh-CN"/>
        </w:rPr>
        <w:t>2.履行服务期限：</w:t>
      </w:r>
      <w:r>
        <w:rPr>
          <w:rFonts w:hint="eastAsia" w:ascii="宋体" w:hAnsi="宋体" w:eastAsia="宋体" w:cs="宋体"/>
          <w:bCs/>
          <w:color w:val="auto"/>
          <w:sz w:val="24"/>
          <w:szCs w:val="24"/>
          <w:shd w:val="clear" w:color="auto" w:fill="FFFFFF"/>
        </w:rPr>
        <w:t>合同签订后</w:t>
      </w:r>
      <w:r>
        <w:rPr>
          <w:rFonts w:hint="eastAsia" w:cs="宋体"/>
          <w:bCs/>
          <w:color w:val="auto"/>
          <w:sz w:val="24"/>
          <w:szCs w:val="24"/>
          <w:u w:val="single"/>
          <w:shd w:val="clear" w:color="auto" w:fill="FFFFFF"/>
          <w:lang w:val="en-US" w:eastAsia="zh-CN"/>
        </w:rPr>
        <w:t>120</w:t>
      </w:r>
      <w:r>
        <w:rPr>
          <w:rFonts w:hint="eastAsia" w:ascii="宋体" w:hAnsi="宋体" w:eastAsia="宋体" w:cs="宋体"/>
          <w:bCs/>
          <w:color w:val="auto"/>
          <w:sz w:val="24"/>
          <w:szCs w:val="24"/>
          <w:shd w:val="clear" w:color="auto" w:fill="FFFFFF"/>
        </w:rPr>
        <w:t>日历天全部完成并经采购人验收合格。</w:t>
      </w:r>
    </w:p>
    <w:p w14:paraId="27FE1200">
      <w:pPr>
        <w:pStyle w:val="10"/>
        <w:spacing w:line="360" w:lineRule="auto"/>
        <w:ind w:firstLine="480" w:firstLineChars="200"/>
        <w:rPr>
          <w:rFonts w:hint="default" w:ascii="宋体" w:hAnsi="宋体" w:eastAsia="宋体" w:cs="宋体"/>
          <w:bCs/>
          <w:color w:val="auto"/>
          <w:sz w:val="24"/>
          <w:szCs w:val="24"/>
          <w:shd w:val="clear" w:color="auto" w:fill="FFFFFF"/>
          <w:lang w:val="en-US" w:eastAsia="zh-CN"/>
        </w:rPr>
      </w:pPr>
      <w:r>
        <w:rPr>
          <w:rFonts w:hint="eastAsia" w:ascii="宋体" w:hAnsi="宋体" w:eastAsia="宋体" w:cs="宋体"/>
          <w:bCs/>
          <w:color w:val="auto"/>
          <w:sz w:val="24"/>
          <w:szCs w:val="24"/>
          <w:shd w:val="clear" w:color="auto" w:fill="FFFFFF"/>
          <w:lang w:val="en-US" w:eastAsia="zh-CN"/>
        </w:rPr>
        <w:t>3.效率：按采购</w:t>
      </w:r>
      <w:r>
        <w:rPr>
          <w:rFonts w:hint="eastAsia" w:cs="宋体"/>
          <w:bCs/>
          <w:color w:val="auto"/>
          <w:sz w:val="24"/>
          <w:szCs w:val="24"/>
          <w:shd w:val="clear" w:color="auto" w:fill="FFFFFF"/>
          <w:lang w:val="en-US" w:eastAsia="zh-CN"/>
        </w:rPr>
        <w:t>人</w:t>
      </w:r>
      <w:r>
        <w:rPr>
          <w:rFonts w:hint="eastAsia" w:ascii="宋体" w:hAnsi="宋体" w:eastAsia="宋体" w:cs="宋体"/>
          <w:bCs/>
          <w:color w:val="auto"/>
          <w:sz w:val="24"/>
          <w:szCs w:val="24"/>
          <w:shd w:val="clear" w:color="auto" w:fill="FFFFFF"/>
          <w:lang w:val="en-US" w:eastAsia="zh-CN"/>
        </w:rPr>
        <w:t>要求完成医共体中心药房信息系统。</w:t>
      </w:r>
    </w:p>
    <w:p w14:paraId="54718676">
      <w:pPr>
        <w:pStyle w:val="4"/>
        <w:numPr>
          <w:ilvl w:val="0"/>
          <w:numId w:val="9"/>
        </w:numPr>
        <w:bidi w:val="0"/>
        <w:rPr>
          <w:rFonts w:hint="eastAsia"/>
          <w:color w:val="auto"/>
          <w:sz w:val="28"/>
          <w:szCs w:val="28"/>
          <w:lang w:eastAsia="zh-CN"/>
        </w:rPr>
      </w:pPr>
      <w:r>
        <w:rPr>
          <w:rFonts w:hint="eastAsia"/>
          <w:color w:val="auto"/>
          <w:sz w:val="28"/>
          <w:szCs w:val="28"/>
        </w:rPr>
        <w:t>采购标的的验收标准</w:t>
      </w:r>
      <w:r>
        <w:rPr>
          <w:rFonts w:hint="eastAsia"/>
          <w:color w:val="auto"/>
          <w:sz w:val="28"/>
          <w:szCs w:val="28"/>
          <w:lang w:eastAsia="zh-CN"/>
        </w:rPr>
        <w:t>：</w:t>
      </w:r>
    </w:p>
    <w:p w14:paraId="36EEF974">
      <w:pPr>
        <w:numPr>
          <w:ilvl w:val="0"/>
          <w:numId w:val="0"/>
        </w:numPr>
        <w:ind w:firstLine="480" w:firstLineChars="200"/>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采购人将严格按照采购文件规定的要求内容对服务单位进行验收。</w:t>
      </w:r>
    </w:p>
    <w:p w14:paraId="0C505670">
      <w:pPr>
        <w:pStyle w:val="4"/>
        <w:numPr>
          <w:ilvl w:val="0"/>
          <w:numId w:val="10"/>
        </w:numPr>
        <w:bidi w:val="0"/>
        <w:rPr>
          <w:rFonts w:hint="eastAsia"/>
          <w:color w:val="auto"/>
          <w:sz w:val="28"/>
          <w:szCs w:val="28"/>
        </w:rPr>
      </w:pPr>
      <w:r>
        <w:rPr>
          <w:rFonts w:hint="eastAsia"/>
          <w:color w:val="auto"/>
          <w:sz w:val="28"/>
          <w:szCs w:val="28"/>
        </w:rPr>
        <w:t>采购标的的其他技术、服务等要求。</w:t>
      </w:r>
    </w:p>
    <w:p w14:paraId="2565C8FD">
      <w:pPr>
        <w:pStyle w:val="60"/>
        <w:numPr>
          <w:ilvl w:val="0"/>
          <w:numId w:val="11"/>
        </w:numPr>
        <w:spacing w:line="360" w:lineRule="auto"/>
        <w:ind w:left="48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微软雅黑" w:hAnsi="微软雅黑" w:eastAsia="微软雅黑" w:cs="微软雅黑"/>
          <w:color w:val="auto"/>
          <w:lang w:val="en-US" w:eastAsia="zh-CN"/>
        </w:rPr>
        <w:t>★</w:t>
      </w:r>
      <w:r>
        <w:rPr>
          <w:rFonts w:hint="eastAsia" w:ascii="宋体" w:hAnsi="宋体" w:eastAsia="宋体" w:cs="宋体"/>
          <w:color w:val="auto"/>
          <w:kern w:val="2"/>
          <w:sz w:val="24"/>
          <w:szCs w:val="24"/>
          <w:highlight w:val="none"/>
          <w:lang w:val="en-US" w:eastAsia="zh-CN" w:bidi="ar-SA"/>
        </w:rPr>
        <w:t>提供的产品及服务必须具备完整性、连续性，所有功能流程相互衔接，如果本项目所述软件功能不能单独实现，需新增模块，其费用由成交供应商承担。</w:t>
      </w:r>
    </w:p>
    <w:p w14:paraId="0EA346E6">
      <w:pPr>
        <w:pStyle w:val="64"/>
        <w:numPr>
          <w:ilvl w:val="0"/>
          <w:numId w:val="11"/>
        </w:numPr>
        <w:spacing w:line="360" w:lineRule="auto"/>
        <w:ind w:left="480" w:leftChars="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微软雅黑" w:hAnsi="微软雅黑" w:eastAsia="微软雅黑" w:cs="微软雅黑"/>
          <w:color w:val="auto"/>
          <w:lang w:val="en-US" w:eastAsia="zh-CN"/>
        </w:rPr>
        <w:t>★</w:t>
      </w:r>
      <w:r>
        <w:rPr>
          <w:rFonts w:hint="eastAsia" w:ascii="宋体" w:hAnsi="宋体" w:eastAsia="宋体" w:cs="宋体"/>
          <w:color w:val="auto"/>
          <w:kern w:val="2"/>
          <w:sz w:val="24"/>
          <w:szCs w:val="24"/>
          <w:highlight w:val="none"/>
          <w:lang w:val="en-US" w:eastAsia="zh-CN" w:bidi="ar-SA"/>
        </w:rPr>
        <w:t>投标供应商根据医院实际情况，制定出详细、有序、安全稳妥的系统实施计划(含时间进度表),含本地化修改、测试、试运行、培训及上线计划等，承诺保证在合同规定时间内上线及信息系统的平稳过渡。</w:t>
      </w:r>
    </w:p>
    <w:p w14:paraId="330792A7">
      <w:pPr>
        <w:pStyle w:val="64"/>
        <w:numPr>
          <w:ilvl w:val="0"/>
          <w:numId w:val="11"/>
        </w:numPr>
        <w:spacing w:line="360" w:lineRule="auto"/>
        <w:ind w:left="480" w:leftChars="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为达到本项目各项功能所必须配置的硬件设施设备，投标供应商应当为采购人拟定配置清单，由采购人另行组织采购。</w:t>
      </w:r>
    </w:p>
    <w:p w14:paraId="1C0D0C05">
      <w:pPr>
        <w:pStyle w:val="64"/>
        <w:numPr>
          <w:ilvl w:val="0"/>
          <w:numId w:val="11"/>
        </w:numPr>
        <w:spacing w:line="360" w:lineRule="auto"/>
        <w:ind w:left="480" w:leftChars="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微软雅黑" w:hAnsi="微软雅黑" w:eastAsia="微软雅黑" w:cs="微软雅黑"/>
          <w:color w:val="auto"/>
          <w:lang w:val="en-US" w:eastAsia="zh-CN"/>
        </w:rPr>
        <w:t>★</w:t>
      </w:r>
      <w:r>
        <w:rPr>
          <w:rFonts w:hint="eastAsia" w:ascii="宋体" w:hAnsi="宋体" w:eastAsia="宋体" w:cs="宋体"/>
          <w:color w:val="auto"/>
          <w:kern w:val="2"/>
          <w:sz w:val="24"/>
          <w:szCs w:val="24"/>
          <w:highlight w:val="none"/>
          <w:lang w:val="en-US" w:eastAsia="zh-CN" w:bidi="ar-SA"/>
        </w:rPr>
        <w:t>本项目报价包含软件系统3年运行维保的费用，3年后中标供应商需要收取的运维费须单独进行报价。维保费报价不得高于5万元/年。第一年中标供应商须派驻1名软件工程师免费驻场服务。</w:t>
      </w:r>
    </w:p>
    <w:p w14:paraId="6133DB42">
      <w:pPr>
        <w:pStyle w:val="64"/>
        <w:numPr>
          <w:ilvl w:val="0"/>
          <w:numId w:val="11"/>
        </w:numPr>
        <w:spacing w:line="360" w:lineRule="auto"/>
        <w:ind w:left="480" w:leftChars="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微软雅黑" w:hAnsi="微软雅黑" w:eastAsia="微软雅黑" w:cs="微软雅黑"/>
          <w:color w:val="auto"/>
          <w:lang w:val="en-US" w:eastAsia="zh-CN"/>
        </w:rPr>
        <w:t>★</w:t>
      </w:r>
      <w:r>
        <w:rPr>
          <w:rFonts w:hint="eastAsia" w:ascii="宋体" w:hAnsi="宋体" w:eastAsia="宋体" w:cs="宋体"/>
          <w:bCs/>
          <w:color w:val="auto"/>
          <w:kern w:val="2"/>
          <w:sz w:val="24"/>
          <w:szCs w:val="24"/>
          <w:u w:val="none"/>
          <w:shd w:val="clear" w:color="auto" w:fill="FFFFFF"/>
          <w:lang w:val="en-US" w:eastAsia="zh-CN" w:bidi="ar-SA"/>
        </w:rPr>
        <w:t>本项目不接受联合体投标。</w:t>
      </w:r>
    </w:p>
    <w:p w14:paraId="659F79BF">
      <w:pPr>
        <w:pStyle w:val="60"/>
        <w:numPr>
          <w:ilvl w:val="0"/>
          <w:numId w:val="0"/>
        </w:numPr>
        <w:ind w:left="480" w:leftChars="0"/>
        <w:rPr>
          <w:rFonts w:hint="default" w:ascii="仿宋_GB2312" w:hAnsi="仿宋_GB2312" w:eastAsia="仿宋_GB2312" w:cs="仿宋_GB2312"/>
          <w:color w:val="auto"/>
          <w:sz w:val="25"/>
          <w:lang w:val="en-US" w:eastAsia="zh-CN"/>
        </w:rPr>
      </w:pPr>
    </w:p>
    <w:p w14:paraId="724AE4EF">
      <w:pPr>
        <w:pStyle w:val="60"/>
        <w:ind w:left="0" w:leftChars="0" w:firstLine="0" w:firstLineChars="0"/>
        <w:rPr>
          <w:rFonts w:hint="eastAsia"/>
          <w:color w:val="auto"/>
        </w:rPr>
      </w:pPr>
    </w:p>
    <w:p w14:paraId="3F24FB13">
      <w:pPr>
        <w:pStyle w:val="2"/>
        <w:numPr>
          <w:ilvl w:val="0"/>
          <w:numId w:val="2"/>
        </w:numPr>
        <w:rPr>
          <w:rFonts w:hint="eastAsia"/>
          <w:color w:val="auto"/>
        </w:rPr>
      </w:pPr>
      <w:bookmarkStart w:id="224" w:name="_Toc24211"/>
      <w:bookmarkStart w:id="225" w:name="_Toc155185895"/>
      <w:r>
        <w:rPr>
          <w:rFonts w:hint="eastAsia"/>
          <w:color w:val="auto"/>
        </w:rPr>
        <w:t>资格审查方法及标准</w:t>
      </w:r>
      <w:bookmarkEnd w:id="224"/>
      <w:bookmarkEnd w:id="225"/>
    </w:p>
    <w:p w14:paraId="7B28C11F">
      <w:pPr>
        <w:pStyle w:val="42"/>
        <w:rPr>
          <w:rFonts w:hint="eastAsia"/>
          <w:color w:val="auto"/>
        </w:rPr>
      </w:pPr>
      <w:r>
        <w:rPr>
          <w:rFonts w:hint="eastAsia"/>
          <w:color w:val="auto"/>
        </w:rPr>
        <w:t>根据《中华人民共和国政府采购法》及其实施条例、《政府采购货物和服务招标投标管理办法》等相关法律法规确定以下资格审查方法和标准。</w:t>
      </w:r>
    </w:p>
    <w:p w14:paraId="4E8E3934">
      <w:pPr>
        <w:pStyle w:val="3"/>
        <w:numPr>
          <w:ilvl w:val="0"/>
          <w:numId w:val="12"/>
        </w:numPr>
        <w:rPr>
          <w:rFonts w:hint="eastAsia"/>
          <w:color w:val="auto"/>
          <w:lang w:val="zh-CN"/>
        </w:rPr>
      </w:pPr>
      <w:bookmarkStart w:id="226" w:name="_Toc140132822"/>
      <w:bookmarkStart w:id="227" w:name="_Toc155185897"/>
      <w:bookmarkStart w:id="228" w:name="_Toc20166"/>
      <w:r>
        <w:rPr>
          <w:rFonts w:hint="eastAsia"/>
          <w:color w:val="auto"/>
          <w:lang w:val="zh-CN"/>
        </w:rPr>
        <w:t>资格审查</w:t>
      </w:r>
      <w:bookmarkEnd w:id="226"/>
      <w:bookmarkEnd w:id="227"/>
      <w:r>
        <w:rPr>
          <w:rFonts w:hint="eastAsia"/>
          <w:color w:val="auto"/>
        </w:rPr>
        <w:t>方法</w:t>
      </w:r>
      <w:bookmarkEnd w:id="228"/>
    </w:p>
    <w:p w14:paraId="0ECC6724">
      <w:pPr>
        <w:ind w:firstLine="420"/>
        <w:rPr>
          <w:rFonts w:hint="eastAsia"/>
          <w:bCs/>
          <w:color w:val="auto"/>
          <w:lang w:val="zh-CN"/>
        </w:rPr>
      </w:pPr>
      <w:r>
        <w:rPr>
          <w:rFonts w:hint="eastAsia"/>
          <w:bCs/>
          <w:color w:val="auto"/>
          <w:lang w:val="zh-CN"/>
        </w:rPr>
        <w:t>开标结束后，采购人或采购代理机构依据法律、法规及招标文件的规定，对投标供应商的资格进行审查，以确定投标供应商资格是否合格。</w:t>
      </w:r>
    </w:p>
    <w:p w14:paraId="0C672F03">
      <w:pPr>
        <w:pStyle w:val="3"/>
        <w:numPr>
          <w:ilvl w:val="0"/>
          <w:numId w:val="12"/>
        </w:numPr>
        <w:rPr>
          <w:rFonts w:hint="eastAsia"/>
          <w:color w:val="auto"/>
          <w:lang w:val="zh-CN"/>
        </w:rPr>
      </w:pPr>
      <w:bookmarkStart w:id="229" w:name="_Toc16693"/>
      <w:r>
        <w:rPr>
          <w:rFonts w:hint="eastAsia"/>
          <w:color w:val="auto"/>
          <w:lang w:val="zh-CN"/>
        </w:rPr>
        <w:t>资格审查程序</w:t>
      </w:r>
      <w:bookmarkEnd w:id="229"/>
    </w:p>
    <w:p w14:paraId="43909D89">
      <w:pPr>
        <w:pStyle w:val="4"/>
        <w:numPr>
          <w:ilvl w:val="0"/>
          <w:numId w:val="13"/>
        </w:numPr>
        <w:rPr>
          <w:rFonts w:hint="eastAsia"/>
          <w:color w:val="auto"/>
        </w:rPr>
      </w:pPr>
      <w:bookmarkStart w:id="230" w:name="_Toc21252"/>
      <w:bookmarkStart w:id="231" w:name="_Toc155185898"/>
      <w:r>
        <w:rPr>
          <w:rFonts w:hint="eastAsia"/>
          <w:color w:val="auto"/>
          <w:lang w:val="zh-CN"/>
        </w:rPr>
        <w:t>资格审查</w:t>
      </w:r>
      <w:bookmarkEnd w:id="230"/>
      <w:bookmarkEnd w:id="231"/>
    </w:p>
    <w:p w14:paraId="35C16504">
      <w:pPr>
        <w:wordWrap w:val="0"/>
        <w:ind w:firstLine="420"/>
        <w:rPr>
          <w:rFonts w:hint="eastAsia" w:cs="Helvetica"/>
          <w:color w:val="auto"/>
          <w:szCs w:val="24"/>
          <w:lang w:val="zh-CN"/>
        </w:rPr>
      </w:pPr>
      <w:r>
        <w:rPr>
          <w:rFonts w:hint="eastAsia"/>
          <w:bCs/>
          <w:color w:val="auto"/>
          <w:szCs w:val="24"/>
          <w:lang w:val="zh-CN"/>
        </w:rPr>
        <w:t>1</w:t>
      </w:r>
      <w:r>
        <w:rPr>
          <w:bCs/>
          <w:color w:val="auto"/>
          <w:szCs w:val="24"/>
          <w:lang w:val="zh-CN"/>
        </w:rPr>
        <w:t>.</w:t>
      </w:r>
      <w:r>
        <w:rPr>
          <w:rFonts w:hint="eastAsia"/>
          <w:bCs/>
          <w:color w:val="auto"/>
          <w:szCs w:val="24"/>
          <w:lang w:val="zh-CN"/>
        </w:rPr>
        <w:t>开标结束后，采购人或采购代理机构</w:t>
      </w:r>
      <w:r>
        <w:rPr>
          <w:rFonts w:hint="eastAsia" w:cs="Helvetica"/>
          <w:color w:val="auto"/>
          <w:szCs w:val="24"/>
          <w:lang w:val="zh-CN"/>
        </w:rPr>
        <w:t>根据“第一章 投标邀请”中投标供应商资格要求并按本章“三</w:t>
      </w:r>
      <w:r>
        <w:rPr>
          <w:rFonts w:cs="Helvetica"/>
          <w:color w:val="auto"/>
          <w:szCs w:val="24"/>
          <w:lang w:val="zh-CN"/>
        </w:rPr>
        <w:t>、</w:t>
      </w:r>
      <w:r>
        <w:rPr>
          <w:rFonts w:hint="eastAsia" w:cs="Helvetica"/>
          <w:color w:val="auto"/>
          <w:szCs w:val="24"/>
          <w:lang w:val="zh-CN"/>
        </w:rPr>
        <w:t>资格审查标准”所列的内容，对投标供应商资格进行审查，不满足资格审查标准要求的按</w:t>
      </w:r>
      <w:r>
        <w:rPr>
          <w:rFonts w:hint="eastAsia" w:cs="Helvetica"/>
          <w:b/>
          <w:color w:val="auto"/>
          <w:szCs w:val="24"/>
          <w:lang w:val="zh-CN"/>
        </w:rPr>
        <w:t>无效投标处理</w:t>
      </w:r>
      <w:r>
        <w:rPr>
          <w:rFonts w:hint="eastAsia" w:cs="Helvetica"/>
          <w:color w:val="auto"/>
          <w:szCs w:val="24"/>
          <w:lang w:val="zh-CN"/>
        </w:rPr>
        <w:t>。</w:t>
      </w:r>
      <w:bookmarkStart w:id="232" w:name="_Toc102116150"/>
      <w:bookmarkStart w:id="233" w:name="_Toc102119851"/>
      <w:bookmarkStart w:id="234" w:name="_Toc102114918"/>
      <w:bookmarkStart w:id="235" w:name="_Toc102056216"/>
      <w:bookmarkStart w:id="236" w:name="_Toc102116020"/>
      <w:bookmarkStart w:id="237" w:name="_Toc102057716"/>
      <w:bookmarkStart w:id="238" w:name="_Toc102119874"/>
      <w:bookmarkStart w:id="239" w:name="_Toc102116043"/>
      <w:bookmarkStart w:id="240" w:name="_Toc102057739"/>
      <w:bookmarkStart w:id="241" w:name="_Toc102056239"/>
      <w:bookmarkStart w:id="242" w:name="_Toc102114941"/>
      <w:bookmarkStart w:id="243" w:name="_Toc102116173"/>
    </w:p>
    <w:bookmarkEnd w:id="232"/>
    <w:bookmarkEnd w:id="233"/>
    <w:bookmarkEnd w:id="234"/>
    <w:bookmarkEnd w:id="235"/>
    <w:bookmarkEnd w:id="236"/>
    <w:bookmarkEnd w:id="237"/>
    <w:p w14:paraId="66EE9DE3">
      <w:pPr>
        <w:pStyle w:val="4"/>
        <w:numPr>
          <w:ilvl w:val="0"/>
          <w:numId w:val="13"/>
        </w:numPr>
        <w:rPr>
          <w:rFonts w:hint="eastAsia"/>
          <w:color w:val="auto"/>
          <w:lang w:val="zh-CN"/>
        </w:rPr>
      </w:pPr>
      <w:bookmarkStart w:id="244" w:name="_Toc2997"/>
      <w:bookmarkStart w:id="245" w:name="_Toc155185900"/>
      <w:r>
        <w:rPr>
          <w:rFonts w:hint="eastAsia"/>
          <w:color w:val="auto"/>
          <w:lang w:val="zh-CN"/>
        </w:rPr>
        <w:t>信</w:t>
      </w:r>
      <w:bookmarkStart w:id="246" w:name="_Hlk162301965"/>
      <w:r>
        <w:rPr>
          <w:rFonts w:hint="eastAsia"/>
          <w:color w:val="auto"/>
          <w:lang w:val="zh-CN"/>
        </w:rPr>
        <w:t>用信息核查</w:t>
      </w:r>
      <w:bookmarkEnd w:id="244"/>
      <w:bookmarkEnd w:id="246"/>
    </w:p>
    <w:p w14:paraId="554644DF">
      <w:pPr>
        <w:pStyle w:val="42"/>
        <w:rPr>
          <w:rFonts w:hint="eastAsia"/>
          <w:color w:val="auto"/>
        </w:rPr>
      </w:pPr>
      <w:bookmarkStart w:id="247" w:name="_Hlk162301966"/>
      <w:r>
        <w:rPr>
          <w:rFonts w:hint="eastAsia"/>
          <w:color w:val="auto"/>
        </w:rPr>
        <w:t>1</w:t>
      </w:r>
      <w:r>
        <w:rPr>
          <w:color w:val="auto"/>
        </w:rPr>
        <w:t>.根据《关于在政府采购活动中查询及使用信用记录有关问题的通知》（财库〔2016〕125号）要求，</w:t>
      </w:r>
      <w:r>
        <w:rPr>
          <w:rFonts w:hint="eastAsia"/>
          <w:color w:val="auto"/>
        </w:rPr>
        <w:t>投标供应商</w:t>
      </w:r>
      <w:r>
        <w:rPr>
          <w:color w:val="auto"/>
        </w:rPr>
        <w:t>信用信息以“信用中国”网 (http://www.creditchina.gov.cn)和中国政府采购网(http://www.ccgp.gov.cn)查询的结果为准。</w:t>
      </w:r>
    </w:p>
    <w:p w14:paraId="6E7B80AD">
      <w:pPr>
        <w:pStyle w:val="42"/>
        <w:rPr>
          <w:rFonts w:hint="eastAsia"/>
          <w:color w:val="auto"/>
          <w:lang w:val="en-US"/>
        </w:rPr>
      </w:pPr>
      <w:r>
        <w:rPr>
          <w:color w:val="auto"/>
        </w:rPr>
        <w:t>2.资格审查当日应当核查</w:t>
      </w:r>
      <w:r>
        <w:rPr>
          <w:rFonts w:hint="eastAsia"/>
          <w:color w:val="auto"/>
        </w:rPr>
        <w:t>投标供应商</w:t>
      </w:r>
      <w:r>
        <w:rPr>
          <w:color w:val="auto"/>
        </w:rPr>
        <w:t>信用记录，</w:t>
      </w:r>
      <w:r>
        <w:rPr>
          <w:rFonts w:hint="eastAsia"/>
          <w:color w:val="auto"/>
        </w:rPr>
        <w:t>投标供应商</w:t>
      </w:r>
      <w:r>
        <w:rPr>
          <w:color w:val="auto"/>
        </w:rPr>
        <w:t>被列入失信被执行人、重大税收违法失信主体、政府采购严重违法失信行为记录名单的，</w:t>
      </w:r>
      <w:r>
        <w:rPr>
          <w:rFonts w:hint="eastAsia"/>
          <w:color w:val="auto"/>
        </w:rPr>
        <w:t>采购代理机构</w:t>
      </w:r>
      <w:r>
        <w:rPr>
          <w:color w:val="auto"/>
        </w:rPr>
        <w:t>拒绝其参加政府采购活动。</w:t>
      </w:r>
      <w:r>
        <w:rPr>
          <w:rFonts w:hint="eastAsia"/>
          <w:color w:val="auto"/>
          <w:lang w:val="en-US"/>
        </w:rPr>
        <w:t>具体以采购代理机构在投标截止后2小时内查询结果为准。</w:t>
      </w:r>
    </w:p>
    <w:p w14:paraId="3807E671">
      <w:pPr>
        <w:pStyle w:val="42"/>
        <w:rPr>
          <w:rFonts w:hint="eastAsia"/>
          <w:color w:val="auto"/>
        </w:rPr>
      </w:pPr>
      <w:r>
        <w:rPr>
          <w:color w:val="auto"/>
        </w:rPr>
        <w:t>3</w:t>
      </w:r>
      <w:r>
        <w:rPr>
          <w:rFonts w:hint="eastAsia"/>
          <w:color w:val="auto"/>
        </w:rPr>
        <w:t>．</w:t>
      </w:r>
      <w:r>
        <w:rPr>
          <w:color w:val="auto"/>
        </w:rPr>
        <w:t>以联合体形式投标的，应当核查联合体所有成员的信用记录，联合体成员存在不良信用记录的，视同联合体存在不良信用信息。</w:t>
      </w:r>
    </w:p>
    <w:p w14:paraId="117FD573">
      <w:pPr>
        <w:pStyle w:val="42"/>
        <w:rPr>
          <w:rFonts w:hint="eastAsia"/>
          <w:color w:val="auto"/>
        </w:rPr>
      </w:pPr>
      <w:r>
        <w:rPr>
          <w:color w:val="auto"/>
        </w:rPr>
        <w:t>4.资格审查与评标工作未在同日进行的特殊情形下，</w:t>
      </w:r>
      <w:r>
        <w:rPr>
          <w:rFonts w:hint="eastAsia"/>
          <w:color w:val="auto"/>
        </w:rPr>
        <w:t>采购代理机构</w:t>
      </w:r>
      <w:r>
        <w:rPr>
          <w:color w:val="auto"/>
        </w:rPr>
        <w:t>工作人员在评标时应当对</w:t>
      </w:r>
      <w:r>
        <w:rPr>
          <w:rFonts w:hint="eastAsia"/>
          <w:color w:val="auto"/>
        </w:rPr>
        <w:t>投标供应商</w:t>
      </w:r>
      <w:r>
        <w:rPr>
          <w:color w:val="auto"/>
        </w:rPr>
        <w:t>的信用信息进行复核，发现评标当日存在不良信用信息的，由评标委员会按照符合性审查不合格作</w:t>
      </w:r>
      <w:r>
        <w:rPr>
          <w:b/>
          <w:bCs/>
          <w:color w:val="auto"/>
        </w:rPr>
        <w:t>无效投标</w:t>
      </w:r>
      <w:r>
        <w:rPr>
          <w:color w:val="auto"/>
        </w:rPr>
        <w:t>处理。</w:t>
      </w:r>
      <w:bookmarkEnd w:id="247"/>
    </w:p>
    <w:p w14:paraId="28D5178F">
      <w:pPr>
        <w:pStyle w:val="4"/>
        <w:numPr>
          <w:ilvl w:val="0"/>
          <w:numId w:val="13"/>
        </w:numPr>
        <w:rPr>
          <w:rFonts w:hint="eastAsia"/>
          <w:color w:val="auto"/>
          <w:lang w:val="zh-CN"/>
        </w:rPr>
      </w:pPr>
      <w:bookmarkStart w:id="248" w:name="_Toc23290"/>
      <w:r>
        <w:rPr>
          <w:rFonts w:hint="eastAsia"/>
          <w:color w:val="auto"/>
          <w:lang w:val="zh-CN"/>
        </w:rPr>
        <w:t>资格审查</w:t>
      </w:r>
      <w:bookmarkEnd w:id="238"/>
      <w:bookmarkEnd w:id="239"/>
      <w:bookmarkEnd w:id="240"/>
      <w:bookmarkEnd w:id="241"/>
      <w:bookmarkEnd w:id="242"/>
      <w:bookmarkEnd w:id="243"/>
      <w:r>
        <w:rPr>
          <w:rFonts w:hint="eastAsia"/>
          <w:color w:val="auto"/>
          <w:lang w:val="zh-CN"/>
        </w:rPr>
        <w:t>结果</w:t>
      </w:r>
      <w:bookmarkEnd w:id="245"/>
      <w:bookmarkEnd w:id="248"/>
    </w:p>
    <w:p w14:paraId="6653FB7E">
      <w:pPr>
        <w:pStyle w:val="42"/>
        <w:rPr>
          <w:rFonts w:hint="eastAsia"/>
          <w:color w:val="auto"/>
        </w:rPr>
      </w:pPr>
      <w:r>
        <w:rPr>
          <w:color w:val="auto"/>
        </w:rPr>
        <w:t>1.</w:t>
      </w:r>
      <w:r>
        <w:rPr>
          <w:rFonts w:hint="eastAsia"/>
          <w:color w:val="auto"/>
        </w:rPr>
        <w:t>根据资格审查的情况，确定资格审查合格的投标供应商，并形成资格审查结果。</w:t>
      </w:r>
    </w:p>
    <w:p w14:paraId="4D04DAA9">
      <w:pPr>
        <w:pStyle w:val="42"/>
        <w:rPr>
          <w:rFonts w:hint="eastAsia"/>
          <w:color w:val="auto"/>
        </w:rPr>
      </w:pPr>
      <w:r>
        <w:rPr>
          <w:color w:val="auto"/>
        </w:rPr>
        <w:t>2.</w:t>
      </w:r>
      <w:r>
        <w:rPr>
          <w:rFonts w:hint="eastAsia"/>
          <w:color w:val="auto"/>
        </w:rPr>
        <w:t>资格审查合格投标供应商不足3家的，不得评标，应予以</w:t>
      </w:r>
      <w:r>
        <w:rPr>
          <w:rFonts w:hint="eastAsia"/>
          <w:b/>
          <w:bCs/>
          <w:color w:val="auto"/>
        </w:rPr>
        <w:t>废标</w:t>
      </w:r>
      <w:r>
        <w:rPr>
          <w:rFonts w:hint="eastAsia"/>
          <w:color w:val="auto"/>
        </w:rPr>
        <w:t>。</w:t>
      </w:r>
    </w:p>
    <w:p w14:paraId="472578BC">
      <w:pPr>
        <w:pStyle w:val="54"/>
        <w:rPr>
          <w:rFonts w:hint="eastAsia"/>
          <w:color w:val="auto"/>
        </w:rPr>
      </w:pPr>
    </w:p>
    <w:p w14:paraId="2932237E">
      <w:pPr>
        <w:pStyle w:val="54"/>
        <w:rPr>
          <w:rFonts w:hint="eastAsia"/>
          <w:color w:val="auto"/>
        </w:rPr>
      </w:pPr>
    </w:p>
    <w:p w14:paraId="5DE3DE10">
      <w:pPr>
        <w:pStyle w:val="54"/>
        <w:rPr>
          <w:rFonts w:hint="eastAsia"/>
          <w:color w:val="auto"/>
        </w:rPr>
        <w:sectPr>
          <w:pgSz w:w="11906" w:h="16838"/>
          <w:pgMar w:top="2064" w:right="1519" w:bottom="1723" w:left="1576" w:header="1247" w:footer="1134" w:gutter="0"/>
          <w:cols w:space="425" w:num="1"/>
          <w:docGrid w:type="lines" w:linePitch="312" w:charSpace="0"/>
        </w:sectPr>
      </w:pPr>
    </w:p>
    <w:p w14:paraId="2E2CFB95">
      <w:pPr>
        <w:pStyle w:val="3"/>
        <w:numPr>
          <w:ilvl w:val="0"/>
          <w:numId w:val="12"/>
        </w:numPr>
        <w:rPr>
          <w:rFonts w:hint="eastAsia"/>
          <w:color w:val="auto"/>
        </w:rPr>
      </w:pPr>
      <w:bookmarkStart w:id="249" w:name="_Toc30225"/>
      <w:bookmarkStart w:id="250" w:name="_Toc155185896"/>
      <w:bookmarkStart w:id="251" w:name="_Toc109899480"/>
      <w:bookmarkStart w:id="252" w:name="_Toc511894514"/>
      <w:bookmarkStart w:id="253" w:name="_Toc61280398"/>
      <w:bookmarkStart w:id="254" w:name="_Toc140132821"/>
      <w:bookmarkStart w:id="255" w:name="_Toc494561958"/>
      <w:bookmarkStart w:id="256" w:name="_Toc109900318"/>
      <w:bookmarkStart w:id="257" w:name="_Toc109899899"/>
      <w:bookmarkStart w:id="258" w:name="_Toc155185903"/>
      <w:r>
        <w:rPr>
          <w:rFonts w:hint="eastAsia" w:cs="宋体" w:asciiTheme="majorEastAsia" w:hAnsiTheme="majorEastAsia" w:eastAsiaTheme="majorEastAsia"/>
          <w:color w:val="auto"/>
          <w:kern w:val="0"/>
          <w:szCs w:val="21"/>
        </w:rPr>
        <w:t>资格审</w:t>
      </w:r>
      <w:r>
        <w:rPr>
          <w:rFonts w:hint="eastAsia" w:cs="宋体" w:asciiTheme="majorEastAsia" w:hAnsiTheme="majorEastAsia" w:eastAsiaTheme="majorEastAsia"/>
          <w:color w:val="auto"/>
          <w:kern w:val="0"/>
          <w:szCs w:val="21"/>
          <w:lang w:val="en-US" w:eastAsia="zh-CN"/>
        </w:rPr>
        <w:t>查</w:t>
      </w:r>
      <w:r>
        <w:rPr>
          <w:rFonts w:hint="eastAsia" w:cs="宋体" w:asciiTheme="majorEastAsia" w:hAnsiTheme="majorEastAsia" w:eastAsiaTheme="majorEastAsia"/>
          <w:color w:val="auto"/>
          <w:kern w:val="0"/>
          <w:szCs w:val="21"/>
        </w:rPr>
        <w:t>标准</w:t>
      </w:r>
      <w:bookmarkEnd w:id="249"/>
    </w:p>
    <w:tbl>
      <w:tblPr>
        <w:tblStyle w:val="3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3"/>
        <w:gridCol w:w="2666"/>
        <w:gridCol w:w="4787"/>
      </w:tblGrid>
      <w:tr w14:paraId="0741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shd w:val="clear" w:color="auto" w:fill="D8D8D8" w:themeFill="background1" w:themeFillShade="D9"/>
            <w:vAlign w:val="center"/>
          </w:tcPr>
          <w:p w14:paraId="2DFF615A">
            <w:pPr>
              <w:pStyle w:val="54"/>
              <w:jc w:val="center"/>
              <w:rPr>
                <w:rFonts w:hint="eastAsia"/>
                <w:b/>
                <w:bCs/>
                <w:color w:val="auto"/>
              </w:rPr>
            </w:pPr>
            <w:r>
              <w:rPr>
                <w:rFonts w:hint="eastAsia"/>
                <w:b/>
                <w:bCs/>
                <w:color w:val="auto"/>
              </w:rPr>
              <w:t>序号</w:t>
            </w:r>
          </w:p>
        </w:tc>
        <w:tc>
          <w:tcPr>
            <w:tcW w:w="2666" w:type="dxa"/>
            <w:shd w:val="clear" w:color="auto" w:fill="D8D8D8" w:themeFill="background1" w:themeFillShade="D9"/>
            <w:vAlign w:val="center"/>
          </w:tcPr>
          <w:p w14:paraId="37DBE8AE">
            <w:pPr>
              <w:pStyle w:val="54"/>
              <w:jc w:val="center"/>
              <w:rPr>
                <w:rFonts w:hint="eastAsia"/>
                <w:b/>
                <w:bCs/>
                <w:color w:val="auto"/>
              </w:rPr>
            </w:pPr>
            <w:r>
              <w:rPr>
                <w:rFonts w:hint="eastAsia"/>
                <w:b/>
                <w:bCs/>
                <w:color w:val="auto"/>
              </w:rPr>
              <w:t>资格要求</w:t>
            </w:r>
          </w:p>
        </w:tc>
        <w:tc>
          <w:tcPr>
            <w:tcW w:w="4787" w:type="dxa"/>
            <w:shd w:val="clear" w:color="auto" w:fill="D8D8D8" w:themeFill="background1" w:themeFillShade="D9"/>
            <w:vAlign w:val="center"/>
          </w:tcPr>
          <w:p w14:paraId="13264978">
            <w:pPr>
              <w:pStyle w:val="54"/>
              <w:jc w:val="center"/>
              <w:rPr>
                <w:rFonts w:hint="eastAsia"/>
                <w:b/>
                <w:bCs/>
                <w:color w:val="auto"/>
              </w:rPr>
            </w:pPr>
            <w:r>
              <w:rPr>
                <w:rFonts w:hint="eastAsia"/>
                <w:b/>
                <w:bCs/>
                <w:color w:val="auto"/>
              </w:rPr>
              <w:t>审查内容</w:t>
            </w:r>
          </w:p>
        </w:tc>
      </w:tr>
      <w:tr w14:paraId="2FD9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restart"/>
            <w:vAlign w:val="center"/>
          </w:tcPr>
          <w:p w14:paraId="79B02D1F">
            <w:pPr>
              <w:pStyle w:val="54"/>
              <w:numPr>
                <w:ilvl w:val="0"/>
                <w:numId w:val="14"/>
              </w:numPr>
              <w:rPr>
                <w:rFonts w:hint="eastAsia"/>
                <w:color w:val="auto"/>
              </w:rPr>
            </w:pPr>
          </w:p>
        </w:tc>
        <w:tc>
          <w:tcPr>
            <w:tcW w:w="2666" w:type="dxa"/>
            <w:vAlign w:val="center"/>
          </w:tcPr>
          <w:p w14:paraId="071CF34C">
            <w:pPr>
              <w:pStyle w:val="54"/>
              <w:jc w:val="both"/>
              <w:rPr>
                <w:rFonts w:hint="eastAsia"/>
                <w:color w:val="auto"/>
              </w:rPr>
            </w:pPr>
            <w:r>
              <w:rPr>
                <w:rFonts w:hint="eastAsia"/>
                <w:color w:val="auto"/>
              </w:rPr>
              <w:t>具有独立承担民事责任的能力</w:t>
            </w:r>
          </w:p>
        </w:tc>
        <w:tc>
          <w:tcPr>
            <w:tcW w:w="4787" w:type="dxa"/>
            <w:vAlign w:val="center"/>
          </w:tcPr>
          <w:p w14:paraId="3BFCA66B">
            <w:pPr>
              <w:pStyle w:val="54"/>
              <w:jc w:val="both"/>
              <w:rPr>
                <w:rFonts w:hint="eastAsia"/>
                <w:color w:val="auto"/>
              </w:rPr>
            </w:pPr>
            <w:r>
              <w:rPr>
                <w:color w:val="auto"/>
              </w:rPr>
              <w:t>法人或者其他组织的营业执照等证明文件，自然人的身份证明</w:t>
            </w:r>
            <w:r>
              <w:rPr>
                <w:rFonts w:hint="eastAsia"/>
                <w:color w:val="auto"/>
              </w:rPr>
              <w:t>。</w:t>
            </w:r>
          </w:p>
          <w:p w14:paraId="054A16FE">
            <w:pPr>
              <w:pStyle w:val="54"/>
              <w:jc w:val="both"/>
              <w:rPr>
                <w:rFonts w:hint="eastAsia"/>
                <w:color w:val="auto"/>
              </w:rPr>
            </w:pPr>
            <w:r>
              <w:rPr>
                <w:rFonts w:hint="eastAsia"/>
                <w:color w:val="auto"/>
              </w:rPr>
              <w:t>（1）企业应提供“营业执照”；</w:t>
            </w:r>
          </w:p>
          <w:p w14:paraId="460B2531">
            <w:pPr>
              <w:pStyle w:val="54"/>
              <w:jc w:val="both"/>
              <w:rPr>
                <w:rFonts w:hint="eastAsia"/>
                <w:color w:val="auto"/>
              </w:rPr>
            </w:pPr>
            <w:r>
              <w:rPr>
                <w:rFonts w:hint="eastAsia"/>
                <w:color w:val="auto"/>
              </w:rPr>
              <w:t>（2）事业单位应提供“事业单位法人证书”；</w:t>
            </w:r>
          </w:p>
          <w:p w14:paraId="7388623E">
            <w:pPr>
              <w:pStyle w:val="54"/>
              <w:jc w:val="both"/>
              <w:rPr>
                <w:rFonts w:hint="eastAsia"/>
                <w:color w:val="auto"/>
              </w:rPr>
            </w:pPr>
            <w:r>
              <w:rPr>
                <w:rFonts w:hint="eastAsia"/>
                <w:color w:val="auto"/>
              </w:rPr>
              <w:t>（3）非企业专业服务机构应提供执业许可证等证明文件；</w:t>
            </w:r>
          </w:p>
          <w:p w14:paraId="59AB6124">
            <w:pPr>
              <w:pStyle w:val="54"/>
              <w:jc w:val="both"/>
              <w:rPr>
                <w:rFonts w:hint="eastAsia"/>
                <w:color w:val="auto"/>
              </w:rPr>
            </w:pPr>
            <w:r>
              <w:rPr>
                <w:rFonts w:hint="eastAsia"/>
                <w:color w:val="auto"/>
              </w:rPr>
              <w:t>（4）个体工商户应提供“个体工商户营业执照”；</w:t>
            </w:r>
          </w:p>
          <w:p w14:paraId="13AD9ECB">
            <w:pPr>
              <w:pStyle w:val="54"/>
              <w:jc w:val="both"/>
              <w:rPr>
                <w:rFonts w:hint="eastAsia"/>
                <w:color w:val="auto"/>
              </w:rPr>
            </w:pPr>
            <w:r>
              <w:rPr>
                <w:rFonts w:hint="eastAsia"/>
                <w:color w:val="auto"/>
              </w:rPr>
              <w:t>（5）自然人应提供自然人身份证明。</w:t>
            </w:r>
          </w:p>
        </w:tc>
      </w:tr>
      <w:tr w14:paraId="7678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7A485613">
            <w:pPr>
              <w:pStyle w:val="54"/>
              <w:numPr>
                <w:ilvl w:val="0"/>
                <w:numId w:val="14"/>
              </w:numPr>
              <w:rPr>
                <w:rFonts w:hint="eastAsia"/>
                <w:color w:val="auto"/>
              </w:rPr>
            </w:pPr>
          </w:p>
        </w:tc>
        <w:tc>
          <w:tcPr>
            <w:tcW w:w="2666" w:type="dxa"/>
            <w:vAlign w:val="center"/>
          </w:tcPr>
          <w:p w14:paraId="75FB3783">
            <w:pPr>
              <w:pStyle w:val="54"/>
              <w:jc w:val="both"/>
              <w:rPr>
                <w:rFonts w:hint="eastAsia"/>
                <w:color w:val="auto"/>
              </w:rPr>
            </w:pPr>
            <w:r>
              <w:rPr>
                <w:rFonts w:hint="eastAsia"/>
                <w:color w:val="auto"/>
              </w:rPr>
              <w:t>具有良好的商业信誉和健全的财务会计制度</w:t>
            </w:r>
          </w:p>
        </w:tc>
        <w:tc>
          <w:tcPr>
            <w:tcW w:w="4787" w:type="dxa"/>
            <w:vAlign w:val="center"/>
          </w:tcPr>
          <w:p w14:paraId="775C4E78">
            <w:pPr>
              <w:pStyle w:val="54"/>
              <w:jc w:val="both"/>
              <w:rPr>
                <w:color w:val="auto"/>
              </w:rPr>
            </w:pPr>
            <w:r>
              <w:rPr>
                <w:rFonts w:hint="eastAsia"/>
                <w:color w:val="auto"/>
              </w:rPr>
              <w:t>由</w:t>
            </w:r>
            <w:r>
              <w:rPr>
                <w:rFonts w:hint="eastAsia"/>
                <w:color w:val="auto"/>
                <w:lang w:eastAsia="zh-CN"/>
              </w:rPr>
              <w:t>投标供应商</w:t>
            </w:r>
            <w:r>
              <w:rPr>
                <w:rFonts w:hint="eastAsia"/>
                <w:color w:val="auto"/>
              </w:rPr>
              <w:t>对以下内容提供书面承诺或声明，或提供相应证明材料。</w:t>
            </w:r>
          </w:p>
          <w:p w14:paraId="18D8492F">
            <w:pPr>
              <w:pStyle w:val="54"/>
              <w:jc w:val="both"/>
              <w:rPr>
                <w:color w:val="auto"/>
              </w:rPr>
            </w:pPr>
            <w:r>
              <w:rPr>
                <w:rFonts w:hint="eastAsia"/>
                <w:color w:val="auto"/>
              </w:rPr>
              <w:t>（1）</w:t>
            </w:r>
            <w:r>
              <w:rPr>
                <w:rFonts w:hint="eastAsia"/>
                <w:color w:val="auto"/>
                <w:lang w:eastAsia="zh-CN"/>
              </w:rPr>
              <w:t>投标供应商</w:t>
            </w:r>
            <w:r>
              <w:rPr>
                <w:rFonts w:hint="eastAsia"/>
                <w:color w:val="auto"/>
              </w:rPr>
              <w:t>是法人的，应具有上一年度（</w:t>
            </w:r>
            <w:r>
              <w:rPr>
                <w:rFonts w:hint="eastAsia"/>
                <w:color w:val="auto"/>
                <w:lang w:val="en-US" w:eastAsia="zh-CN"/>
              </w:rPr>
              <w:t>2024或2025</w:t>
            </w:r>
            <w:r>
              <w:rPr>
                <w:color w:val="auto"/>
              </w:rPr>
              <w:t>年度）经审计的财务报告，或其基本开户银行出具的资信证明。其他组织和自然人，没有经审计的财务报告，应具有银行出具的资信证明。</w:t>
            </w:r>
          </w:p>
          <w:p w14:paraId="4E99E6D8">
            <w:pPr>
              <w:pStyle w:val="54"/>
              <w:jc w:val="both"/>
              <w:rPr>
                <w:rFonts w:hint="eastAsia"/>
                <w:color w:val="auto"/>
              </w:rPr>
            </w:pPr>
            <w:r>
              <w:rPr>
                <w:rFonts w:hint="eastAsia"/>
                <w:color w:val="auto"/>
              </w:rPr>
              <w:t>（2）有专业担保机构对</w:t>
            </w:r>
            <w:r>
              <w:rPr>
                <w:rFonts w:hint="eastAsia"/>
                <w:color w:val="auto"/>
                <w:lang w:eastAsia="zh-CN"/>
              </w:rPr>
              <w:t>投标供应商</w:t>
            </w:r>
            <w:r>
              <w:rPr>
                <w:rFonts w:hint="eastAsia"/>
                <w:color w:val="auto"/>
              </w:rPr>
              <w:t>进行资信审查后出具投标担保函的，可以不用具备经审计的财务报告和银行资信证明文件</w:t>
            </w:r>
          </w:p>
        </w:tc>
      </w:tr>
      <w:tr w14:paraId="54B1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11E6B7D6">
            <w:pPr>
              <w:pStyle w:val="54"/>
              <w:numPr>
                <w:ilvl w:val="0"/>
                <w:numId w:val="14"/>
              </w:numPr>
              <w:rPr>
                <w:rFonts w:hint="eastAsia"/>
                <w:color w:val="auto"/>
              </w:rPr>
            </w:pPr>
          </w:p>
        </w:tc>
        <w:tc>
          <w:tcPr>
            <w:tcW w:w="2666" w:type="dxa"/>
            <w:vAlign w:val="center"/>
          </w:tcPr>
          <w:p w14:paraId="3465A3E8">
            <w:pPr>
              <w:pStyle w:val="54"/>
              <w:jc w:val="both"/>
              <w:rPr>
                <w:rFonts w:hint="eastAsia"/>
                <w:color w:val="auto"/>
              </w:rPr>
            </w:pPr>
            <w:r>
              <w:rPr>
                <w:rFonts w:hint="eastAsia"/>
                <w:color w:val="auto"/>
              </w:rPr>
              <w:t>具有履行合同所必需的设备和专业技术能力</w:t>
            </w:r>
          </w:p>
        </w:tc>
        <w:tc>
          <w:tcPr>
            <w:tcW w:w="4787" w:type="dxa"/>
            <w:vAlign w:val="center"/>
          </w:tcPr>
          <w:p w14:paraId="00504918">
            <w:pPr>
              <w:pStyle w:val="54"/>
              <w:jc w:val="both"/>
              <w:rPr>
                <w:rFonts w:hint="eastAsia"/>
                <w:color w:val="auto"/>
              </w:rPr>
            </w:pPr>
            <w:r>
              <w:rPr>
                <w:rFonts w:hint="eastAsia"/>
                <w:color w:val="auto"/>
              </w:rPr>
              <w:t>由</w:t>
            </w:r>
            <w:r>
              <w:rPr>
                <w:rFonts w:hint="eastAsia"/>
                <w:color w:val="auto"/>
                <w:lang w:eastAsia="zh-CN"/>
              </w:rPr>
              <w:t>投标供应商</w:t>
            </w:r>
            <w:r>
              <w:rPr>
                <w:rFonts w:hint="eastAsia"/>
                <w:color w:val="auto"/>
              </w:rPr>
              <w:t>提供书面承诺或声明，或提供相应证明材料。</w:t>
            </w:r>
          </w:p>
        </w:tc>
      </w:tr>
      <w:tr w14:paraId="2C2C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064B7C39">
            <w:pPr>
              <w:pStyle w:val="54"/>
              <w:numPr>
                <w:ilvl w:val="0"/>
                <w:numId w:val="14"/>
              </w:numPr>
              <w:rPr>
                <w:rFonts w:hint="eastAsia"/>
                <w:color w:val="auto"/>
              </w:rPr>
            </w:pPr>
          </w:p>
        </w:tc>
        <w:tc>
          <w:tcPr>
            <w:tcW w:w="2666" w:type="dxa"/>
            <w:vAlign w:val="center"/>
          </w:tcPr>
          <w:p w14:paraId="0AF7F892">
            <w:pPr>
              <w:pStyle w:val="54"/>
              <w:jc w:val="both"/>
              <w:rPr>
                <w:rFonts w:hint="eastAsia"/>
                <w:color w:val="auto"/>
              </w:rPr>
            </w:pPr>
            <w:r>
              <w:rPr>
                <w:rFonts w:hint="eastAsia"/>
                <w:color w:val="auto"/>
              </w:rPr>
              <w:t>有依法缴纳税收和社会保障资金的良好记录</w:t>
            </w:r>
          </w:p>
        </w:tc>
        <w:tc>
          <w:tcPr>
            <w:tcW w:w="4787" w:type="dxa"/>
            <w:vAlign w:val="center"/>
          </w:tcPr>
          <w:p w14:paraId="57766F46">
            <w:pPr>
              <w:pStyle w:val="54"/>
              <w:spacing w:line="240" w:lineRule="auto"/>
              <w:jc w:val="both"/>
              <w:rPr>
                <w:color w:val="auto"/>
              </w:rPr>
            </w:pPr>
            <w:r>
              <w:rPr>
                <w:rFonts w:hint="eastAsia"/>
                <w:color w:val="auto"/>
              </w:rPr>
              <w:t>由</w:t>
            </w:r>
            <w:r>
              <w:rPr>
                <w:rFonts w:hint="eastAsia"/>
                <w:color w:val="auto"/>
                <w:lang w:eastAsia="zh-CN"/>
              </w:rPr>
              <w:t>投标供应商</w:t>
            </w:r>
            <w:r>
              <w:rPr>
                <w:rFonts w:hint="eastAsia"/>
                <w:color w:val="auto"/>
              </w:rPr>
              <w:t>提供书面承诺或声明，或提供相应证明材料。</w:t>
            </w:r>
          </w:p>
          <w:p w14:paraId="41633C53">
            <w:pPr>
              <w:pStyle w:val="54"/>
              <w:spacing w:line="240" w:lineRule="auto"/>
              <w:jc w:val="both"/>
              <w:rPr>
                <w:color w:val="auto"/>
              </w:rPr>
            </w:pPr>
            <w:r>
              <w:rPr>
                <w:rFonts w:hint="eastAsia"/>
                <w:color w:val="auto"/>
              </w:rPr>
              <w:t>（1）</w:t>
            </w:r>
            <w:r>
              <w:rPr>
                <w:rFonts w:hint="eastAsia"/>
                <w:color w:val="auto"/>
                <w:lang w:eastAsia="zh-CN"/>
              </w:rPr>
              <w:t>投标供应商</w:t>
            </w:r>
            <w:r>
              <w:rPr>
                <w:rFonts w:hint="eastAsia"/>
                <w:color w:val="auto"/>
              </w:rPr>
              <w:t>依法缴纳税收：本项目公告发布时间前</w:t>
            </w:r>
            <w:r>
              <w:rPr>
                <w:rFonts w:hint="eastAsia"/>
                <w:color w:val="auto"/>
                <w:lang w:val="en-US" w:eastAsia="zh-CN"/>
              </w:rPr>
              <w:t>6</w:t>
            </w:r>
            <w:r>
              <w:rPr>
                <w:color w:val="auto"/>
              </w:rPr>
              <w:t>个月内（至少有1个月）缴纳税收的凭据（完税证、缴款书、印花税票、银行代扣（代缴）转账凭证等均可）；</w:t>
            </w:r>
          </w:p>
          <w:p w14:paraId="10FC5F99">
            <w:pPr>
              <w:pStyle w:val="54"/>
              <w:spacing w:line="240" w:lineRule="auto"/>
              <w:jc w:val="both"/>
              <w:rPr>
                <w:color w:val="auto"/>
              </w:rPr>
            </w:pPr>
            <w:r>
              <w:rPr>
                <w:rFonts w:hint="eastAsia"/>
                <w:color w:val="auto"/>
              </w:rPr>
              <w:t>（2）</w:t>
            </w:r>
            <w:r>
              <w:rPr>
                <w:rFonts w:hint="eastAsia"/>
                <w:color w:val="auto"/>
                <w:lang w:eastAsia="zh-CN"/>
              </w:rPr>
              <w:t>投标供应商</w:t>
            </w:r>
            <w:r>
              <w:rPr>
                <w:rFonts w:hint="eastAsia"/>
                <w:color w:val="auto"/>
              </w:rPr>
              <w:t>依法缴纳社会保障资金：本项目公告发布时间前</w:t>
            </w:r>
            <w:r>
              <w:rPr>
                <w:rFonts w:hint="eastAsia"/>
                <w:color w:val="auto"/>
                <w:lang w:val="en-US" w:eastAsia="zh-CN"/>
              </w:rPr>
              <w:t>6</w:t>
            </w:r>
            <w:r>
              <w:rPr>
                <w:color w:val="auto"/>
              </w:rPr>
              <w:t>个月内（至少有1个月）缴纳社会保险的凭据（专用收据或社会保险交纳清单）；</w:t>
            </w:r>
          </w:p>
          <w:p w14:paraId="36366C41">
            <w:pPr>
              <w:pStyle w:val="54"/>
              <w:spacing w:line="240" w:lineRule="auto"/>
              <w:jc w:val="both"/>
              <w:rPr>
                <w:color w:val="auto"/>
              </w:rPr>
            </w:pPr>
            <w:r>
              <w:rPr>
                <w:rFonts w:hint="eastAsia"/>
                <w:color w:val="auto"/>
              </w:rPr>
              <w:t>（3）</w:t>
            </w:r>
            <w:r>
              <w:rPr>
                <w:rFonts w:hint="eastAsia"/>
                <w:color w:val="auto"/>
                <w:lang w:eastAsia="zh-CN"/>
              </w:rPr>
              <w:t>投标供应商</w:t>
            </w:r>
            <w:r>
              <w:rPr>
                <w:rFonts w:hint="eastAsia"/>
                <w:color w:val="auto"/>
              </w:rPr>
              <w:t>为其他组织或自然人的，也应满足以上要求；</w:t>
            </w:r>
          </w:p>
          <w:p w14:paraId="0049CDA0">
            <w:pPr>
              <w:pStyle w:val="54"/>
              <w:spacing w:line="240" w:lineRule="auto"/>
              <w:jc w:val="both"/>
              <w:rPr>
                <w:color w:val="auto"/>
              </w:rPr>
            </w:pPr>
            <w:r>
              <w:rPr>
                <w:rFonts w:hint="eastAsia"/>
                <w:color w:val="auto"/>
              </w:rPr>
              <w:t>（4）递交投标文件截止时间的当月成立但因税务机关原因导致其尚未依法缴纳税收的</w:t>
            </w:r>
            <w:r>
              <w:rPr>
                <w:rFonts w:hint="eastAsia"/>
                <w:color w:val="auto"/>
                <w:lang w:eastAsia="zh-CN"/>
              </w:rPr>
              <w:t>投标供应商</w:t>
            </w:r>
            <w:r>
              <w:rPr>
                <w:rFonts w:hint="eastAsia"/>
                <w:color w:val="auto"/>
              </w:rPr>
              <w:t>，提供将依法缴纳税收承诺书原件（格式自拟），该承诺书视同税收缴纳凭据；</w:t>
            </w:r>
          </w:p>
          <w:p w14:paraId="358ABCCD">
            <w:pPr>
              <w:pStyle w:val="54"/>
              <w:spacing w:line="240" w:lineRule="auto"/>
              <w:jc w:val="both"/>
              <w:rPr>
                <w:color w:val="auto"/>
              </w:rPr>
            </w:pPr>
            <w:r>
              <w:rPr>
                <w:rFonts w:hint="eastAsia"/>
                <w:color w:val="auto"/>
              </w:rPr>
              <w:t>（5）递交投标文件截止时间的当月成立但因社会保障资金管理机关原因导致其尚未依法缴纳社会保障资金的</w:t>
            </w:r>
            <w:r>
              <w:rPr>
                <w:rFonts w:hint="eastAsia"/>
                <w:color w:val="auto"/>
                <w:lang w:eastAsia="zh-CN"/>
              </w:rPr>
              <w:t>投标供应商</w:t>
            </w:r>
            <w:r>
              <w:rPr>
                <w:rFonts w:hint="eastAsia"/>
                <w:color w:val="auto"/>
              </w:rPr>
              <w:t>，提供将依法缴纳社会保障资金承诺书原件（格式自拟），该承诺书视同社会保险凭据；</w:t>
            </w:r>
          </w:p>
          <w:p w14:paraId="0951642C">
            <w:pPr>
              <w:pStyle w:val="54"/>
              <w:spacing w:line="240" w:lineRule="auto"/>
              <w:jc w:val="both"/>
              <w:rPr>
                <w:rFonts w:hint="eastAsia"/>
                <w:color w:val="auto"/>
              </w:rPr>
            </w:pPr>
            <w:r>
              <w:rPr>
                <w:rFonts w:hint="eastAsia"/>
                <w:color w:val="auto"/>
              </w:rPr>
              <w:t>（6）依法免税或不需要缴纳社会保障资金的</w:t>
            </w:r>
            <w:r>
              <w:rPr>
                <w:rFonts w:hint="eastAsia"/>
                <w:color w:val="auto"/>
                <w:lang w:eastAsia="zh-CN"/>
              </w:rPr>
              <w:t>投标供应商</w:t>
            </w:r>
            <w:r>
              <w:rPr>
                <w:rFonts w:hint="eastAsia"/>
                <w:color w:val="auto"/>
              </w:rPr>
              <w:t>，具有相应文件证明其依法免税或不需要交纳社会保障资金。</w:t>
            </w:r>
          </w:p>
        </w:tc>
      </w:tr>
      <w:tr w14:paraId="6852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48A56D2A">
            <w:pPr>
              <w:pStyle w:val="54"/>
              <w:numPr>
                <w:ilvl w:val="0"/>
                <w:numId w:val="14"/>
              </w:numPr>
              <w:rPr>
                <w:rFonts w:hint="eastAsia"/>
                <w:color w:val="auto"/>
              </w:rPr>
            </w:pPr>
          </w:p>
        </w:tc>
        <w:tc>
          <w:tcPr>
            <w:tcW w:w="2666" w:type="dxa"/>
            <w:vAlign w:val="center"/>
          </w:tcPr>
          <w:p w14:paraId="451F76B3">
            <w:pPr>
              <w:pStyle w:val="54"/>
              <w:jc w:val="both"/>
              <w:rPr>
                <w:rFonts w:hint="eastAsia"/>
                <w:color w:val="auto"/>
              </w:rPr>
            </w:pPr>
            <w:r>
              <w:rPr>
                <w:rFonts w:hint="eastAsia"/>
                <w:color w:val="auto"/>
              </w:rPr>
              <w:t>参加政府采购活动前三年内，在经营活动中没有重大违法记录</w:t>
            </w:r>
          </w:p>
        </w:tc>
        <w:tc>
          <w:tcPr>
            <w:tcW w:w="4787" w:type="dxa"/>
            <w:vAlign w:val="center"/>
          </w:tcPr>
          <w:p w14:paraId="11F881C4">
            <w:pPr>
              <w:pStyle w:val="54"/>
              <w:jc w:val="both"/>
              <w:rPr>
                <w:rFonts w:hint="eastAsia"/>
                <w:color w:val="auto"/>
              </w:rPr>
            </w:pPr>
            <w:r>
              <w:rPr>
                <w:rFonts w:hint="eastAsia"/>
                <w:bCs/>
                <w:color w:val="auto"/>
              </w:rPr>
              <w:t>由</w:t>
            </w:r>
            <w:r>
              <w:rPr>
                <w:rFonts w:hint="eastAsia"/>
                <w:bCs/>
                <w:color w:val="auto"/>
                <w:lang w:eastAsia="zh-CN"/>
              </w:rPr>
              <w:t>投标供应商</w:t>
            </w:r>
            <w:r>
              <w:rPr>
                <w:rFonts w:hint="eastAsia"/>
                <w:bCs/>
                <w:color w:val="auto"/>
              </w:rPr>
              <w:t>提供书面承诺或声明</w:t>
            </w:r>
            <w:r>
              <w:rPr>
                <w:color w:val="auto"/>
              </w:rPr>
              <w:t>，或提供相应证明材料。</w:t>
            </w:r>
          </w:p>
        </w:tc>
      </w:tr>
      <w:tr w14:paraId="1D40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Merge w:val="continue"/>
            <w:vAlign w:val="center"/>
          </w:tcPr>
          <w:p w14:paraId="0415663C">
            <w:pPr>
              <w:pStyle w:val="54"/>
              <w:numPr>
                <w:ilvl w:val="0"/>
                <w:numId w:val="14"/>
              </w:numPr>
              <w:rPr>
                <w:rFonts w:hint="eastAsia"/>
                <w:color w:val="auto"/>
              </w:rPr>
            </w:pPr>
          </w:p>
        </w:tc>
        <w:tc>
          <w:tcPr>
            <w:tcW w:w="2666" w:type="dxa"/>
            <w:vAlign w:val="center"/>
          </w:tcPr>
          <w:p w14:paraId="79E3A162">
            <w:pPr>
              <w:pStyle w:val="54"/>
              <w:jc w:val="both"/>
              <w:rPr>
                <w:rFonts w:hint="eastAsia"/>
                <w:color w:val="auto"/>
              </w:rPr>
            </w:pPr>
            <w:r>
              <w:rPr>
                <w:rFonts w:hint="eastAsia"/>
                <w:color w:val="auto"/>
              </w:rPr>
              <w:t>法律、行政法规规定的其他条件</w:t>
            </w:r>
          </w:p>
        </w:tc>
        <w:tc>
          <w:tcPr>
            <w:tcW w:w="4787" w:type="dxa"/>
            <w:vAlign w:val="center"/>
          </w:tcPr>
          <w:p w14:paraId="03F31446">
            <w:pPr>
              <w:pStyle w:val="54"/>
              <w:jc w:val="both"/>
              <w:rPr>
                <w:rFonts w:hint="eastAsia" w:eastAsia="宋体"/>
                <w:color w:val="auto"/>
                <w:lang w:eastAsia="zh-CN"/>
              </w:rPr>
            </w:pPr>
            <w:r>
              <w:rPr>
                <w:rFonts w:hint="eastAsia"/>
                <w:bCs/>
                <w:color w:val="auto"/>
              </w:rPr>
              <w:t>无</w:t>
            </w:r>
            <w:r>
              <w:rPr>
                <w:rFonts w:hint="eastAsia"/>
                <w:bCs/>
                <w:color w:val="auto"/>
                <w:lang w:eastAsia="zh-CN"/>
              </w:rPr>
              <w:t>。</w:t>
            </w:r>
          </w:p>
        </w:tc>
      </w:tr>
      <w:tr w14:paraId="58A2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843" w:type="dxa"/>
            <w:vAlign w:val="center"/>
          </w:tcPr>
          <w:p w14:paraId="0B9EEB03">
            <w:pPr>
              <w:pStyle w:val="54"/>
              <w:numPr>
                <w:ilvl w:val="0"/>
                <w:numId w:val="14"/>
              </w:numPr>
              <w:rPr>
                <w:rFonts w:hint="eastAsia"/>
                <w:color w:val="auto"/>
              </w:rPr>
            </w:pPr>
          </w:p>
        </w:tc>
        <w:tc>
          <w:tcPr>
            <w:tcW w:w="2666" w:type="dxa"/>
          </w:tcPr>
          <w:p w14:paraId="7DC28CBA">
            <w:pPr>
              <w:pStyle w:val="54"/>
              <w:jc w:val="both"/>
              <w:rPr>
                <w:rFonts w:hint="eastAsia"/>
                <w:color w:val="auto"/>
              </w:rPr>
            </w:pPr>
            <w:r>
              <w:rPr>
                <w:rFonts w:hint="eastAsia"/>
                <w:color w:val="auto"/>
              </w:rPr>
              <w:t>落实政府采购政策需满足的资格要求</w:t>
            </w:r>
          </w:p>
        </w:tc>
        <w:tc>
          <w:tcPr>
            <w:tcW w:w="4787" w:type="dxa"/>
            <w:vAlign w:val="center"/>
          </w:tcPr>
          <w:p w14:paraId="60FE90EB">
            <w:pPr>
              <w:pStyle w:val="54"/>
              <w:jc w:val="both"/>
              <w:rPr>
                <w:rFonts w:hint="eastAsia" w:eastAsia="宋体"/>
                <w:color w:val="auto"/>
                <w:lang w:eastAsia="zh-CN"/>
              </w:rPr>
            </w:pPr>
            <w:r>
              <w:rPr>
                <w:rFonts w:hint="eastAsia"/>
                <w:color w:val="auto"/>
              </w:rPr>
              <w:t>无</w:t>
            </w:r>
            <w:r>
              <w:rPr>
                <w:rFonts w:hint="eastAsia"/>
                <w:color w:val="auto"/>
                <w:lang w:eastAsia="zh-CN"/>
              </w:rPr>
              <w:t>。</w:t>
            </w:r>
          </w:p>
        </w:tc>
      </w:tr>
      <w:tr w14:paraId="738D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46" w:hRule="atLeast"/>
          <w:jc w:val="center"/>
        </w:trPr>
        <w:tc>
          <w:tcPr>
            <w:tcW w:w="843" w:type="dxa"/>
            <w:vAlign w:val="center"/>
          </w:tcPr>
          <w:p w14:paraId="6EB8246B">
            <w:pPr>
              <w:pStyle w:val="54"/>
              <w:numPr>
                <w:ilvl w:val="0"/>
                <w:numId w:val="14"/>
              </w:numPr>
              <w:rPr>
                <w:rFonts w:hint="eastAsia"/>
                <w:color w:val="auto"/>
              </w:rPr>
            </w:pPr>
          </w:p>
        </w:tc>
        <w:tc>
          <w:tcPr>
            <w:tcW w:w="2666" w:type="dxa"/>
            <w:vAlign w:val="center"/>
          </w:tcPr>
          <w:p w14:paraId="217C35DB">
            <w:pPr>
              <w:pStyle w:val="54"/>
              <w:jc w:val="both"/>
              <w:rPr>
                <w:rFonts w:hint="eastAsia"/>
                <w:color w:val="auto"/>
              </w:rPr>
            </w:pPr>
            <w:r>
              <w:rPr>
                <w:rFonts w:hint="eastAsia"/>
                <w:color w:val="auto"/>
              </w:rPr>
              <w:t>本项目的特定资格要求</w:t>
            </w:r>
          </w:p>
        </w:tc>
        <w:tc>
          <w:tcPr>
            <w:tcW w:w="4787" w:type="dxa"/>
            <w:vAlign w:val="center"/>
          </w:tcPr>
          <w:p w14:paraId="6987A7FB">
            <w:pPr>
              <w:rPr>
                <w:rFonts w:hint="eastAsia" w:cs="宋体"/>
                <w:color w:val="auto"/>
                <w:sz w:val="24"/>
                <w:szCs w:val="24"/>
              </w:rPr>
            </w:pPr>
            <w:r>
              <w:rPr>
                <w:rFonts w:hint="eastAsia" w:cs="宋体"/>
                <w:color w:val="auto"/>
                <w:sz w:val="24"/>
                <w:szCs w:val="24"/>
              </w:rPr>
              <w:t>（1）本项目不接受联合体投标。</w:t>
            </w:r>
          </w:p>
          <w:p w14:paraId="648542ED">
            <w:pPr>
              <w:rPr>
                <w:rFonts w:hint="eastAsia" w:cs="宋体"/>
                <w:color w:val="auto"/>
                <w:sz w:val="24"/>
                <w:szCs w:val="24"/>
              </w:rPr>
            </w:pPr>
            <w:r>
              <w:rPr>
                <w:rFonts w:hint="eastAsia" w:cs="宋体"/>
                <w:color w:val="auto"/>
                <w:sz w:val="24"/>
                <w:szCs w:val="24"/>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后2小时内在“信用中国”网站（www.creditchina.gov.cn）及中国政府采购网（http://www.ccgp.gov.cn/）查询结果为准。</w:t>
            </w:r>
          </w:p>
          <w:p w14:paraId="076E92E6">
            <w:pPr>
              <w:rPr>
                <w:rFonts w:hint="default" w:eastAsia="宋体"/>
                <w:color w:val="auto"/>
                <w:lang w:val="en-US" w:eastAsia="zh-CN"/>
              </w:rPr>
            </w:pPr>
            <w:r>
              <w:rPr>
                <w:rFonts w:hint="eastAsia" w:cs="宋体"/>
                <w:color w:val="auto"/>
                <w:sz w:val="24"/>
                <w:szCs w:val="24"/>
              </w:rPr>
              <w:t>（3）单位负责人为同一人或者存在直接控股、管理关系的不同供应商，不得同时参加本采购项目（或采购包）投标（响应）。</w:t>
            </w:r>
          </w:p>
        </w:tc>
      </w:tr>
    </w:tbl>
    <w:p w14:paraId="0893721D">
      <w:pPr>
        <w:rPr>
          <w:rFonts w:hint="eastAsia"/>
          <w:b/>
          <w:bCs/>
          <w:color w:val="auto"/>
        </w:rPr>
      </w:pPr>
      <w:r>
        <w:rPr>
          <w:rFonts w:hint="eastAsia"/>
          <w:b/>
          <w:bCs/>
          <w:color w:val="auto"/>
        </w:rPr>
        <w:t>备注：</w:t>
      </w:r>
    </w:p>
    <w:p w14:paraId="1A3F0F9F">
      <w:pPr>
        <w:pStyle w:val="44"/>
        <w:numPr>
          <w:ilvl w:val="0"/>
          <w:numId w:val="15"/>
        </w:numPr>
        <w:rPr>
          <w:rFonts w:hint="eastAsia"/>
          <w:color w:val="auto"/>
        </w:rPr>
      </w:pPr>
      <w:r>
        <w:rPr>
          <w:color w:val="auto"/>
        </w:rPr>
        <w:t>资格证明文件应为原件的扫描件或复印件，投标文件中须编入清晰的扫描件或复印件。所有证明材料须清晰可辨认，如因证明材料模糊无法辨认，缺页、漏页导致无法进行评审认定的责任由</w:t>
      </w:r>
      <w:r>
        <w:rPr>
          <w:rFonts w:hint="eastAsia"/>
          <w:color w:val="auto"/>
        </w:rPr>
        <w:t>投标供应商</w:t>
      </w:r>
      <w:r>
        <w:rPr>
          <w:color w:val="auto"/>
        </w:rPr>
        <w:t>自负。</w:t>
      </w:r>
    </w:p>
    <w:p w14:paraId="18F5A308">
      <w:pPr>
        <w:pStyle w:val="44"/>
        <w:numPr>
          <w:ilvl w:val="0"/>
          <w:numId w:val="15"/>
        </w:numPr>
        <w:rPr>
          <w:rFonts w:hint="eastAsia"/>
          <w:color w:val="auto"/>
        </w:rPr>
      </w:pPr>
      <w:r>
        <w:rPr>
          <w:rFonts w:hint="eastAsia"/>
          <w:color w:val="auto"/>
          <w:lang w:val="zh-CN"/>
        </w:rPr>
        <w:t>信用信息核</w:t>
      </w:r>
      <w:r>
        <w:rPr>
          <w:rFonts w:hint="eastAsia"/>
          <w:color w:val="auto"/>
        </w:rPr>
        <w:t>查</w:t>
      </w:r>
    </w:p>
    <w:p w14:paraId="0AB44ED3">
      <w:pPr>
        <w:pStyle w:val="42"/>
        <w:rPr>
          <w:rFonts w:hint="eastAsia"/>
          <w:color w:val="auto"/>
        </w:rPr>
      </w:pPr>
      <w:r>
        <w:rPr>
          <w:rFonts w:hint="eastAsia"/>
          <w:color w:val="auto"/>
        </w:rPr>
        <w:t>2</w:t>
      </w:r>
      <w:r>
        <w:rPr>
          <w:color w:val="auto"/>
        </w:rPr>
        <w:t>.1</w:t>
      </w:r>
      <w:r>
        <w:rPr>
          <w:rFonts w:hint="eastAsia"/>
          <w:color w:val="auto"/>
        </w:rPr>
        <w:t>资格审查当日应当核查投标供应商信用记录，投标供应商被列入失信被执行人、重大税收违法案件当事人名单、政府采购严重违法失信行为记录名单的，采购代理机构拒绝其参与政府采购活动。</w:t>
      </w:r>
    </w:p>
    <w:p w14:paraId="7FC2CB95">
      <w:pPr>
        <w:pStyle w:val="42"/>
        <w:rPr>
          <w:rFonts w:hint="eastAsia"/>
          <w:color w:val="auto"/>
        </w:rPr>
      </w:pPr>
      <w:r>
        <w:rPr>
          <w:rFonts w:hint="eastAsia"/>
          <w:color w:val="auto"/>
        </w:rPr>
        <w:t>2</w:t>
      </w:r>
      <w:r>
        <w:rPr>
          <w:color w:val="auto"/>
        </w:rPr>
        <w:t>.2</w:t>
      </w:r>
      <w:r>
        <w:rPr>
          <w:rFonts w:hint="eastAsia"/>
          <w:color w:val="auto"/>
        </w:rPr>
        <w:t>以联合体形式投标的，应当核查联合体所有成员和信用记录，联合体成员存在不良信用记录的，视同联合体存在不良信用信息。</w:t>
      </w:r>
    </w:p>
    <w:p w14:paraId="4D886ECE">
      <w:pPr>
        <w:pStyle w:val="44"/>
        <w:numPr>
          <w:ilvl w:val="0"/>
          <w:numId w:val="15"/>
        </w:numPr>
        <w:rPr>
          <w:rFonts w:hint="eastAsia"/>
          <w:color w:val="auto"/>
        </w:rPr>
      </w:pPr>
      <w:r>
        <w:rPr>
          <w:color w:val="auto"/>
        </w:rPr>
        <w:t>对于投标文件中有任意一条不满足上表要求的将导致其</w:t>
      </w:r>
      <w:r>
        <w:rPr>
          <w:b/>
          <w:bCs/>
          <w:color w:val="auto"/>
        </w:rPr>
        <w:t>投标无效</w:t>
      </w:r>
      <w:r>
        <w:rPr>
          <w:color w:val="auto"/>
        </w:rPr>
        <w:t>，不进入下一项评审。</w:t>
      </w:r>
      <w:bookmarkEnd w:id="250"/>
      <w:bookmarkEnd w:id="251"/>
      <w:bookmarkEnd w:id="252"/>
      <w:bookmarkEnd w:id="253"/>
      <w:bookmarkEnd w:id="254"/>
      <w:bookmarkEnd w:id="255"/>
      <w:bookmarkEnd w:id="256"/>
      <w:bookmarkEnd w:id="257"/>
    </w:p>
    <w:p w14:paraId="7CD30043">
      <w:pPr>
        <w:pStyle w:val="54"/>
        <w:rPr>
          <w:rFonts w:hint="eastAsia"/>
          <w:color w:val="auto"/>
        </w:rPr>
      </w:pPr>
      <w:r>
        <w:rPr>
          <w:color w:val="auto"/>
        </w:rPr>
        <w:br w:type="page"/>
      </w:r>
    </w:p>
    <w:p w14:paraId="1E0B4538">
      <w:pPr>
        <w:pStyle w:val="2"/>
        <w:numPr>
          <w:ilvl w:val="0"/>
          <w:numId w:val="2"/>
        </w:numPr>
        <w:rPr>
          <w:rFonts w:hint="eastAsia"/>
          <w:color w:val="auto"/>
        </w:rPr>
      </w:pPr>
      <w:bookmarkStart w:id="259" w:name="_Toc27463"/>
      <w:r>
        <w:rPr>
          <w:rFonts w:hint="eastAsia"/>
          <w:color w:val="auto"/>
        </w:rPr>
        <w:t>评标办法</w:t>
      </w:r>
      <w:bookmarkEnd w:id="258"/>
      <w:r>
        <w:rPr>
          <w:rFonts w:hint="eastAsia"/>
          <w:color w:val="auto"/>
        </w:rPr>
        <w:t>及标准</w:t>
      </w:r>
      <w:bookmarkEnd w:id="259"/>
    </w:p>
    <w:p w14:paraId="59DFA5FD">
      <w:pPr>
        <w:pStyle w:val="42"/>
        <w:rPr>
          <w:rFonts w:hint="eastAsia"/>
          <w:color w:val="auto"/>
        </w:rPr>
      </w:pPr>
      <w:r>
        <w:rPr>
          <w:rFonts w:hint="eastAsia"/>
          <w:color w:val="auto"/>
        </w:rPr>
        <w:t>根据《中华人民共和国政府采购法》及其实施条例、《政府采购货物和服务招标投标管理办法》相关法律法规确定以下评标办法及标准。</w:t>
      </w:r>
    </w:p>
    <w:p w14:paraId="69A41D9B">
      <w:pPr>
        <w:pStyle w:val="3"/>
        <w:numPr>
          <w:ilvl w:val="0"/>
          <w:numId w:val="16"/>
        </w:numPr>
        <w:rPr>
          <w:rFonts w:hint="eastAsia"/>
          <w:color w:val="auto"/>
          <w:lang w:val="zh-CN"/>
        </w:rPr>
      </w:pPr>
      <w:bookmarkStart w:id="260" w:name="_Toc21664"/>
      <w:bookmarkStart w:id="261" w:name="_Toc140132826"/>
      <w:bookmarkStart w:id="262" w:name="_Toc61280402"/>
      <w:bookmarkStart w:id="263" w:name="_Toc109899484"/>
      <w:bookmarkStart w:id="264" w:name="_Toc272247709"/>
      <w:bookmarkStart w:id="265" w:name="_Toc494561962"/>
      <w:bookmarkStart w:id="266" w:name="_Toc109899903"/>
      <w:bookmarkStart w:id="267" w:name="_Toc155185905"/>
      <w:bookmarkStart w:id="268" w:name="_Toc278891606"/>
      <w:bookmarkStart w:id="269" w:name="_Toc511894518"/>
      <w:bookmarkStart w:id="270" w:name="_Toc109900322"/>
      <w:r>
        <w:rPr>
          <w:rFonts w:hint="eastAsia"/>
          <w:color w:val="auto"/>
          <w:lang w:val="zh-CN"/>
        </w:rPr>
        <w:t>评标办法前附表</w:t>
      </w:r>
      <w:bookmarkEnd w:id="260"/>
    </w:p>
    <w:p w14:paraId="68A4F566">
      <w:pPr>
        <w:pStyle w:val="42"/>
        <w:rPr>
          <w:rFonts w:hint="eastAsia"/>
          <w:color w:val="auto"/>
        </w:rPr>
      </w:pPr>
      <w:r>
        <w:rPr>
          <w:rFonts w:hint="eastAsia"/>
          <w:color w:val="auto"/>
        </w:rPr>
        <w:t>下面所列资料是对评标方法和评标程序的具体补充和说明。如有矛盾，应以本表为准。</w:t>
      </w:r>
    </w:p>
    <w:tbl>
      <w:tblPr>
        <w:tblStyle w:val="33"/>
        <w:tblW w:w="8531"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0"/>
        <w:gridCol w:w="5841"/>
      </w:tblGrid>
      <w:tr w14:paraId="378E5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337FB0B">
            <w:pPr>
              <w:pStyle w:val="54"/>
              <w:jc w:val="center"/>
              <w:rPr>
                <w:rFonts w:hint="eastAsia"/>
                <w:b/>
                <w:bCs/>
                <w:color w:val="auto"/>
              </w:rPr>
            </w:pPr>
            <w:r>
              <w:rPr>
                <w:rFonts w:hint="eastAsia"/>
                <w:b/>
                <w:bCs/>
                <w:color w:val="auto"/>
              </w:rPr>
              <w:t>条款号</w:t>
            </w:r>
          </w:p>
        </w:tc>
        <w:tc>
          <w:tcPr>
            <w:tcW w:w="172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03E1612">
            <w:pPr>
              <w:pStyle w:val="54"/>
              <w:jc w:val="center"/>
              <w:rPr>
                <w:rFonts w:hint="eastAsia"/>
                <w:b/>
                <w:bCs/>
                <w:color w:val="auto"/>
              </w:rPr>
            </w:pPr>
            <w:r>
              <w:rPr>
                <w:rFonts w:hint="eastAsia"/>
                <w:b/>
                <w:bCs/>
                <w:color w:val="auto"/>
              </w:rPr>
              <w:t>条款名称</w:t>
            </w:r>
          </w:p>
        </w:tc>
        <w:tc>
          <w:tcPr>
            <w:tcW w:w="5841"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BAF8047">
            <w:pPr>
              <w:pStyle w:val="54"/>
              <w:jc w:val="center"/>
              <w:rPr>
                <w:rFonts w:hint="eastAsia"/>
                <w:b/>
                <w:bCs/>
                <w:color w:val="auto"/>
              </w:rPr>
            </w:pPr>
            <w:r>
              <w:rPr>
                <w:rFonts w:hint="eastAsia"/>
                <w:b/>
                <w:bCs/>
                <w:color w:val="auto"/>
              </w:rPr>
              <w:t>内  容</w:t>
            </w:r>
          </w:p>
        </w:tc>
      </w:tr>
      <w:tr w14:paraId="525AAD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44" w:hRule="atLeast"/>
        </w:trPr>
        <w:tc>
          <w:tcPr>
            <w:tcW w:w="970" w:type="dxa"/>
            <w:tcBorders>
              <w:top w:val="single" w:color="auto" w:sz="4" w:space="0"/>
            </w:tcBorders>
            <w:vAlign w:val="center"/>
          </w:tcPr>
          <w:p w14:paraId="4F0695F0">
            <w:pPr>
              <w:pStyle w:val="54"/>
              <w:jc w:val="center"/>
              <w:rPr>
                <w:rFonts w:hint="eastAsia"/>
                <w:color w:val="auto"/>
              </w:rPr>
            </w:pPr>
            <w:r>
              <w:rPr>
                <w:color w:val="auto"/>
              </w:rPr>
              <w:t>7.1</w:t>
            </w:r>
          </w:p>
        </w:tc>
        <w:tc>
          <w:tcPr>
            <w:tcW w:w="1720" w:type="dxa"/>
            <w:tcBorders>
              <w:top w:val="single" w:color="auto" w:sz="4" w:space="0"/>
            </w:tcBorders>
            <w:vAlign w:val="center"/>
          </w:tcPr>
          <w:p w14:paraId="24ED7D73">
            <w:pPr>
              <w:pStyle w:val="54"/>
              <w:rPr>
                <w:rFonts w:hint="eastAsia"/>
                <w:color w:val="auto"/>
              </w:rPr>
            </w:pPr>
            <w:r>
              <w:rPr>
                <w:rFonts w:hint="eastAsia"/>
                <w:color w:val="auto"/>
              </w:rPr>
              <w:t>报价</w:t>
            </w:r>
            <w:r>
              <w:rPr>
                <w:color w:val="auto"/>
              </w:rPr>
              <w:t>修正</w:t>
            </w:r>
            <w:r>
              <w:rPr>
                <w:rFonts w:hint="eastAsia"/>
                <w:color w:val="auto"/>
              </w:rPr>
              <w:t>规定</w:t>
            </w:r>
          </w:p>
        </w:tc>
        <w:tc>
          <w:tcPr>
            <w:tcW w:w="5841" w:type="dxa"/>
            <w:tcBorders>
              <w:top w:val="single" w:color="auto" w:sz="4" w:space="0"/>
            </w:tcBorders>
            <w:vAlign w:val="center"/>
          </w:tcPr>
          <w:p w14:paraId="19AA538F">
            <w:pPr>
              <w:pStyle w:val="54"/>
              <w:rPr>
                <w:rFonts w:hint="eastAsia"/>
                <w:color w:val="auto"/>
              </w:rPr>
            </w:pPr>
            <w:r>
              <w:rPr>
                <w:rFonts w:hint="eastAsia"/>
                <w:color w:val="auto"/>
              </w:rPr>
              <w:t>（1）</w:t>
            </w:r>
            <w:r>
              <w:rPr>
                <w:color w:val="auto"/>
              </w:rPr>
              <w:t>投标文件中开标一览表内容与投标文件中相应内容不一致的，以开标一览表为准</w:t>
            </w:r>
            <w:r>
              <w:rPr>
                <w:rFonts w:hint="eastAsia"/>
                <w:color w:val="auto"/>
              </w:rPr>
              <w:t>；</w:t>
            </w:r>
          </w:p>
          <w:p w14:paraId="5C87E56B">
            <w:pPr>
              <w:pStyle w:val="54"/>
              <w:rPr>
                <w:rFonts w:hint="eastAsia"/>
                <w:color w:val="auto"/>
              </w:rPr>
            </w:pPr>
            <w:r>
              <w:rPr>
                <w:rFonts w:hint="eastAsia"/>
                <w:color w:val="auto"/>
              </w:rPr>
              <w:t>（2）</w:t>
            </w:r>
            <w:r>
              <w:rPr>
                <w:color w:val="auto"/>
              </w:rPr>
              <w:t>大写金额和小写金额不一致的，以大写金额为准</w:t>
            </w:r>
            <w:r>
              <w:rPr>
                <w:rFonts w:hint="eastAsia"/>
                <w:color w:val="auto"/>
              </w:rPr>
              <w:t>；</w:t>
            </w:r>
          </w:p>
          <w:p w14:paraId="55FF4BAF">
            <w:pPr>
              <w:pStyle w:val="54"/>
              <w:rPr>
                <w:rFonts w:hint="eastAsia"/>
                <w:color w:val="auto"/>
              </w:rPr>
            </w:pPr>
            <w:r>
              <w:rPr>
                <w:rFonts w:hint="eastAsia"/>
                <w:color w:val="auto"/>
              </w:rPr>
              <w:t>（3）</w:t>
            </w:r>
            <w:r>
              <w:rPr>
                <w:color w:val="auto"/>
              </w:rPr>
              <w:t>单价金额小数点或百分比有明显错位的，以开标一览表的总价为准，并修改单价</w:t>
            </w:r>
            <w:r>
              <w:rPr>
                <w:rFonts w:hint="eastAsia"/>
                <w:color w:val="auto"/>
              </w:rPr>
              <w:t>；</w:t>
            </w:r>
          </w:p>
          <w:p w14:paraId="29D6F3E7">
            <w:pPr>
              <w:pStyle w:val="54"/>
              <w:rPr>
                <w:rFonts w:hint="eastAsia"/>
                <w:color w:val="auto"/>
              </w:rPr>
            </w:pPr>
            <w:r>
              <w:rPr>
                <w:rFonts w:hint="eastAsia"/>
                <w:color w:val="auto"/>
              </w:rPr>
              <w:t>（4）</w:t>
            </w:r>
            <w:r>
              <w:rPr>
                <w:color w:val="auto"/>
              </w:rPr>
              <w:t>总价金额与按单价汇总金额不一致的，以单价金额计算结果为准</w:t>
            </w:r>
            <w:r>
              <w:rPr>
                <w:rFonts w:hint="eastAsia"/>
                <w:color w:val="auto"/>
              </w:rPr>
              <w:t>；</w:t>
            </w:r>
          </w:p>
          <w:p w14:paraId="1D67D219">
            <w:pPr>
              <w:pStyle w:val="54"/>
              <w:rPr>
                <w:rFonts w:hint="eastAsia"/>
                <w:color w:val="auto"/>
              </w:rPr>
            </w:pPr>
            <w:r>
              <w:rPr>
                <w:rFonts w:hint="eastAsia"/>
                <w:color w:val="auto"/>
              </w:rPr>
              <w:t>（5）</w:t>
            </w:r>
            <w:r>
              <w:rPr>
                <w:color w:val="auto"/>
              </w:rPr>
              <w:t>同时出现两种以上不一致的，按照前款规定的顺序修正</w:t>
            </w:r>
            <w:r>
              <w:rPr>
                <w:rFonts w:hint="eastAsia"/>
                <w:color w:val="auto"/>
              </w:rPr>
              <w:t>。</w:t>
            </w:r>
          </w:p>
        </w:tc>
      </w:tr>
      <w:tr w14:paraId="5CF052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32173E15">
            <w:pPr>
              <w:pStyle w:val="54"/>
              <w:jc w:val="center"/>
              <w:rPr>
                <w:rFonts w:hint="eastAsia"/>
                <w:color w:val="auto"/>
              </w:rPr>
            </w:pPr>
            <w:r>
              <w:rPr>
                <w:rFonts w:hint="eastAsia"/>
                <w:color w:val="auto"/>
              </w:rPr>
              <w:t>8</w:t>
            </w:r>
            <w:r>
              <w:rPr>
                <w:color w:val="auto"/>
              </w:rPr>
              <w:t>.2</w:t>
            </w:r>
          </w:p>
        </w:tc>
        <w:tc>
          <w:tcPr>
            <w:tcW w:w="1720" w:type="dxa"/>
            <w:vAlign w:val="center"/>
          </w:tcPr>
          <w:p w14:paraId="184EC1FD">
            <w:pPr>
              <w:pStyle w:val="54"/>
              <w:rPr>
                <w:rFonts w:hint="eastAsia"/>
                <w:color w:val="auto"/>
              </w:rPr>
            </w:pPr>
            <w:r>
              <w:rPr>
                <w:rFonts w:hint="eastAsia"/>
                <w:color w:val="auto"/>
              </w:rPr>
              <w:t>评标方法</w:t>
            </w:r>
          </w:p>
        </w:tc>
        <w:tc>
          <w:tcPr>
            <w:tcW w:w="5841" w:type="dxa"/>
            <w:vAlign w:val="center"/>
          </w:tcPr>
          <w:p w14:paraId="6F96234F">
            <w:pPr>
              <w:pStyle w:val="54"/>
              <w:rPr>
                <w:rFonts w:hint="eastAsia"/>
                <w:color w:val="auto"/>
              </w:rPr>
            </w:pPr>
            <w:r>
              <w:rPr>
                <w:rFonts w:hint="eastAsia"/>
                <w:color w:val="auto"/>
              </w:rPr>
              <w:t>综合评分法</w:t>
            </w:r>
          </w:p>
        </w:tc>
      </w:tr>
      <w:tr w14:paraId="39CAED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6AD14ED3">
            <w:pPr>
              <w:pStyle w:val="54"/>
              <w:jc w:val="center"/>
              <w:rPr>
                <w:rFonts w:hint="eastAsia" w:eastAsia="宋体"/>
                <w:color w:val="auto"/>
                <w:lang w:eastAsia="zh-CN"/>
              </w:rPr>
            </w:pPr>
            <w:r>
              <w:rPr>
                <w:rFonts w:hint="eastAsia"/>
                <w:color w:val="auto"/>
              </w:rPr>
              <w:t>1</w:t>
            </w:r>
            <w:r>
              <w:rPr>
                <w:rFonts w:hint="eastAsia"/>
                <w:color w:val="auto"/>
                <w:lang w:val="en-US" w:eastAsia="zh-CN"/>
              </w:rPr>
              <w:t>2</w:t>
            </w:r>
          </w:p>
        </w:tc>
        <w:tc>
          <w:tcPr>
            <w:tcW w:w="1720" w:type="dxa"/>
            <w:vAlign w:val="center"/>
          </w:tcPr>
          <w:p w14:paraId="1857E8A3">
            <w:pPr>
              <w:pStyle w:val="54"/>
              <w:rPr>
                <w:rFonts w:hint="eastAsia"/>
                <w:color w:val="auto"/>
              </w:rPr>
            </w:pPr>
            <w:r>
              <w:rPr>
                <w:rFonts w:hint="eastAsia"/>
                <w:color w:val="auto"/>
              </w:rPr>
              <w:t>中标候选人排序方式</w:t>
            </w:r>
          </w:p>
        </w:tc>
        <w:tc>
          <w:tcPr>
            <w:tcW w:w="5841" w:type="dxa"/>
            <w:vAlign w:val="center"/>
          </w:tcPr>
          <w:p w14:paraId="017C49C4">
            <w:pPr>
              <w:pStyle w:val="54"/>
              <w:rPr>
                <w:rFonts w:hint="eastAsia"/>
                <w:color w:val="auto"/>
              </w:rPr>
            </w:pPr>
            <w:r>
              <w:rPr>
                <w:rFonts w:hint="eastAsia"/>
                <w:color w:val="auto"/>
              </w:rPr>
              <w:sym w:font="Wingdings" w:char="00FE"/>
            </w:r>
            <w:r>
              <w:rPr>
                <w:color w:val="auto"/>
              </w:rPr>
              <w:t>评标结果</w:t>
            </w:r>
            <w:r>
              <w:rPr>
                <w:rFonts w:hint="eastAsia"/>
                <w:color w:val="auto"/>
              </w:rPr>
              <w:t>排序</w:t>
            </w:r>
            <w:r>
              <w:rPr>
                <w:color w:val="auto"/>
              </w:rPr>
              <w:t>按评审后得分由高到低顺序排列。得分相同的，按投标报价由低到高顺序排列。得分且投标报价相同的并列。投标文件满足招标文件全部实质性要求，且按照评审因素的量化指标评审得分最高的</w:t>
            </w:r>
            <w:r>
              <w:rPr>
                <w:rFonts w:hint="eastAsia"/>
                <w:color w:val="auto"/>
              </w:rPr>
              <w:t>投标供应商</w:t>
            </w:r>
            <w:r>
              <w:rPr>
                <w:color w:val="auto"/>
              </w:rPr>
              <w:t>为排名第一的中标候选人。</w:t>
            </w:r>
          </w:p>
          <w:p w14:paraId="02A8179D">
            <w:pPr>
              <w:pStyle w:val="54"/>
              <w:rPr>
                <w:rFonts w:hint="eastAsia"/>
                <w:color w:val="auto"/>
              </w:rPr>
            </w:pPr>
            <w:r>
              <w:rPr>
                <w:rFonts w:hint="eastAsia"/>
                <w:color w:val="auto"/>
              </w:rPr>
              <w:sym w:font="Wingdings" w:char="00A8"/>
            </w:r>
            <w:r>
              <w:rPr>
                <w:color w:val="auto"/>
              </w:rPr>
              <w:t>评标结果按照投标报价（因落实政府采购政策进行价格扣除的，以扣除后的价格计算）由低到高顺序排列。投标报价相同的并列。投标文件满足招标文件全部实质性要求且投标报价最低的</w:t>
            </w:r>
            <w:r>
              <w:rPr>
                <w:rFonts w:hint="eastAsia"/>
                <w:color w:val="auto"/>
              </w:rPr>
              <w:t>投标供应商</w:t>
            </w:r>
            <w:r>
              <w:rPr>
                <w:color w:val="auto"/>
              </w:rPr>
              <w:t>为排名第一的中标候选人。</w:t>
            </w:r>
          </w:p>
        </w:tc>
      </w:tr>
    </w:tbl>
    <w:p w14:paraId="358A0774">
      <w:pPr>
        <w:rPr>
          <w:rFonts w:hint="eastAsia"/>
          <w:b/>
          <w:bCs/>
          <w:color w:val="auto"/>
        </w:rPr>
      </w:pPr>
    </w:p>
    <w:p w14:paraId="54894AE2">
      <w:pPr>
        <w:pStyle w:val="3"/>
        <w:numPr>
          <w:ilvl w:val="0"/>
          <w:numId w:val="16"/>
        </w:numPr>
        <w:rPr>
          <w:rFonts w:hint="eastAsia"/>
          <w:color w:val="auto"/>
          <w:lang w:val="zh-CN"/>
        </w:rPr>
      </w:pPr>
      <w:bookmarkStart w:id="271" w:name="_Toc10327"/>
      <w:r>
        <w:rPr>
          <w:rFonts w:hint="eastAsia"/>
          <w:color w:val="auto"/>
          <w:lang w:val="zh-CN"/>
        </w:rPr>
        <w:t>评标程序</w:t>
      </w:r>
      <w:bookmarkEnd w:id="261"/>
      <w:bookmarkEnd w:id="262"/>
      <w:bookmarkEnd w:id="263"/>
      <w:bookmarkEnd w:id="264"/>
      <w:bookmarkEnd w:id="265"/>
      <w:bookmarkEnd w:id="266"/>
      <w:bookmarkEnd w:id="267"/>
      <w:bookmarkEnd w:id="268"/>
      <w:bookmarkEnd w:id="269"/>
      <w:bookmarkEnd w:id="270"/>
      <w:bookmarkEnd w:id="271"/>
    </w:p>
    <w:p w14:paraId="1F00466A">
      <w:pPr>
        <w:pStyle w:val="4"/>
        <w:numPr>
          <w:ilvl w:val="0"/>
          <w:numId w:val="17"/>
        </w:numPr>
        <w:rPr>
          <w:rFonts w:hint="eastAsia"/>
          <w:color w:val="auto"/>
          <w:lang w:val="zh-CN"/>
        </w:rPr>
      </w:pPr>
      <w:bookmarkStart w:id="272" w:name="_Toc32228"/>
      <w:r>
        <w:rPr>
          <w:rFonts w:hint="eastAsia"/>
          <w:color w:val="auto"/>
          <w:lang w:val="zh-CN"/>
        </w:rPr>
        <w:t>符合性审查</w:t>
      </w:r>
      <w:bookmarkEnd w:id="272"/>
    </w:p>
    <w:p w14:paraId="77E831A0">
      <w:pPr>
        <w:ind w:firstLine="470" w:firstLineChars="196"/>
        <w:rPr>
          <w:rFonts w:hint="eastAsia"/>
          <w:color w:val="auto"/>
          <w:lang w:val="zh-CN"/>
        </w:rPr>
      </w:pPr>
      <w:r>
        <w:rPr>
          <w:rFonts w:hint="eastAsia"/>
          <w:color w:val="auto"/>
          <w:lang w:val="zh-CN"/>
        </w:rPr>
        <w:t>评标委员会应当按照本章“三、评标标准”中“（一）符合性审查”的内容对通过资格审查的投标供应商的投标文件进行符合性审查，以确定其是否满足招标文件实质性要求。不满足招标文件实质性要求的按照</w:t>
      </w:r>
      <w:r>
        <w:rPr>
          <w:rFonts w:hint="eastAsia"/>
          <w:b/>
          <w:bCs/>
          <w:color w:val="auto"/>
          <w:lang w:val="zh-CN"/>
        </w:rPr>
        <w:t>无效投标处理</w:t>
      </w:r>
      <w:r>
        <w:rPr>
          <w:rFonts w:hint="eastAsia"/>
          <w:color w:val="auto"/>
          <w:lang w:val="zh-CN"/>
        </w:rPr>
        <w:t>。</w:t>
      </w:r>
    </w:p>
    <w:p w14:paraId="2E4583A5">
      <w:pPr>
        <w:pStyle w:val="4"/>
        <w:numPr>
          <w:ilvl w:val="0"/>
          <w:numId w:val="17"/>
        </w:numPr>
        <w:rPr>
          <w:rFonts w:hint="eastAsia"/>
          <w:color w:val="auto"/>
          <w:lang w:val="zh-CN"/>
        </w:rPr>
      </w:pPr>
      <w:bookmarkStart w:id="273" w:name="_Toc102114946"/>
      <w:bookmarkStart w:id="274" w:name="_Toc102057744"/>
      <w:bookmarkStart w:id="275" w:name="_Toc102119879"/>
      <w:bookmarkStart w:id="276" w:name="_Toc102056244"/>
      <w:bookmarkStart w:id="277" w:name="_Toc155185907"/>
      <w:bookmarkStart w:id="278" w:name="_Toc102116048"/>
      <w:bookmarkStart w:id="279" w:name="_Toc102116178"/>
      <w:bookmarkStart w:id="280" w:name="_Toc19286"/>
      <w:bookmarkStart w:id="281" w:name="_Toc492403836"/>
      <w:bookmarkStart w:id="282" w:name="_Toc493702305"/>
      <w:bookmarkStart w:id="283" w:name="_Toc27945260"/>
      <w:r>
        <w:rPr>
          <w:rFonts w:hint="eastAsia"/>
          <w:color w:val="auto"/>
          <w:lang w:val="zh-CN"/>
        </w:rPr>
        <w:t>投标文件澄清</w:t>
      </w:r>
      <w:bookmarkEnd w:id="273"/>
      <w:bookmarkEnd w:id="274"/>
      <w:bookmarkEnd w:id="275"/>
      <w:bookmarkEnd w:id="276"/>
      <w:bookmarkEnd w:id="277"/>
      <w:bookmarkEnd w:id="278"/>
      <w:bookmarkEnd w:id="279"/>
      <w:r>
        <w:rPr>
          <w:rFonts w:hint="eastAsia"/>
          <w:color w:val="auto"/>
        </w:rPr>
        <w:t>及修正</w:t>
      </w:r>
      <w:bookmarkEnd w:id="280"/>
    </w:p>
    <w:p w14:paraId="27029C7C">
      <w:pPr>
        <w:pStyle w:val="42"/>
        <w:rPr>
          <w:rFonts w:hint="eastAsia"/>
          <w:color w:val="auto"/>
        </w:rPr>
      </w:pPr>
      <w:r>
        <w:rPr>
          <w:color w:val="auto"/>
        </w:rPr>
        <w:t>3.</w:t>
      </w:r>
      <w:r>
        <w:rPr>
          <w:rFonts w:hint="eastAsia"/>
          <w:color w:val="auto"/>
        </w:rPr>
        <w:t>评标期间，</w:t>
      </w:r>
      <w:r>
        <w:rPr>
          <w:color w:val="auto"/>
        </w:rPr>
        <w:t>对于投标文件中含义不明确、同类问题表述不一致或者有明显文字和计算错误的内容，评标委员会</w:t>
      </w:r>
      <w:r>
        <w:rPr>
          <w:rFonts w:hint="eastAsia"/>
          <w:color w:val="auto"/>
        </w:rPr>
        <w:t>应当在交易系统中以书面的形式</w:t>
      </w:r>
      <w:r>
        <w:rPr>
          <w:color w:val="auto"/>
        </w:rPr>
        <w:t>要求</w:t>
      </w:r>
      <w:r>
        <w:rPr>
          <w:rFonts w:hint="eastAsia"/>
          <w:color w:val="auto"/>
        </w:rPr>
        <w:t>投标供应商作</w:t>
      </w:r>
      <w:r>
        <w:rPr>
          <w:color w:val="auto"/>
        </w:rPr>
        <w:t>出必要的澄清、说明或者补正。</w:t>
      </w:r>
    </w:p>
    <w:p w14:paraId="4A3977CD">
      <w:pPr>
        <w:pStyle w:val="42"/>
        <w:rPr>
          <w:rFonts w:hint="eastAsia"/>
          <w:color w:val="auto"/>
        </w:rPr>
      </w:pPr>
      <w:r>
        <w:rPr>
          <w:color w:val="auto"/>
        </w:rPr>
        <w:t>4.</w:t>
      </w:r>
      <w:r>
        <w:rPr>
          <w:rFonts w:hint="eastAsia"/>
          <w:color w:val="auto"/>
        </w:rPr>
        <w:t>投标供应商应按照评标委员会要求在规定时间内作出澄清、说明或者补正，</w:t>
      </w:r>
      <w:r>
        <w:rPr>
          <w:color w:val="auto"/>
        </w:rPr>
        <w:t>澄清、说明或者补正不得超出投标文件的范围或者改变投标文件的实质性内容。</w:t>
      </w:r>
    </w:p>
    <w:p w14:paraId="58266F6E">
      <w:pPr>
        <w:pStyle w:val="42"/>
        <w:rPr>
          <w:rFonts w:hint="eastAsia"/>
          <w:color w:val="auto"/>
        </w:rPr>
      </w:pPr>
      <w:r>
        <w:rPr>
          <w:color w:val="auto"/>
        </w:rPr>
        <w:t>5.</w:t>
      </w:r>
      <w:r>
        <w:rPr>
          <w:rFonts w:hint="eastAsia"/>
          <w:color w:val="auto"/>
        </w:rPr>
        <w:t>投标供应商的</w:t>
      </w:r>
      <w:r>
        <w:rPr>
          <w:color w:val="auto"/>
        </w:rPr>
        <w:t>澄清、说明或者补正</w:t>
      </w:r>
      <w:r>
        <w:rPr>
          <w:rFonts w:hint="eastAsia"/>
          <w:color w:val="auto"/>
        </w:rPr>
        <w:t>是其投标文件的有效组成部分，</w:t>
      </w:r>
      <w:r>
        <w:rPr>
          <w:color w:val="auto"/>
        </w:rPr>
        <w:t>澄清、说明或者补正应当</w:t>
      </w:r>
      <w:r>
        <w:rPr>
          <w:rFonts w:hint="eastAsia"/>
          <w:color w:val="auto"/>
        </w:rPr>
        <w:t>在交易系统中加盖电子印章后提交</w:t>
      </w:r>
      <w:r>
        <w:rPr>
          <w:color w:val="auto"/>
        </w:rPr>
        <w:t>。</w:t>
      </w:r>
    </w:p>
    <w:p w14:paraId="412E3972">
      <w:pPr>
        <w:pStyle w:val="42"/>
        <w:rPr>
          <w:rFonts w:hint="eastAsia"/>
          <w:color w:val="auto"/>
        </w:rPr>
      </w:pPr>
      <w:r>
        <w:rPr>
          <w:color w:val="auto"/>
        </w:rPr>
        <w:t>6.</w:t>
      </w:r>
      <w:r>
        <w:rPr>
          <w:rFonts w:hint="eastAsia"/>
          <w:color w:val="auto"/>
        </w:rPr>
        <w:t>报价合理性说明：</w:t>
      </w:r>
      <w:r>
        <w:rPr>
          <w:color w:val="auto"/>
        </w:rPr>
        <w:t>评标委员会认为</w:t>
      </w:r>
      <w:r>
        <w:rPr>
          <w:rFonts w:hint="eastAsia"/>
          <w:color w:val="auto"/>
        </w:rPr>
        <w:t>投标供应商</w:t>
      </w:r>
      <w:r>
        <w:rPr>
          <w:color w:val="auto"/>
        </w:rPr>
        <w:t>的报价明显低于其他通过</w:t>
      </w:r>
      <w:r>
        <w:rPr>
          <w:rFonts w:hint="eastAsia"/>
          <w:color w:val="auto"/>
        </w:rPr>
        <w:t>符合性审查投标供应商</w:t>
      </w:r>
      <w:r>
        <w:rPr>
          <w:color w:val="auto"/>
        </w:rPr>
        <w:t>的报价，有可能影响产品质量或者不能诚信履约的，应当要求其</w:t>
      </w:r>
      <w:r>
        <w:rPr>
          <w:rFonts w:hint="eastAsia"/>
          <w:color w:val="auto"/>
        </w:rPr>
        <w:t>在</w:t>
      </w:r>
      <w:r>
        <w:rPr>
          <w:color w:val="auto"/>
        </w:rPr>
        <w:t>合理的时间内提供说明，必要时提交相关证明材料；</w:t>
      </w:r>
      <w:r>
        <w:rPr>
          <w:rFonts w:hint="eastAsia"/>
          <w:color w:val="auto"/>
        </w:rPr>
        <w:t>投标供应商</w:t>
      </w:r>
      <w:r>
        <w:rPr>
          <w:color w:val="auto"/>
        </w:rPr>
        <w:t>不能证明其报价合理性的，评标委员</w:t>
      </w:r>
      <w:r>
        <w:rPr>
          <w:rFonts w:hint="eastAsia"/>
          <w:color w:val="auto"/>
        </w:rPr>
        <w:t>应当将其作为</w:t>
      </w:r>
      <w:r>
        <w:rPr>
          <w:b/>
          <w:bCs/>
          <w:color w:val="auto"/>
        </w:rPr>
        <w:t>无效投标</w:t>
      </w:r>
      <w:r>
        <w:rPr>
          <w:color w:val="auto"/>
        </w:rPr>
        <w:t>处理。</w:t>
      </w:r>
    </w:p>
    <w:p w14:paraId="4E490E84">
      <w:pPr>
        <w:pStyle w:val="42"/>
        <w:rPr>
          <w:rFonts w:hint="eastAsia"/>
          <w:color w:val="auto"/>
        </w:rPr>
      </w:pPr>
      <w:r>
        <w:rPr>
          <w:color w:val="auto"/>
        </w:rPr>
        <w:t>7.投标文件报价出现前后不一致的，按照下列规定修正：</w:t>
      </w:r>
    </w:p>
    <w:p w14:paraId="2EBE68B3">
      <w:pPr>
        <w:pStyle w:val="42"/>
        <w:rPr>
          <w:rFonts w:hint="eastAsia"/>
          <w:color w:val="auto"/>
        </w:rPr>
      </w:pPr>
      <w:r>
        <w:rPr>
          <w:color w:val="auto"/>
        </w:rPr>
        <w:t>7.1</w:t>
      </w:r>
      <w:r>
        <w:rPr>
          <w:rFonts w:hint="eastAsia"/>
          <w:color w:val="auto"/>
        </w:rPr>
        <w:t>报价</w:t>
      </w:r>
      <w:r>
        <w:rPr>
          <w:color w:val="auto"/>
        </w:rPr>
        <w:t>修正</w:t>
      </w:r>
      <w:r>
        <w:rPr>
          <w:rFonts w:hint="eastAsia"/>
          <w:color w:val="auto"/>
        </w:rPr>
        <w:t>规定见“</w:t>
      </w:r>
      <w:r>
        <w:rPr>
          <w:rFonts w:hint="eastAsia"/>
          <w:color w:val="auto"/>
          <w:lang w:val="en-US"/>
        </w:rPr>
        <w:t>评标办法前附表</w:t>
      </w:r>
      <w:r>
        <w:rPr>
          <w:rFonts w:hint="eastAsia"/>
          <w:color w:val="auto"/>
        </w:rPr>
        <w:t>”；</w:t>
      </w:r>
    </w:p>
    <w:p w14:paraId="2137B82C">
      <w:pPr>
        <w:pStyle w:val="42"/>
        <w:rPr>
          <w:rFonts w:hint="eastAsia"/>
          <w:color w:val="auto"/>
        </w:rPr>
      </w:pPr>
      <w:r>
        <w:rPr>
          <w:color w:val="auto"/>
        </w:rPr>
        <w:t>7.2修正后的报价按照</w:t>
      </w:r>
      <w:r>
        <w:rPr>
          <w:rFonts w:hint="eastAsia"/>
          <w:color w:val="auto"/>
        </w:rPr>
        <w:t>第</w:t>
      </w:r>
      <w:r>
        <w:rPr>
          <w:color w:val="auto"/>
        </w:rPr>
        <w:t>5</w:t>
      </w:r>
      <w:r>
        <w:rPr>
          <w:rFonts w:hint="eastAsia"/>
          <w:color w:val="auto"/>
        </w:rPr>
        <w:t>条规定</w:t>
      </w:r>
      <w:r>
        <w:rPr>
          <w:color w:val="auto"/>
        </w:rPr>
        <w:t>经</w:t>
      </w:r>
      <w:r>
        <w:rPr>
          <w:rFonts w:hint="eastAsia"/>
          <w:color w:val="auto"/>
        </w:rPr>
        <w:t>投标供应商</w:t>
      </w:r>
      <w:r>
        <w:rPr>
          <w:color w:val="auto"/>
        </w:rPr>
        <w:t>确认后产生约束力，</w:t>
      </w:r>
      <w:r>
        <w:rPr>
          <w:rFonts w:hint="eastAsia"/>
          <w:color w:val="auto"/>
        </w:rPr>
        <w:t>投标供应商</w:t>
      </w:r>
      <w:r>
        <w:rPr>
          <w:color w:val="auto"/>
        </w:rPr>
        <w:t>不确认的，</w:t>
      </w:r>
      <w:r>
        <w:rPr>
          <w:rFonts w:hint="eastAsia"/>
          <w:color w:val="auto"/>
        </w:rPr>
        <w:t>按照</w:t>
      </w:r>
      <w:r>
        <w:rPr>
          <w:b/>
          <w:bCs/>
          <w:color w:val="auto"/>
        </w:rPr>
        <w:t>无效</w:t>
      </w:r>
      <w:r>
        <w:rPr>
          <w:rFonts w:hint="eastAsia"/>
          <w:b/>
          <w:bCs/>
          <w:color w:val="auto"/>
        </w:rPr>
        <w:t>投标处理</w:t>
      </w:r>
      <w:r>
        <w:rPr>
          <w:color w:val="auto"/>
        </w:rPr>
        <w:t>。</w:t>
      </w:r>
    </w:p>
    <w:p w14:paraId="13C473AA">
      <w:pPr>
        <w:pStyle w:val="4"/>
        <w:numPr>
          <w:ilvl w:val="0"/>
          <w:numId w:val="17"/>
        </w:numPr>
        <w:rPr>
          <w:rFonts w:hint="eastAsia"/>
          <w:color w:val="auto"/>
        </w:rPr>
      </w:pPr>
      <w:bookmarkStart w:id="284" w:name="_Toc30757"/>
      <w:bookmarkStart w:id="285" w:name="_Toc102119880"/>
      <w:bookmarkStart w:id="286" w:name="_Toc155185908"/>
      <w:bookmarkStart w:id="287" w:name="_Toc102114947"/>
      <w:bookmarkStart w:id="288" w:name="_Toc102056245"/>
      <w:bookmarkStart w:id="289" w:name="_Toc102116049"/>
      <w:bookmarkStart w:id="290" w:name="_Toc102116179"/>
      <w:bookmarkStart w:id="291" w:name="_Toc102057745"/>
      <w:r>
        <w:rPr>
          <w:rFonts w:hint="eastAsia"/>
          <w:color w:val="auto"/>
        </w:rPr>
        <w:t>比较和评价</w:t>
      </w:r>
      <w:bookmarkEnd w:id="284"/>
    </w:p>
    <w:p w14:paraId="68D9651E">
      <w:pPr>
        <w:pStyle w:val="42"/>
        <w:rPr>
          <w:rFonts w:hint="eastAsia"/>
          <w:b/>
          <w:bCs/>
          <w:color w:val="auto"/>
        </w:rPr>
      </w:pPr>
      <w:r>
        <w:rPr>
          <w:rFonts w:hint="eastAsia"/>
          <w:b/>
          <w:bCs/>
          <w:color w:val="auto"/>
        </w:rPr>
        <w:t>8</w:t>
      </w:r>
      <w:r>
        <w:rPr>
          <w:b/>
          <w:bCs/>
          <w:color w:val="auto"/>
        </w:rPr>
        <w:t>.</w:t>
      </w:r>
      <w:r>
        <w:rPr>
          <w:rFonts w:hint="eastAsia"/>
          <w:b/>
          <w:bCs/>
          <w:color w:val="auto"/>
        </w:rPr>
        <w:t>评标方法</w:t>
      </w:r>
    </w:p>
    <w:p w14:paraId="5B6C8623">
      <w:pPr>
        <w:pStyle w:val="42"/>
        <w:rPr>
          <w:rFonts w:hint="eastAsia"/>
          <w:color w:val="auto"/>
        </w:rPr>
      </w:pPr>
      <w:r>
        <w:rPr>
          <w:color w:val="auto"/>
        </w:rPr>
        <w:t>8.1综合评分法，是指投标文件满足招标文件全部实质性要求，且按照评审因素的量化指标评审得分最高的</w:t>
      </w:r>
      <w:r>
        <w:rPr>
          <w:rFonts w:hint="eastAsia"/>
          <w:color w:val="auto"/>
        </w:rPr>
        <w:t>投标供应商</w:t>
      </w:r>
      <w:r>
        <w:rPr>
          <w:color w:val="auto"/>
        </w:rPr>
        <w:t>为中标候选人的评标方法。</w:t>
      </w:r>
      <w:bookmarkStart w:id="292" w:name="_Hlk161739908"/>
      <w:r>
        <w:rPr>
          <w:color w:val="auto"/>
        </w:rPr>
        <w:t>最低评标价法</w:t>
      </w:r>
      <w:bookmarkEnd w:id="292"/>
      <w:r>
        <w:rPr>
          <w:color w:val="auto"/>
        </w:rPr>
        <w:t>，是指投标文件满足招标文件全部实质性要求，且投标报价最低的</w:t>
      </w:r>
      <w:r>
        <w:rPr>
          <w:rFonts w:hint="eastAsia"/>
          <w:color w:val="auto"/>
        </w:rPr>
        <w:t>投标供应商</w:t>
      </w:r>
      <w:r>
        <w:rPr>
          <w:color w:val="auto"/>
        </w:rPr>
        <w:t>为中标候选人的评标方法。</w:t>
      </w:r>
    </w:p>
    <w:p w14:paraId="11DF7283">
      <w:pPr>
        <w:pStyle w:val="42"/>
        <w:rPr>
          <w:rFonts w:hint="eastAsia"/>
          <w:color w:val="auto"/>
        </w:rPr>
      </w:pPr>
      <w:r>
        <w:rPr>
          <w:color w:val="auto"/>
        </w:rPr>
        <w:t>8.2本项目评标方法详见《评标办法前附表》。</w:t>
      </w:r>
    </w:p>
    <w:p w14:paraId="5C79B08B">
      <w:pPr>
        <w:pStyle w:val="42"/>
        <w:rPr>
          <w:rFonts w:hint="eastAsia"/>
          <w:b/>
          <w:bCs/>
          <w:color w:val="auto"/>
        </w:rPr>
      </w:pPr>
      <w:r>
        <w:rPr>
          <w:rFonts w:hint="eastAsia"/>
          <w:b/>
          <w:bCs/>
          <w:color w:val="auto"/>
        </w:rPr>
        <w:t>9</w:t>
      </w:r>
      <w:r>
        <w:rPr>
          <w:b/>
          <w:bCs/>
          <w:color w:val="auto"/>
        </w:rPr>
        <w:t>.综合评分法</w:t>
      </w:r>
    </w:p>
    <w:p w14:paraId="657DDD8B">
      <w:pPr>
        <w:pStyle w:val="42"/>
        <w:rPr>
          <w:rFonts w:hint="eastAsia"/>
          <w:color w:val="auto"/>
        </w:rPr>
      </w:pPr>
      <w:r>
        <w:rPr>
          <w:rFonts w:hint="eastAsia"/>
          <w:color w:val="auto"/>
        </w:rPr>
        <w:t>9</w:t>
      </w:r>
      <w:r>
        <w:rPr>
          <w:color w:val="auto"/>
        </w:rPr>
        <w:t>.1</w:t>
      </w:r>
      <w:r>
        <w:rPr>
          <w:rFonts w:hint="eastAsia"/>
          <w:color w:val="auto"/>
        </w:rPr>
        <w:t>评审因素包括投标报价、商务技术以及落实政府采购政策。评审因素及标准见本章《评分标准》。</w:t>
      </w:r>
    </w:p>
    <w:p w14:paraId="1E6597DD">
      <w:pPr>
        <w:pStyle w:val="42"/>
        <w:rPr>
          <w:rFonts w:hint="eastAsia"/>
          <w:color w:val="auto"/>
        </w:rPr>
      </w:pPr>
      <w:r>
        <w:rPr>
          <w:color w:val="auto"/>
        </w:rPr>
        <w:t>9.2投标报价评审</w:t>
      </w:r>
    </w:p>
    <w:p w14:paraId="0B41EA6C">
      <w:pPr>
        <w:pStyle w:val="42"/>
        <w:rPr>
          <w:rFonts w:hint="eastAsia"/>
          <w:color w:val="auto"/>
        </w:rPr>
      </w:pPr>
      <w:r>
        <w:rPr>
          <w:rFonts w:hint="eastAsia"/>
          <w:color w:val="auto"/>
        </w:rPr>
        <w:t>（</w:t>
      </w:r>
      <w:r>
        <w:rPr>
          <w:color w:val="auto"/>
        </w:rPr>
        <w:t>1）价格分应当采用低价优先法计算，即满足招标文件要求且投标价格最低的投标报价为评标基准价，其价格分为满分。其他</w:t>
      </w:r>
      <w:r>
        <w:rPr>
          <w:rFonts w:hint="eastAsia"/>
          <w:color w:val="auto"/>
        </w:rPr>
        <w:t>投标供应商</w:t>
      </w:r>
      <w:r>
        <w:rPr>
          <w:color w:val="auto"/>
        </w:rPr>
        <w:t>的价格分统一按照下列公式计算：</w:t>
      </w:r>
    </w:p>
    <w:p w14:paraId="55A7E0C2">
      <w:pPr>
        <w:pStyle w:val="42"/>
        <w:rPr>
          <w:rFonts w:hint="default" w:eastAsia="宋体"/>
          <w:color w:val="auto"/>
          <w:lang w:val="en-US" w:eastAsia="zh-CN"/>
        </w:rPr>
      </w:pPr>
      <w:r>
        <w:rPr>
          <w:rFonts w:hint="eastAsia"/>
          <w:color w:val="auto"/>
        </w:rPr>
        <w:t>投标报价得分</w:t>
      </w:r>
      <w:r>
        <w:rPr>
          <w:color w:val="auto"/>
        </w:rPr>
        <w:t>=(评标基准价／投标报价)×</w:t>
      </w:r>
      <w:r>
        <w:rPr>
          <w:rFonts w:hint="eastAsia"/>
          <w:color w:val="auto"/>
          <w:lang w:val="en-US" w:eastAsia="zh-CN"/>
        </w:rPr>
        <w:t>30</w:t>
      </w:r>
    </w:p>
    <w:p w14:paraId="51E607F1">
      <w:pPr>
        <w:pStyle w:val="42"/>
        <w:rPr>
          <w:rFonts w:hint="eastAsia"/>
          <w:color w:val="auto"/>
        </w:rPr>
      </w:pPr>
      <w:r>
        <w:rPr>
          <w:rFonts w:hint="eastAsia"/>
          <w:color w:val="auto"/>
        </w:rPr>
        <w:t>评标过程中，不得去掉报价中的最高报价和最低报价。</w:t>
      </w:r>
    </w:p>
    <w:p w14:paraId="6886E27A">
      <w:pPr>
        <w:pStyle w:val="42"/>
        <w:rPr>
          <w:rFonts w:hint="eastAsia"/>
          <w:color w:val="auto"/>
        </w:rPr>
      </w:pPr>
      <w:r>
        <w:rPr>
          <w:rFonts w:hint="eastAsia"/>
          <w:color w:val="auto"/>
        </w:rPr>
        <w:t>（</w:t>
      </w:r>
      <w:r>
        <w:rPr>
          <w:color w:val="auto"/>
        </w:rPr>
        <w:t>2）除算术修正和落实政府采购政策的价格扣除外，不对投标报价进行调整；</w:t>
      </w:r>
    </w:p>
    <w:p w14:paraId="6EBDD29F">
      <w:pPr>
        <w:pStyle w:val="42"/>
        <w:rPr>
          <w:rFonts w:hint="eastAsia"/>
          <w:color w:val="auto"/>
        </w:rPr>
      </w:pPr>
      <w:r>
        <w:rPr>
          <w:rFonts w:hint="eastAsia"/>
          <w:color w:val="auto"/>
        </w:rPr>
        <w:t>（</w:t>
      </w:r>
      <w:r>
        <w:rPr>
          <w:color w:val="auto"/>
        </w:rPr>
        <w:t>3）价格权重见</w:t>
      </w:r>
      <w:r>
        <w:rPr>
          <w:rFonts w:hint="eastAsia"/>
          <w:color w:val="auto"/>
        </w:rPr>
        <w:t>本章</w:t>
      </w:r>
      <w:r>
        <w:rPr>
          <w:color w:val="auto"/>
        </w:rPr>
        <w:t>《评分标准》。</w:t>
      </w:r>
    </w:p>
    <w:p w14:paraId="1E3481D3">
      <w:pPr>
        <w:pStyle w:val="42"/>
        <w:rPr>
          <w:rFonts w:hint="eastAsia"/>
          <w:color w:val="auto"/>
        </w:rPr>
      </w:pPr>
      <w:r>
        <w:rPr>
          <w:color w:val="auto"/>
        </w:rPr>
        <w:t>9.3商务技术评审</w:t>
      </w:r>
    </w:p>
    <w:p w14:paraId="425C6FA6">
      <w:pPr>
        <w:pStyle w:val="42"/>
        <w:rPr>
          <w:rFonts w:hint="eastAsia"/>
          <w:color w:val="auto"/>
        </w:rPr>
      </w:pPr>
      <w:r>
        <w:rPr>
          <w:rFonts w:hint="eastAsia"/>
          <w:color w:val="auto"/>
        </w:rPr>
        <w:t>评标委员会应对符合性审查合格的投标文件进行商务和技术评审，并按照招标文件要求及本章“三、评标标准”中的内容进行综合比较和评价。</w:t>
      </w:r>
    </w:p>
    <w:p w14:paraId="2D7C04CB">
      <w:pPr>
        <w:pStyle w:val="42"/>
        <w:rPr>
          <w:rFonts w:hint="eastAsia"/>
          <w:color w:val="auto"/>
        </w:rPr>
      </w:pPr>
      <w:r>
        <w:rPr>
          <w:rFonts w:hint="eastAsia"/>
          <w:color w:val="auto"/>
        </w:rPr>
        <w:t>9</w:t>
      </w:r>
      <w:r>
        <w:rPr>
          <w:color w:val="auto"/>
        </w:rPr>
        <w:t>.4</w:t>
      </w:r>
      <w:r>
        <w:rPr>
          <w:rFonts w:hint="eastAsia"/>
          <w:color w:val="auto"/>
        </w:rPr>
        <w:t>计分办法及复核</w:t>
      </w:r>
    </w:p>
    <w:p w14:paraId="5CDF7503">
      <w:pPr>
        <w:pStyle w:val="42"/>
        <w:rPr>
          <w:rFonts w:hint="eastAsia"/>
          <w:color w:val="auto"/>
        </w:rPr>
      </w:pPr>
      <w:r>
        <w:rPr>
          <w:rFonts w:hint="eastAsia"/>
          <w:color w:val="auto"/>
        </w:rPr>
        <w:t>（1）</w:t>
      </w:r>
      <w:r>
        <w:rPr>
          <w:color w:val="auto"/>
        </w:rPr>
        <w:t>评标过程中，各项分值一般精确到小数点后两位，评标得分应为商务评分、技术评分、报价评分之和。评标委员会各成员应汇总每个</w:t>
      </w:r>
      <w:r>
        <w:rPr>
          <w:rFonts w:hint="eastAsia"/>
          <w:color w:val="auto"/>
        </w:rPr>
        <w:t>投标供应商</w:t>
      </w:r>
      <w:r>
        <w:rPr>
          <w:color w:val="auto"/>
        </w:rPr>
        <w:t>的得分。</w:t>
      </w:r>
    </w:p>
    <w:p w14:paraId="5DC16A58">
      <w:pPr>
        <w:pStyle w:val="42"/>
        <w:rPr>
          <w:rFonts w:hint="eastAsia"/>
          <w:color w:val="auto"/>
        </w:rPr>
      </w:pPr>
      <w:r>
        <w:rPr>
          <w:rFonts w:hint="eastAsia"/>
          <w:color w:val="auto"/>
        </w:rPr>
        <w:t>（2）</w:t>
      </w:r>
      <w:r>
        <w:rPr>
          <w:color w:val="auto"/>
        </w:rPr>
        <w:t>评标结果汇总完成后，采购代理机构应对评标结果进行复核。经复核发现存在以下情形之一的，评标委员会应当当场修改评标结果，并在评标报告中记载：</w:t>
      </w:r>
    </w:p>
    <w:p w14:paraId="0D395EC0">
      <w:pPr>
        <w:pStyle w:val="42"/>
        <w:numPr>
          <w:ilvl w:val="0"/>
          <w:numId w:val="18"/>
        </w:numPr>
        <w:rPr>
          <w:rFonts w:hint="eastAsia"/>
          <w:color w:val="auto"/>
        </w:rPr>
      </w:pPr>
      <w:r>
        <w:rPr>
          <w:color w:val="auto"/>
        </w:rPr>
        <w:t>分值汇总计算错误的；</w:t>
      </w:r>
    </w:p>
    <w:p w14:paraId="62E44C5D">
      <w:pPr>
        <w:pStyle w:val="42"/>
        <w:numPr>
          <w:ilvl w:val="0"/>
          <w:numId w:val="18"/>
        </w:numPr>
        <w:rPr>
          <w:rFonts w:hint="eastAsia"/>
          <w:color w:val="auto"/>
        </w:rPr>
      </w:pPr>
      <w:r>
        <w:rPr>
          <w:color w:val="auto"/>
        </w:rPr>
        <w:t>分项评分超出评分标准范围的；</w:t>
      </w:r>
    </w:p>
    <w:p w14:paraId="0394CE0E">
      <w:pPr>
        <w:pStyle w:val="42"/>
        <w:numPr>
          <w:ilvl w:val="0"/>
          <w:numId w:val="18"/>
        </w:numPr>
        <w:rPr>
          <w:rFonts w:hint="eastAsia"/>
          <w:color w:val="auto"/>
        </w:rPr>
      </w:pPr>
      <w:r>
        <w:rPr>
          <w:color w:val="auto"/>
        </w:rPr>
        <w:t>评标委员会成员对客观评审因素评分不一致的；</w:t>
      </w:r>
    </w:p>
    <w:p w14:paraId="2C3E3B4E">
      <w:pPr>
        <w:pStyle w:val="42"/>
        <w:numPr>
          <w:ilvl w:val="0"/>
          <w:numId w:val="18"/>
        </w:numPr>
        <w:rPr>
          <w:rFonts w:hint="eastAsia"/>
          <w:color w:val="auto"/>
        </w:rPr>
      </w:pPr>
      <w:r>
        <w:rPr>
          <w:color w:val="auto"/>
        </w:rPr>
        <w:t>经评标委员会认定评分畸高、畸低的</w:t>
      </w:r>
      <w:r>
        <w:rPr>
          <w:rFonts w:hint="eastAsia"/>
          <w:color w:val="auto"/>
        </w:rPr>
        <w:t>。</w:t>
      </w:r>
    </w:p>
    <w:p w14:paraId="29F6A0ED">
      <w:pPr>
        <w:pStyle w:val="42"/>
        <w:rPr>
          <w:rFonts w:hint="eastAsia"/>
          <w:color w:val="auto"/>
        </w:rPr>
      </w:pPr>
      <w:r>
        <w:rPr>
          <w:rFonts w:hint="eastAsia"/>
          <w:color w:val="auto"/>
        </w:rPr>
        <w:t>（3）</w:t>
      </w:r>
      <w:r>
        <w:rPr>
          <w:color w:val="auto"/>
        </w:rPr>
        <w:t>各</w:t>
      </w:r>
      <w:r>
        <w:rPr>
          <w:rFonts w:hint="eastAsia"/>
          <w:color w:val="auto"/>
        </w:rPr>
        <w:t>投标供应商</w:t>
      </w:r>
      <w:r>
        <w:rPr>
          <w:color w:val="auto"/>
        </w:rPr>
        <w:t>的最终得分为评标委员会所有成员对各</w:t>
      </w:r>
      <w:r>
        <w:rPr>
          <w:rFonts w:hint="eastAsia"/>
          <w:color w:val="auto"/>
        </w:rPr>
        <w:t>投标供应商</w:t>
      </w:r>
      <w:r>
        <w:rPr>
          <w:color w:val="auto"/>
        </w:rPr>
        <w:t>评标得分汇总后的算术平均值。</w:t>
      </w:r>
    </w:p>
    <w:p w14:paraId="51489457">
      <w:pPr>
        <w:pStyle w:val="42"/>
        <w:rPr>
          <w:rFonts w:hint="eastAsia"/>
          <w:b/>
          <w:bCs/>
          <w:color w:val="auto"/>
        </w:rPr>
      </w:pPr>
      <w:r>
        <w:rPr>
          <w:rFonts w:hint="eastAsia"/>
          <w:b/>
          <w:bCs/>
          <w:color w:val="auto"/>
        </w:rPr>
        <w:t>1</w:t>
      </w:r>
      <w:r>
        <w:rPr>
          <w:b/>
          <w:bCs/>
          <w:color w:val="auto"/>
        </w:rPr>
        <w:t>0.</w:t>
      </w:r>
      <w:r>
        <w:rPr>
          <w:rFonts w:hint="eastAsia"/>
          <w:b/>
          <w:bCs/>
          <w:color w:val="auto"/>
        </w:rPr>
        <w:t>最低评标价法</w:t>
      </w:r>
    </w:p>
    <w:p w14:paraId="3815274C">
      <w:pPr>
        <w:pStyle w:val="42"/>
        <w:rPr>
          <w:rFonts w:hint="eastAsia"/>
          <w:color w:val="auto"/>
        </w:rPr>
      </w:pPr>
      <w:r>
        <w:rPr>
          <w:rFonts w:hint="eastAsia"/>
          <w:color w:val="auto"/>
        </w:rPr>
        <w:t>1</w:t>
      </w:r>
      <w:r>
        <w:rPr>
          <w:color w:val="auto"/>
        </w:rPr>
        <w:t>0.1</w:t>
      </w:r>
      <w:r>
        <w:rPr>
          <w:rFonts w:hint="eastAsia"/>
          <w:color w:val="auto"/>
        </w:rPr>
        <w:t>除算术修正和落实政府采购政策的价格扣除外，不对投标报价进行调整。</w:t>
      </w:r>
    </w:p>
    <w:p w14:paraId="39C06470">
      <w:pPr>
        <w:pStyle w:val="42"/>
        <w:rPr>
          <w:rFonts w:hint="eastAsia"/>
          <w:b/>
          <w:bCs/>
          <w:color w:val="auto"/>
        </w:rPr>
      </w:pPr>
      <w:r>
        <w:rPr>
          <w:rFonts w:hint="eastAsia"/>
          <w:b/>
          <w:bCs/>
          <w:color w:val="auto"/>
        </w:rPr>
        <w:t>1</w:t>
      </w:r>
      <w:r>
        <w:rPr>
          <w:b/>
          <w:bCs/>
          <w:color w:val="auto"/>
        </w:rPr>
        <w:t>1.</w:t>
      </w:r>
      <w:r>
        <w:rPr>
          <w:rFonts w:hint="eastAsia"/>
          <w:b/>
          <w:bCs/>
          <w:color w:val="auto"/>
        </w:rPr>
        <w:t>政府采购政策评审</w:t>
      </w:r>
    </w:p>
    <w:p w14:paraId="1F81B079">
      <w:pPr>
        <w:pStyle w:val="42"/>
        <w:rPr>
          <w:rFonts w:hint="eastAsia"/>
          <w:color w:val="auto"/>
        </w:rPr>
      </w:pPr>
      <w:r>
        <w:rPr>
          <w:color w:val="auto"/>
        </w:rPr>
        <w:t>11.1</w:t>
      </w:r>
      <w:r>
        <w:rPr>
          <w:rFonts w:hint="eastAsia"/>
          <w:color w:val="auto"/>
        </w:rPr>
        <w:t>价格扣除</w:t>
      </w:r>
    </w:p>
    <w:p w14:paraId="6C2D009A">
      <w:pPr>
        <w:pStyle w:val="42"/>
        <w:numPr>
          <w:ilvl w:val="0"/>
          <w:numId w:val="19"/>
        </w:numPr>
        <w:rPr>
          <w:rFonts w:hint="eastAsia"/>
          <w:color w:val="auto"/>
        </w:rPr>
      </w:pPr>
      <w:r>
        <w:rPr>
          <w:color w:val="auto"/>
        </w:rPr>
        <w:t>非专门面向中小企业的采购项目或采购包，对符合规定的小微企业（监狱企业、残疾人福利性单位、联合体各方均为小微企业的联合体、符合小微企业划分标准的个体工商户视同小微企业）报价</w:t>
      </w:r>
      <w:r>
        <w:rPr>
          <w:rFonts w:hint="eastAsia"/>
          <w:color w:val="auto"/>
        </w:rPr>
        <w:t>按照本招标文件”投标供应商须知前附表”中的规定</w:t>
      </w:r>
      <w:r>
        <w:rPr>
          <w:color w:val="auto"/>
        </w:rPr>
        <w:t>扣除，对小微企业中的监狱企业、残疾人福利性单位、采购产品纳入创新产品应用示范推荐目录内企业、采购产品获得节能产品或环境标志产品认证证书的企业报价</w:t>
      </w:r>
      <w:r>
        <w:rPr>
          <w:rFonts w:hint="eastAsia"/>
          <w:color w:val="auto"/>
        </w:rPr>
        <w:t>按照本招标文件”投标供应商须知前附表”中的规定</w:t>
      </w:r>
      <w:r>
        <w:rPr>
          <w:color w:val="auto"/>
        </w:rPr>
        <w:t>扣除，用扣除后的价格</w:t>
      </w:r>
      <w:r>
        <w:rPr>
          <w:rFonts w:hint="eastAsia"/>
          <w:color w:val="auto"/>
        </w:rPr>
        <w:t>参加评审</w:t>
      </w:r>
      <w:r>
        <w:rPr>
          <w:color w:val="auto"/>
        </w:rPr>
        <w:t>。</w:t>
      </w:r>
    </w:p>
    <w:p w14:paraId="026AA1A6">
      <w:pPr>
        <w:pStyle w:val="42"/>
        <w:numPr>
          <w:ilvl w:val="0"/>
          <w:numId w:val="19"/>
        </w:numPr>
        <w:rPr>
          <w:rFonts w:hint="eastAsia"/>
          <w:color w:val="auto"/>
        </w:rPr>
      </w:pPr>
      <w:r>
        <w:rPr>
          <w:color w:val="auto"/>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4E1E0839">
      <w:pPr>
        <w:pStyle w:val="42"/>
        <w:numPr>
          <w:ilvl w:val="0"/>
          <w:numId w:val="19"/>
        </w:numPr>
        <w:rPr>
          <w:rFonts w:hint="eastAsia"/>
          <w:color w:val="auto"/>
        </w:rPr>
      </w:pPr>
      <w:r>
        <w:rPr>
          <w:color w:val="auto"/>
        </w:rPr>
        <w:t>专门面向中小企业、预留部分采购份额面向中小企业采购的项目或采购包，评审时不再进行价格扣除。</w:t>
      </w:r>
    </w:p>
    <w:bookmarkEnd w:id="285"/>
    <w:bookmarkEnd w:id="286"/>
    <w:bookmarkEnd w:id="287"/>
    <w:bookmarkEnd w:id="288"/>
    <w:bookmarkEnd w:id="289"/>
    <w:bookmarkEnd w:id="290"/>
    <w:bookmarkEnd w:id="291"/>
    <w:p w14:paraId="2FD29554">
      <w:pPr>
        <w:pStyle w:val="4"/>
        <w:numPr>
          <w:ilvl w:val="0"/>
          <w:numId w:val="17"/>
        </w:numPr>
        <w:rPr>
          <w:rFonts w:hint="eastAsia"/>
          <w:color w:val="auto"/>
          <w:lang w:val="zh-CN"/>
        </w:rPr>
      </w:pPr>
      <w:bookmarkStart w:id="293" w:name="_Toc102057750"/>
      <w:bookmarkStart w:id="294" w:name="_Toc102056250"/>
      <w:bookmarkStart w:id="295" w:name="_Toc155185912"/>
      <w:bookmarkStart w:id="296" w:name="_Toc102119885"/>
      <w:bookmarkStart w:id="297" w:name="_Toc102116184"/>
      <w:bookmarkStart w:id="298" w:name="_Toc29689"/>
      <w:bookmarkStart w:id="299" w:name="_Toc102116054"/>
      <w:bookmarkStart w:id="300" w:name="_Toc102114952"/>
      <w:r>
        <w:rPr>
          <w:rFonts w:hint="eastAsia"/>
          <w:color w:val="auto"/>
          <w:lang w:val="zh-CN"/>
        </w:rPr>
        <w:t>评标报告</w:t>
      </w:r>
      <w:bookmarkEnd w:id="293"/>
      <w:bookmarkEnd w:id="294"/>
      <w:bookmarkEnd w:id="295"/>
      <w:bookmarkEnd w:id="296"/>
      <w:bookmarkEnd w:id="297"/>
      <w:bookmarkEnd w:id="298"/>
      <w:bookmarkEnd w:id="299"/>
      <w:bookmarkEnd w:id="300"/>
    </w:p>
    <w:p w14:paraId="40275ECF">
      <w:pPr>
        <w:pStyle w:val="42"/>
        <w:rPr>
          <w:rFonts w:hint="eastAsia"/>
          <w:color w:val="auto"/>
        </w:rPr>
      </w:pPr>
      <w:r>
        <w:rPr>
          <w:rFonts w:hint="eastAsia"/>
          <w:color w:val="auto"/>
        </w:rPr>
        <w:t>1</w:t>
      </w:r>
      <w:r>
        <w:rPr>
          <w:rFonts w:hint="eastAsia"/>
          <w:color w:val="auto"/>
          <w:lang w:val="en-US" w:eastAsia="zh-CN"/>
        </w:rPr>
        <w:t>2</w:t>
      </w:r>
      <w:r>
        <w:rPr>
          <w:color w:val="auto"/>
        </w:rPr>
        <w:t>.</w:t>
      </w:r>
      <w:r>
        <w:rPr>
          <w:rFonts w:hint="eastAsia"/>
          <w:color w:val="auto"/>
        </w:rPr>
        <w:t>评标委员会按照招标文件确定的评标方法、程序及标准，对投标文件进行评审。中标候选人排序方式见“评标办法前附表”。</w:t>
      </w:r>
    </w:p>
    <w:p w14:paraId="5DB6F186">
      <w:pPr>
        <w:pStyle w:val="42"/>
        <w:rPr>
          <w:rFonts w:hint="eastAsia"/>
          <w:color w:val="auto"/>
        </w:rPr>
      </w:pPr>
      <w:r>
        <w:rPr>
          <w:rFonts w:hint="eastAsia"/>
          <w:color w:val="auto"/>
        </w:rPr>
        <w:t>1</w:t>
      </w:r>
      <w:r>
        <w:rPr>
          <w:rFonts w:hint="eastAsia"/>
          <w:color w:val="auto"/>
          <w:lang w:val="en-US" w:eastAsia="zh-CN"/>
        </w:rPr>
        <w:t>3</w:t>
      </w:r>
      <w:r>
        <w:rPr>
          <w:color w:val="auto"/>
        </w:rPr>
        <w:t>.</w:t>
      </w:r>
      <w:r>
        <w:rPr>
          <w:rFonts w:hint="eastAsia"/>
          <w:color w:val="auto"/>
        </w:rPr>
        <w:t>评标委员会依据评标结果，向采购人推荐中标候选人名单，并形成评标报告。</w:t>
      </w:r>
    </w:p>
    <w:p w14:paraId="0031BE6A">
      <w:pPr>
        <w:pStyle w:val="42"/>
        <w:rPr>
          <w:rFonts w:hint="eastAsia"/>
          <w:color w:val="auto"/>
        </w:rPr>
      </w:pPr>
      <w:r>
        <w:rPr>
          <w:rFonts w:hint="eastAsia"/>
          <w:color w:val="auto"/>
        </w:rPr>
        <w:t>1</w:t>
      </w:r>
      <w:r>
        <w:rPr>
          <w:rFonts w:hint="eastAsia"/>
          <w:color w:val="auto"/>
          <w:lang w:val="en-US" w:eastAsia="zh-CN"/>
        </w:rPr>
        <w:t>4</w:t>
      </w:r>
      <w:r>
        <w:rPr>
          <w:color w:val="auto"/>
        </w:rPr>
        <w:t>.</w:t>
      </w:r>
      <w:r>
        <w:rPr>
          <w:rFonts w:hint="eastAsia"/>
          <w:color w:val="auto"/>
        </w:rPr>
        <w:t>评标委员会应当在评标报告上签名，对自己的评审意见承担法律责任。对需要共同认定的事项存在争议的，应当按照少数服从多数的原则作出结论。持不同意见的评标委员会成员应当在评标报告上签署不同意见，并说明理由，否则视为同意评标报告。</w:t>
      </w:r>
    </w:p>
    <w:p w14:paraId="69AC5F42">
      <w:pPr>
        <w:pStyle w:val="4"/>
        <w:numPr>
          <w:ilvl w:val="0"/>
          <w:numId w:val="17"/>
        </w:numPr>
        <w:rPr>
          <w:rFonts w:hint="eastAsia"/>
          <w:color w:val="auto"/>
          <w:lang w:val="zh-CN"/>
        </w:rPr>
      </w:pPr>
      <w:bookmarkStart w:id="301" w:name="_Toc102116151"/>
      <w:bookmarkStart w:id="302" w:name="_Toc102119852"/>
      <w:bookmarkStart w:id="303" w:name="_Toc102116021"/>
      <w:bookmarkStart w:id="304" w:name="_Toc102057717"/>
      <w:bookmarkStart w:id="305" w:name="_Toc102056217"/>
      <w:bookmarkStart w:id="306" w:name="_Toc29863"/>
      <w:bookmarkStart w:id="307" w:name="_Toc155185913"/>
      <w:bookmarkStart w:id="308" w:name="_Toc102114919"/>
      <w:r>
        <w:rPr>
          <w:rFonts w:hint="eastAsia"/>
          <w:color w:val="auto"/>
          <w:lang w:val="zh-CN"/>
        </w:rPr>
        <w:t>应予废标的情形</w:t>
      </w:r>
      <w:bookmarkEnd w:id="301"/>
      <w:bookmarkEnd w:id="302"/>
      <w:bookmarkEnd w:id="303"/>
      <w:bookmarkEnd w:id="304"/>
      <w:bookmarkEnd w:id="305"/>
      <w:bookmarkEnd w:id="306"/>
      <w:bookmarkEnd w:id="307"/>
      <w:bookmarkEnd w:id="308"/>
    </w:p>
    <w:p w14:paraId="0501279B">
      <w:pPr>
        <w:pStyle w:val="42"/>
        <w:rPr>
          <w:rFonts w:hint="eastAsia"/>
          <w:color w:val="auto"/>
        </w:rPr>
      </w:pPr>
      <w:r>
        <w:rPr>
          <w:rFonts w:hint="eastAsia"/>
          <w:color w:val="auto"/>
        </w:rPr>
        <w:t>1</w:t>
      </w:r>
      <w:r>
        <w:rPr>
          <w:rFonts w:hint="eastAsia"/>
          <w:color w:val="auto"/>
          <w:lang w:val="en-US" w:eastAsia="zh-CN"/>
        </w:rPr>
        <w:t>5</w:t>
      </w:r>
      <w:r>
        <w:rPr>
          <w:color w:val="auto"/>
        </w:rPr>
        <w:t>.</w:t>
      </w:r>
      <w:r>
        <w:rPr>
          <w:rFonts w:hint="eastAsia"/>
          <w:color w:val="auto"/>
        </w:rPr>
        <w:t>在招标采购过程中，出现下列情形之一的，应予</w:t>
      </w:r>
      <w:r>
        <w:rPr>
          <w:rFonts w:hint="eastAsia"/>
          <w:b/>
          <w:bCs/>
          <w:color w:val="auto"/>
        </w:rPr>
        <w:t>废标</w:t>
      </w:r>
      <w:r>
        <w:rPr>
          <w:rFonts w:hint="eastAsia"/>
          <w:color w:val="auto"/>
        </w:rPr>
        <w:t>：</w:t>
      </w:r>
    </w:p>
    <w:p w14:paraId="6712DC00">
      <w:pPr>
        <w:pStyle w:val="42"/>
        <w:rPr>
          <w:rFonts w:hint="eastAsia"/>
          <w:color w:val="auto"/>
        </w:rPr>
      </w:pPr>
      <w:r>
        <w:rPr>
          <w:color w:val="auto"/>
        </w:rPr>
        <w:t>1</w:t>
      </w:r>
      <w:r>
        <w:rPr>
          <w:rFonts w:hint="eastAsia"/>
          <w:color w:val="auto"/>
          <w:lang w:val="en-US" w:eastAsia="zh-CN"/>
        </w:rPr>
        <w:t>5</w:t>
      </w:r>
      <w:r>
        <w:rPr>
          <w:color w:val="auto"/>
        </w:rPr>
        <w:t>.1</w:t>
      </w:r>
      <w:r>
        <w:rPr>
          <w:rFonts w:hint="eastAsia"/>
          <w:color w:val="auto"/>
        </w:rPr>
        <w:t>符合专业条件的供应商或者对招标文件作实质响应的供应商不足3家的；</w:t>
      </w:r>
    </w:p>
    <w:p w14:paraId="3C87C409">
      <w:pPr>
        <w:pStyle w:val="42"/>
        <w:rPr>
          <w:rFonts w:hint="eastAsia"/>
          <w:color w:val="auto"/>
        </w:rPr>
      </w:pPr>
      <w:r>
        <w:rPr>
          <w:color w:val="auto"/>
        </w:rPr>
        <w:t>1</w:t>
      </w:r>
      <w:r>
        <w:rPr>
          <w:rFonts w:hint="eastAsia"/>
          <w:color w:val="auto"/>
          <w:lang w:val="en-US" w:eastAsia="zh-CN"/>
        </w:rPr>
        <w:t>5</w:t>
      </w:r>
      <w:r>
        <w:rPr>
          <w:color w:val="auto"/>
        </w:rPr>
        <w:t>.2</w:t>
      </w:r>
      <w:r>
        <w:rPr>
          <w:rFonts w:hint="eastAsia"/>
          <w:color w:val="auto"/>
        </w:rPr>
        <w:t>出现影响采购公正的违法、违规行为的；</w:t>
      </w:r>
    </w:p>
    <w:p w14:paraId="398C08FD">
      <w:pPr>
        <w:pStyle w:val="42"/>
        <w:rPr>
          <w:rFonts w:hint="eastAsia"/>
          <w:color w:val="auto"/>
        </w:rPr>
      </w:pPr>
      <w:r>
        <w:rPr>
          <w:color w:val="auto"/>
        </w:rPr>
        <w:t>1</w:t>
      </w:r>
      <w:r>
        <w:rPr>
          <w:rFonts w:hint="eastAsia"/>
          <w:color w:val="auto"/>
          <w:lang w:val="en-US" w:eastAsia="zh-CN"/>
        </w:rPr>
        <w:t>5</w:t>
      </w:r>
      <w:r>
        <w:rPr>
          <w:color w:val="auto"/>
        </w:rPr>
        <w:t>.3</w:t>
      </w:r>
      <w:r>
        <w:rPr>
          <w:rFonts w:hint="eastAsia"/>
          <w:color w:val="auto"/>
        </w:rPr>
        <w:t>投标供应商的报价均超过了采购预算，采购人不能支付的；</w:t>
      </w:r>
    </w:p>
    <w:p w14:paraId="0E3ED8D6">
      <w:pPr>
        <w:pStyle w:val="42"/>
        <w:rPr>
          <w:rFonts w:hint="eastAsia"/>
          <w:color w:val="auto"/>
        </w:rPr>
      </w:pPr>
      <w:r>
        <w:rPr>
          <w:color w:val="auto"/>
        </w:rPr>
        <w:t>1</w:t>
      </w:r>
      <w:r>
        <w:rPr>
          <w:rFonts w:hint="eastAsia"/>
          <w:color w:val="auto"/>
          <w:lang w:val="en-US" w:eastAsia="zh-CN"/>
        </w:rPr>
        <w:t>5</w:t>
      </w:r>
      <w:r>
        <w:rPr>
          <w:color w:val="auto"/>
        </w:rPr>
        <w:t>.4</w:t>
      </w:r>
      <w:r>
        <w:rPr>
          <w:rFonts w:hint="eastAsia"/>
          <w:color w:val="auto"/>
        </w:rPr>
        <w:t>因重大变故，采购任务取消的。</w:t>
      </w:r>
    </w:p>
    <w:p w14:paraId="4A1EC046">
      <w:pPr>
        <w:pStyle w:val="42"/>
        <w:rPr>
          <w:rFonts w:hint="eastAsia"/>
          <w:color w:val="auto"/>
        </w:rPr>
      </w:pPr>
      <w:r>
        <w:rPr>
          <w:rFonts w:hint="eastAsia"/>
          <w:color w:val="auto"/>
        </w:rPr>
        <w:t>1</w:t>
      </w:r>
      <w:r>
        <w:rPr>
          <w:rFonts w:hint="eastAsia"/>
          <w:color w:val="auto"/>
          <w:lang w:val="en-US" w:eastAsia="zh-CN"/>
        </w:rPr>
        <w:t>6</w:t>
      </w:r>
      <w:r>
        <w:rPr>
          <w:color w:val="auto"/>
        </w:rPr>
        <w:t>.</w:t>
      </w:r>
      <w:r>
        <w:rPr>
          <w:rFonts w:hint="eastAsia"/>
          <w:color w:val="auto"/>
        </w:rPr>
        <w:t>废标后，采购人应当将废标理由通知所有投标供应商。</w:t>
      </w:r>
    </w:p>
    <w:p w14:paraId="2EFB35AE">
      <w:pPr>
        <w:pStyle w:val="4"/>
        <w:numPr>
          <w:ilvl w:val="0"/>
          <w:numId w:val="17"/>
        </w:numPr>
        <w:rPr>
          <w:rFonts w:hint="eastAsia"/>
          <w:color w:val="auto"/>
          <w:lang w:val="zh-CN"/>
        </w:rPr>
      </w:pPr>
      <w:bookmarkStart w:id="309" w:name="_Toc102116152"/>
      <w:bookmarkStart w:id="310" w:name="_Toc102114920"/>
      <w:bookmarkStart w:id="311" w:name="_Toc25935"/>
      <w:bookmarkStart w:id="312" w:name="_Toc155185914"/>
      <w:bookmarkStart w:id="313" w:name="_Toc102116022"/>
      <w:bookmarkStart w:id="314" w:name="_Toc102057718"/>
      <w:bookmarkStart w:id="315" w:name="_Toc102056218"/>
      <w:bookmarkStart w:id="316" w:name="_Toc102119853"/>
      <w:r>
        <w:rPr>
          <w:rFonts w:hint="eastAsia"/>
          <w:color w:val="auto"/>
          <w:lang w:val="zh-CN"/>
        </w:rPr>
        <w:t>停止评标的情形</w:t>
      </w:r>
      <w:bookmarkEnd w:id="309"/>
      <w:bookmarkEnd w:id="310"/>
      <w:bookmarkEnd w:id="311"/>
      <w:bookmarkEnd w:id="312"/>
      <w:bookmarkEnd w:id="313"/>
      <w:bookmarkEnd w:id="314"/>
      <w:bookmarkEnd w:id="315"/>
      <w:bookmarkEnd w:id="316"/>
    </w:p>
    <w:p w14:paraId="4BFBF517">
      <w:pPr>
        <w:pStyle w:val="42"/>
        <w:rPr>
          <w:rFonts w:hint="eastAsia"/>
          <w:color w:val="auto"/>
        </w:rPr>
      </w:pPr>
      <w:r>
        <w:rPr>
          <w:rFonts w:hint="eastAsia"/>
          <w:color w:val="auto"/>
        </w:rPr>
        <w:t>1</w:t>
      </w:r>
      <w:r>
        <w:rPr>
          <w:rFonts w:hint="eastAsia"/>
          <w:color w:val="auto"/>
          <w:lang w:val="en-US" w:eastAsia="zh-CN"/>
        </w:rPr>
        <w:t>7</w:t>
      </w:r>
      <w:r>
        <w:rPr>
          <w:color w:val="auto"/>
        </w:rPr>
        <w:t>.</w:t>
      </w:r>
      <w:r>
        <w:rPr>
          <w:rFonts w:hint="eastAsia"/>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bookmarkEnd w:id="281"/>
      <w:bookmarkEnd w:id="282"/>
      <w:bookmarkEnd w:id="283"/>
      <w:r>
        <w:rPr>
          <w:color w:val="auto"/>
        </w:rPr>
        <w:br w:type="page"/>
      </w:r>
    </w:p>
    <w:p w14:paraId="77E6AF4D">
      <w:pPr>
        <w:pStyle w:val="3"/>
        <w:numPr>
          <w:ilvl w:val="0"/>
          <w:numId w:val="16"/>
        </w:numPr>
        <w:rPr>
          <w:rFonts w:hint="eastAsia"/>
          <w:color w:val="auto"/>
          <w:lang w:val="zh-CN"/>
        </w:rPr>
      </w:pPr>
      <w:bookmarkStart w:id="317" w:name="_Toc3505"/>
      <w:bookmarkStart w:id="318" w:name="_Toc155185915"/>
      <w:r>
        <w:rPr>
          <w:rFonts w:hint="eastAsia"/>
          <w:color w:val="auto"/>
          <w:lang w:val="zh-CN"/>
        </w:rPr>
        <w:t>评标标准</w:t>
      </w:r>
      <w:bookmarkEnd w:id="317"/>
      <w:bookmarkEnd w:id="318"/>
    </w:p>
    <w:p w14:paraId="2855F733">
      <w:pPr>
        <w:pStyle w:val="4"/>
        <w:numPr>
          <w:ilvl w:val="0"/>
          <w:numId w:val="20"/>
        </w:numPr>
        <w:rPr>
          <w:rFonts w:hint="eastAsia"/>
          <w:color w:val="auto"/>
          <w:lang w:val="zh-CN"/>
        </w:rPr>
      </w:pPr>
      <w:bookmarkStart w:id="319" w:name="_Toc28203"/>
      <w:r>
        <w:rPr>
          <w:rFonts w:hint="eastAsia"/>
          <w:color w:val="auto"/>
          <w:lang w:val="zh-CN"/>
        </w:rPr>
        <w:t>符合性审查表</w:t>
      </w:r>
      <w:bookmarkEnd w:id="319"/>
    </w:p>
    <w:tbl>
      <w:tblPr>
        <w:tblStyle w:val="33"/>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2117"/>
        <w:gridCol w:w="5399"/>
      </w:tblGrid>
      <w:tr w14:paraId="503D2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780" w:type="dxa"/>
            <w:shd w:val="clear" w:color="auto" w:fill="D8D8D8" w:themeFill="background1" w:themeFillShade="D9"/>
            <w:vAlign w:val="center"/>
          </w:tcPr>
          <w:p w14:paraId="6587963C">
            <w:pPr>
              <w:pStyle w:val="54"/>
              <w:jc w:val="center"/>
              <w:rPr>
                <w:rFonts w:hint="eastAsia"/>
                <w:b/>
                <w:bCs/>
                <w:color w:val="auto"/>
                <w:lang w:val="zh-CN"/>
              </w:rPr>
            </w:pPr>
            <w:r>
              <w:rPr>
                <w:rFonts w:hint="eastAsia"/>
                <w:b/>
                <w:bCs/>
                <w:color w:val="auto"/>
                <w:lang w:val="zh-CN"/>
              </w:rPr>
              <w:t>序号</w:t>
            </w:r>
          </w:p>
        </w:tc>
        <w:tc>
          <w:tcPr>
            <w:tcW w:w="2117" w:type="dxa"/>
            <w:shd w:val="clear" w:color="auto" w:fill="D8D8D8" w:themeFill="background1" w:themeFillShade="D9"/>
            <w:vAlign w:val="center"/>
          </w:tcPr>
          <w:p w14:paraId="0A2E466A">
            <w:pPr>
              <w:pStyle w:val="54"/>
              <w:jc w:val="center"/>
              <w:rPr>
                <w:rFonts w:hint="eastAsia"/>
                <w:b/>
                <w:bCs/>
                <w:color w:val="auto"/>
                <w:lang w:val="zh-CN"/>
              </w:rPr>
            </w:pPr>
            <w:r>
              <w:rPr>
                <w:rFonts w:hint="eastAsia"/>
                <w:b/>
                <w:bCs/>
                <w:color w:val="auto"/>
                <w:lang w:val="zh-CN"/>
              </w:rPr>
              <w:t>审查项名称</w:t>
            </w:r>
          </w:p>
        </w:tc>
        <w:tc>
          <w:tcPr>
            <w:tcW w:w="5399" w:type="dxa"/>
            <w:shd w:val="clear" w:color="auto" w:fill="D8D8D8" w:themeFill="background1" w:themeFillShade="D9"/>
            <w:vAlign w:val="center"/>
          </w:tcPr>
          <w:p w14:paraId="23EF76B6">
            <w:pPr>
              <w:pStyle w:val="54"/>
              <w:jc w:val="center"/>
              <w:rPr>
                <w:rFonts w:hint="eastAsia"/>
                <w:b/>
                <w:bCs/>
                <w:color w:val="auto"/>
                <w:lang w:val="zh-CN"/>
              </w:rPr>
            </w:pPr>
            <w:r>
              <w:rPr>
                <w:rFonts w:hint="eastAsia"/>
                <w:b/>
                <w:bCs/>
                <w:color w:val="auto"/>
                <w:lang w:val="zh-CN"/>
              </w:rPr>
              <w:t>审查内容</w:t>
            </w:r>
          </w:p>
        </w:tc>
      </w:tr>
      <w:tr w14:paraId="3C39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6A86AEF6">
            <w:pPr>
              <w:pStyle w:val="54"/>
              <w:numPr>
                <w:ilvl w:val="0"/>
                <w:numId w:val="21"/>
              </w:numPr>
              <w:rPr>
                <w:rFonts w:hint="eastAsia"/>
                <w:color w:val="auto"/>
                <w:lang w:val="zh-CN"/>
              </w:rPr>
            </w:pPr>
          </w:p>
        </w:tc>
        <w:tc>
          <w:tcPr>
            <w:tcW w:w="2117" w:type="dxa"/>
            <w:vAlign w:val="center"/>
          </w:tcPr>
          <w:p w14:paraId="2A330A85">
            <w:pPr>
              <w:pStyle w:val="54"/>
              <w:rPr>
                <w:rFonts w:hint="eastAsia"/>
                <w:color w:val="auto"/>
                <w:lang w:val="zh-CN"/>
              </w:rPr>
            </w:pPr>
            <w:r>
              <w:rPr>
                <w:rFonts w:hint="eastAsia"/>
                <w:color w:val="auto"/>
                <w:lang w:val="zh-CN"/>
              </w:rPr>
              <w:t>投标报价</w:t>
            </w:r>
          </w:p>
        </w:tc>
        <w:tc>
          <w:tcPr>
            <w:tcW w:w="5399" w:type="dxa"/>
            <w:shd w:val="clear" w:color="auto" w:fill="auto"/>
            <w:vAlign w:val="center"/>
          </w:tcPr>
          <w:p w14:paraId="250F9CB5">
            <w:pPr>
              <w:pStyle w:val="54"/>
              <w:rPr>
                <w:rFonts w:hint="eastAsia"/>
                <w:color w:val="auto"/>
                <w:lang w:val="zh-CN"/>
              </w:rPr>
            </w:pPr>
            <w:r>
              <w:rPr>
                <w:rFonts w:hint="eastAsia"/>
                <w:color w:val="auto"/>
                <w:lang w:val="zh-CN"/>
              </w:rPr>
              <w:t>（1）投标报价没有超过项目（</w:t>
            </w:r>
            <w:r>
              <w:rPr>
                <w:rFonts w:hint="eastAsia"/>
                <w:color w:val="auto"/>
              </w:rPr>
              <w:t>采购包</w:t>
            </w:r>
            <w:r>
              <w:rPr>
                <w:rFonts w:hint="eastAsia"/>
                <w:color w:val="auto"/>
                <w:lang w:val="zh-CN"/>
              </w:rPr>
              <w:t>）预算金额或最高限价；</w:t>
            </w:r>
          </w:p>
          <w:p w14:paraId="7B5DD727">
            <w:pPr>
              <w:pStyle w:val="54"/>
              <w:rPr>
                <w:rFonts w:hint="eastAsia"/>
                <w:color w:val="auto"/>
                <w:lang w:val="zh-CN"/>
              </w:rPr>
            </w:pPr>
            <w:r>
              <w:rPr>
                <w:rFonts w:hint="eastAsia"/>
                <w:color w:val="auto"/>
                <w:lang w:val="zh-CN"/>
              </w:rPr>
              <w:t>（2）</w:t>
            </w:r>
            <w:r>
              <w:rPr>
                <w:color w:val="auto"/>
                <w:lang w:val="zh-CN"/>
              </w:rPr>
              <w:t>投标报价不存在缺项、漏项。</w:t>
            </w:r>
          </w:p>
        </w:tc>
      </w:tr>
      <w:tr w14:paraId="246DA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trPr>
        <w:tc>
          <w:tcPr>
            <w:tcW w:w="780" w:type="dxa"/>
            <w:shd w:val="clear" w:color="auto" w:fill="auto"/>
            <w:vAlign w:val="center"/>
          </w:tcPr>
          <w:p w14:paraId="38294073">
            <w:pPr>
              <w:pStyle w:val="54"/>
              <w:numPr>
                <w:ilvl w:val="0"/>
                <w:numId w:val="21"/>
              </w:numPr>
              <w:rPr>
                <w:rFonts w:hint="eastAsia"/>
                <w:color w:val="auto"/>
                <w:lang w:val="zh-CN"/>
              </w:rPr>
            </w:pPr>
          </w:p>
        </w:tc>
        <w:tc>
          <w:tcPr>
            <w:tcW w:w="2117" w:type="dxa"/>
            <w:vAlign w:val="center"/>
          </w:tcPr>
          <w:p w14:paraId="7EAC69B8">
            <w:pPr>
              <w:pStyle w:val="54"/>
              <w:rPr>
                <w:rFonts w:hint="eastAsia"/>
                <w:color w:val="auto"/>
                <w:lang w:val="zh-CN"/>
              </w:rPr>
            </w:pPr>
            <w:r>
              <w:rPr>
                <w:rFonts w:hint="eastAsia"/>
                <w:color w:val="auto"/>
                <w:lang w:val="zh-CN"/>
              </w:rPr>
              <w:t>投标文件</w:t>
            </w:r>
            <w:r>
              <w:rPr>
                <w:rFonts w:hint="eastAsia"/>
                <w:color w:val="auto"/>
              </w:rPr>
              <w:t>签署</w:t>
            </w:r>
          </w:p>
        </w:tc>
        <w:tc>
          <w:tcPr>
            <w:tcW w:w="5399" w:type="dxa"/>
            <w:shd w:val="clear" w:color="auto" w:fill="auto"/>
            <w:vAlign w:val="center"/>
          </w:tcPr>
          <w:p w14:paraId="31468B38">
            <w:pPr>
              <w:pStyle w:val="54"/>
              <w:rPr>
                <w:rFonts w:hint="eastAsia"/>
                <w:color w:val="auto"/>
                <w:lang w:val="zh-CN"/>
              </w:rPr>
            </w:pPr>
            <w:r>
              <w:rPr>
                <w:rFonts w:hint="eastAsia"/>
                <w:color w:val="auto"/>
              </w:rPr>
              <w:t>按照招标文件要求签署、盖章。</w:t>
            </w:r>
          </w:p>
        </w:tc>
      </w:tr>
      <w:tr w14:paraId="7F902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11350D9B">
            <w:pPr>
              <w:pStyle w:val="54"/>
              <w:numPr>
                <w:ilvl w:val="0"/>
                <w:numId w:val="21"/>
              </w:numPr>
              <w:rPr>
                <w:rFonts w:hint="eastAsia"/>
                <w:color w:val="auto"/>
                <w:lang w:val="zh-CN"/>
              </w:rPr>
            </w:pPr>
          </w:p>
        </w:tc>
        <w:tc>
          <w:tcPr>
            <w:tcW w:w="2117" w:type="dxa"/>
            <w:vAlign w:val="center"/>
          </w:tcPr>
          <w:p w14:paraId="3F54F1A4">
            <w:pPr>
              <w:pStyle w:val="54"/>
              <w:rPr>
                <w:rFonts w:hint="eastAsia"/>
                <w:color w:val="auto"/>
              </w:rPr>
            </w:pPr>
            <w:r>
              <w:rPr>
                <w:rFonts w:hint="eastAsia"/>
                <w:color w:val="auto"/>
              </w:rPr>
              <w:t>进口产品</w:t>
            </w:r>
          </w:p>
        </w:tc>
        <w:tc>
          <w:tcPr>
            <w:tcW w:w="5399" w:type="dxa"/>
            <w:shd w:val="clear" w:color="auto" w:fill="auto"/>
            <w:vAlign w:val="center"/>
          </w:tcPr>
          <w:p w14:paraId="240C28C1">
            <w:pPr>
              <w:pStyle w:val="54"/>
              <w:rPr>
                <w:rFonts w:hint="eastAsia"/>
                <w:color w:val="auto"/>
                <w:lang w:val="zh-CN"/>
              </w:rPr>
            </w:pPr>
            <w:r>
              <w:rPr>
                <w:rFonts w:hint="eastAsia"/>
                <w:color w:val="auto"/>
                <w:lang w:val="zh-CN"/>
              </w:rPr>
              <w:t>招标文件不接受进口产品投标时，投标供应商所投产品</w:t>
            </w:r>
            <w:r>
              <w:rPr>
                <w:rFonts w:hint="eastAsia"/>
                <w:color w:val="auto"/>
              </w:rPr>
              <w:t>不</w:t>
            </w:r>
            <w:r>
              <w:rPr>
                <w:rFonts w:hint="eastAsia"/>
                <w:color w:val="auto"/>
                <w:lang w:val="zh-CN"/>
              </w:rPr>
              <w:t>是通过中国海关报关验放进入中国境内且产自关境外的。</w:t>
            </w:r>
          </w:p>
          <w:p w14:paraId="04C0902B">
            <w:pPr>
              <w:pStyle w:val="54"/>
              <w:rPr>
                <w:rFonts w:hint="eastAsia"/>
                <w:color w:val="auto"/>
                <w:lang w:val="zh-CN"/>
              </w:rPr>
            </w:pPr>
            <w:r>
              <w:rPr>
                <w:rFonts w:hint="eastAsia"/>
                <w:b/>
                <w:bCs/>
                <w:color w:val="auto"/>
              </w:rPr>
              <w:t>本采购项目不涉及。</w:t>
            </w:r>
          </w:p>
        </w:tc>
      </w:tr>
      <w:tr w14:paraId="1D9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0" w:type="dxa"/>
            <w:shd w:val="clear" w:color="auto" w:fill="auto"/>
            <w:vAlign w:val="center"/>
          </w:tcPr>
          <w:p w14:paraId="51759DC5">
            <w:pPr>
              <w:pStyle w:val="54"/>
              <w:numPr>
                <w:ilvl w:val="0"/>
                <w:numId w:val="21"/>
              </w:numPr>
              <w:rPr>
                <w:rFonts w:hint="eastAsia"/>
                <w:color w:val="auto"/>
                <w:lang w:val="zh-CN"/>
              </w:rPr>
            </w:pPr>
          </w:p>
        </w:tc>
        <w:tc>
          <w:tcPr>
            <w:tcW w:w="2117" w:type="dxa"/>
            <w:vAlign w:val="center"/>
          </w:tcPr>
          <w:p w14:paraId="33B12CF7">
            <w:pPr>
              <w:pStyle w:val="54"/>
              <w:rPr>
                <w:rFonts w:hint="eastAsia"/>
                <w:color w:val="auto"/>
                <w:lang w:val="zh-CN"/>
              </w:rPr>
            </w:pPr>
            <w:r>
              <w:rPr>
                <w:rFonts w:hint="eastAsia"/>
                <w:color w:val="auto"/>
                <w:lang w:val="zh-CN"/>
              </w:rPr>
              <w:t>实质性要求</w:t>
            </w:r>
          </w:p>
        </w:tc>
        <w:tc>
          <w:tcPr>
            <w:tcW w:w="5399" w:type="dxa"/>
            <w:shd w:val="clear" w:color="auto" w:fill="auto"/>
            <w:vAlign w:val="center"/>
          </w:tcPr>
          <w:p w14:paraId="7F34B9CF">
            <w:pPr>
              <w:pStyle w:val="54"/>
              <w:rPr>
                <w:rFonts w:hint="eastAsia"/>
                <w:color w:val="auto"/>
                <w:lang w:val="zh-CN"/>
              </w:rPr>
            </w:pPr>
            <w:r>
              <w:rPr>
                <w:rFonts w:hint="eastAsia"/>
                <w:color w:val="auto"/>
                <w:lang w:val="zh-CN"/>
              </w:rPr>
              <w:t>（</w:t>
            </w:r>
            <w:r>
              <w:rPr>
                <w:rFonts w:hint="eastAsia"/>
                <w:color w:val="auto"/>
              </w:rPr>
              <w:t>1</w:t>
            </w:r>
            <w:r>
              <w:rPr>
                <w:rFonts w:hint="eastAsia"/>
                <w:color w:val="auto"/>
                <w:lang w:val="zh-CN"/>
              </w:rPr>
              <w:t>）满足招标文件第三章“项目采购需求”中</w:t>
            </w:r>
            <w:r>
              <w:rPr>
                <w:rFonts w:hint="eastAsia"/>
                <w:color w:val="auto"/>
                <w:lang w:val="en-US" w:eastAsia="zh-CN"/>
              </w:rPr>
              <w:t>带“</w:t>
            </w:r>
            <w:r>
              <w:rPr>
                <w:rFonts w:hint="eastAsia" w:ascii="微软雅黑" w:hAnsi="微软雅黑" w:eastAsia="微软雅黑" w:cs="微软雅黑"/>
                <w:color w:val="auto"/>
                <w:lang w:val="en-US" w:eastAsia="zh-CN"/>
              </w:rPr>
              <w:t>★</w:t>
            </w:r>
            <w:r>
              <w:rPr>
                <w:rFonts w:hint="eastAsia"/>
                <w:color w:val="auto"/>
                <w:lang w:val="zh-CN"/>
              </w:rPr>
              <w:t>”要求的实质性条款；</w:t>
            </w:r>
          </w:p>
          <w:p w14:paraId="102B9CF7">
            <w:pPr>
              <w:pStyle w:val="54"/>
              <w:rPr>
                <w:rFonts w:hint="eastAsia"/>
                <w:color w:val="auto"/>
                <w:lang w:val="zh-CN"/>
              </w:rPr>
            </w:pPr>
            <w:r>
              <w:rPr>
                <w:rFonts w:hint="eastAsia"/>
                <w:color w:val="auto"/>
                <w:lang w:val="zh-CN"/>
              </w:rPr>
              <w:t>（</w:t>
            </w:r>
            <w:r>
              <w:rPr>
                <w:rFonts w:hint="eastAsia"/>
                <w:color w:val="auto"/>
              </w:rPr>
              <w:t>2</w:t>
            </w:r>
            <w:r>
              <w:rPr>
                <w:rFonts w:hint="eastAsia"/>
                <w:color w:val="auto"/>
                <w:lang w:val="zh-CN"/>
              </w:rPr>
              <w:t>）投标有效期满足招标文件要求；</w:t>
            </w:r>
          </w:p>
          <w:p w14:paraId="46F1ED21">
            <w:pPr>
              <w:pStyle w:val="54"/>
              <w:rPr>
                <w:rFonts w:hint="eastAsia"/>
                <w:color w:val="auto"/>
                <w:lang w:val="zh-CN"/>
              </w:rPr>
            </w:pPr>
            <w:r>
              <w:rPr>
                <w:rFonts w:hint="eastAsia"/>
                <w:color w:val="auto"/>
                <w:lang w:val="zh-CN"/>
              </w:rPr>
              <w:t>（</w:t>
            </w:r>
            <w:r>
              <w:rPr>
                <w:color w:val="auto"/>
              </w:rPr>
              <w:t>3</w:t>
            </w:r>
            <w:r>
              <w:rPr>
                <w:rFonts w:hint="eastAsia"/>
                <w:color w:val="auto"/>
                <w:lang w:val="zh-CN"/>
              </w:rPr>
              <w:t>）没有</w:t>
            </w:r>
            <w:r>
              <w:rPr>
                <w:color w:val="auto"/>
                <w:lang w:val="zh-CN"/>
              </w:rPr>
              <w:t>采购人不能接受的附加条件</w:t>
            </w:r>
            <w:r>
              <w:rPr>
                <w:rFonts w:hint="eastAsia"/>
                <w:color w:val="auto"/>
                <w:lang w:val="zh-CN"/>
              </w:rPr>
              <w:t>。</w:t>
            </w:r>
          </w:p>
        </w:tc>
      </w:tr>
      <w:tr w14:paraId="5958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1" w:hRule="atLeast"/>
        </w:trPr>
        <w:tc>
          <w:tcPr>
            <w:tcW w:w="780" w:type="dxa"/>
            <w:shd w:val="clear" w:color="auto" w:fill="auto"/>
            <w:vAlign w:val="center"/>
          </w:tcPr>
          <w:p w14:paraId="3DBC2E4F">
            <w:pPr>
              <w:pStyle w:val="54"/>
              <w:numPr>
                <w:ilvl w:val="0"/>
                <w:numId w:val="21"/>
              </w:numPr>
              <w:rPr>
                <w:rFonts w:hint="eastAsia"/>
                <w:color w:val="auto"/>
                <w:lang w:val="zh-CN"/>
              </w:rPr>
            </w:pPr>
          </w:p>
        </w:tc>
        <w:tc>
          <w:tcPr>
            <w:tcW w:w="2117" w:type="dxa"/>
            <w:vAlign w:val="center"/>
          </w:tcPr>
          <w:p w14:paraId="40C75BCA">
            <w:pPr>
              <w:pStyle w:val="54"/>
              <w:rPr>
                <w:rFonts w:hint="eastAsia"/>
                <w:color w:val="auto"/>
              </w:rPr>
            </w:pPr>
            <w:r>
              <w:rPr>
                <w:rFonts w:hint="eastAsia"/>
                <w:color w:val="auto"/>
              </w:rPr>
              <w:t>围标串标情形</w:t>
            </w:r>
          </w:p>
        </w:tc>
        <w:tc>
          <w:tcPr>
            <w:tcW w:w="5399" w:type="dxa"/>
            <w:shd w:val="clear" w:color="auto" w:fill="auto"/>
            <w:vAlign w:val="center"/>
          </w:tcPr>
          <w:p w14:paraId="30937BBB">
            <w:pPr>
              <w:pStyle w:val="54"/>
              <w:rPr>
                <w:rFonts w:hint="eastAsia"/>
                <w:color w:val="auto"/>
              </w:rPr>
            </w:pPr>
            <w:r>
              <w:rPr>
                <w:rFonts w:hint="eastAsia"/>
                <w:color w:val="auto"/>
              </w:rPr>
              <w:t>投标供应商不存在下列任一情形：</w:t>
            </w:r>
          </w:p>
          <w:p w14:paraId="5CC15511">
            <w:pPr>
              <w:pStyle w:val="54"/>
              <w:rPr>
                <w:rFonts w:hint="eastAsia"/>
                <w:color w:val="auto"/>
              </w:rPr>
            </w:pPr>
            <w:r>
              <w:rPr>
                <w:rFonts w:hint="eastAsia"/>
                <w:color w:val="auto"/>
              </w:rPr>
              <w:t>（1）不同投标供应商的投标文件由同一单位或者个人编制；</w:t>
            </w:r>
          </w:p>
          <w:p w14:paraId="603310F2">
            <w:pPr>
              <w:pStyle w:val="54"/>
              <w:rPr>
                <w:rFonts w:hint="eastAsia"/>
                <w:color w:val="auto"/>
              </w:rPr>
            </w:pPr>
            <w:r>
              <w:rPr>
                <w:rFonts w:hint="eastAsia"/>
                <w:color w:val="auto"/>
              </w:rPr>
              <w:t>（2）不同投标供应商委托同一单位或者个人办理投标事宜；</w:t>
            </w:r>
          </w:p>
          <w:p w14:paraId="08567115">
            <w:pPr>
              <w:pStyle w:val="54"/>
              <w:rPr>
                <w:rFonts w:hint="eastAsia"/>
                <w:color w:val="auto"/>
              </w:rPr>
            </w:pPr>
            <w:r>
              <w:rPr>
                <w:rFonts w:hint="eastAsia"/>
                <w:color w:val="auto"/>
              </w:rPr>
              <w:t>（3）不同投标供应商的投标文件载明的项目管理成员或者联系人员为同一人；</w:t>
            </w:r>
          </w:p>
          <w:p w14:paraId="022786E3">
            <w:pPr>
              <w:pStyle w:val="54"/>
              <w:rPr>
                <w:rFonts w:hint="eastAsia"/>
                <w:color w:val="auto"/>
              </w:rPr>
            </w:pPr>
            <w:r>
              <w:rPr>
                <w:rFonts w:hint="eastAsia"/>
                <w:color w:val="auto"/>
              </w:rPr>
              <w:t>（4）不同投标供应商的投标文件异常一致或者投标报价呈规律性差异；</w:t>
            </w:r>
          </w:p>
          <w:p w14:paraId="11261DBC">
            <w:pPr>
              <w:pStyle w:val="54"/>
              <w:rPr>
                <w:rFonts w:hint="eastAsia"/>
                <w:color w:val="auto"/>
              </w:rPr>
            </w:pPr>
            <w:r>
              <w:rPr>
                <w:rFonts w:hint="eastAsia"/>
                <w:color w:val="auto"/>
              </w:rPr>
              <w:t>（5）不同投标供应商的投标文件相互混装；</w:t>
            </w:r>
          </w:p>
          <w:p w14:paraId="4F758E1A">
            <w:pPr>
              <w:pStyle w:val="54"/>
              <w:rPr>
                <w:rFonts w:hint="eastAsia"/>
                <w:color w:val="auto"/>
                <w:lang w:val="zh-CN"/>
              </w:rPr>
            </w:pPr>
            <w:r>
              <w:rPr>
                <w:rFonts w:hint="eastAsia" w:cs="宋体"/>
                <w:color w:val="auto"/>
              </w:rPr>
              <w:t>（</w:t>
            </w:r>
            <w:r>
              <w:rPr>
                <w:rFonts w:cs="宋体"/>
                <w:color w:val="auto"/>
              </w:rPr>
              <w:t>6</w:t>
            </w:r>
            <w:r>
              <w:rPr>
                <w:rFonts w:hint="eastAsia" w:cs="宋体"/>
                <w:color w:val="auto"/>
              </w:rPr>
              <w:t>）</w:t>
            </w:r>
            <w:r>
              <w:rPr>
                <w:rFonts w:hint="eastAsia"/>
                <w:color w:val="auto"/>
                <w:lang w:val="zh-CN"/>
              </w:rPr>
              <w:t>不同投标供应商使用同一电脑（机器特征值一致：如</w:t>
            </w:r>
            <w:r>
              <w:rPr>
                <w:color w:val="auto"/>
                <w:lang w:val="zh-CN"/>
              </w:rPr>
              <w:t>MAC地址等）或使用同一电子密钥，编制或上传电子投标文件。</w:t>
            </w:r>
          </w:p>
        </w:tc>
      </w:tr>
      <w:tr w14:paraId="457F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4" w:hRule="atLeast"/>
        </w:trPr>
        <w:tc>
          <w:tcPr>
            <w:tcW w:w="780" w:type="dxa"/>
            <w:shd w:val="clear" w:color="auto" w:fill="auto"/>
            <w:vAlign w:val="center"/>
          </w:tcPr>
          <w:p w14:paraId="3C8D2846">
            <w:pPr>
              <w:pStyle w:val="54"/>
              <w:numPr>
                <w:ilvl w:val="0"/>
                <w:numId w:val="21"/>
              </w:numPr>
              <w:rPr>
                <w:rFonts w:hint="eastAsia"/>
                <w:color w:val="auto"/>
                <w:lang w:val="zh-CN"/>
              </w:rPr>
            </w:pPr>
          </w:p>
        </w:tc>
        <w:tc>
          <w:tcPr>
            <w:tcW w:w="2117" w:type="dxa"/>
            <w:vAlign w:val="center"/>
          </w:tcPr>
          <w:p w14:paraId="2B2C9879">
            <w:pPr>
              <w:pStyle w:val="54"/>
              <w:rPr>
                <w:rFonts w:hint="eastAsia"/>
                <w:color w:val="auto"/>
                <w:lang w:val="zh-CN"/>
              </w:rPr>
            </w:pPr>
            <w:r>
              <w:rPr>
                <w:color w:val="auto"/>
                <w:lang w:val="zh-CN"/>
              </w:rPr>
              <w:t>其他</w:t>
            </w:r>
            <w:r>
              <w:rPr>
                <w:rFonts w:hint="eastAsia"/>
                <w:color w:val="auto"/>
                <w:lang w:val="zh-CN"/>
              </w:rPr>
              <w:t>无效情形</w:t>
            </w:r>
          </w:p>
        </w:tc>
        <w:tc>
          <w:tcPr>
            <w:tcW w:w="5399" w:type="dxa"/>
            <w:shd w:val="clear" w:color="auto" w:fill="auto"/>
            <w:vAlign w:val="center"/>
          </w:tcPr>
          <w:p w14:paraId="6FCBA203">
            <w:pPr>
              <w:pStyle w:val="54"/>
              <w:rPr>
                <w:rFonts w:hint="eastAsia"/>
                <w:color w:val="auto"/>
                <w:lang w:val="zh-CN"/>
              </w:rPr>
            </w:pPr>
            <w:r>
              <w:rPr>
                <w:rFonts w:hint="eastAsia"/>
                <w:color w:val="auto"/>
                <w:lang w:val="zh-CN"/>
              </w:rPr>
              <w:t>不存在</w:t>
            </w:r>
            <w:r>
              <w:rPr>
                <w:color w:val="auto"/>
                <w:lang w:val="zh-CN"/>
              </w:rPr>
              <w:t>法律、法规</w:t>
            </w:r>
            <w:r>
              <w:rPr>
                <w:rFonts w:hint="eastAsia"/>
                <w:color w:val="auto"/>
                <w:lang w:val="zh-CN"/>
              </w:rPr>
              <w:t>和招标文件</w:t>
            </w:r>
            <w:r>
              <w:rPr>
                <w:color w:val="auto"/>
                <w:lang w:val="zh-CN"/>
              </w:rPr>
              <w:t>规定的其他</w:t>
            </w:r>
            <w:r>
              <w:rPr>
                <w:rFonts w:hint="eastAsia"/>
                <w:b/>
                <w:bCs/>
                <w:color w:val="auto"/>
                <w:lang w:val="zh-CN"/>
              </w:rPr>
              <w:t>无效投标</w:t>
            </w:r>
            <w:r>
              <w:rPr>
                <w:color w:val="auto"/>
                <w:lang w:val="zh-CN"/>
              </w:rPr>
              <w:t>情形。</w:t>
            </w:r>
          </w:p>
        </w:tc>
      </w:tr>
    </w:tbl>
    <w:p w14:paraId="456CAAE4">
      <w:pPr>
        <w:pStyle w:val="4"/>
        <w:numPr>
          <w:ilvl w:val="0"/>
          <w:numId w:val="20"/>
        </w:numPr>
        <w:rPr>
          <w:rFonts w:hint="eastAsia"/>
          <w:color w:val="auto"/>
          <w:lang w:val="zh-CN"/>
        </w:rPr>
      </w:pPr>
      <w:bookmarkStart w:id="320" w:name="_Toc155185917"/>
      <w:bookmarkStart w:id="321" w:name="_Toc9674"/>
      <w:r>
        <w:rPr>
          <w:rFonts w:hint="eastAsia"/>
          <w:color w:val="auto"/>
          <w:lang w:val="zh-CN"/>
        </w:rPr>
        <w:t>评分标准</w:t>
      </w:r>
      <w:bookmarkEnd w:id="320"/>
      <w:r>
        <w:rPr>
          <w:rFonts w:hint="eastAsia"/>
          <w:color w:val="auto"/>
          <w:lang w:val="zh-CN"/>
        </w:rPr>
        <w:t>【综合评标法适用】</w:t>
      </w:r>
      <w:bookmarkEnd w:id="321"/>
    </w:p>
    <w:tbl>
      <w:tblPr>
        <w:tblStyle w:val="33"/>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183"/>
        <w:gridCol w:w="881"/>
        <w:gridCol w:w="5376"/>
      </w:tblGrid>
      <w:tr w14:paraId="78F7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00" w:type="dxa"/>
            <w:shd w:val="clear" w:color="auto" w:fill="D8D8D8" w:themeFill="background1" w:themeFillShade="D9"/>
            <w:vAlign w:val="center"/>
          </w:tcPr>
          <w:p w14:paraId="790156DB">
            <w:pPr>
              <w:pStyle w:val="54"/>
              <w:jc w:val="center"/>
              <w:rPr>
                <w:rFonts w:hint="eastAsia"/>
                <w:b/>
                <w:bCs/>
                <w:color w:val="auto"/>
              </w:rPr>
            </w:pPr>
            <w:r>
              <w:rPr>
                <w:rFonts w:hint="eastAsia"/>
                <w:b/>
                <w:bCs/>
                <w:color w:val="auto"/>
              </w:rPr>
              <w:t>评标项目</w:t>
            </w:r>
          </w:p>
        </w:tc>
        <w:tc>
          <w:tcPr>
            <w:tcW w:w="1183" w:type="dxa"/>
            <w:shd w:val="clear" w:color="auto" w:fill="D8D8D8" w:themeFill="background1" w:themeFillShade="D9"/>
            <w:vAlign w:val="center"/>
          </w:tcPr>
          <w:p w14:paraId="33BFC7A1">
            <w:pPr>
              <w:pStyle w:val="54"/>
              <w:jc w:val="center"/>
              <w:rPr>
                <w:rFonts w:hint="eastAsia"/>
                <w:b/>
                <w:bCs/>
                <w:color w:val="auto"/>
              </w:rPr>
            </w:pPr>
            <w:r>
              <w:rPr>
                <w:rFonts w:hint="eastAsia"/>
                <w:b/>
                <w:bCs/>
                <w:color w:val="auto"/>
              </w:rPr>
              <w:t>评标分项</w:t>
            </w:r>
          </w:p>
        </w:tc>
        <w:tc>
          <w:tcPr>
            <w:tcW w:w="881" w:type="dxa"/>
            <w:shd w:val="clear" w:color="auto" w:fill="D8D8D8" w:themeFill="background1" w:themeFillShade="D9"/>
            <w:vAlign w:val="center"/>
          </w:tcPr>
          <w:p w14:paraId="4FE8E2C5">
            <w:pPr>
              <w:pStyle w:val="54"/>
              <w:jc w:val="center"/>
              <w:rPr>
                <w:rFonts w:hint="eastAsia"/>
                <w:b/>
                <w:bCs/>
                <w:color w:val="auto"/>
              </w:rPr>
            </w:pPr>
            <w:r>
              <w:rPr>
                <w:rFonts w:hint="eastAsia"/>
                <w:b/>
                <w:bCs/>
                <w:color w:val="auto"/>
              </w:rPr>
              <w:t>分值</w:t>
            </w:r>
          </w:p>
        </w:tc>
        <w:tc>
          <w:tcPr>
            <w:tcW w:w="5376" w:type="dxa"/>
            <w:shd w:val="clear" w:color="auto" w:fill="D8D8D8" w:themeFill="background1" w:themeFillShade="D9"/>
            <w:vAlign w:val="center"/>
          </w:tcPr>
          <w:p w14:paraId="072D5A81">
            <w:pPr>
              <w:pStyle w:val="54"/>
              <w:jc w:val="center"/>
              <w:rPr>
                <w:rFonts w:hint="eastAsia"/>
                <w:b/>
                <w:bCs/>
                <w:color w:val="auto"/>
              </w:rPr>
            </w:pPr>
            <w:r>
              <w:rPr>
                <w:rFonts w:hint="eastAsia"/>
                <w:b/>
                <w:bCs/>
                <w:color w:val="auto"/>
              </w:rPr>
              <w:t>子项目及分值</w:t>
            </w:r>
          </w:p>
        </w:tc>
      </w:tr>
      <w:tr w14:paraId="37B6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62D241E5">
            <w:pPr>
              <w:pStyle w:val="54"/>
              <w:rPr>
                <w:rFonts w:hint="eastAsia"/>
                <w:color w:val="auto"/>
              </w:rPr>
            </w:pPr>
            <w:r>
              <w:rPr>
                <w:rFonts w:hint="eastAsia"/>
                <w:color w:val="auto"/>
              </w:rPr>
              <w:t>价格部分</w:t>
            </w:r>
          </w:p>
          <w:p w14:paraId="3AA7DBFB">
            <w:pPr>
              <w:pStyle w:val="54"/>
              <w:rPr>
                <w:rFonts w:hint="eastAsia"/>
                <w:color w:val="auto"/>
              </w:rPr>
            </w:pPr>
            <w:r>
              <w:rPr>
                <w:rFonts w:hint="eastAsia"/>
                <w:color w:val="auto"/>
              </w:rPr>
              <w:t>（</w:t>
            </w:r>
            <w:r>
              <w:rPr>
                <w:rFonts w:hint="eastAsia"/>
                <w:color w:val="auto"/>
                <w:lang w:val="en-US" w:eastAsia="zh-CN"/>
              </w:rPr>
              <w:t>30</w:t>
            </w:r>
            <w:r>
              <w:rPr>
                <w:rFonts w:hint="eastAsia"/>
                <w:color w:val="auto"/>
              </w:rPr>
              <w:t>分）</w:t>
            </w:r>
          </w:p>
        </w:tc>
        <w:tc>
          <w:tcPr>
            <w:tcW w:w="1183" w:type="dxa"/>
            <w:tcBorders>
              <w:bottom w:val="single" w:color="auto" w:sz="4" w:space="0"/>
            </w:tcBorders>
            <w:vAlign w:val="center"/>
          </w:tcPr>
          <w:p w14:paraId="36103550">
            <w:pPr>
              <w:pStyle w:val="54"/>
              <w:rPr>
                <w:rFonts w:hint="eastAsia"/>
                <w:color w:val="auto"/>
              </w:rPr>
            </w:pPr>
            <w:r>
              <w:rPr>
                <w:rFonts w:hint="eastAsia"/>
                <w:color w:val="auto"/>
              </w:rPr>
              <w:t>报价评审价</w:t>
            </w:r>
          </w:p>
        </w:tc>
        <w:tc>
          <w:tcPr>
            <w:tcW w:w="881" w:type="dxa"/>
            <w:vAlign w:val="center"/>
          </w:tcPr>
          <w:p w14:paraId="5E4A7587">
            <w:pPr>
              <w:pStyle w:val="54"/>
              <w:jc w:val="center"/>
              <w:rPr>
                <w:rFonts w:hint="eastAsia"/>
                <w:color w:val="auto"/>
              </w:rPr>
            </w:pPr>
            <w:r>
              <w:rPr>
                <w:rFonts w:hint="eastAsia"/>
                <w:color w:val="auto"/>
                <w:lang w:val="en-US" w:eastAsia="zh-CN"/>
              </w:rPr>
              <w:t>30</w:t>
            </w:r>
            <w:r>
              <w:rPr>
                <w:rFonts w:hint="eastAsia"/>
                <w:color w:val="auto"/>
              </w:rPr>
              <w:t>分</w:t>
            </w:r>
          </w:p>
        </w:tc>
        <w:tc>
          <w:tcPr>
            <w:tcW w:w="5376" w:type="dxa"/>
            <w:vAlign w:val="center"/>
          </w:tcPr>
          <w:p w14:paraId="142F8C71">
            <w:pPr>
              <w:pStyle w:val="54"/>
              <w:spacing w:line="360" w:lineRule="auto"/>
              <w:rPr>
                <w:rFonts w:hint="eastAsia" w:ascii="宋体" w:hAnsi="宋体" w:eastAsia="宋体" w:cs="宋体"/>
                <w:color w:val="auto"/>
              </w:rPr>
            </w:pPr>
            <w:r>
              <w:rPr>
                <w:rFonts w:hint="eastAsia" w:ascii="宋体" w:hAnsi="宋体" w:eastAsia="宋体" w:cs="宋体"/>
                <w:color w:val="auto"/>
              </w:rPr>
              <w:t>综合评分法中的价格分统一采用低价优先法计算，即</w:t>
            </w:r>
            <w:r>
              <w:rPr>
                <w:rFonts w:hint="eastAsia" w:cs="宋体"/>
                <w:color w:val="auto"/>
                <w:lang w:val="en-US" w:eastAsia="zh-CN"/>
              </w:rPr>
              <w:t>通过符合性评审</w:t>
            </w:r>
            <w:r>
              <w:rPr>
                <w:rFonts w:hint="eastAsia" w:ascii="宋体" w:hAnsi="宋体" w:eastAsia="宋体" w:cs="宋体"/>
                <w:color w:val="auto"/>
              </w:rPr>
              <w:t>且报价最低的</w:t>
            </w:r>
            <w:r>
              <w:rPr>
                <w:rFonts w:hint="eastAsia" w:ascii="宋体" w:hAnsi="宋体" w:eastAsia="宋体" w:cs="宋体"/>
                <w:color w:val="auto"/>
                <w:lang w:val="en-US" w:eastAsia="zh-CN"/>
              </w:rPr>
              <w:t>投标</w:t>
            </w:r>
            <w:r>
              <w:rPr>
                <w:rFonts w:hint="eastAsia" w:ascii="宋体" w:hAnsi="宋体" w:eastAsia="宋体" w:cs="宋体"/>
                <w:color w:val="auto"/>
              </w:rPr>
              <w:t>供应商的价格为</w:t>
            </w:r>
            <w:r>
              <w:rPr>
                <w:rFonts w:hint="eastAsia" w:ascii="宋体" w:hAnsi="宋体" w:eastAsia="宋体" w:cs="宋体"/>
                <w:color w:val="auto"/>
                <w:lang w:val="en-US" w:eastAsia="zh-CN"/>
              </w:rPr>
              <w:t>评标</w:t>
            </w:r>
            <w:r>
              <w:rPr>
                <w:rFonts w:hint="eastAsia" w:ascii="宋体" w:hAnsi="宋体" w:eastAsia="宋体" w:cs="宋体"/>
                <w:color w:val="auto"/>
              </w:rPr>
              <w:t>基准价，其价格分为满分。其他</w:t>
            </w:r>
            <w:r>
              <w:rPr>
                <w:rFonts w:hint="eastAsia" w:ascii="宋体" w:hAnsi="宋体" w:eastAsia="宋体" w:cs="宋体"/>
                <w:color w:val="auto"/>
                <w:lang w:val="en-US" w:eastAsia="zh-CN"/>
              </w:rPr>
              <w:t>投标</w:t>
            </w:r>
            <w:r>
              <w:rPr>
                <w:rFonts w:hint="eastAsia" w:ascii="宋体" w:hAnsi="宋体" w:eastAsia="宋体" w:cs="宋体"/>
                <w:color w:val="auto"/>
              </w:rPr>
              <w:t>供应商的价格分统一按照下列公式计算：</w:t>
            </w:r>
          </w:p>
          <w:p w14:paraId="1244DE7B">
            <w:pPr>
              <w:pStyle w:val="54"/>
              <w:spacing w:line="360" w:lineRule="auto"/>
              <w:rPr>
                <w:rFonts w:hint="eastAsia" w:cs="宋体"/>
                <w:color w:val="auto"/>
                <w:lang w:val="en-US" w:eastAsia="zh-CN"/>
              </w:rPr>
            </w:pPr>
            <w:r>
              <w:rPr>
                <w:rFonts w:hint="eastAsia" w:ascii="宋体" w:hAnsi="宋体" w:eastAsia="宋体" w:cs="宋体"/>
                <w:color w:val="auto"/>
              </w:rPr>
              <w:t>报价得分=</w:t>
            </w:r>
            <w:r>
              <w:rPr>
                <w:rFonts w:hint="eastAsia" w:ascii="宋体" w:hAnsi="宋体" w:eastAsia="宋体" w:cs="宋体"/>
                <w:color w:val="auto"/>
                <w:lang w:val="en-US" w:eastAsia="zh-CN"/>
              </w:rPr>
              <w:t>评标</w:t>
            </w:r>
            <w:r>
              <w:rPr>
                <w:rFonts w:hint="eastAsia" w:ascii="宋体" w:hAnsi="宋体" w:eastAsia="宋体" w:cs="宋体"/>
                <w:color w:val="auto"/>
              </w:rPr>
              <w:t>基准价</w:t>
            </w:r>
            <w:r>
              <w:rPr>
                <w:rFonts w:hint="eastAsia" w:ascii="宋体" w:hAnsi="宋体" w:eastAsia="宋体" w:cs="宋体"/>
                <w:color w:val="auto"/>
                <w:lang w:val="en-US" w:eastAsia="zh-CN"/>
              </w:rPr>
              <w:t>/</w:t>
            </w:r>
            <w:r>
              <w:rPr>
                <w:rFonts w:hint="eastAsia" w:ascii="宋体" w:hAnsi="宋体" w:eastAsia="宋体" w:cs="宋体"/>
                <w:color w:val="auto"/>
              </w:rPr>
              <w:t>最后报价×</w:t>
            </w:r>
            <w:r>
              <w:rPr>
                <w:rFonts w:hint="eastAsia" w:cs="宋体"/>
                <w:color w:val="auto"/>
                <w:lang w:val="en-US" w:eastAsia="zh-CN"/>
              </w:rPr>
              <w:t>相应分值</w:t>
            </w:r>
          </w:p>
          <w:p w14:paraId="631BD980">
            <w:pPr>
              <w:pStyle w:val="54"/>
              <w:spacing w:line="360" w:lineRule="auto"/>
              <w:rPr>
                <w:rFonts w:hint="eastAsia" w:cs="宋体"/>
                <w:color w:val="auto"/>
                <w:lang w:val="en-US" w:eastAsia="zh-CN"/>
              </w:rPr>
            </w:pPr>
            <w:r>
              <w:rPr>
                <w:rFonts w:hint="eastAsia" w:cs="宋体"/>
                <w:color w:val="auto"/>
                <w:lang w:val="en-US" w:eastAsia="zh-CN"/>
              </w:rPr>
              <w:t>本项目报价分软件系统报价和质保期满后的年维保费报价，其中软件系统报价分值25分，质保期满后的年维保费报价5分，总分30分。</w:t>
            </w:r>
          </w:p>
          <w:p w14:paraId="5B90D6E6">
            <w:pPr>
              <w:pStyle w:val="54"/>
              <w:spacing w:line="360" w:lineRule="auto"/>
              <w:rPr>
                <w:rFonts w:hint="default" w:cs="宋体"/>
                <w:color w:val="auto"/>
                <w:lang w:val="en-US" w:eastAsia="zh-CN"/>
              </w:rPr>
            </w:pPr>
            <w:r>
              <w:rPr>
                <w:rFonts w:hint="eastAsia" w:cs="宋体"/>
                <w:color w:val="auto"/>
                <w:lang w:val="en-US" w:eastAsia="zh-CN"/>
              </w:rPr>
              <w:t>总报价得分=软件系统报价得分+质保期满后的年维保费报价得分。</w:t>
            </w:r>
          </w:p>
          <w:p w14:paraId="1227C731">
            <w:pPr>
              <w:pStyle w:val="54"/>
              <w:spacing w:line="360" w:lineRule="auto"/>
              <w:rPr>
                <w:rFonts w:hint="default" w:eastAsia="宋体"/>
                <w:color w:val="auto"/>
                <w:lang w:val="en-US" w:eastAsia="zh-CN"/>
              </w:rPr>
            </w:pPr>
            <w:r>
              <w:rPr>
                <w:rFonts w:hint="eastAsia" w:ascii="宋体" w:hAnsi="宋体" w:eastAsia="宋体" w:cs="宋体"/>
                <w:color w:val="auto"/>
              </w:rPr>
              <w:t>项目评审过程中，不得去掉最后报价中的最高报价和最低报价。</w:t>
            </w:r>
            <w:r>
              <w:rPr>
                <w:rFonts w:hint="eastAsia" w:ascii="宋体" w:hAnsi="宋体" w:eastAsia="宋体" w:cs="宋体"/>
                <w:color w:val="auto"/>
                <w:lang w:val="en-US" w:eastAsia="zh-CN"/>
              </w:rPr>
              <w:t>对于提供了合法有效《中小企业声明函》的投标供应商，价格评审时给与10%的价格折扣，用扣除后的价格参与评分计算。得分计算保留至小数点后两位。</w:t>
            </w:r>
          </w:p>
        </w:tc>
      </w:tr>
      <w:tr w14:paraId="5A84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restart"/>
            <w:vAlign w:val="center"/>
          </w:tcPr>
          <w:p w14:paraId="3FFEB757">
            <w:pPr>
              <w:pStyle w:val="54"/>
              <w:rPr>
                <w:rFonts w:hint="eastAsia"/>
                <w:color w:val="auto"/>
              </w:rPr>
            </w:pPr>
            <w:r>
              <w:rPr>
                <w:rFonts w:hint="eastAsia"/>
                <w:color w:val="auto"/>
              </w:rPr>
              <w:t>技术部分（</w:t>
            </w:r>
            <w:r>
              <w:rPr>
                <w:rFonts w:hint="eastAsia"/>
                <w:color w:val="auto"/>
                <w:lang w:val="en-US" w:eastAsia="zh-CN"/>
              </w:rPr>
              <w:t>60</w:t>
            </w:r>
            <w:r>
              <w:rPr>
                <w:rFonts w:hint="eastAsia"/>
                <w:color w:val="auto"/>
              </w:rPr>
              <w:t>分）</w:t>
            </w:r>
          </w:p>
        </w:tc>
        <w:tc>
          <w:tcPr>
            <w:tcW w:w="1183" w:type="dxa"/>
            <w:tcBorders>
              <w:top w:val="single" w:color="auto" w:sz="4" w:space="0"/>
            </w:tcBorders>
            <w:vAlign w:val="center"/>
          </w:tcPr>
          <w:p w14:paraId="1DC2B47C">
            <w:pPr>
              <w:pStyle w:val="54"/>
              <w:spacing w:line="360" w:lineRule="auto"/>
              <w:rPr>
                <w:rFonts w:hint="default" w:ascii="宋体" w:hAnsi="宋体" w:eastAsia="宋体"/>
                <w:color w:val="auto"/>
                <w:lang w:val="en-US" w:eastAsia="zh-CN"/>
              </w:rPr>
            </w:pPr>
            <w:r>
              <w:rPr>
                <w:rFonts w:hint="eastAsia" w:ascii="宋体" w:hAnsi="宋体" w:eastAsia="宋体"/>
                <w:color w:val="auto"/>
                <w:lang w:val="en-US" w:eastAsia="zh-CN"/>
              </w:rPr>
              <w:t>项目理解及需求分析评审</w:t>
            </w:r>
          </w:p>
        </w:tc>
        <w:tc>
          <w:tcPr>
            <w:tcW w:w="881" w:type="dxa"/>
            <w:vAlign w:val="center"/>
          </w:tcPr>
          <w:p w14:paraId="647DEBD6">
            <w:pPr>
              <w:pStyle w:val="54"/>
              <w:spacing w:line="360" w:lineRule="auto"/>
              <w:rPr>
                <w:rFonts w:hint="default" w:ascii="宋体" w:hAnsi="宋体" w:eastAsia="宋体"/>
                <w:color w:val="auto"/>
                <w:lang w:val="en-US" w:eastAsia="zh-CN"/>
              </w:rPr>
            </w:pPr>
            <w:r>
              <w:rPr>
                <w:rFonts w:hint="eastAsia"/>
                <w:color w:val="auto"/>
                <w:lang w:val="en-US" w:eastAsia="zh-CN"/>
              </w:rPr>
              <w:t>6</w:t>
            </w:r>
            <w:r>
              <w:rPr>
                <w:rFonts w:hint="eastAsia" w:ascii="宋体" w:hAnsi="宋体" w:eastAsia="宋体"/>
                <w:color w:val="auto"/>
                <w:lang w:val="en-US" w:eastAsia="zh-CN"/>
              </w:rPr>
              <w:t>分</w:t>
            </w:r>
          </w:p>
        </w:tc>
        <w:tc>
          <w:tcPr>
            <w:tcW w:w="5376" w:type="dxa"/>
            <w:vAlign w:val="center"/>
          </w:tcPr>
          <w:p w14:paraId="13F738C8">
            <w:pPr>
              <w:pStyle w:val="54"/>
              <w:spacing w:line="360" w:lineRule="auto"/>
              <w:rPr>
                <w:rFonts w:hint="default" w:ascii="宋体" w:hAnsi="宋体" w:eastAsia="宋体"/>
                <w:color w:val="auto"/>
                <w:lang w:val="en-US" w:eastAsia="zh-CN"/>
              </w:rPr>
            </w:pPr>
            <w:r>
              <w:rPr>
                <w:rFonts w:hint="eastAsia" w:ascii="宋体" w:hAnsi="宋体" w:eastAsia="宋体"/>
                <w:color w:val="auto"/>
                <w:lang w:val="en-US" w:eastAsia="zh-CN"/>
              </w:rPr>
              <w:t>根据投标供应商针对本项目提供的项目理解及需求分析（应包含①平台总体思路和建设②对医共体中心药房系统业务需求理解③项目重难点问题分析等）进行综合评分：项目理解及需求分析内容齐全，条理结构清晰，层次细化完善、准确响应项目要求得6分；每有一项缺项扣</w:t>
            </w:r>
            <w:r>
              <w:rPr>
                <w:rFonts w:hint="eastAsia"/>
                <w:color w:val="auto"/>
                <w:lang w:val="en-US" w:eastAsia="zh-CN"/>
              </w:rPr>
              <w:t>2</w:t>
            </w:r>
            <w:r>
              <w:rPr>
                <w:rFonts w:hint="eastAsia" w:ascii="宋体" w:hAnsi="宋体" w:eastAsia="宋体"/>
                <w:color w:val="auto"/>
                <w:lang w:val="en-US" w:eastAsia="zh-CN"/>
              </w:rPr>
              <w:t>分；每有一处内容存在错误或不足的扣</w:t>
            </w:r>
            <w:r>
              <w:rPr>
                <w:rFonts w:hint="eastAsia"/>
                <w:color w:val="auto"/>
                <w:lang w:val="en-US" w:eastAsia="zh-CN"/>
              </w:rPr>
              <w:t>1</w:t>
            </w:r>
            <w:r>
              <w:rPr>
                <w:rFonts w:hint="eastAsia" w:ascii="宋体" w:hAnsi="宋体" w:eastAsia="宋体"/>
                <w:color w:val="auto"/>
                <w:lang w:val="en-US" w:eastAsia="zh-CN"/>
              </w:rPr>
              <w:t>分，扣完为止。</w:t>
            </w:r>
          </w:p>
        </w:tc>
      </w:tr>
      <w:tr w14:paraId="4373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continue"/>
            <w:vAlign w:val="center"/>
          </w:tcPr>
          <w:p w14:paraId="1E79F2BC">
            <w:pPr>
              <w:pStyle w:val="54"/>
              <w:rPr>
                <w:rFonts w:hint="eastAsia"/>
                <w:color w:val="auto"/>
              </w:rPr>
            </w:pPr>
          </w:p>
        </w:tc>
        <w:tc>
          <w:tcPr>
            <w:tcW w:w="1183" w:type="dxa"/>
            <w:tcBorders>
              <w:top w:val="single" w:color="auto" w:sz="4" w:space="0"/>
            </w:tcBorders>
            <w:vAlign w:val="center"/>
          </w:tcPr>
          <w:p w14:paraId="7B2EF092">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项目总体设计评审</w:t>
            </w:r>
          </w:p>
          <w:p w14:paraId="00BA7D6F">
            <w:pPr>
              <w:pStyle w:val="54"/>
              <w:spacing w:line="360" w:lineRule="auto"/>
              <w:rPr>
                <w:rFonts w:hint="default" w:ascii="宋体" w:hAnsi="宋体" w:eastAsia="宋体" w:cstheme="minorBidi"/>
                <w:color w:val="auto"/>
                <w:kern w:val="2"/>
                <w:sz w:val="24"/>
                <w:szCs w:val="22"/>
                <w:lang w:val="en-US" w:eastAsia="zh-CN" w:bidi="ar-SA"/>
              </w:rPr>
            </w:pPr>
          </w:p>
        </w:tc>
        <w:tc>
          <w:tcPr>
            <w:tcW w:w="881" w:type="dxa"/>
            <w:vAlign w:val="center"/>
          </w:tcPr>
          <w:p w14:paraId="6895E4C1">
            <w:pPr>
              <w:pStyle w:val="54"/>
              <w:spacing w:line="360" w:lineRule="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10</w:t>
            </w:r>
            <w:r>
              <w:rPr>
                <w:rFonts w:hint="eastAsia" w:ascii="宋体" w:hAnsi="宋体" w:eastAsia="宋体" w:cstheme="minorBidi"/>
                <w:color w:val="auto"/>
                <w:kern w:val="2"/>
                <w:sz w:val="24"/>
                <w:szCs w:val="22"/>
                <w:lang w:val="en-US" w:eastAsia="zh-CN" w:bidi="ar-SA"/>
              </w:rPr>
              <w:t>分</w:t>
            </w:r>
          </w:p>
        </w:tc>
        <w:tc>
          <w:tcPr>
            <w:tcW w:w="5376" w:type="dxa"/>
            <w:vAlign w:val="center"/>
          </w:tcPr>
          <w:p w14:paraId="29926F22">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根据投标供应商针对本项目提供的项目总体设计方案（应包含①应用架构②技术架构③数据架构④逻辑架构⑤安全架构等）进行综合评分：项目总体设计方案内容齐全，条理结构清晰，层次细化完善、准确响应项目要求得</w:t>
            </w:r>
            <w:r>
              <w:rPr>
                <w:rFonts w:hint="eastAsia" w:cstheme="minorBidi"/>
                <w:color w:val="auto"/>
                <w:kern w:val="2"/>
                <w:sz w:val="24"/>
                <w:szCs w:val="22"/>
                <w:lang w:val="en-US" w:eastAsia="zh-CN" w:bidi="ar-SA"/>
              </w:rPr>
              <w:t>10</w:t>
            </w:r>
            <w:r>
              <w:rPr>
                <w:rFonts w:hint="eastAsia" w:ascii="宋体" w:hAnsi="宋体" w:eastAsia="宋体" w:cstheme="minorBidi"/>
                <w:color w:val="auto"/>
                <w:kern w:val="2"/>
                <w:sz w:val="24"/>
                <w:szCs w:val="22"/>
                <w:lang w:val="en-US" w:eastAsia="zh-CN" w:bidi="ar-SA"/>
              </w:rPr>
              <w:t>分；每有一项缺项扣</w:t>
            </w: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分；每有一处内容存在错误或不足的扣</w:t>
            </w:r>
            <w:r>
              <w:rPr>
                <w:rFonts w:hint="eastAsia" w:cstheme="minorBidi"/>
                <w:color w:val="auto"/>
                <w:kern w:val="2"/>
                <w:sz w:val="24"/>
                <w:szCs w:val="22"/>
                <w:lang w:val="en-US" w:eastAsia="zh-CN" w:bidi="ar-SA"/>
              </w:rPr>
              <w:t>1</w:t>
            </w:r>
            <w:r>
              <w:rPr>
                <w:rFonts w:hint="eastAsia" w:ascii="宋体" w:hAnsi="宋体" w:eastAsia="宋体" w:cstheme="minorBidi"/>
                <w:color w:val="auto"/>
                <w:kern w:val="2"/>
                <w:sz w:val="24"/>
                <w:szCs w:val="22"/>
                <w:lang w:val="en-US" w:eastAsia="zh-CN" w:bidi="ar-SA"/>
              </w:rPr>
              <w:t>分，扣完为止。</w:t>
            </w:r>
          </w:p>
        </w:tc>
      </w:tr>
      <w:tr w14:paraId="1D06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400" w:type="dxa"/>
            <w:vMerge w:val="continue"/>
            <w:vAlign w:val="center"/>
          </w:tcPr>
          <w:p w14:paraId="5CCF0612">
            <w:pPr>
              <w:pStyle w:val="54"/>
              <w:rPr>
                <w:rFonts w:hint="eastAsia"/>
                <w:color w:val="auto"/>
              </w:rPr>
            </w:pPr>
          </w:p>
        </w:tc>
        <w:tc>
          <w:tcPr>
            <w:tcW w:w="1183" w:type="dxa"/>
            <w:tcBorders>
              <w:top w:val="single" w:color="auto" w:sz="4" w:space="0"/>
            </w:tcBorders>
            <w:vAlign w:val="center"/>
          </w:tcPr>
          <w:p w14:paraId="08342C1F">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项目功能设计评审</w:t>
            </w:r>
          </w:p>
          <w:p w14:paraId="47255382">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p>
        </w:tc>
        <w:tc>
          <w:tcPr>
            <w:tcW w:w="881" w:type="dxa"/>
            <w:vAlign w:val="center"/>
          </w:tcPr>
          <w:p w14:paraId="121B1C1F">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4</w:t>
            </w:r>
            <w:r>
              <w:rPr>
                <w:rFonts w:hint="eastAsia" w:ascii="宋体" w:hAnsi="宋体" w:eastAsia="宋体" w:cstheme="minorBidi"/>
                <w:color w:val="auto"/>
                <w:kern w:val="2"/>
                <w:sz w:val="24"/>
                <w:szCs w:val="22"/>
                <w:lang w:val="en-US" w:eastAsia="zh-CN" w:bidi="ar-SA"/>
              </w:rPr>
              <w:t>分</w:t>
            </w:r>
          </w:p>
        </w:tc>
        <w:tc>
          <w:tcPr>
            <w:tcW w:w="5376" w:type="dxa"/>
            <w:vAlign w:val="center"/>
          </w:tcPr>
          <w:p w14:paraId="65AC8FB2">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根据投标供应商针对本项目医共体牵头单位集中管理下级机构、中心药房系统与医院互联互通、中心药房系统云配送企业互联互通、中心药房系统与省级采购平台互联互通、各级医疗机构药品联动管理保障等建设内容提供功能设计方案（应包含①功能模块设计②功能说明③业务流程④原型设计图等）进行综合评分：项目功能设计方案内容齐全，条理结构清晰，层次细化完善、准确响应项目要求得</w:t>
            </w:r>
            <w:r>
              <w:rPr>
                <w:rFonts w:hint="eastAsia" w:cstheme="minorBidi"/>
                <w:color w:val="auto"/>
                <w:kern w:val="2"/>
                <w:sz w:val="24"/>
                <w:szCs w:val="22"/>
                <w:lang w:val="en-US" w:eastAsia="zh-CN" w:bidi="ar-SA"/>
              </w:rPr>
              <w:t>4</w:t>
            </w:r>
            <w:r>
              <w:rPr>
                <w:rFonts w:hint="eastAsia" w:ascii="宋体" w:hAnsi="宋体" w:eastAsia="宋体" w:cstheme="minorBidi"/>
                <w:color w:val="auto"/>
                <w:kern w:val="2"/>
                <w:sz w:val="24"/>
                <w:szCs w:val="22"/>
                <w:lang w:val="en-US" w:eastAsia="zh-CN" w:bidi="ar-SA"/>
              </w:rPr>
              <w:t>分；每有一项缺项扣</w:t>
            </w:r>
            <w:r>
              <w:rPr>
                <w:rFonts w:hint="eastAsia" w:cstheme="minorBidi"/>
                <w:color w:val="auto"/>
                <w:kern w:val="2"/>
                <w:sz w:val="24"/>
                <w:szCs w:val="22"/>
                <w:lang w:val="en-US" w:eastAsia="zh-CN" w:bidi="ar-SA"/>
              </w:rPr>
              <w:t>1</w:t>
            </w:r>
            <w:r>
              <w:rPr>
                <w:rFonts w:hint="eastAsia" w:ascii="宋体" w:hAnsi="宋体" w:eastAsia="宋体" w:cstheme="minorBidi"/>
                <w:color w:val="auto"/>
                <w:kern w:val="2"/>
                <w:sz w:val="24"/>
                <w:szCs w:val="22"/>
                <w:lang w:val="en-US" w:eastAsia="zh-CN" w:bidi="ar-SA"/>
              </w:rPr>
              <w:t>分；每有一处内容存在错误或不足的扣</w:t>
            </w: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分，扣完为止。</w:t>
            </w:r>
          </w:p>
        </w:tc>
      </w:tr>
      <w:tr w14:paraId="36E8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continue"/>
            <w:vAlign w:val="center"/>
          </w:tcPr>
          <w:p w14:paraId="32A84801">
            <w:pPr>
              <w:pStyle w:val="54"/>
              <w:rPr>
                <w:rFonts w:hint="eastAsia"/>
                <w:color w:val="auto"/>
              </w:rPr>
            </w:pPr>
          </w:p>
        </w:tc>
        <w:tc>
          <w:tcPr>
            <w:tcW w:w="1183" w:type="dxa"/>
            <w:vAlign w:val="center"/>
          </w:tcPr>
          <w:p w14:paraId="6F30BB47">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项目技术设计评审</w:t>
            </w:r>
          </w:p>
          <w:p w14:paraId="133E424F">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宋体" w:hAnsi="宋体" w:eastAsia="宋体" w:cstheme="minorBidi"/>
                <w:color w:val="auto"/>
                <w:kern w:val="2"/>
                <w:sz w:val="24"/>
                <w:szCs w:val="22"/>
                <w:lang w:val="en-US" w:eastAsia="zh-CN" w:bidi="ar-SA"/>
              </w:rPr>
            </w:pPr>
          </w:p>
        </w:tc>
        <w:tc>
          <w:tcPr>
            <w:tcW w:w="881" w:type="dxa"/>
            <w:vAlign w:val="center"/>
          </w:tcPr>
          <w:p w14:paraId="292181BB">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4</w:t>
            </w:r>
            <w:r>
              <w:rPr>
                <w:rFonts w:hint="eastAsia" w:ascii="宋体" w:hAnsi="宋体" w:eastAsia="宋体" w:cstheme="minorBidi"/>
                <w:color w:val="auto"/>
                <w:kern w:val="2"/>
                <w:sz w:val="24"/>
                <w:szCs w:val="22"/>
                <w:lang w:val="en-US" w:eastAsia="zh-CN" w:bidi="ar-SA"/>
              </w:rPr>
              <w:t>分</w:t>
            </w:r>
          </w:p>
        </w:tc>
        <w:tc>
          <w:tcPr>
            <w:tcW w:w="5376" w:type="dxa"/>
            <w:vAlign w:val="center"/>
          </w:tcPr>
          <w:p w14:paraId="6EFD5339">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根据投标供应商针对本项目提供性能和技术设计方案（应包含①架构体系性能设计②应用系统性能设计③数据存储性能设计④技术路线等）进行综合评分：项目性能和技术设计方案内容齐全，条理结构清晰，层次细化完善、准确响应项目要求得</w:t>
            </w:r>
            <w:r>
              <w:rPr>
                <w:rFonts w:hint="eastAsia" w:cstheme="minorBidi"/>
                <w:color w:val="auto"/>
                <w:kern w:val="2"/>
                <w:sz w:val="24"/>
                <w:szCs w:val="22"/>
                <w:lang w:val="en-US" w:eastAsia="zh-CN" w:bidi="ar-SA"/>
              </w:rPr>
              <w:t>4</w:t>
            </w:r>
            <w:r>
              <w:rPr>
                <w:rFonts w:hint="eastAsia" w:ascii="宋体" w:hAnsi="宋体" w:eastAsia="宋体" w:cstheme="minorBidi"/>
                <w:color w:val="auto"/>
                <w:kern w:val="2"/>
                <w:sz w:val="24"/>
                <w:szCs w:val="22"/>
                <w:lang w:val="en-US" w:eastAsia="zh-CN" w:bidi="ar-SA"/>
              </w:rPr>
              <w:t>分；每有一项缺项扣</w:t>
            </w:r>
            <w:r>
              <w:rPr>
                <w:rFonts w:hint="eastAsia" w:cstheme="minorBidi"/>
                <w:color w:val="auto"/>
                <w:kern w:val="2"/>
                <w:sz w:val="24"/>
                <w:szCs w:val="22"/>
                <w:lang w:val="en-US" w:eastAsia="zh-CN" w:bidi="ar-SA"/>
              </w:rPr>
              <w:t>1</w:t>
            </w:r>
            <w:r>
              <w:rPr>
                <w:rFonts w:hint="eastAsia" w:ascii="宋体" w:hAnsi="宋体" w:eastAsia="宋体" w:cstheme="minorBidi"/>
                <w:color w:val="auto"/>
                <w:kern w:val="2"/>
                <w:sz w:val="24"/>
                <w:szCs w:val="22"/>
                <w:lang w:val="en-US" w:eastAsia="zh-CN" w:bidi="ar-SA"/>
              </w:rPr>
              <w:t>分；每有一处内容存在错误</w:t>
            </w:r>
          </w:p>
          <w:p w14:paraId="6830C847">
            <w:pPr>
              <w:keepNext w:val="0"/>
              <w:keepLines w:val="0"/>
              <w:pageBreakBefore w:val="0"/>
              <w:widowControl w:val="0"/>
              <w:kinsoku/>
              <w:wordWrap/>
              <w:overflowPunct/>
              <w:topLinePunct w:val="0"/>
              <w:autoSpaceDE/>
              <w:autoSpaceDN/>
              <w:bidi w:val="0"/>
              <w:adjustRightInd/>
              <w:snapToGrid w:val="0"/>
              <w:spacing w:line="336" w:lineRule="auto"/>
              <w:jc w:val="both"/>
              <w:textAlignment w:val="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或不足的扣</w:t>
            </w: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分，扣完为止。</w:t>
            </w:r>
          </w:p>
        </w:tc>
      </w:tr>
      <w:tr w14:paraId="579E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atLeast"/>
          <w:jc w:val="center"/>
        </w:trPr>
        <w:tc>
          <w:tcPr>
            <w:tcW w:w="1400" w:type="dxa"/>
            <w:vMerge w:val="continue"/>
            <w:vAlign w:val="center"/>
          </w:tcPr>
          <w:p w14:paraId="1BAE6377">
            <w:pPr>
              <w:pStyle w:val="54"/>
              <w:rPr>
                <w:rFonts w:hint="eastAsia"/>
                <w:color w:val="auto"/>
              </w:rPr>
            </w:pPr>
          </w:p>
        </w:tc>
        <w:tc>
          <w:tcPr>
            <w:tcW w:w="1183" w:type="dxa"/>
            <w:vAlign w:val="center"/>
          </w:tcPr>
          <w:p w14:paraId="041904FA">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实施计划评审</w:t>
            </w:r>
          </w:p>
        </w:tc>
        <w:tc>
          <w:tcPr>
            <w:tcW w:w="881" w:type="dxa"/>
            <w:vAlign w:val="center"/>
          </w:tcPr>
          <w:p w14:paraId="2601640A">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3</w:t>
            </w:r>
            <w:r>
              <w:rPr>
                <w:rFonts w:hint="eastAsia" w:ascii="宋体" w:hAnsi="宋体" w:eastAsia="宋体" w:cstheme="minorBidi"/>
                <w:color w:val="auto"/>
                <w:kern w:val="2"/>
                <w:sz w:val="24"/>
                <w:szCs w:val="22"/>
                <w:lang w:val="en-US" w:eastAsia="zh-CN" w:bidi="ar-SA"/>
              </w:rPr>
              <w:t>分</w:t>
            </w:r>
          </w:p>
        </w:tc>
        <w:tc>
          <w:tcPr>
            <w:tcW w:w="5376" w:type="dxa"/>
            <w:vAlign w:val="center"/>
          </w:tcPr>
          <w:p w14:paraId="278E9FD1">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根据投标供应商针对本项目提供的项目实施计划方案（应包含①管理方案②项目实施的主要风险以及降低风险的策略与措施③测试与验收方案，对应用系统功能及性能的测试方式进行描述等）进行综合评分：实施计划方案内容齐全，条理结构清晰，层次细化完善、准确响应项目要求得</w:t>
            </w:r>
            <w:r>
              <w:rPr>
                <w:rFonts w:hint="eastAsia" w:cstheme="minorBidi"/>
                <w:color w:val="auto"/>
                <w:kern w:val="2"/>
                <w:sz w:val="24"/>
                <w:szCs w:val="22"/>
                <w:lang w:val="en-US" w:eastAsia="zh-CN" w:bidi="ar-SA"/>
              </w:rPr>
              <w:t>3</w:t>
            </w:r>
            <w:r>
              <w:rPr>
                <w:rFonts w:hint="eastAsia" w:ascii="宋体" w:hAnsi="宋体" w:eastAsia="宋体" w:cstheme="minorBidi"/>
                <w:color w:val="auto"/>
                <w:kern w:val="2"/>
                <w:sz w:val="24"/>
                <w:szCs w:val="22"/>
                <w:lang w:val="en-US" w:eastAsia="zh-CN" w:bidi="ar-SA"/>
              </w:rPr>
              <w:t>分；每有一项缺项扣</w:t>
            </w:r>
            <w:r>
              <w:rPr>
                <w:rFonts w:hint="eastAsia" w:cstheme="minorBidi"/>
                <w:color w:val="auto"/>
                <w:kern w:val="2"/>
                <w:sz w:val="24"/>
                <w:szCs w:val="22"/>
                <w:lang w:val="en-US" w:eastAsia="zh-CN" w:bidi="ar-SA"/>
              </w:rPr>
              <w:t>1</w:t>
            </w:r>
            <w:r>
              <w:rPr>
                <w:rFonts w:hint="eastAsia" w:ascii="宋体" w:hAnsi="宋体" w:eastAsia="宋体" w:cstheme="minorBidi"/>
                <w:color w:val="auto"/>
                <w:kern w:val="2"/>
                <w:sz w:val="24"/>
                <w:szCs w:val="22"/>
                <w:lang w:val="en-US" w:eastAsia="zh-CN" w:bidi="ar-SA"/>
              </w:rPr>
              <w:t>分；每有一处内容存在错误或不足的扣</w:t>
            </w:r>
          </w:p>
          <w:p w14:paraId="2BDC733A">
            <w:pPr>
              <w:keepNext w:val="0"/>
              <w:keepLines w:val="0"/>
              <w:pageBreakBefore w:val="0"/>
              <w:widowControl w:val="0"/>
              <w:kinsoku/>
              <w:wordWrap/>
              <w:overflowPunct/>
              <w:topLinePunct w:val="0"/>
              <w:autoSpaceDE/>
              <w:autoSpaceDN/>
              <w:bidi w:val="0"/>
              <w:adjustRightInd/>
              <w:snapToGrid w:val="0"/>
              <w:spacing w:line="336" w:lineRule="auto"/>
              <w:jc w:val="both"/>
              <w:textAlignment w:val="auto"/>
              <w:rPr>
                <w:rFonts w:hint="eastAsia"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分，扣完为止。</w:t>
            </w:r>
          </w:p>
        </w:tc>
      </w:tr>
      <w:tr w14:paraId="58D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jc w:val="center"/>
        </w:trPr>
        <w:tc>
          <w:tcPr>
            <w:tcW w:w="1400" w:type="dxa"/>
            <w:vMerge w:val="continue"/>
            <w:vAlign w:val="center"/>
          </w:tcPr>
          <w:p w14:paraId="7A1D3C96">
            <w:pPr>
              <w:pStyle w:val="54"/>
              <w:rPr>
                <w:rFonts w:hint="eastAsia"/>
                <w:color w:val="auto"/>
              </w:rPr>
            </w:pPr>
          </w:p>
        </w:tc>
        <w:tc>
          <w:tcPr>
            <w:tcW w:w="1183" w:type="dxa"/>
            <w:vAlign w:val="center"/>
          </w:tcPr>
          <w:p w14:paraId="2F495CF4">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进度保障方案评审</w:t>
            </w:r>
          </w:p>
        </w:tc>
        <w:tc>
          <w:tcPr>
            <w:tcW w:w="881" w:type="dxa"/>
            <w:vAlign w:val="center"/>
          </w:tcPr>
          <w:p w14:paraId="642C7040">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w:t>
            </w:r>
          </w:p>
        </w:tc>
        <w:tc>
          <w:tcPr>
            <w:tcW w:w="5376" w:type="dxa"/>
            <w:vAlign w:val="center"/>
          </w:tcPr>
          <w:p w14:paraId="4B6DABD9">
            <w:pPr>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根据投标供应商针对本项目提供的项目进度保障方案（应包含①进度安排②实施里程碑③进度控制④质量保障措施等）进行综合评分：进度保障方案内容齐全，条理结构清晰，层次细化完善、准确响应项目要求得</w:t>
            </w: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分；每有一项缺项扣</w:t>
            </w: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分；每有一处内容存在错误或不足的扣</w:t>
            </w:r>
            <w:r>
              <w:rPr>
                <w:rFonts w:hint="eastAsia" w:cstheme="minorBidi"/>
                <w:color w:val="auto"/>
                <w:kern w:val="2"/>
                <w:sz w:val="24"/>
                <w:szCs w:val="22"/>
                <w:lang w:val="en-US" w:eastAsia="zh-CN" w:bidi="ar-SA"/>
              </w:rPr>
              <w:t>0.2</w:t>
            </w:r>
            <w:r>
              <w:rPr>
                <w:rFonts w:hint="eastAsia" w:ascii="宋体" w:hAnsi="宋体" w:eastAsia="宋体" w:cstheme="minorBidi"/>
                <w:color w:val="auto"/>
                <w:kern w:val="2"/>
                <w:sz w:val="24"/>
                <w:szCs w:val="22"/>
                <w:lang w:val="en-US" w:eastAsia="zh-CN" w:bidi="ar-SA"/>
              </w:rPr>
              <w:t>分，扣完为止。</w:t>
            </w:r>
          </w:p>
        </w:tc>
      </w:tr>
      <w:tr w14:paraId="6F62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0" w:type="dxa"/>
            <w:vMerge w:val="continue"/>
            <w:vAlign w:val="center"/>
          </w:tcPr>
          <w:p w14:paraId="2EAF6A8C">
            <w:pPr>
              <w:pStyle w:val="54"/>
              <w:rPr>
                <w:rFonts w:hint="eastAsia"/>
                <w:color w:val="auto"/>
              </w:rPr>
            </w:pPr>
          </w:p>
        </w:tc>
        <w:tc>
          <w:tcPr>
            <w:tcW w:w="1183" w:type="dxa"/>
            <w:vAlign w:val="center"/>
          </w:tcPr>
          <w:p w14:paraId="3EB66BB9">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参数响应评审</w:t>
            </w:r>
          </w:p>
        </w:tc>
        <w:tc>
          <w:tcPr>
            <w:tcW w:w="881" w:type="dxa"/>
            <w:vAlign w:val="center"/>
          </w:tcPr>
          <w:p w14:paraId="12CDB430">
            <w:pPr>
              <w:pStyle w:val="54"/>
              <w:spacing w:line="360" w:lineRule="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14分</w:t>
            </w:r>
          </w:p>
        </w:tc>
        <w:tc>
          <w:tcPr>
            <w:tcW w:w="5376" w:type="dxa"/>
            <w:vAlign w:val="center"/>
          </w:tcPr>
          <w:p w14:paraId="1FA40719">
            <w:pPr>
              <w:keepNext w:val="0"/>
              <w:keepLines w:val="0"/>
              <w:widowControl/>
              <w:suppressLineNumbers w:val="0"/>
              <w:jc w:val="left"/>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投标产品对招标文件具体需求的响应程度：全部响应即满足招标文件技术参数要求的得14分，有负偏离的每项减0.5分，扣完为止。（“▲”项需提供系统截图，每提供一项得0.5分，不提供不得分）</w:t>
            </w:r>
          </w:p>
        </w:tc>
      </w:tr>
      <w:tr w14:paraId="74C9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00" w:type="dxa"/>
            <w:vMerge w:val="continue"/>
            <w:vAlign w:val="center"/>
          </w:tcPr>
          <w:p w14:paraId="50CCD51F">
            <w:pPr>
              <w:pStyle w:val="54"/>
              <w:rPr>
                <w:rFonts w:hint="eastAsia"/>
                <w:color w:val="auto"/>
              </w:rPr>
            </w:pPr>
          </w:p>
        </w:tc>
        <w:tc>
          <w:tcPr>
            <w:tcW w:w="1183" w:type="dxa"/>
            <w:vAlign w:val="center"/>
          </w:tcPr>
          <w:p w14:paraId="62AF25C1">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系统演示评审</w:t>
            </w:r>
          </w:p>
        </w:tc>
        <w:tc>
          <w:tcPr>
            <w:tcW w:w="881" w:type="dxa"/>
            <w:vAlign w:val="center"/>
          </w:tcPr>
          <w:p w14:paraId="602C672A">
            <w:pPr>
              <w:pStyle w:val="54"/>
              <w:spacing w:line="360" w:lineRule="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10分</w:t>
            </w:r>
          </w:p>
        </w:tc>
        <w:tc>
          <w:tcPr>
            <w:tcW w:w="5376" w:type="dxa"/>
            <w:vAlign w:val="center"/>
          </w:tcPr>
          <w:p w14:paraId="54D59EED">
            <w:pPr>
              <w:pStyle w:val="54"/>
              <w:spacing w:line="360" w:lineRule="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投标供应商根据</w:t>
            </w:r>
            <w:r>
              <w:rPr>
                <w:rFonts w:hint="eastAsia" w:cstheme="minorBidi"/>
                <w:color w:val="auto"/>
                <w:kern w:val="2"/>
                <w:sz w:val="24"/>
                <w:szCs w:val="22"/>
                <w:lang w:val="en-US" w:eastAsia="zh-CN" w:bidi="ar-SA"/>
              </w:rPr>
              <w:t>采购需求中要求演示的</w:t>
            </w:r>
            <w:r>
              <w:rPr>
                <w:rFonts w:hint="eastAsia" w:ascii="宋体" w:hAnsi="宋体" w:eastAsia="宋体" w:cstheme="minorBidi"/>
                <w:color w:val="auto"/>
                <w:kern w:val="2"/>
                <w:sz w:val="24"/>
                <w:szCs w:val="22"/>
                <w:lang w:val="en-US" w:eastAsia="zh-CN" w:bidi="ar-SA"/>
              </w:rPr>
              <w:t>内容</w:t>
            </w:r>
            <w:r>
              <w:rPr>
                <w:rFonts w:hint="eastAsia" w:cstheme="minorBidi"/>
                <w:color w:val="auto"/>
                <w:kern w:val="2"/>
                <w:sz w:val="24"/>
                <w:szCs w:val="22"/>
                <w:lang w:val="en-US" w:eastAsia="zh-CN" w:bidi="ar-SA"/>
              </w:rPr>
              <w:t>（10项）</w:t>
            </w:r>
            <w:r>
              <w:rPr>
                <w:rFonts w:hint="eastAsia" w:ascii="宋体" w:hAnsi="宋体" w:eastAsia="宋体" w:cstheme="minorBidi"/>
                <w:color w:val="auto"/>
                <w:kern w:val="2"/>
                <w:sz w:val="24"/>
                <w:szCs w:val="22"/>
                <w:lang w:val="en-US" w:eastAsia="zh-CN" w:bidi="ar-SA"/>
              </w:rPr>
              <w:t>要求逐一进行演示（时间不超过10分钟）:演示各项内容理解全面、有创新点、优化措施和功能配置合理、阐述条理清晰。每有一项缺项扣1分，每有一处内容存在缺陷，扣</w:t>
            </w: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分，扣完为止。供应商需针对专家提出的问题进行现场回答。现场根据演示内容和回答情况进行综合评审。</w:t>
            </w:r>
          </w:p>
        </w:tc>
      </w:tr>
      <w:tr w14:paraId="67E3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00" w:type="dxa"/>
            <w:vMerge w:val="continue"/>
            <w:vAlign w:val="center"/>
          </w:tcPr>
          <w:p w14:paraId="067E6B55">
            <w:pPr>
              <w:pStyle w:val="54"/>
              <w:rPr>
                <w:rFonts w:hint="eastAsia"/>
                <w:color w:val="auto"/>
              </w:rPr>
            </w:pPr>
          </w:p>
        </w:tc>
        <w:tc>
          <w:tcPr>
            <w:tcW w:w="1183" w:type="dxa"/>
            <w:vAlign w:val="center"/>
          </w:tcPr>
          <w:p w14:paraId="284378B3">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培训方案评审</w:t>
            </w:r>
          </w:p>
        </w:tc>
        <w:tc>
          <w:tcPr>
            <w:tcW w:w="881" w:type="dxa"/>
            <w:vAlign w:val="center"/>
          </w:tcPr>
          <w:p w14:paraId="5E6557E3">
            <w:pPr>
              <w:pStyle w:val="54"/>
              <w:spacing w:line="360" w:lineRule="auto"/>
              <w:rPr>
                <w:rFonts w:hint="default"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w:t>
            </w:r>
          </w:p>
        </w:tc>
        <w:tc>
          <w:tcPr>
            <w:tcW w:w="5376" w:type="dxa"/>
            <w:vAlign w:val="center"/>
          </w:tcPr>
          <w:p w14:paraId="1B20AAA3">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为了保证使用人员能熟练操作、正常维护及使用系统，投标供应商根据采购需求提供相关技术培训，培训方案包括业务系统操作、业务系统操作流程、注意事项、信息系统安全、政务服务相关政策等。具有以上全部内容得满分</w:t>
            </w: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分，相应项无描述的或描述内容与本项目招标需求不符的，扣</w:t>
            </w:r>
            <w:r>
              <w:rPr>
                <w:rFonts w:hint="eastAsia" w:cstheme="minorBidi"/>
                <w:color w:val="auto"/>
                <w:kern w:val="2"/>
                <w:sz w:val="24"/>
                <w:szCs w:val="22"/>
                <w:lang w:val="en-US" w:eastAsia="zh-CN" w:bidi="ar-SA"/>
              </w:rPr>
              <w:t>0.3</w:t>
            </w:r>
            <w:r>
              <w:rPr>
                <w:rFonts w:hint="eastAsia" w:ascii="宋体" w:hAnsi="宋体" w:eastAsia="宋体" w:cstheme="minorBidi"/>
                <w:color w:val="auto"/>
                <w:kern w:val="2"/>
                <w:sz w:val="24"/>
                <w:szCs w:val="22"/>
                <w:lang w:val="en-US" w:eastAsia="zh-CN" w:bidi="ar-SA"/>
              </w:rPr>
              <w:t>分，扣完为止。</w:t>
            </w:r>
          </w:p>
        </w:tc>
      </w:tr>
      <w:tr w14:paraId="558A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1400" w:type="dxa"/>
            <w:vMerge w:val="continue"/>
            <w:vAlign w:val="center"/>
          </w:tcPr>
          <w:p w14:paraId="462636A7">
            <w:pPr>
              <w:pStyle w:val="54"/>
              <w:rPr>
                <w:rFonts w:hint="eastAsia"/>
                <w:color w:val="auto"/>
              </w:rPr>
            </w:pPr>
          </w:p>
        </w:tc>
        <w:tc>
          <w:tcPr>
            <w:tcW w:w="1183" w:type="dxa"/>
            <w:vAlign w:val="center"/>
          </w:tcPr>
          <w:p w14:paraId="3BA06114">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售后服务方案评审</w:t>
            </w:r>
          </w:p>
        </w:tc>
        <w:tc>
          <w:tcPr>
            <w:tcW w:w="881" w:type="dxa"/>
            <w:vAlign w:val="center"/>
          </w:tcPr>
          <w:p w14:paraId="5BB09F48">
            <w:pPr>
              <w:pStyle w:val="54"/>
              <w:spacing w:line="360" w:lineRule="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5分</w:t>
            </w:r>
          </w:p>
        </w:tc>
        <w:tc>
          <w:tcPr>
            <w:tcW w:w="5376" w:type="dxa"/>
            <w:vAlign w:val="center"/>
          </w:tcPr>
          <w:p w14:paraId="0C0BCAA9">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投标供应商应结合本项目整体建设要求、项目运维服务要求等，全面且合理制定本项目的售后服务方案，至少包含售后服务内容、售后服务响应时间、售后服务人员安排、运维服务保障计划及措施等：①方案包含上述所有内容，完整详实，承诺内容清楚准确，符合项目实际需求，得5分；②每缺少上述任何一项内容扣1分，最多扣5分；③针对上述任一项内容有不符合项目实际需求或具有不足或瑕疵的，扣</w:t>
            </w:r>
            <w:r>
              <w:rPr>
                <w:rFonts w:hint="eastAsia" w:cstheme="minorBidi"/>
                <w:color w:val="auto"/>
                <w:kern w:val="2"/>
                <w:sz w:val="24"/>
                <w:szCs w:val="22"/>
                <w:lang w:val="en-US" w:eastAsia="zh-CN" w:bidi="ar-SA"/>
              </w:rPr>
              <w:t>0.5</w:t>
            </w:r>
            <w:r>
              <w:rPr>
                <w:rFonts w:hint="eastAsia" w:ascii="宋体" w:hAnsi="宋体" w:eastAsia="宋体" w:cstheme="minorBidi"/>
                <w:color w:val="auto"/>
                <w:kern w:val="2"/>
                <w:sz w:val="24"/>
                <w:szCs w:val="22"/>
                <w:lang w:val="en-US" w:eastAsia="zh-CN" w:bidi="ar-SA"/>
              </w:rPr>
              <w:t>分</w:t>
            </w:r>
            <w:r>
              <w:rPr>
                <w:rFonts w:hint="eastAsia" w:cstheme="minorBidi"/>
                <w:color w:val="auto"/>
                <w:kern w:val="2"/>
                <w:sz w:val="24"/>
                <w:szCs w:val="22"/>
                <w:lang w:val="en-US" w:eastAsia="zh-CN" w:bidi="ar-SA"/>
              </w:rPr>
              <w:t>/项</w:t>
            </w:r>
            <w:r>
              <w:rPr>
                <w:rFonts w:hint="eastAsia" w:ascii="宋体" w:hAnsi="宋体" w:eastAsia="宋体" w:cstheme="minorBidi"/>
                <w:color w:val="auto"/>
                <w:kern w:val="2"/>
                <w:sz w:val="24"/>
                <w:szCs w:val="22"/>
                <w:lang w:val="en-US" w:eastAsia="zh-CN" w:bidi="ar-SA"/>
              </w:rPr>
              <w:t>；④未提供方案或方案明显与本项目实际情况不符，得0分。（本项所称“不足或瑕疵”指内容不完整或缺少关键点；非专门针对本项目或不适用本项目特性、套用其他项目内容；对同一问题前后表述矛盾；存在逻辑漏洞、科学原理或常识错误；不利于本项目目标的实现、现有技术条件下不可能出现的情形等以上任意一种情形。）</w:t>
            </w:r>
          </w:p>
        </w:tc>
      </w:tr>
      <w:tr w14:paraId="3302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1400" w:type="dxa"/>
            <w:vMerge w:val="restart"/>
            <w:vAlign w:val="center"/>
          </w:tcPr>
          <w:p w14:paraId="2C4AB70B">
            <w:pPr>
              <w:pStyle w:val="54"/>
              <w:jc w:val="center"/>
              <w:rPr>
                <w:rFonts w:hint="default" w:eastAsia="宋体"/>
                <w:color w:val="auto"/>
                <w:lang w:val="en-US" w:eastAsia="zh-CN"/>
              </w:rPr>
            </w:pPr>
            <w:r>
              <w:rPr>
                <w:rFonts w:hint="eastAsia"/>
                <w:color w:val="auto"/>
              </w:rPr>
              <w:t>商务</w:t>
            </w:r>
            <w:r>
              <w:rPr>
                <w:rFonts w:hint="eastAsia"/>
                <w:color w:val="auto"/>
                <w:lang w:val="en-US" w:eastAsia="zh-CN"/>
              </w:rPr>
              <w:t>部分评审（10分）</w:t>
            </w:r>
          </w:p>
        </w:tc>
        <w:tc>
          <w:tcPr>
            <w:tcW w:w="1183" w:type="dxa"/>
            <w:vAlign w:val="center"/>
          </w:tcPr>
          <w:p w14:paraId="0214D3FE">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项目类似业绩评审</w:t>
            </w:r>
          </w:p>
        </w:tc>
        <w:tc>
          <w:tcPr>
            <w:tcW w:w="881" w:type="dxa"/>
            <w:vAlign w:val="center"/>
          </w:tcPr>
          <w:p w14:paraId="68271693">
            <w:pPr>
              <w:pStyle w:val="54"/>
              <w:spacing w:line="360" w:lineRule="auto"/>
              <w:rPr>
                <w:rFonts w:hint="eastAsia" w:ascii="宋体" w:hAnsi="宋体" w:eastAsia="宋体" w:cstheme="minorBidi"/>
                <w:color w:val="auto"/>
                <w:kern w:val="2"/>
                <w:sz w:val="24"/>
                <w:szCs w:val="22"/>
                <w:lang w:val="en-US" w:eastAsia="zh-CN" w:bidi="ar-SA"/>
              </w:rPr>
            </w:pP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w:t>
            </w:r>
          </w:p>
        </w:tc>
        <w:tc>
          <w:tcPr>
            <w:tcW w:w="5376" w:type="dxa"/>
            <w:vAlign w:val="center"/>
          </w:tcPr>
          <w:p w14:paraId="24D06DE1">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供应商提供1个2023年</w:t>
            </w:r>
            <w:r>
              <w:rPr>
                <w:rFonts w:hint="eastAsia" w:cstheme="minorBidi"/>
                <w:color w:val="auto"/>
                <w:kern w:val="2"/>
                <w:sz w:val="24"/>
                <w:szCs w:val="22"/>
                <w:lang w:val="en-US" w:eastAsia="zh-CN" w:bidi="ar-SA"/>
              </w:rPr>
              <w:t>6</w:t>
            </w:r>
            <w:r>
              <w:rPr>
                <w:rFonts w:hint="eastAsia" w:ascii="宋体" w:hAnsi="宋体" w:eastAsia="宋体" w:cstheme="minorBidi"/>
                <w:color w:val="auto"/>
                <w:kern w:val="2"/>
                <w:sz w:val="24"/>
                <w:szCs w:val="22"/>
                <w:lang w:val="en-US" w:eastAsia="zh-CN" w:bidi="ar-SA"/>
              </w:rPr>
              <w:t>月至今类似项目业绩得</w:t>
            </w:r>
            <w:r>
              <w:rPr>
                <w:rFonts w:hint="eastAsia" w:cstheme="minorBidi"/>
                <w:color w:val="auto"/>
                <w:kern w:val="2"/>
                <w:sz w:val="24"/>
                <w:szCs w:val="22"/>
                <w:lang w:val="en-US" w:eastAsia="zh-CN" w:bidi="ar-SA"/>
              </w:rPr>
              <w:t>1</w:t>
            </w:r>
            <w:r>
              <w:rPr>
                <w:rFonts w:hint="eastAsia" w:ascii="宋体" w:hAnsi="宋体" w:eastAsia="宋体" w:cstheme="minorBidi"/>
                <w:color w:val="auto"/>
                <w:kern w:val="2"/>
                <w:sz w:val="24"/>
                <w:szCs w:val="22"/>
                <w:lang w:val="en-US" w:eastAsia="zh-CN" w:bidi="ar-SA"/>
              </w:rPr>
              <w:t>分，本项最多得</w:t>
            </w:r>
            <w:r>
              <w:rPr>
                <w:rFonts w:hint="eastAsia" w:cstheme="minorBidi"/>
                <w:color w:val="auto"/>
                <w:kern w:val="2"/>
                <w:sz w:val="24"/>
                <w:szCs w:val="22"/>
                <w:lang w:val="en-US" w:eastAsia="zh-CN" w:bidi="ar-SA"/>
              </w:rPr>
              <w:t>2</w:t>
            </w:r>
            <w:r>
              <w:rPr>
                <w:rFonts w:hint="eastAsia" w:ascii="宋体" w:hAnsi="宋体" w:eastAsia="宋体" w:cstheme="minorBidi"/>
                <w:color w:val="auto"/>
                <w:kern w:val="2"/>
                <w:sz w:val="24"/>
                <w:szCs w:val="22"/>
                <w:lang w:val="en-US" w:eastAsia="zh-CN" w:bidi="ar-SA"/>
              </w:rPr>
              <w:t>分。注：1.提供合同复印件，加盖供应商公章。无上述业绩证明或不能满足相应要求的证明在评审时将不予得分。</w:t>
            </w:r>
          </w:p>
        </w:tc>
      </w:tr>
      <w:tr w14:paraId="5ECA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400" w:type="dxa"/>
            <w:vMerge w:val="continue"/>
            <w:vAlign w:val="center"/>
          </w:tcPr>
          <w:p w14:paraId="3534FB54">
            <w:pPr>
              <w:pStyle w:val="54"/>
              <w:jc w:val="center"/>
              <w:rPr>
                <w:rFonts w:hint="eastAsia"/>
                <w:color w:val="auto"/>
              </w:rPr>
            </w:pPr>
          </w:p>
        </w:tc>
        <w:tc>
          <w:tcPr>
            <w:tcW w:w="1183" w:type="dxa"/>
            <w:tcBorders>
              <w:top w:val="single" w:color="auto" w:sz="4" w:space="0"/>
            </w:tcBorders>
            <w:vAlign w:val="center"/>
          </w:tcPr>
          <w:p w14:paraId="7DD4B225">
            <w:pPr>
              <w:pStyle w:val="54"/>
              <w:spacing w:line="360" w:lineRule="auto"/>
              <w:rPr>
                <w:rFonts w:hint="default"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项目团队评审</w:t>
            </w:r>
          </w:p>
        </w:tc>
        <w:tc>
          <w:tcPr>
            <w:tcW w:w="881" w:type="dxa"/>
            <w:vAlign w:val="center"/>
          </w:tcPr>
          <w:p w14:paraId="63DC0DDA">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8分</w:t>
            </w:r>
          </w:p>
        </w:tc>
        <w:tc>
          <w:tcPr>
            <w:tcW w:w="5376" w:type="dxa"/>
            <w:vAlign w:val="center"/>
          </w:tcPr>
          <w:p w14:paraId="3ABA9635">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本项目项目负责人：1.具有信息系统项目管理师高级资格证书的，得2分；其他项目团队人员：成员具备以下证书：ITSS服务项目经理证书、中级软件设计师证书、PMP证书、数据库系统工程师证书，每提供一项得1.5分，满分6分。注：</w:t>
            </w:r>
          </w:p>
          <w:p w14:paraId="4F7118B3">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提供人员的有效证书扫描件，每个项目成员只能在一种角色中认定证书，不重复认定。</w:t>
            </w:r>
          </w:p>
          <w:p w14:paraId="6238E246">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提供人员资格证书扫描件和近半年内任意三个月供应商为其缴纳的社保缴费证明，并加盖单位公章。</w:t>
            </w:r>
          </w:p>
        </w:tc>
      </w:tr>
      <w:tr w14:paraId="4C27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3" w:type="dxa"/>
            <w:gridSpan w:val="2"/>
            <w:shd w:val="clear" w:color="auto" w:fill="auto"/>
            <w:vAlign w:val="center"/>
          </w:tcPr>
          <w:p w14:paraId="10B94082">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t>合计</w:t>
            </w:r>
          </w:p>
        </w:tc>
        <w:tc>
          <w:tcPr>
            <w:tcW w:w="881" w:type="dxa"/>
            <w:tcBorders>
              <w:bottom w:val="single" w:color="auto" w:sz="4" w:space="0"/>
            </w:tcBorders>
            <w:shd w:val="clear" w:color="auto" w:fill="auto"/>
            <w:vAlign w:val="center"/>
          </w:tcPr>
          <w:p w14:paraId="589C9B8E">
            <w:pPr>
              <w:pStyle w:val="54"/>
              <w:spacing w:line="360" w:lineRule="auto"/>
              <w:rPr>
                <w:rFonts w:hint="eastAsia" w:ascii="宋体" w:hAnsi="宋体" w:eastAsia="宋体" w:cstheme="minorBidi"/>
                <w:color w:val="auto"/>
                <w:kern w:val="2"/>
                <w:sz w:val="24"/>
                <w:szCs w:val="22"/>
                <w:lang w:val="en-US" w:eastAsia="zh-CN" w:bidi="ar-SA"/>
              </w:rPr>
            </w:pPr>
            <w:r>
              <w:rPr>
                <w:rFonts w:hint="eastAsia" w:ascii="宋体" w:hAnsi="宋体" w:eastAsia="宋体" w:cstheme="minorBidi"/>
                <w:color w:val="auto"/>
                <w:kern w:val="2"/>
                <w:sz w:val="24"/>
                <w:szCs w:val="22"/>
                <w:lang w:val="en-US" w:eastAsia="zh-CN" w:bidi="ar-SA"/>
              </w:rPr>
              <w:fldChar w:fldCharType="begin"/>
            </w:r>
            <w:r>
              <w:rPr>
                <w:rFonts w:hint="eastAsia" w:ascii="宋体" w:hAnsi="宋体" w:eastAsia="宋体" w:cstheme="minorBidi"/>
                <w:color w:val="auto"/>
                <w:kern w:val="2"/>
                <w:sz w:val="24"/>
                <w:szCs w:val="22"/>
                <w:lang w:val="en-US" w:eastAsia="zh-CN" w:bidi="ar-SA"/>
              </w:rPr>
              <w:instrText xml:space="preserve"> =SUM(ABOVE) </w:instrText>
            </w:r>
            <w:r>
              <w:rPr>
                <w:rFonts w:hint="eastAsia" w:ascii="宋体" w:hAnsi="宋体" w:eastAsia="宋体" w:cstheme="minorBidi"/>
                <w:color w:val="auto"/>
                <w:kern w:val="2"/>
                <w:sz w:val="24"/>
                <w:szCs w:val="22"/>
                <w:lang w:val="en-US" w:eastAsia="zh-CN" w:bidi="ar-SA"/>
              </w:rPr>
              <w:fldChar w:fldCharType="separate"/>
            </w:r>
            <w:r>
              <w:rPr>
                <w:rFonts w:hint="eastAsia" w:ascii="宋体" w:hAnsi="宋体" w:eastAsia="宋体" w:cstheme="minorBidi"/>
                <w:color w:val="auto"/>
                <w:kern w:val="2"/>
                <w:sz w:val="24"/>
                <w:szCs w:val="22"/>
                <w:lang w:val="en-US" w:eastAsia="zh-CN" w:bidi="ar-SA"/>
              </w:rPr>
              <w:t>100</w:t>
            </w:r>
            <w:r>
              <w:rPr>
                <w:rFonts w:hint="eastAsia" w:ascii="宋体" w:hAnsi="宋体" w:eastAsia="宋体" w:cstheme="minorBidi"/>
                <w:color w:val="auto"/>
                <w:kern w:val="2"/>
                <w:sz w:val="24"/>
                <w:szCs w:val="22"/>
                <w:lang w:val="en-US" w:eastAsia="zh-CN" w:bidi="ar-SA"/>
              </w:rPr>
              <w:fldChar w:fldCharType="end"/>
            </w:r>
            <w:r>
              <w:rPr>
                <w:rFonts w:hint="eastAsia" w:ascii="宋体" w:hAnsi="宋体" w:eastAsia="宋体" w:cstheme="minorBidi"/>
                <w:color w:val="auto"/>
                <w:kern w:val="2"/>
                <w:sz w:val="24"/>
                <w:szCs w:val="22"/>
                <w:lang w:val="en-US" w:eastAsia="zh-CN" w:bidi="ar-SA"/>
              </w:rPr>
              <w:t>分</w:t>
            </w:r>
          </w:p>
        </w:tc>
        <w:tc>
          <w:tcPr>
            <w:tcW w:w="5376" w:type="dxa"/>
            <w:tcBorders>
              <w:bottom w:val="single" w:color="auto" w:sz="4" w:space="0"/>
            </w:tcBorders>
            <w:shd w:val="clear" w:color="auto" w:fill="auto"/>
            <w:vAlign w:val="center"/>
          </w:tcPr>
          <w:p w14:paraId="7C64E1DA">
            <w:pPr>
              <w:pStyle w:val="54"/>
              <w:spacing w:line="360" w:lineRule="auto"/>
              <w:rPr>
                <w:rFonts w:hint="eastAsia" w:ascii="宋体" w:hAnsi="宋体" w:eastAsia="宋体" w:cstheme="minorBidi"/>
                <w:color w:val="auto"/>
                <w:kern w:val="2"/>
                <w:sz w:val="24"/>
                <w:szCs w:val="22"/>
                <w:lang w:val="en-US" w:eastAsia="zh-CN" w:bidi="ar-SA"/>
              </w:rPr>
            </w:pPr>
          </w:p>
        </w:tc>
      </w:tr>
    </w:tbl>
    <w:p w14:paraId="425243A7">
      <w:pPr>
        <w:rPr>
          <w:rFonts w:hint="eastAsia"/>
          <w:color w:val="auto"/>
          <w:lang w:val="zh-CN"/>
        </w:rPr>
      </w:pPr>
    </w:p>
    <w:p w14:paraId="532E96A0">
      <w:pPr>
        <w:rPr>
          <w:rFonts w:hint="eastAsia"/>
          <w:color w:val="auto"/>
          <w:lang w:val="zh-CN"/>
        </w:rPr>
        <w:sectPr>
          <w:pgSz w:w="11906" w:h="16838"/>
          <w:pgMar w:top="1440" w:right="1800" w:bottom="1440" w:left="1800" w:header="851" w:footer="992" w:gutter="0"/>
          <w:cols w:space="425" w:num="1"/>
          <w:docGrid w:type="lines" w:linePitch="312" w:charSpace="0"/>
        </w:sectPr>
      </w:pPr>
    </w:p>
    <w:p w14:paraId="0421D93F">
      <w:pPr>
        <w:pStyle w:val="2"/>
        <w:numPr>
          <w:ilvl w:val="0"/>
          <w:numId w:val="0"/>
        </w:numPr>
        <w:spacing w:line="240" w:lineRule="auto"/>
        <w:ind w:leftChars="0"/>
        <w:jc w:val="center"/>
        <w:rPr>
          <w:rFonts w:hint="eastAsia" w:cs="宋体"/>
          <w:color w:val="auto"/>
        </w:rPr>
      </w:pPr>
      <w:bookmarkStart w:id="322" w:name="_Toc155185918"/>
      <w:bookmarkStart w:id="323" w:name="_Toc501"/>
      <w:r>
        <w:rPr>
          <w:rFonts w:hint="eastAsia"/>
          <w:color w:val="auto"/>
          <w:lang w:val="en-US" w:eastAsia="zh-CN"/>
        </w:rPr>
        <w:t>第六章</w:t>
      </w:r>
      <w:bookmarkEnd w:id="322"/>
      <w:bookmarkEnd w:id="323"/>
      <w:bookmarkStart w:id="324" w:name="_Toc171502659"/>
      <w:bookmarkStart w:id="325" w:name="_Toc10743"/>
      <w:bookmarkStart w:id="326" w:name="_Toc1094"/>
      <w:r>
        <w:rPr>
          <w:rFonts w:hint="eastAsia"/>
          <w:color w:val="auto"/>
          <w:lang w:val="en-US" w:eastAsia="zh-CN"/>
        </w:rPr>
        <w:t xml:space="preserve">   </w:t>
      </w:r>
      <w:r>
        <w:rPr>
          <w:rFonts w:hint="eastAsia" w:cs="宋体"/>
          <w:color w:val="auto"/>
        </w:rPr>
        <w:t>合同主要条款及合同格式</w:t>
      </w:r>
      <w:bookmarkEnd w:id="324"/>
      <w:bookmarkEnd w:id="325"/>
      <w:bookmarkEnd w:id="326"/>
    </w:p>
    <w:p w14:paraId="176160FB">
      <w:pPr>
        <w:pStyle w:val="70"/>
        <w:numPr>
          <w:ilvl w:val="0"/>
          <w:numId w:val="0"/>
        </w:numPr>
        <w:spacing w:line="240" w:lineRule="auto"/>
        <w:jc w:val="center"/>
        <w:outlineLvl w:val="9"/>
        <w:rPr>
          <w:rFonts w:hint="eastAsia" w:ascii="宋体" w:hAnsi="宋体" w:cs="宋体"/>
          <w:color w:val="auto"/>
          <w:sz w:val="24"/>
          <w:szCs w:val="24"/>
        </w:rPr>
      </w:pPr>
      <w:bookmarkStart w:id="327" w:name="_Toc17729981"/>
      <w:bookmarkStart w:id="328" w:name="_Toc29944"/>
      <w:bookmarkStart w:id="329" w:name="_Toc15910"/>
      <w:bookmarkStart w:id="330" w:name="_Toc516649693"/>
      <w:bookmarkStart w:id="331" w:name="_Toc17671"/>
      <w:bookmarkStart w:id="332" w:name="_Toc479263714"/>
      <w:bookmarkStart w:id="333" w:name="_Toc16297"/>
      <w:bookmarkStart w:id="334" w:name="_Toc25921"/>
      <w:bookmarkStart w:id="335" w:name="_Toc11837"/>
      <w:bookmarkStart w:id="336" w:name="_Toc477504194"/>
      <w:bookmarkStart w:id="337" w:name="_Toc516488154"/>
      <w:bookmarkStart w:id="338" w:name="_Toc31814"/>
      <w:bookmarkStart w:id="339" w:name="_Toc22098"/>
      <w:bookmarkStart w:id="340" w:name="_Toc18182"/>
      <w:r>
        <w:rPr>
          <w:rFonts w:hint="eastAsia" w:ascii="宋体" w:hAnsi="宋体" w:cs="宋体"/>
          <w:bCs w:val="0"/>
          <w:color w:val="auto"/>
          <w:sz w:val="24"/>
          <w:szCs w:val="24"/>
        </w:rPr>
        <w:t>（本合同仅供参考，最终以甲乙双方签订的合同为准）</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5835BC9C">
      <w:pPr>
        <w:spacing w:before="240" w:beforeLines="100" w:after="240" w:afterLines="100" w:line="360" w:lineRule="auto"/>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政府采购合同条款</w:t>
      </w:r>
    </w:p>
    <w:p w14:paraId="1F26B3AB">
      <w:pPr>
        <w:numPr>
          <w:ilvl w:val="0"/>
          <w:numId w:val="22"/>
        </w:numPr>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术语定义</w:t>
      </w:r>
    </w:p>
    <w:p w14:paraId="3FB983A6">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本政府采购合同下列术语应解释为：</w:t>
      </w:r>
    </w:p>
    <w:p w14:paraId="078D4F1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1“政府采购合同”指供需双方依照政府采购程序、按照招标文件、投标文件确定的事项所达成的协议，包括附件、附录和上述文件所提到的构成政府采购合同的所有文件。</w:t>
      </w:r>
    </w:p>
    <w:p w14:paraId="6E51F44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2 “政府采购合同价”指根据合同约定供方在正确地完全履行政府采购合同义务后需方应支付给供方的价格。</w:t>
      </w:r>
    </w:p>
    <w:p w14:paraId="2ED449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3 “服务”指政府采购合同服务清单（同投标文件中开标一览表及其附表，下同）所约定的服务内容。</w:t>
      </w:r>
    </w:p>
    <w:p w14:paraId="43B166B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5 “需方”指项目基本内容及要求中所述取得产品和服务的采购单位。</w:t>
      </w:r>
    </w:p>
    <w:p w14:paraId="2DDA0C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6 “供方”指项目基本内容及要求中所述提供产品和服务的中标供应商。</w:t>
      </w:r>
    </w:p>
    <w:p w14:paraId="61520D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7 “检验”指需方按照政府采购合同约定的标准对供方所提供服务进行的检测和查验。</w:t>
      </w:r>
    </w:p>
    <w:p w14:paraId="6961E1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8 “验收书”指采购单位或采购代理机构根据合同履约验收意见书形成反映采购单位和组织验收机构意见的文件。</w:t>
      </w:r>
    </w:p>
    <w:p w14:paraId="05D71E6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1.9“天”指日历天数（如无特别说明）。</w:t>
      </w:r>
    </w:p>
    <w:p w14:paraId="4C6A04B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10“第三人”是指本政府采购合同双方以外的任何中国境内外的自然人、法人或其它经济组织。</w:t>
      </w:r>
    </w:p>
    <w:p w14:paraId="47633D2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11“法律、法规”是指由中国各级政府及有关部门制定的法律、行政法规、地方性法规、规章及其它规范性文件的有关规定。</w:t>
      </w:r>
    </w:p>
    <w:p w14:paraId="51C47E7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12“招标文件”指采购人或采购代理机构发布的招标文件。</w:t>
      </w:r>
    </w:p>
    <w:p w14:paraId="48EAFB3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
          <w:color w:val="auto"/>
          <w:sz w:val="24"/>
          <w:szCs w:val="24"/>
        </w:rPr>
        <w:t>.</w:t>
      </w:r>
      <w:r>
        <w:rPr>
          <w:rFonts w:hint="eastAsia" w:ascii="宋体" w:hAnsi="宋体" w:eastAsia="宋体" w:cs="宋体"/>
          <w:color w:val="auto"/>
          <w:sz w:val="24"/>
          <w:szCs w:val="24"/>
        </w:rPr>
        <w:t>13“投标文件”指供方按照采购代理机构招标文件的要求编制和递交，并最终被评标委员会接受的投标文件。</w:t>
      </w:r>
    </w:p>
    <w:p w14:paraId="454D3C00">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2.技术规范与服务内容</w:t>
      </w:r>
    </w:p>
    <w:p w14:paraId="00F73A26">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2.1投标服务的技术规范应与招标文件规定的技术规范（如果有的话）相一致。若无相应说明，则以国家有关部门最新颁布的相应标准及规范为准。</w:t>
      </w:r>
    </w:p>
    <w:p w14:paraId="3419E2E4">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2.2 投标服务的服务内容应与招标文件规定服务内容及投标文件中的项目要求及投标响应表一致。</w:t>
      </w:r>
    </w:p>
    <w:p w14:paraId="50A76F0E">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3.知识产权</w:t>
      </w:r>
    </w:p>
    <w:p w14:paraId="4960B69B">
      <w:pPr>
        <w:spacing w:line="360" w:lineRule="auto"/>
        <w:ind w:firstLine="470" w:firstLineChars="196"/>
        <w:jc w:val="left"/>
        <w:rPr>
          <w:rFonts w:hint="eastAsia" w:ascii="宋体" w:hAnsi="宋体" w:eastAsia="宋体" w:cs="宋体"/>
          <w:color w:val="auto"/>
          <w:sz w:val="24"/>
          <w:szCs w:val="24"/>
        </w:rPr>
      </w:pPr>
      <w:r>
        <w:rPr>
          <w:rFonts w:hint="eastAsia" w:ascii="宋体" w:hAnsi="宋体" w:eastAsia="宋体" w:cs="宋体"/>
          <w:color w:val="auto"/>
          <w:sz w:val="24"/>
          <w:szCs w:val="24"/>
        </w:rPr>
        <w:t>3.1供方应保证需方在使用本政府采购合同项下的服务或其任何一部分时免受第三方提出侵犯其知识产权、商标权或工业设计权的起诉。如果发生此类问题，供方负责交涉、处理并承担由此引起的全部法律及经济责任。</w:t>
      </w:r>
    </w:p>
    <w:p w14:paraId="4B6D5038">
      <w:pPr>
        <w:spacing w:line="360" w:lineRule="auto"/>
        <w:ind w:firstLine="470" w:firstLineChars="196"/>
        <w:jc w:val="left"/>
        <w:rPr>
          <w:rFonts w:hint="eastAsia" w:ascii="宋体" w:hAnsi="宋体" w:eastAsia="宋体" w:cs="宋体"/>
          <w:color w:val="auto"/>
          <w:sz w:val="24"/>
          <w:szCs w:val="24"/>
        </w:rPr>
      </w:pPr>
      <w:r>
        <w:rPr>
          <w:rFonts w:hint="eastAsia" w:ascii="宋体" w:hAnsi="宋体" w:eastAsia="宋体" w:cs="宋体"/>
          <w:color w:val="auto"/>
          <w:sz w:val="24"/>
          <w:szCs w:val="24"/>
        </w:rPr>
        <w:t>3.2供方应保证所供服务符合国家的有关规定。</w:t>
      </w:r>
    </w:p>
    <w:p w14:paraId="39D1CFE7">
      <w:pPr>
        <w:tabs>
          <w:tab w:val="left" w:pos="360"/>
        </w:tabs>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3.3供方保证，供方依据本政府采购合同提供的服务及相关的软件和技术资料，供方均已得到有关知识产权的权利人的合法授权，如发生涉及到专利权、著作权、商标权等争议，供方负责交涉、处理，并承担由此引起的全部法律及经济责任。</w:t>
      </w:r>
    </w:p>
    <w:p w14:paraId="3E691293">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4.完成方式</w:t>
      </w:r>
    </w:p>
    <w:p w14:paraId="45D0FD99">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供方按照合同约定的时间、地点完成服务。</w:t>
      </w:r>
    </w:p>
    <w:p w14:paraId="14C13BAB">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5.付款</w:t>
      </w:r>
    </w:p>
    <w:p w14:paraId="7491948D">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5.1政府采购合同以人民币付款。</w:t>
      </w:r>
    </w:p>
    <w:p w14:paraId="07C40419">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5.2在供方按照政府采购合同的规定履行服务后，需方按照合同约定的方式和条件付款。</w:t>
      </w:r>
    </w:p>
    <w:p w14:paraId="79EE8351">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6.服务质量</w:t>
      </w:r>
    </w:p>
    <w:p w14:paraId="30A15B2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6.1供方应保证政府采购合同项下所供服务是由供方提供的，并完全符合强制性的国家技术质量规范和政府采购合同规定的质量、性能和技术规范等要求。</w:t>
      </w:r>
    </w:p>
    <w:p w14:paraId="6C8AA02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6.2供方提供的服务质量应满足行业一般标准，符合合同约定。</w:t>
      </w:r>
    </w:p>
    <w:p w14:paraId="6498EE8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6.3需方有权对供方的服务质量进行监督，发现服务存在不符合合同标准的情形的，可以要求供方改正服务方式、替换服务人员等补救方式，供方应按需方要求改正，并赔偿需方实际损失。</w:t>
      </w:r>
    </w:p>
    <w:p w14:paraId="112B188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6.4对于委托开发等最终以产品形式交付需方使用的服务，供方需按照招标文件要求对产品提供售后服务及质量保证，供方投标文件承诺的售后服务及质量保证优于招标文件要求的，以投标文件承诺的售后服务及质量保证为准。</w:t>
      </w:r>
    </w:p>
    <w:p w14:paraId="73F207FE">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7.技术服务和保修责任</w:t>
      </w:r>
    </w:p>
    <w:p w14:paraId="68B4FAE3">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7.1本条适用于委托开发等最终以产品形式交付需方使用的服务。</w:t>
      </w:r>
    </w:p>
    <w:p w14:paraId="461BEDE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7.2供方对交付的产品的保修期，以招标文件中的规定为准，如果投标文件中的承诺优于招标文件规定，则以投标文件为准。</w:t>
      </w:r>
    </w:p>
    <w:p w14:paraId="5A14DDB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7.3供方应按如下内容提供售后服务：</w:t>
      </w:r>
    </w:p>
    <w:p w14:paraId="274451C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7.3.1产品经过试运行期，所有性能指标达到技术规范书的要求时，可按招标文件、投标文件内容进行初验。在试运行期间，由于产品质量等造成某些指标达不到要求，供方须更换或进行修复，试运行期重新计算。</w:t>
      </w:r>
    </w:p>
    <w:p w14:paraId="4026DB4E">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7.3.2初验后，设备再次经过试运行期，所有性能指标达到技术规范书的要求时，可按合同招标文件、投标文件内容进行下一步验收工作，进行终验。全部达到要求时，有关方按财政部和省财政厅关于履约验收规定签署最终验收文件。</w:t>
      </w:r>
    </w:p>
    <w:p w14:paraId="59C79F4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7.3.3保修期间供方要保修除消耗品以外的所有产品。如果系统、设备等发生故障，供方要调查故障原因并修复直至满足最终验收指标和性能的要求，或者修理、更换整个或部分有缺陷的材料。</w:t>
      </w:r>
    </w:p>
    <w:p w14:paraId="113464B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7.3.4保修期内，供方提供电话、电子邮件、Web、现场服务等方式的技术支持，对用户的现场服务要求，供方必须按投标文件做出的承诺进行响应。</w:t>
      </w:r>
    </w:p>
    <w:p w14:paraId="1360225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7.3.5保修期内，供方应对出现故障无法修复的产品或无法正常运行的系统，提供替代产品以保证系统的正常工作。</w:t>
      </w:r>
    </w:p>
    <w:p w14:paraId="74F45EC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7.3.6保修期内，供方应投标时的承诺提供相关服务。</w:t>
      </w:r>
    </w:p>
    <w:p w14:paraId="3CF0C0D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7.3.7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0524D5C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7.3.8在保修期结束后，产品寿命期内供方必须继续提供对产品备件、故障处理、软件升级等的服务，不得以任何借口拖延或中断对产品的售后服务，响应时间、取费标准按招标文件、投标文件规定或本合同约定的保修期内的相关标准执行。</w:t>
      </w:r>
    </w:p>
    <w:p w14:paraId="6AF82863">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7.3.9如果供方提供货物出现质量问题，经需方通知，供方未按时回应、借故推脱、无理由拒绝需方提出的维修、更换服务请求，或者未按照约定期限履行维修、更换义务，需方有权另行委托第三方进行维修，由此产生的维修和备件费用，由供方承担。 需方有权对维修或更换服务以实际发生的费用或按市场价从尚未支付的政府采购合同价款中扣除。如果这些金额不足以补偿，需方有权向供方提出不足部分的赔偿要求。货物经维修或更换后仍无法达到约定质量要求和技术标准，需方有权退货并向供方索赔。</w:t>
      </w:r>
    </w:p>
    <w:p w14:paraId="497B860C">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7.3.10如果供方所提供货物发生质量责任事故，从而导致需方或者第三方发生损失或者需方被第三方索赔或者需方遭受处罚，经质量技术监督部门或其他机构认定事故为货物存在质量问题导致，则应由供方承担由此造成的一切责任，包括但不限于：赔偿需方或第三方直接或者间接的损失，赔偿需方因事故支付给第三方的赔偿金额，赔偿需方因处理事故所花费的合理费用，赔付需方因事故责任产生的罚款或其他费用。本条款在质保期及合同期届满后持续有效。</w:t>
      </w:r>
    </w:p>
    <w:p w14:paraId="62CB1877">
      <w:pPr>
        <w:spacing w:line="360" w:lineRule="auto"/>
        <w:ind w:firstLine="479" w:firstLineChars="199"/>
        <w:rPr>
          <w:rFonts w:hint="eastAsia" w:ascii="宋体" w:hAnsi="宋体" w:eastAsia="宋体" w:cs="宋体"/>
          <w:b/>
          <w:color w:val="auto"/>
          <w:sz w:val="24"/>
          <w:szCs w:val="24"/>
        </w:rPr>
      </w:pPr>
      <w:r>
        <w:rPr>
          <w:rFonts w:hint="eastAsia" w:ascii="宋体" w:hAnsi="宋体" w:eastAsia="宋体" w:cs="宋体"/>
          <w:b/>
          <w:color w:val="auto"/>
          <w:sz w:val="24"/>
          <w:szCs w:val="24"/>
        </w:rPr>
        <w:t>8.检验和验收</w:t>
      </w:r>
    </w:p>
    <w:p w14:paraId="7E88E3E0">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8.1完成服务后，需方或采购代理机构（由具体项目决定）应在政府采购合同规定的时间内组织验收，并在“验收书”上签字。“验收书”将作为申请付款文件的一部分。</w:t>
      </w:r>
    </w:p>
    <w:p w14:paraId="7F0AF4B3">
      <w:pPr>
        <w:spacing w:line="360" w:lineRule="auto"/>
        <w:ind w:firstLine="477" w:firstLineChars="199"/>
        <w:rPr>
          <w:rFonts w:hint="eastAsia" w:ascii="宋体" w:hAnsi="宋体" w:eastAsia="宋体" w:cs="宋体"/>
          <w:color w:val="auto"/>
          <w:sz w:val="24"/>
          <w:szCs w:val="24"/>
        </w:rPr>
      </w:pPr>
      <w:r>
        <w:rPr>
          <w:rFonts w:hint="eastAsia" w:ascii="宋体" w:hAnsi="宋体" w:eastAsia="宋体" w:cs="宋体"/>
          <w:color w:val="auto"/>
          <w:sz w:val="24"/>
          <w:szCs w:val="24"/>
        </w:rPr>
        <w:t>8.2对于委托开发等最终以产品形式交付需方使用的服务，保修期自验收书签署之日起计算。</w:t>
      </w:r>
    </w:p>
    <w:p w14:paraId="1BD152D2">
      <w:pPr>
        <w:tabs>
          <w:tab w:val="left" w:pos="360"/>
        </w:tabs>
        <w:spacing w:line="360" w:lineRule="auto"/>
        <w:ind w:firstLine="525" w:firstLineChars="218"/>
        <w:rPr>
          <w:rFonts w:hint="eastAsia" w:ascii="宋体" w:hAnsi="宋体" w:eastAsia="宋体" w:cs="宋体"/>
          <w:b/>
          <w:color w:val="auto"/>
          <w:sz w:val="24"/>
          <w:szCs w:val="24"/>
        </w:rPr>
      </w:pPr>
      <w:r>
        <w:rPr>
          <w:rFonts w:hint="eastAsia" w:ascii="宋体" w:hAnsi="宋体" w:eastAsia="宋体" w:cs="宋体"/>
          <w:b/>
          <w:color w:val="auto"/>
          <w:sz w:val="24"/>
          <w:szCs w:val="24"/>
        </w:rPr>
        <w:t>9.违约责任</w:t>
      </w:r>
    </w:p>
    <w:p w14:paraId="1BC746DB">
      <w:pPr>
        <w:spacing w:line="360" w:lineRule="auto"/>
        <w:ind w:firstLine="523" w:firstLineChars="218"/>
        <w:rPr>
          <w:rFonts w:hint="eastAsia" w:ascii="宋体" w:hAnsi="宋体" w:eastAsia="宋体" w:cs="宋体"/>
          <w:color w:val="auto"/>
          <w:sz w:val="24"/>
          <w:szCs w:val="24"/>
        </w:rPr>
      </w:pPr>
      <w:r>
        <w:rPr>
          <w:rFonts w:hint="eastAsia" w:ascii="宋体" w:hAnsi="宋体" w:eastAsia="宋体" w:cs="宋体"/>
          <w:color w:val="auto"/>
          <w:sz w:val="24"/>
          <w:szCs w:val="24"/>
        </w:rPr>
        <w:t>9.1如果供方未按照政府采购合同规定的要求提供服务；或供方未能履行政府采购合同规定的任何其它义务时，需方有权向供方发出违约通知书，供方应按照需方选择的下列一种或多种方式承担赔偿责任：</w:t>
      </w:r>
    </w:p>
    <w:p w14:paraId="0104AC0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9.1.1在需方同意延长的期限内提供服务并承担由此给需方造成的一切损失；</w:t>
      </w:r>
    </w:p>
    <w:p w14:paraId="7FED3A3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9.1.2在需方规定的时间内，用符合政府采购合同规定的服务以达到政府采购合同规定的要求，供方应承担由此发生的一切费用和风险。此时，相关服务的期限也应相应延长；</w:t>
      </w:r>
    </w:p>
    <w:p w14:paraId="6324FAE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9.1.3需方有权部分或全部解除政府采购合同并要求供方赔偿由此造成的损失。此时需方可采取必要的补救措施，相关费用由供方承担。</w:t>
      </w:r>
    </w:p>
    <w:p w14:paraId="0C39D84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9.2如果供方在收到需方的违约通知书后10日内未作答复也没有按照需方选择的方式承担违约责任，则需方有权从履约保证金（如有）、尚未支付的政府采购合同价款中扣回索赔金额。如果这些金额不足以补偿，需方有权向供方提出不足部分的赔偿要求。</w:t>
      </w:r>
    </w:p>
    <w:p w14:paraId="0FE14E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9.3延期服务的违约责任</w:t>
      </w:r>
    </w:p>
    <w:p w14:paraId="56BB6AE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9.3.1除本合同条款第9条规定外，如果供方没有按照政府采购合同规定的时间提供服务，需方可要求供方支付违约金。违约金按照每周未提供服务费用的0.5%计收，但违约金的最高限额为未提供服务的合同价格的5%。一周按7天计算，不足7天按一周计算。如果达到最高限额，需方有权解除政府采购合同。</w:t>
      </w:r>
    </w:p>
    <w:p w14:paraId="48BE3F6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8.4以上各项交付的违约金并不影响违约方履行政府采购合同的各项义务。</w:t>
      </w:r>
    </w:p>
    <w:p w14:paraId="1DCD6152">
      <w:pPr>
        <w:spacing w:line="360" w:lineRule="auto"/>
        <w:ind w:left="420"/>
        <w:rPr>
          <w:rFonts w:hint="eastAsia" w:ascii="宋体" w:hAnsi="宋体" w:eastAsia="宋体" w:cs="宋体"/>
          <w:b/>
          <w:color w:val="auto"/>
          <w:sz w:val="24"/>
          <w:szCs w:val="24"/>
        </w:rPr>
      </w:pPr>
      <w:r>
        <w:rPr>
          <w:rFonts w:hint="eastAsia" w:ascii="宋体" w:hAnsi="宋体" w:eastAsia="宋体" w:cs="宋体"/>
          <w:b/>
          <w:color w:val="auto"/>
          <w:sz w:val="24"/>
          <w:szCs w:val="24"/>
        </w:rPr>
        <w:t>10.不可抗力</w:t>
      </w:r>
    </w:p>
    <w:p w14:paraId="1CD85759">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10.1如果供方和需方因不可抗力而导致政府采购合同迟延履行或不能履行政府采购合同义务，不应该承担误期赔偿或不能履行政府采购合同义务的责任。因供方或需方先延误或不能履行政府采购合同而后遇不可抗力的情形除外。</w:t>
      </w:r>
    </w:p>
    <w:p w14:paraId="3DD129D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10.2本条所述的“不可抗力”系指那些双方无法控制，不可预见的事件，但不包括双方的违约或疏忽。这些事件包括但不限于：战争、严重火灾、洪水、台风、地震。</w:t>
      </w:r>
    </w:p>
    <w:p w14:paraId="2BE388A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p>
    <w:p w14:paraId="699454EB">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11.争端的解决</w:t>
      </w:r>
    </w:p>
    <w:p w14:paraId="2322A008">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11.1需方和供方应通过友好协商，解决在执行本政府采购合同过程中所发生的或与本政府采购合同有关的一切争端。</w:t>
      </w:r>
    </w:p>
    <w:p w14:paraId="67A2763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11.2如果协商不成，双方中的任何一方可向需方所在地的人民法院提起诉讼。</w:t>
      </w:r>
    </w:p>
    <w:p w14:paraId="541F6D0F">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11.3因政府采购合同部分履行引发诉讼的，在诉讼期间，除正在进行诉讼的部分外，本政府采购合同的其它部分应继续执行。</w:t>
      </w:r>
    </w:p>
    <w:p w14:paraId="3C4143DF">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12.违约终止政府采购合同</w:t>
      </w:r>
    </w:p>
    <w:p w14:paraId="1F16A932">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12.1在需方因供方违约而按政府采购合同约定采取的任何补救措施不起作用的情况下，需方可在下列情况下向供方发出书面通知，提出终止部分或全部政府采购合同。</w:t>
      </w:r>
    </w:p>
    <w:p w14:paraId="36D0616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12.1.1如果供方未能在政府采购合同规定的限期或需方同意延长的限期内提供部分或全部服务；</w:t>
      </w:r>
    </w:p>
    <w:p w14:paraId="2F01C930">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12.1.2如果供方未能履行政府采购合同规定的其它任何义务。</w:t>
      </w:r>
    </w:p>
    <w:p w14:paraId="7470E1FE">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12.1.3未经需方事先书面同意，供方部分转让和分包或全部转让和分包其应履行的政府采购合同义务。</w:t>
      </w:r>
    </w:p>
    <w:p w14:paraId="4019E897">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12.2 如果需方根据上述规定，终止了全部或部分政府采购合同，需方可以依其认为适当的条件和方法购买与未履行服务类似的服务，供方应对购买类似服务所超出的那部分费用负责。供方应继续履行政府采购合同中未终止的部分。</w:t>
      </w:r>
    </w:p>
    <w:p w14:paraId="5035726D">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13.政府采购法对政府采购合同变更终止的规定</w:t>
      </w:r>
    </w:p>
    <w:p w14:paraId="0415A5F2">
      <w:pPr>
        <w:spacing w:line="360" w:lineRule="auto"/>
        <w:ind w:firstLine="470" w:firstLineChars="196"/>
        <w:rPr>
          <w:rFonts w:hint="eastAsia" w:ascii="宋体" w:hAnsi="宋体" w:eastAsia="宋体" w:cs="宋体"/>
          <w:b/>
          <w:color w:val="auto"/>
          <w:sz w:val="24"/>
          <w:szCs w:val="24"/>
        </w:rPr>
      </w:pPr>
      <w:r>
        <w:rPr>
          <w:rFonts w:hint="eastAsia" w:ascii="宋体" w:hAnsi="宋体" w:eastAsia="宋体" w:cs="宋体"/>
          <w:color w:val="auto"/>
          <w:sz w:val="24"/>
          <w:szCs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p>
    <w:p w14:paraId="0299CE0A">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14.政府采购合同转让和分包</w:t>
      </w:r>
    </w:p>
    <w:p w14:paraId="2165242C">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除招标文件规定,并经需方事先书面同意外，供方不得部分转让和分包或全部转让和分包其应履行的政府采购合同义务。</w:t>
      </w:r>
    </w:p>
    <w:p w14:paraId="207B23FA">
      <w:pPr>
        <w:spacing w:line="360" w:lineRule="auto"/>
        <w:ind w:firstLine="472" w:firstLineChars="196"/>
        <w:rPr>
          <w:rFonts w:hint="eastAsia" w:ascii="宋体" w:hAnsi="宋体" w:eastAsia="宋体" w:cs="宋体"/>
          <w:color w:val="auto"/>
          <w:sz w:val="24"/>
          <w:szCs w:val="24"/>
        </w:rPr>
      </w:pPr>
      <w:r>
        <w:rPr>
          <w:rFonts w:hint="eastAsia" w:ascii="宋体" w:hAnsi="宋体" w:eastAsia="宋体" w:cs="宋体"/>
          <w:b/>
          <w:color w:val="auto"/>
          <w:sz w:val="24"/>
          <w:szCs w:val="24"/>
        </w:rPr>
        <w:t>15.适用法律：</w:t>
      </w:r>
      <w:r>
        <w:rPr>
          <w:rFonts w:hint="eastAsia" w:ascii="宋体" w:hAnsi="宋体" w:eastAsia="宋体" w:cs="宋体"/>
          <w:color w:val="auto"/>
          <w:sz w:val="24"/>
          <w:szCs w:val="24"/>
        </w:rPr>
        <w:t>本政府采购合同按照中华人民共和国的现行法律进行解释。</w:t>
      </w:r>
    </w:p>
    <w:p w14:paraId="63F55B9E">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16.政府采购合同生效</w:t>
      </w:r>
    </w:p>
    <w:p w14:paraId="4BE0B0A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16.1本政府采购合同在供需双方法定代表人或其授权代理人签字和加盖公章后生效。</w:t>
      </w:r>
    </w:p>
    <w:p w14:paraId="0ED41E90">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 xml:space="preserve">16.2本政府采购合同一式五份，需方执二份，供方、采购代理机构、财政部门各执一份。 </w:t>
      </w:r>
    </w:p>
    <w:p w14:paraId="54AA7A21">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17.政府采购合同附件</w:t>
      </w:r>
    </w:p>
    <w:p w14:paraId="690CC97A">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下列文件构成本政府采购合同不可分割的组成部分，与本政府采购合同具有同等法律效力：</w:t>
      </w:r>
    </w:p>
    <w:p w14:paraId="0815E62D">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17.1招标文件；</w:t>
      </w:r>
    </w:p>
    <w:p w14:paraId="0C8BBE9C">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17.2招标文件的更正公告、变更公告；</w:t>
      </w:r>
    </w:p>
    <w:p w14:paraId="31E66470">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17.3中标供应商提交的投标文件；        </w:t>
      </w:r>
    </w:p>
    <w:p w14:paraId="73570945">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17.4政府采购合同条款；</w:t>
      </w:r>
    </w:p>
    <w:p w14:paraId="76C362EB">
      <w:pPr>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17.5中标通知书；</w:t>
      </w:r>
    </w:p>
    <w:p w14:paraId="79C7F52D">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17.6政府采购合同的其它附件。</w:t>
      </w:r>
    </w:p>
    <w:p w14:paraId="09C8CF0D">
      <w:pPr>
        <w:ind w:firstLine="470" w:firstLineChars="196"/>
        <w:rPr>
          <w:rFonts w:hint="eastAsia" w:ascii="宋体" w:hAnsi="宋体" w:eastAsia="宋体" w:cs="宋体"/>
          <w:color w:val="auto"/>
          <w:sz w:val="24"/>
          <w:szCs w:val="24"/>
        </w:rPr>
      </w:pPr>
    </w:p>
    <w:p w14:paraId="38CBB009">
      <w:pPr>
        <w:rPr>
          <w:rFonts w:hint="eastAsia" w:ascii="宋体" w:hAnsi="宋体" w:eastAsia="宋体" w:cs="宋体"/>
          <w:color w:val="auto"/>
          <w:sz w:val="24"/>
          <w:szCs w:val="24"/>
        </w:rPr>
      </w:pPr>
    </w:p>
    <w:p w14:paraId="56CCE8EA">
      <w:pPr>
        <w:adjustRightInd w:val="0"/>
        <w:snapToGrid w:val="0"/>
        <w:spacing w:line="240" w:lineRule="auto"/>
        <w:jc w:val="center"/>
        <w:outlineLvl w:val="9"/>
        <w:rPr>
          <w:rFonts w:hint="eastAsia" w:ascii="宋体" w:hAnsi="宋体" w:eastAsia="宋体" w:cs="宋体"/>
          <w:b/>
          <w:bCs/>
          <w:color w:val="auto"/>
          <w:sz w:val="28"/>
          <w:szCs w:val="28"/>
        </w:rPr>
      </w:pPr>
      <w:bookmarkStart w:id="341" w:name="_Toc7832_WPSOffice_Level1"/>
      <w:bookmarkStart w:id="342" w:name="_Toc11644_WPSOffice_Level1"/>
      <w:r>
        <w:rPr>
          <w:rFonts w:hint="eastAsia" w:ascii="宋体" w:hAnsi="宋体" w:eastAsia="宋体" w:cs="宋体"/>
          <w:b/>
          <w:bCs/>
          <w:color w:val="auto"/>
          <w:sz w:val="28"/>
          <w:szCs w:val="28"/>
        </w:rPr>
        <w:t>政府采购合同格式</w:t>
      </w:r>
      <w:bookmarkEnd w:id="341"/>
      <w:bookmarkEnd w:id="342"/>
      <w:r>
        <w:rPr>
          <w:rFonts w:hint="eastAsia" w:ascii="宋体" w:hAnsi="宋体" w:eastAsia="宋体" w:cs="宋体"/>
          <w:b/>
          <w:bCs/>
          <w:color w:val="auto"/>
          <w:sz w:val="28"/>
          <w:szCs w:val="28"/>
        </w:rPr>
        <w:t>（仅供参考，以实际签订内容为准）</w:t>
      </w:r>
    </w:p>
    <w:p w14:paraId="6A797EC3">
      <w:pPr>
        <w:autoSpaceDE w:val="0"/>
        <w:autoSpaceDN w:val="0"/>
        <w:adjustRightInd w:val="0"/>
        <w:spacing w:line="360" w:lineRule="auto"/>
        <w:jc w:val="center"/>
        <w:rPr>
          <w:rFonts w:hint="eastAsia" w:ascii="宋体" w:hAnsi="宋体" w:eastAsia="宋体" w:cs="宋体"/>
          <w:b/>
          <w:bCs/>
          <w:color w:val="auto"/>
          <w:kern w:val="0"/>
          <w:sz w:val="44"/>
          <w:szCs w:val="44"/>
        </w:rPr>
      </w:pPr>
    </w:p>
    <w:p w14:paraId="02AD8688">
      <w:pPr>
        <w:autoSpaceDE w:val="0"/>
        <w:autoSpaceDN w:val="0"/>
        <w:adjustRightInd w:val="0"/>
        <w:spacing w:line="360" w:lineRule="auto"/>
        <w:jc w:val="center"/>
        <w:rPr>
          <w:rFonts w:hint="eastAsia" w:ascii="宋体" w:hAnsi="宋体" w:eastAsia="宋体" w:cs="宋体"/>
          <w:b/>
          <w:bCs/>
          <w:color w:val="auto"/>
          <w:kern w:val="0"/>
          <w:sz w:val="44"/>
          <w:szCs w:val="44"/>
        </w:rPr>
      </w:pPr>
    </w:p>
    <w:p w14:paraId="436C80EF">
      <w:pPr>
        <w:autoSpaceDE w:val="0"/>
        <w:autoSpaceDN w:val="0"/>
        <w:adjustRightInd w:val="0"/>
        <w:spacing w:line="360" w:lineRule="auto"/>
        <w:jc w:val="center"/>
        <w:rPr>
          <w:rFonts w:hint="eastAsia" w:ascii="宋体" w:hAnsi="宋体" w:eastAsia="宋体" w:cs="宋体"/>
          <w:b/>
          <w:bCs/>
          <w:color w:val="auto"/>
          <w:kern w:val="0"/>
          <w:sz w:val="24"/>
          <w:szCs w:val="24"/>
          <w:lang w:eastAsia="zh-CN"/>
        </w:rPr>
      </w:pPr>
      <w:r>
        <w:rPr>
          <w:rFonts w:hint="eastAsia" w:cs="宋体"/>
          <w:b/>
          <w:bCs/>
          <w:color w:val="auto"/>
          <w:kern w:val="0"/>
          <w:sz w:val="44"/>
          <w:szCs w:val="44"/>
          <w:lang w:eastAsia="zh-CN"/>
        </w:rPr>
        <w:t>晋宁区医疗卫生强基工程项目（资源共享中 心：医共体中心药房系统、医共体审方中心系统）</w:t>
      </w:r>
    </w:p>
    <w:p w14:paraId="442853AC">
      <w:pPr>
        <w:autoSpaceDE w:val="0"/>
        <w:autoSpaceDN w:val="0"/>
        <w:adjustRightInd w:val="0"/>
        <w:spacing w:line="360" w:lineRule="auto"/>
        <w:jc w:val="center"/>
        <w:rPr>
          <w:rFonts w:hint="eastAsia" w:ascii="宋体" w:hAnsi="宋体" w:eastAsia="宋体" w:cs="宋体"/>
          <w:b/>
          <w:bCs/>
          <w:color w:val="auto"/>
          <w:kern w:val="0"/>
          <w:sz w:val="24"/>
          <w:szCs w:val="24"/>
        </w:rPr>
      </w:pPr>
    </w:p>
    <w:p w14:paraId="28557B64">
      <w:pPr>
        <w:autoSpaceDE w:val="0"/>
        <w:autoSpaceDN w:val="0"/>
        <w:adjustRightInd w:val="0"/>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sz w:val="24"/>
          <w:szCs w:val="24"/>
        </w:rPr>
        <w:t>（委托采购）</w:t>
      </w:r>
    </w:p>
    <w:p w14:paraId="451403EC">
      <w:pPr>
        <w:autoSpaceDE w:val="0"/>
        <w:autoSpaceDN w:val="0"/>
        <w:adjustRightInd w:val="0"/>
        <w:spacing w:line="360" w:lineRule="auto"/>
        <w:jc w:val="center"/>
        <w:rPr>
          <w:rFonts w:hint="eastAsia" w:ascii="宋体" w:hAnsi="宋体" w:eastAsia="宋体" w:cs="宋体"/>
          <w:b/>
          <w:bCs/>
          <w:color w:val="auto"/>
          <w:kern w:val="0"/>
          <w:sz w:val="24"/>
          <w:szCs w:val="24"/>
        </w:rPr>
      </w:pPr>
    </w:p>
    <w:p w14:paraId="2FCCD371">
      <w:pPr>
        <w:autoSpaceDE w:val="0"/>
        <w:autoSpaceDN w:val="0"/>
        <w:adjustRightInd w:val="0"/>
        <w:spacing w:line="360" w:lineRule="auto"/>
        <w:jc w:val="center"/>
        <w:rPr>
          <w:rFonts w:hint="eastAsia" w:ascii="宋体" w:hAnsi="宋体" w:eastAsia="宋体" w:cs="宋体"/>
          <w:b/>
          <w:bCs/>
          <w:color w:val="auto"/>
          <w:kern w:val="0"/>
          <w:sz w:val="24"/>
          <w:szCs w:val="24"/>
        </w:rPr>
      </w:pPr>
    </w:p>
    <w:p w14:paraId="21898BB3">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合 </w:t>
      </w:r>
    </w:p>
    <w:p w14:paraId="3D838011">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同 </w:t>
      </w:r>
    </w:p>
    <w:p w14:paraId="65441908">
      <w:pPr>
        <w:autoSpaceDE w:val="0"/>
        <w:autoSpaceDN w:val="0"/>
        <w:adjustRightInd w:val="0"/>
        <w:spacing w:line="360" w:lineRule="auto"/>
        <w:jc w:val="cente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t xml:space="preserve">书 </w:t>
      </w:r>
    </w:p>
    <w:p w14:paraId="69F16CD5">
      <w:pPr>
        <w:autoSpaceDE w:val="0"/>
        <w:autoSpaceDN w:val="0"/>
        <w:adjustRightInd w:val="0"/>
        <w:spacing w:line="360" w:lineRule="auto"/>
        <w:jc w:val="center"/>
        <w:rPr>
          <w:rFonts w:hint="eastAsia" w:ascii="宋体" w:hAnsi="宋体" w:eastAsia="宋体" w:cs="宋体"/>
          <w:b/>
          <w:bCs/>
          <w:color w:val="auto"/>
          <w:kern w:val="0"/>
          <w:sz w:val="36"/>
          <w:szCs w:val="36"/>
        </w:rPr>
      </w:pPr>
    </w:p>
    <w:p w14:paraId="337DD8A7">
      <w:pPr>
        <w:pStyle w:val="41"/>
        <w:rPr>
          <w:rFonts w:hint="eastAsia" w:ascii="宋体" w:hAnsi="宋体" w:eastAsia="宋体" w:cs="宋体"/>
          <w:b/>
          <w:bCs/>
          <w:color w:val="auto"/>
          <w:kern w:val="0"/>
          <w:sz w:val="24"/>
          <w:szCs w:val="24"/>
        </w:rPr>
      </w:pPr>
    </w:p>
    <w:p w14:paraId="0788E6E9">
      <w:pPr>
        <w:pStyle w:val="41"/>
        <w:rPr>
          <w:rFonts w:hint="eastAsia" w:ascii="宋体" w:hAnsi="宋体" w:eastAsia="宋体" w:cs="宋体"/>
          <w:b/>
          <w:bCs/>
          <w:color w:val="auto"/>
          <w:kern w:val="0"/>
          <w:sz w:val="24"/>
          <w:szCs w:val="24"/>
        </w:rPr>
      </w:pPr>
    </w:p>
    <w:p w14:paraId="16C8B5BE">
      <w:pPr>
        <w:pStyle w:val="41"/>
        <w:rPr>
          <w:rFonts w:hint="eastAsia" w:ascii="宋体" w:hAnsi="宋体" w:eastAsia="宋体" w:cs="宋体"/>
          <w:b/>
          <w:bCs/>
          <w:color w:val="auto"/>
          <w:kern w:val="0"/>
          <w:sz w:val="24"/>
          <w:szCs w:val="24"/>
        </w:rPr>
      </w:pPr>
    </w:p>
    <w:p w14:paraId="729FFBF4">
      <w:pPr>
        <w:pStyle w:val="41"/>
        <w:rPr>
          <w:rFonts w:hint="eastAsia" w:ascii="宋体" w:hAnsi="宋体" w:eastAsia="宋体" w:cs="宋体"/>
          <w:b/>
          <w:bCs/>
          <w:color w:val="auto"/>
          <w:kern w:val="0"/>
          <w:sz w:val="24"/>
          <w:szCs w:val="24"/>
        </w:rPr>
      </w:pPr>
    </w:p>
    <w:p w14:paraId="37CB9871">
      <w:pPr>
        <w:autoSpaceDE w:val="0"/>
        <w:autoSpaceDN w:val="0"/>
        <w:adjustRightInd w:val="0"/>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zh-CN"/>
        </w:rPr>
        <w:t>签订地点：</w:t>
      </w:r>
      <w:r>
        <w:rPr>
          <w:rFonts w:hint="eastAsia" w:cs="宋体"/>
          <w:b/>
          <w:bCs/>
          <w:color w:val="auto"/>
          <w:spacing w:val="40"/>
          <w:kern w:val="0"/>
          <w:sz w:val="24"/>
          <w:szCs w:val="24"/>
          <w:lang w:val="zh-CN"/>
        </w:rPr>
        <w:t>昆明市晋宁区人民医院(昆明市晋宁区紧密型医共体总医院)</w:t>
      </w:r>
    </w:p>
    <w:p w14:paraId="48AF7C28">
      <w:pPr>
        <w:autoSpaceDE w:val="0"/>
        <w:autoSpaceDN w:val="0"/>
        <w:adjustRightInd w:val="0"/>
        <w:spacing w:line="360" w:lineRule="auto"/>
        <w:jc w:val="center"/>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lang w:val="zh-CN"/>
        </w:rPr>
        <w:t>签订日期：   年　月　日</w:t>
      </w:r>
    </w:p>
    <w:p w14:paraId="2D27ADE9">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br w:type="page"/>
      </w:r>
      <w:r>
        <w:rPr>
          <w:rFonts w:hint="eastAsia" w:ascii="宋体" w:hAnsi="宋体" w:eastAsia="宋体" w:cs="宋体"/>
          <w:color w:val="auto"/>
          <w:sz w:val="24"/>
          <w:szCs w:val="24"/>
          <w:u w:val="single"/>
        </w:rPr>
        <w:t xml:space="preserve">    (需方名称</w:t>
      </w:r>
      <w:r>
        <w:rPr>
          <w:rFonts w:hint="eastAsia" w:ascii="宋体" w:hAnsi="宋体" w:eastAsia="宋体" w:cs="宋体"/>
          <w:color w:val="auto"/>
          <w:sz w:val="24"/>
          <w:szCs w:val="24"/>
        </w:rPr>
        <w:t>) （以下简称需方）和</w:t>
      </w:r>
      <w:r>
        <w:rPr>
          <w:rFonts w:hint="eastAsia" w:ascii="宋体" w:hAnsi="宋体" w:eastAsia="宋体" w:cs="宋体"/>
          <w:color w:val="auto"/>
          <w:sz w:val="24"/>
          <w:szCs w:val="24"/>
          <w:u w:val="single"/>
        </w:rPr>
        <w:t xml:space="preserve">   (供方名称)    </w:t>
      </w:r>
      <w:r>
        <w:rPr>
          <w:rFonts w:hint="eastAsia" w:ascii="宋体" w:hAnsi="宋体" w:eastAsia="宋体" w:cs="宋体"/>
          <w:color w:val="auto"/>
          <w:sz w:val="24"/>
          <w:szCs w:val="24"/>
        </w:rPr>
        <w:t xml:space="preserve"> （以下简称供方）根据《中华人民共和国民法典》和有关法律法规，遵循平等、自愿、公平和诚实信用原则，同意按照下面的条款和条件订立本政府采购合同，共同信守。</w:t>
      </w:r>
    </w:p>
    <w:p w14:paraId="5322D42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一、政府采购合同文件</w:t>
      </w:r>
    </w:p>
    <w:p w14:paraId="4637EFB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本政府采购合同所附下列文件是构成本政府采购合同不可分割的部分：</w:t>
      </w:r>
    </w:p>
    <w:p w14:paraId="600AA08E">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1.招标文件（招标文件编号）；</w:t>
      </w:r>
    </w:p>
    <w:p w14:paraId="08A5A843">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2.招标文件的更正公告、变更公告；</w:t>
      </w:r>
    </w:p>
    <w:p w14:paraId="6B722BC2">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3.中标供应商提交的投标文件；</w:t>
      </w:r>
    </w:p>
    <w:p w14:paraId="57B1DDBB">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4.政府采购合同条款；</w:t>
      </w:r>
    </w:p>
    <w:p w14:paraId="5B674901">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5.中标通知书；</w:t>
      </w:r>
    </w:p>
    <w:p w14:paraId="5F408570">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6.政府采购合同的其它附件。</w:t>
      </w:r>
    </w:p>
    <w:p w14:paraId="42615C19">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二、政府采购合同范围和条件</w:t>
      </w:r>
    </w:p>
    <w:p w14:paraId="1749606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本政府采购合同的范围和条件与上述政府采购合同文件的规定相一致。</w:t>
      </w:r>
    </w:p>
    <w:p w14:paraId="20855280">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三、政府采购合同标的</w:t>
      </w:r>
    </w:p>
    <w:p w14:paraId="43233AD0">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本政府采购合同的标的为招标文件中所列相关服务及服务所需采购的货物。</w:t>
      </w:r>
    </w:p>
    <w:p w14:paraId="243D5B76">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四、政府采购合同金额</w:t>
      </w:r>
    </w:p>
    <w:p w14:paraId="52A987DD">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根据上述政府采购合同文件要求，政府采购合同的总金额为人民币</w:t>
      </w:r>
      <w:r>
        <w:rPr>
          <w:rFonts w:hint="eastAsia" w:ascii="宋体" w:hAnsi="宋体" w:eastAsia="宋体" w:cs="宋体"/>
          <w:color w:val="auto"/>
          <w:sz w:val="24"/>
          <w:szCs w:val="24"/>
          <w:u w:val="single"/>
        </w:rPr>
        <w:t xml:space="preserve">  （大写）                </w:t>
      </w:r>
      <w:r>
        <w:rPr>
          <w:rFonts w:hint="eastAsia" w:ascii="宋体" w:hAnsi="宋体" w:eastAsia="宋体" w:cs="宋体"/>
          <w:color w:val="auto"/>
          <w:sz w:val="24"/>
          <w:szCs w:val="24"/>
        </w:rPr>
        <w:t xml:space="preserve"> 元。</w:t>
      </w:r>
    </w:p>
    <w:p w14:paraId="6E28AEBF">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五、付款方式及条件</w:t>
      </w:r>
    </w:p>
    <w:p w14:paraId="0256E13E">
      <w:pPr>
        <w:spacing w:line="360" w:lineRule="auto"/>
        <w:jc w:val="left"/>
        <w:rPr>
          <w:rFonts w:hint="default" w:ascii="宋体" w:hAnsi="宋体" w:eastAsia="宋体" w:cs="宋体"/>
          <w:b/>
          <w:color w:val="auto"/>
          <w:sz w:val="24"/>
          <w:szCs w:val="24"/>
          <w:u w:val="single"/>
          <w:lang w:val="en-US" w:eastAsia="zh-CN"/>
        </w:rPr>
      </w:pPr>
      <w:r>
        <w:rPr>
          <w:rFonts w:hint="eastAsia" w:cs="宋体"/>
          <w:b/>
          <w:color w:val="auto"/>
          <w:sz w:val="24"/>
          <w:szCs w:val="24"/>
          <w:u w:val="none"/>
          <w:lang w:val="en-US" w:eastAsia="zh-CN"/>
        </w:rPr>
        <w:t xml:space="preserve">   </w:t>
      </w:r>
      <w:r>
        <w:rPr>
          <w:rFonts w:hint="eastAsia" w:cs="宋体"/>
          <w:b/>
          <w:color w:val="auto"/>
          <w:sz w:val="24"/>
          <w:szCs w:val="24"/>
          <w:u w:val="single"/>
          <w:lang w:val="en-US" w:eastAsia="zh-CN"/>
        </w:rPr>
        <w:t xml:space="preserve">                      </w:t>
      </w:r>
    </w:p>
    <w:p w14:paraId="3D19FEEA">
      <w:pPr>
        <w:spacing w:line="360" w:lineRule="auto"/>
        <w:jc w:val="left"/>
        <w:rPr>
          <w:rFonts w:hint="eastAsia" w:ascii="宋体" w:hAnsi="宋体" w:eastAsia="宋体" w:cs="宋体"/>
          <w:color w:val="auto"/>
          <w:sz w:val="24"/>
          <w:szCs w:val="24"/>
        </w:rPr>
      </w:pPr>
      <w:r>
        <w:rPr>
          <w:rFonts w:hint="eastAsia" w:ascii="宋体" w:hAnsi="宋体" w:eastAsia="宋体" w:cs="宋体"/>
          <w:b/>
          <w:color w:val="auto"/>
          <w:sz w:val="24"/>
          <w:szCs w:val="24"/>
        </w:rPr>
        <w:t>　　六、服务时间和服务地点</w:t>
      </w:r>
    </w:p>
    <w:p w14:paraId="41E031A3">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1.服务时间：</w:t>
      </w:r>
    </w:p>
    <w:p w14:paraId="71DE77F3">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2.服务地点：</w:t>
      </w:r>
    </w:p>
    <w:p w14:paraId="3860BB15">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七、验收要求</w:t>
      </w:r>
    </w:p>
    <w:p w14:paraId="5F310F75">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供方完全履行合同义务后，需方或需方的最终用户按照上述政府采购合同文件列明的标准进行验收，验收不合格的，供方需按照第八条的约定承担相应违约责任。</w:t>
      </w:r>
    </w:p>
    <w:p w14:paraId="3DFB8A1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八、违约责任</w:t>
      </w:r>
    </w:p>
    <w:p w14:paraId="464DE46E">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1.供方逾期提供服务的，每逾期一天向需方支付合同金额%的违约金，逾期日的，需方有权单方面解除本协议。</w:t>
      </w:r>
    </w:p>
    <w:p w14:paraId="3354FD2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2.供方提供的服务不符合约定的，需方有权向供方书面提出整改意见，供方需无条件整改至符合约定，自需方向供方提出书面意见之日起日内，供方仍未整改或整改后服务仍不符合约定的，需方有权单方面解除本协议。</w:t>
      </w:r>
    </w:p>
    <w:p w14:paraId="2F963BA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3.需方逾期付款的，每逾期一天向供方支付逾期金额%的违约金，逾期日的，供方有权单方面解除本协议。</w:t>
      </w:r>
    </w:p>
    <w:p w14:paraId="0816AFF9">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九、争议解决</w:t>
      </w:r>
    </w:p>
    <w:p w14:paraId="2C6636D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双方因履行本协议而产生的争议，应友好协商解决，协商不成的，任何一方可向需方所在地的人民法院提起诉讼。</w:t>
      </w:r>
    </w:p>
    <w:p w14:paraId="6E8C8701">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十、合同生效</w:t>
      </w:r>
    </w:p>
    <w:p w14:paraId="54702A88">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本政府采购合同经双方授权代表签字盖章后生效。</w:t>
      </w:r>
    </w:p>
    <w:p w14:paraId="1C890410">
      <w:pPr>
        <w:rPr>
          <w:rFonts w:hint="eastAsia"/>
          <w:color w:val="auto"/>
          <w:lang w:val="zh-CN"/>
        </w:rPr>
      </w:pPr>
    </w:p>
    <w:p w14:paraId="6911F15D">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bookmarkStart w:id="343" w:name="_Toc31184"/>
      <w:bookmarkStart w:id="344" w:name="_Toc155185919"/>
    </w:p>
    <w:p w14:paraId="55815006">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36B30DEB">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45351855">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0DA16AFF">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668C7EF2">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450FFFD9">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0F376A28">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27165E20">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68AAD81E">
      <w:pPr>
        <w:keepNext w:val="0"/>
        <w:keepLines w:val="0"/>
        <w:widowControl w:val="0"/>
        <w:suppressLineNumbers w:val="0"/>
        <w:autoSpaceDE w:val="0"/>
        <w:autoSpaceDN/>
        <w:spacing w:before="0" w:beforeAutospacing="0" w:after="0" w:afterAutospacing="0" w:line="600" w:lineRule="exact"/>
        <w:ind w:left="0" w:right="0"/>
        <w:jc w:val="center"/>
        <w:rPr>
          <w:rFonts w:hint="eastAsia" w:ascii="方正仿宋_GB2312" w:hAnsi="方正仿宋_GB2312" w:eastAsia="方正仿宋_GB2312" w:cs="方正仿宋_GB2312"/>
          <w:b/>
          <w:bCs w:val="0"/>
          <w:color w:val="auto"/>
          <w:kern w:val="2"/>
          <w:sz w:val="28"/>
          <w:szCs w:val="28"/>
          <w:lang w:val="en-US" w:eastAsia="zh-CN" w:bidi="ar"/>
        </w:rPr>
      </w:pPr>
    </w:p>
    <w:p w14:paraId="29ADF04C">
      <w:pPr>
        <w:pStyle w:val="39"/>
        <w:rPr>
          <w:rFonts w:hint="eastAsia" w:ascii="方正仿宋_GB2312" w:hAnsi="方正仿宋_GB2312" w:eastAsia="方正仿宋_GB2312" w:cs="方正仿宋_GB2312"/>
          <w:b/>
          <w:bCs w:val="0"/>
          <w:color w:val="auto"/>
          <w:kern w:val="2"/>
          <w:sz w:val="28"/>
          <w:szCs w:val="28"/>
          <w:lang w:val="en-US" w:eastAsia="zh-CN" w:bidi="ar"/>
        </w:rPr>
      </w:pPr>
    </w:p>
    <w:p w14:paraId="46DB4198">
      <w:pPr>
        <w:pStyle w:val="39"/>
        <w:rPr>
          <w:rFonts w:hint="eastAsia" w:ascii="方正仿宋_GB2312" w:hAnsi="方正仿宋_GB2312" w:eastAsia="方正仿宋_GB2312" w:cs="方正仿宋_GB2312"/>
          <w:b/>
          <w:bCs w:val="0"/>
          <w:color w:val="auto"/>
          <w:kern w:val="2"/>
          <w:sz w:val="28"/>
          <w:szCs w:val="28"/>
          <w:lang w:val="en-US" w:eastAsia="zh-CN" w:bidi="ar"/>
        </w:rPr>
      </w:pPr>
    </w:p>
    <w:p w14:paraId="2452FEC0">
      <w:pPr>
        <w:keepNext w:val="0"/>
        <w:keepLines w:val="0"/>
        <w:widowControl w:val="0"/>
        <w:suppressLineNumbers w:val="0"/>
        <w:autoSpaceDE w:val="0"/>
        <w:autoSpaceDN/>
        <w:spacing w:before="0" w:beforeAutospacing="0" w:after="0" w:afterAutospacing="0" w:line="600" w:lineRule="exact"/>
        <w:ind w:left="0" w:right="0"/>
        <w:jc w:val="both"/>
        <w:rPr>
          <w:rFonts w:hint="eastAsia" w:ascii="方正仿宋_GB2312" w:hAnsi="方正仿宋_GB2312" w:eastAsia="方正仿宋_GB2312" w:cs="方正仿宋_GB2312"/>
          <w:b/>
          <w:bCs w:val="0"/>
          <w:color w:val="auto"/>
          <w:kern w:val="2"/>
          <w:sz w:val="28"/>
          <w:szCs w:val="28"/>
        </w:rPr>
      </w:pPr>
      <w:r>
        <w:rPr>
          <w:rFonts w:hint="eastAsia" w:ascii="方正仿宋_GB2312" w:hAnsi="方正仿宋_GB2312" w:eastAsia="方正仿宋_GB2312" w:cs="方正仿宋_GB2312"/>
          <w:b/>
          <w:bCs w:val="0"/>
          <w:color w:val="auto"/>
          <w:kern w:val="2"/>
          <w:sz w:val="28"/>
          <w:szCs w:val="28"/>
          <w:lang w:val="en-US" w:eastAsia="zh-CN" w:bidi="ar"/>
        </w:rPr>
        <w:t xml:space="preserve"> </w:t>
      </w:r>
    </w:p>
    <w:p w14:paraId="47E9CC6E">
      <w:pPr>
        <w:pStyle w:val="2"/>
        <w:numPr>
          <w:ilvl w:val="0"/>
          <w:numId w:val="0"/>
        </w:numPr>
        <w:ind w:leftChars="0"/>
        <w:rPr>
          <w:rFonts w:hint="eastAsia"/>
          <w:color w:val="auto"/>
        </w:rPr>
      </w:pPr>
      <w:r>
        <w:rPr>
          <w:rFonts w:hint="eastAsia"/>
          <w:color w:val="auto"/>
          <w:lang w:val="en-US" w:eastAsia="zh-CN"/>
        </w:rPr>
        <w:t xml:space="preserve">第七章  </w:t>
      </w:r>
      <w:r>
        <w:rPr>
          <w:color w:val="auto"/>
        </w:rPr>
        <w:t>投标文件的格式</w:t>
      </w:r>
      <w:bookmarkEnd w:id="343"/>
      <w:bookmarkEnd w:id="344"/>
    </w:p>
    <w:p w14:paraId="354CECB9">
      <w:pPr>
        <w:rPr>
          <w:rFonts w:hint="eastAsia"/>
          <w:color w:val="auto"/>
        </w:rPr>
      </w:pPr>
      <w:r>
        <w:rPr>
          <w:color w:val="auto"/>
        </w:rPr>
        <w:br w:type="page"/>
      </w:r>
    </w:p>
    <w:p w14:paraId="76E21EF6">
      <w:pPr>
        <w:pStyle w:val="3"/>
        <w:numPr>
          <w:ilvl w:val="0"/>
          <w:numId w:val="23"/>
        </w:numPr>
        <w:rPr>
          <w:rFonts w:hint="eastAsia"/>
          <w:color w:val="auto"/>
          <w:lang w:val="zh-CN"/>
        </w:rPr>
      </w:pPr>
      <w:bookmarkStart w:id="345" w:name="_Toc27867"/>
      <w:bookmarkStart w:id="346" w:name="_Toc155185920"/>
      <w:r>
        <w:rPr>
          <w:rFonts w:hint="eastAsia"/>
          <w:color w:val="auto"/>
          <w:lang w:val="zh-CN"/>
        </w:rPr>
        <w:t>投标函及报价文件</w:t>
      </w:r>
      <w:bookmarkEnd w:id="345"/>
      <w:bookmarkEnd w:id="346"/>
    </w:p>
    <w:p w14:paraId="529D1A8B">
      <w:pPr>
        <w:ind w:firstLine="480" w:firstLineChars="200"/>
        <w:rPr>
          <w:rFonts w:hint="eastAsia" w:cs="仿宋_GB2312"/>
          <w:color w:val="auto"/>
          <w:szCs w:val="24"/>
          <w:lang w:val="zh-CN"/>
        </w:rPr>
      </w:pPr>
      <w:r>
        <w:rPr>
          <w:rFonts w:hint="eastAsia" w:cs="仿宋_GB2312"/>
          <w:color w:val="auto"/>
          <w:szCs w:val="24"/>
          <w:lang w:val="zh-CN"/>
        </w:rPr>
        <w:t>封面：</w:t>
      </w:r>
    </w:p>
    <w:p w14:paraId="12190D8E">
      <w:pPr>
        <w:autoSpaceDE w:val="0"/>
        <w:autoSpaceDN w:val="0"/>
        <w:adjustRightInd w:val="0"/>
        <w:rPr>
          <w:rFonts w:hint="eastAsia"/>
          <w:color w:val="auto"/>
          <w:sz w:val="21"/>
          <w:szCs w:val="24"/>
        </w:rPr>
      </w:pPr>
    </w:p>
    <w:p w14:paraId="26F9A4A4">
      <w:pPr>
        <w:autoSpaceDE w:val="0"/>
        <w:autoSpaceDN w:val="0"/>
        <w:adjustRightInd w:val="0"/>
        <w:rPr>
          <w:rFonts w:hint="eastAsia"/>
          <w:color w:val="auto"/>
          <w:sz w:val="21"/>
          <w:szCs w:val="24"/>
        </w:rPr>
      </w:pPr>
    </w:p>
    <w:p w14:paraId="6AABC44B">
      <w:pPr>
        <w:autoSpaceDE w:val="0"/>
        <w:autoSpaceDN w:val="0"/>
        <w:adjustRightInd w:val="0"/>
        <w:jc w:val="center"/>
        <w:rPr>
          <w:rFonts w:hint="eastAsia"/>
          <w:b/>
          <w:color w:val="auto"/>
          <w:sz w:val="84"/>
          <w:szCs w:val="84"/>
        </w:rPr>
      </w:pPr>
      <w:r>
        <w:rPr>
          <w:rFonts w:hint="eastAsia"/>
          <w:b/>
          <w:color w:val="auto"/>
          <w:sz w:val="84"/>
          <w:szCs w:val="84"/>
        </w:rPr>
        <w:t>投 标 文 件</w:t>
      </w:r>
    </w:p>
    <w:p w14:paraId="2C625DEF">
      <w:pPr>
        <w:autoSpaceDE w:val="0"/>
        <w:autoSpaceDN w:val="0"/>
        <w:adjustRightInd w:val="0"/>
        <w:jc w:val="center"/>
        <w:rPr>
          <w:rFonts w:hint="eastAsia"/>
          <w:b/>
          <w:color w:val="auto"/>
          <w:sz w:val="56"/>
          <w:szCs w:val="56"/>
        </w:rPr>
      </w:pPr>
      <w:r>
        <w:rPr>
          <w:rFonts w:hint="eastAsia"/>
          <w:b/>
          <w:color w:val="auto"/>
          <w:sz w:val="56"/>
          <w:szCs w:val="56"/>
        </w:rPr>
        <w:t>投标函及报价文件</w:t>
      </w:r>
    </w:p>
    <w:p w14:paraId="1E7541A0">
      <w:pPr>
        <w:autoSpaceDE w:val="0"/>
        <w:autoSpaceDN w:val="0"/>
        <w:adjustRightInd w:val="0"/>
        <w:rPr>
          <w:rFonts w:hint="eastAsia"/>
          <w:b/>
          <w:bCs/>
          <w:color w:val="auto"/>
          <w:sz w:val="22"/>
        </w:rPr>
      </w:pPr>
    </w:p>
    <w:p w14:paraId="3160E70A">
      <w:pPr>
        <w:autoSpaceDE w:val="0"/>
        <w:autoSpaceDN w:val="0"/>
        <w:adjustRightInd w:val="0"/>
        <w:rPr>
          <w:rFonts w:hint="eastAsia"/>
          <w:color w:val="auto"/>
          <w:sz w:val="21"/>
          <w:szCs w:val="21"/>
        </w:rPr>
      </w:pPr>
    </w:p>
    <w:p w14:paraId="4B5AE1E6">
      <w:pPr>
        <w:autoSpaceDE w:val="0"/>
        <w:autoSpaceDN w:val="0"/>
        <w:adjustRightInd w:val="0"/>
        <w:rPr>
          <w:rFonts w:hint="eastAsia"/>
          <w:color w:val="auto"/>
          <w:sz w:val="21"/>
          <w:szCs w:val="21"/>
        </w:rPr>
      </w:pPr>
    </w:p>
    <w:p w14:paraId="0D792F4A">
      <w:pPr>
        <w:pStyle w:val="16"/>
        <w:ind w:left="480" w:firstLine="480"/>
        <w:rPr>
          <w:rFonts w:hint="eastAsia"/>
          <w:color w:val="auto"/>
        </w:rPr>
      </w:pPr>
    </w:p>
    <w:p w14:paraId="00B58399">
      <w:pPr>
        <w:autoSpaceDE w:val="0"/>
        <w:autoSpaceDN w:val="0"/>
        <w:adjustRightInd w:val="0"/>
        <w:rPr>
          <w:rFonts w:hint="eastAsia"/>
          <w:color w:val="auto"/>
          <w:sz w:val="21"/>
          <w:szCs w:val="21"/>
        </w:rPr>
      </w:pPr>
    </w:p>
    <w:p w14:paraId="4D049559">
      <w:pPr>
        <w:ind w:left="420" w:leftChars="175"/>
        <w:rPr>
          <w:rFonts w:hint="eastAsia" w:ascii="黑体" w:hAnsi="黑体" w:eastAsia="黑体"/>
          <w:color w:val="auto"/>
          <w:sz w:val="32"/>
          <w:szCs w:val="32"/>
        </w:rPr>
      </w:pPr>
      <w:r>
        <w:rPr>
          <w:rFonts w:hint="eastAsia" w:ascii="黑体" w:hAnsi="黑体" w:eastAsia="黑体"/>
          <w:color w:val="auto"/>
          <w:sz w:val="32"/>
          <w:szCs w:val="32"/>
        </w:rPr>
        <w:t>采购计划备案号：</w:t>
      </w:r>
      <w:r>
        <w:rPr>
          <w:rFonts w:ascii="黑体" w:hAnsi="黑体" w:eastAsia="黑体"/>
          <w:color w:val="auto"/>
          <w:sz w:val="32"/>
          <w:szCs w:val="32"/>
          <w:u w:val="single"/>
        </w:rPr>
        <w:t xml:space="preserve">                                  </w:t>
      </w:r>
    </w:p>
    <w:p w14:paraId="1E4FA2DF">
      <w:pPr>
        <w:ind w:left="420" w:leftChars="175"/>
        <w:rPr>
          <w:rFonts w:hint="eastAsia" w:ascii="黑体" w:hAnsi="黑体" w:eastAsia="黑体"/>
          <w:color w:val="auto"/>
          <w:sz w:val="32"/>
          <w:szCs w:val="32"/>
        </w:rPr>
      </w:pPr>
      <w:r>
        <w:rPr>
          <w:rFonts w:hint="eastAsia" w:ascii="黑体" w:hAnsi="黑体" w:eastAsia="黑体"/>
          <w:color w:val="auto"/>
          <w:sz w:val="32"/>
          <w:szCs w:val="32"/>
        </w:rPr>
        <w:t>项目编号：</w:t>
      </w:r>
      <w:r>
        <w:rPr>
          <w:rFonts w:ascii="黑体" w:hAnsi="黑体" w:eastAsia="黑体"/>
          <w:color w:val="auto"/>
          <w:sz w:val="32"/>
          <w:szCs w:val="32"/>
        </w:rPr>
        <w:tab/>
      </w:r>
      <w:r>
        <w:rPr>
          <w:rFonts w:ascii="黑体" w:hAnsi="黑体" w:eastAsia="黑体"/>
          <w:color w:val="auto"/>
          <w:sz w:val="32"/>
          <w:szCs w:val="32"/>
          <w:u w:val="single"/>
        </w:rPr>
        <w:t xml:space="preserve">                                       </w:t>
      </w:r>
    </w:p>
    <w:p w14:paraId="20601601">
      <w:pPr>
        <w:ind w:left="420" w:leftChars="175"/>
        <w:rPr>
          <w:rFonts w:hint="eastAsia" w:ascii="黑体" w:hAnsi="黑体" w:eastAsia="黑体"/>
          <w:color w:val="auto"/>
          <w:sz w:val="32"/>
          <w:szCs w:val="32"/>
        </w:rPr>
      </w:pPr>
      <w:r>
        <w:rPr>
          <w:rFonts w:hint="eastAsia" w:eastAsia="黑体"/>
          <w:color w:val="auto"/>
          <w:sz w:val="32"/>
          <w:szCs w:val="32"/>
        </w:rPr>
        <w:t>投标供应商</w:t>
      </w:r>
      <w:r>
        <w:rPr>
          <w:rFonts w:hint="eastAsia" w:ascii="黑体" w:hAnsi="黑体" w:eastAsia="黑体"/>
          <w:color w:val="auto"/>
          <w:sz w:val="32"/>
          <w:szCs w:val="32"/>
        </w:rPr>
        <w:t>：</w:t>
      </w:r>
      <w:r>
        <w:rPr>
          <w:rFonts w:ascii="黑体" w:hAnsi="黑体" w:eastAsia="黑体"/>
          <w:color w:val="auto"/>
          <w:sz w:val="32"/>
          <w:szCs w:val="32"/>
          <w:u w:val="single"/>
        </w:rPr>
        <w:t xml:space="preserve">                                          </w:t>
      </w:r>
    </w:p>
    <w:p w14:paraId="5624ED6A">
      <w:pPr>
        <w:ind w:left="840" w:firstLine="420"/>
        <w:rPr>
          <w:rFonts w:hint="eastAsia"/>
          <w:b/>
          <w:bCs/>
          <w:color w:val="auto"/>
          <w:sz w:val="28"/>
          <w:szCs w:val="28"/>
        </w:rPr>
      </w:pPr>
    </w:p>
    <w:p w14:paraId="525AF4C4">
      <w:pPr>
        <w:ind w:left="840" w:firstLine="420"/>
        <w:rPr>
          <w:rFonts w:hint="eastAsia"/>
          <w:b/>
          <w:bCs/>
          <w:color w:val="auto"/>
          <w:sz w:val="28"/>
          <w:szCs w:val="28"/>
        </w:rPr>
      </w:pPr>
    </w:p>
    <w:p w14:paraId="2B0A50B9">
      <w:pPr>
        <w:ind w:left="840" w:firstLine="420"/>
        <w:rPr>
          <w:rFonts w:hint="eastAsia"/>
          <w:b/>
          <w:bCs/>
          <w:color w:val="auto"/>
          <w:sz w:val="28"/>
          <w:szCs w:val="28"/>
        </w:rPr>
      </w:pPr>
    </w:p>
    <w:p w14:paraId="28D158AD">
      <w:pPr>
        <w:ind w:left="840" w:firstLine="420"/>
        <w:rPr>
          <w:rFonts w:hint="eastAsia"/>
          <w:b/>
          <w:bCs/>
          <w:color w:val="auto"/>
          <w:sz w:val="28"/>
          <w:szCs w:val="28"/>
        </w:rPr>
      </w:pPr>
    </w:p>
    <w:p w14:paraId="54D1E9E6">
      <w:pPr>
        <w:jc w:val="center"/>
        <w:rPr>
          <w:rFonts w:hint="eastAsia" w:ascii="黑体" w:hAnsi="黑体" w:eastAsia="黑体"/>
          <w:color w:val="auto"/>
          <w:sz w:val="32"/>
          <w:szCs w:val="32"/>
        </w:rPr>
      </w:pPr>
      <w:r>
        <w:rPr>
          <w:rFonts w:hint="eastAsia" w:ascii="黑体" w:hAnsi="黑体" w:eastAsia="黑体"/>
          <w:color w:val="auto"/>
          <w:sz w:val="32"/>
          <w:szCs w:val="32"/>
        </w:rPr>
        <w:t xml:space="preserve">年 </w:t>
      </w:r>
      <w:r>
        <w:rPr>
          <w:rFonts w:ascii="黑体" w:hAnsi="黑体" w:eastAsia="黑体"/>
          <w:color w:val="auto"/>
          <w:sz w:val="32"/>
          <w:szCs w:val="32"/>
        </w:rPr>
        <w:t xml:space="preserve">  </w:t>
      </w:r>
      <w:r>
        <w:rPr>
          <w:rFonts w:hint="eastAsia" w:ascii="黑体" w:hAnsi="黑体" w:eastAsia="黑体"/>
          <w:color w:val="auto"/>
          <w:sz w:val="32"/>
          <w:szCs w:val="32"/>
        </w:rPr>
        <w:t xml:space="preserve">月 </w:t>
      </w:r>
      <w:r>
        <w:rPr>
          <w:rFonts w:ascii="黑体" w:hAnsi="黑体" w:eastAsia="黑体"/>
          <w:color w:val="auto"/>
          <w:sz w:val="32"/>
          <w:szCs w:val="32"/>
        </w:rPr>
        <w:t xml:space="preserve">   </w:t>
      </w:r>
      <w:r>
        <w:rPr>
          <w:rFonts w:hint="eastAsia" w:ascii="黑体" w:hAnsi="黑体" w:eastAsia="黑体"/>
          <w:color w:val="auto"/>
          <w:sz w:val="32"/>
          <w:szCs w:val="32"/>
        </w:rPr>
        <w:t>日</w:t>
      </w:r>
    </w:p>
    <w:p w14:paraId="12EDB60A">
      <w:pPr>
        <w:rPr>
          <w:rFonts w:hint="eastAsia"/>
          <w:color w:val="auto"/>
          <w:lang w:val="zh-CN"/>
        </w:rPr>
      </w:pPr>
      <w:r>
        <w:rPr>
          <w:color w:val="auto"/>
          <w:lang w:val="zh-CN"/>
        </w:rPr>
        <w:br w:type="page"/>
      </w:r>
    </w:p>
    <w:p w14:paraId="7ACB8A7D">
      <w:pPr>
        <w:pStyle w:val="4"/>
        <w:numPr>
          <w:ilvl w:val="0"/>
          <w:numId w:val="24"/>
        </w:numPr>
        <w:jc w:val="center"/>
        <w:rPr>
          <w:rFonts w:hint="eastAsia"/>
          <w:color w:val="auto"/>
        </w:rPr>
      </w:pPr>
      <w:bookmarkStart w:id="347" w:name="_Toc140132831"/>
      <w:bookmarkStart w:id="348" w:name="_Toc109899489"/>
      <w:bookmarkStart w:id="349" w:name="_Toc17622"/>
      <w:bookmarkStart w:id="350" w:name="_Toc109900327"/>
      <w:bookmarkStart w:id="351" w:name="_Toc155185921"/>
      <w:bookmarkStart w:id="352" w:name="_Toc3577"/>
      <w:bookmarkStart w:id="353" w:name="_Toc25402"/>
      <w:bookmarkStart w:id="354" w:name="_Toc109899908"/>
      <w:r>
        <w:rPr>
          <w:rFonts w:hint="eastAsia"/>
          <w:color w:val="auto"/>
        </w:rPr>
        <w:t>投标函</w:t>
      </w:r>
      <w:bookmarkEnd w:id="347"/>
      <w:bookmarkEnd w:id="348"/>
      <w:bookmarkEnd w:id="349"/>
      <w:bookmarkEnd w:id="350"/>
      <w:bookmarkEnd w:id="351"/>
      <w:bookmarkEnd w:id="352"/>
      <w:bookmarkEnd w:id="353"/>
      <w:bookmarkEnd w:id="354"/>
    </w:p>
    <w:p w14:paraId="690E4BAD">
      <w:pPr>
        <w:rPr>
          <w:rFonts w:hint="eastAsia"/>
          <w:color w:val="auto"/>
        </w:rPr>
      </w:pPr>
      <w:r>
        <w:rPr>
          <w:rFonts w:hint="eastAsia"/>
          <w:color w:val="auto"/>
        </w:rPr>
        <w:t>致：（采购人和采购代理机构）</w:t>
      </w:r>
    </w:p>
    <w:p w14:paraId="122CBE5D">
      <w:pPr>
        <w:ind w:firstLine="480" w:firstLineChars="200"/>
        <w:rPr>
          <w:rFonts w:hint="eastAsia" w:cs="仿宋_GB2312"/>
          <w:b/>
          <w:bCs/>
          <w:color w:val="auto"/>
          <w:szCs w:val="24"/>
        </w:rPr>
      </w:pPr>
      <w:r>
        <w:rPr>
          <w:rFonts w:hint="eastAsia" w:cs="仿宋_GB2312"/>
          <w:color w:val="auto"/>
          <w:szCs w:val="24"/>
        </w:rPr>
        <w:t>根据贵方</w:t>
      </w:r>
      <w:r>
        <w:rPr>
          <w:rFonts w:hint="eastAsia" w:cs="仿宋_GB2312"/>
          <w:color w:val="auto"/>
          <w:szCs w:val="24"/>
          <w:u w:val="single"/>
        </w:rPr>
        <w:t>（项目名称）（项目编号）</w:t>
      </w:r>
      <w:r>
        <w:rPr>
          <w:rFonts w:hint="eastAsia" w:cs="仿宋_GB2312"/>
          <w:color w:val="auto"/>
          <w:szCs w:val="24"/>
        </w:rPr>
        <w:t>招标的投标邀请，签字代表</w:t>
      </w:r>
      <w:r>
        <w:rPr>
          <w:rFonts w:hint="eastAsia" w:cs="仿宋_GB2312"/>
          <w:color w:val="auto"/>
          <w:szCs w:val="24"/>
          <w:u w:val="single"/>
        </w:rPr>
        <w:t>（姓名、职务）</w:t>
      </w:r>
      <w:r>
        <w:rPr>
          <w:rFonts w:hint="eastAsia" w:cs="仿宋_GB2312"/>
          <w:color w:val="auto"/>
          <w:szCs w:val="24"/>
        </w:rPr>
        <w:t>经正式授权并代表投标供应商</w:t>
      </w:r>
      <w:r>
        <w:rPr>
          <w:rFonts w:hint="eastAsia" w:cs="仿宋_GB2312"/>
          <w:color w:val="auto"/>
          <w:szCs w:val="24"/>
          <w:u w:val="single"/>
        </w:rPr>
        <w:t>（投标供应商名称、地址）</w:t>
      </w:r>
      <w:r>
        <w:rPr>
          <w:rFonts w:hint="eastAsia" w:cs="仿宋_GB2312"/>
          <w:color w:val="auto"/>
          <w:szCs w:val="24"/>
        </w:rPr>
        <w:t>提交下述文件</w:t>
      </w:r>
      <w:r>
        <w:rPr>
          <w:rFonts w:hint="eastAsia" w:cs="仿宋_GB2312"/>
          <w:b/>
          <w:bCs/>
          <w:color w:val="auto"/>
          <w:szCs w:val="24"/>
        </w:rPr>
        <w:t>：</w:t>
      </w:r>
    </w:p>
    <w:p w14:paraId="6ACE3310">
      <w:pPr>
        <w:numPr>
          <w:ilvl w:val="0"/>
          <w:numId w:val="25"/>
        </w:numPr>
        <w:spacing w:line="324" w:lineRule="auto"/>
        <w:jc w:val="both"/>
        <w:rPr>
          <w:rFonts w:hint="eastAsia" w:cs="Arial"/>
          <w:color w:val="auto"/>
          <w:szCs w:val="24"/>
        </w:rPr>
      </w:pPr>
      <w:r>
        <w:rPr>
          <w:rFonts w:hint="eastAsia" w:cs="Arial"/>
          <w:color w:val="auto"/>
          <w:szCs w:val="24"/>
        </w:rPr>
        <w:t>投标报价</w:t>
      </w:r>
      <w:r>
        <w:rPr>
          <w:rFonts w:cs="Arial"/>
          <w:color w:val="auto"/>
          <w:szCs w:val="24"/>
        </w:rPr>
        <w:t>文件；</w:t>
      </w:r>
    </w:p>
    <w:p w14:paraId="003EB3BA">
      <w:pPr>
        <w:numPr>
          <w:ilvl w:val="0"/>
          <w:numId w:val="25"/>
        </w:numPr>
        <w:spacing w:line="324" w:lineRule="auto"/>
        <w:jc w:val="both"/>
        <w:rPr>
          <w:rFonts w:hint="eastAsia" w:cs="Arial"/>
          <w:color w:val="auto"/>
          <w:szCs w:val="24"/>
        </w:rPr>
      </w:pPr>
      <w:r>
        <w:rPr>
          <w:rFonts w:hint="eastAsia" w:cs="Arial"/>
          <w:color w:val="auto"/>
          <w:szCs w:val="24"/>
        </w:rPr>
        <w:t>资格性响应文件；</w:t>
      </w:r>
    </w:p>
    <w:p w14:paraId="56B3B147">
      <w:pPr>
        <w:numPr>
          <w:ilvl w:val="0"/>
          <w:numId w:val="25"/>
        </w:numPr>
        <w:spacing w:line="324" w:lineRule="auto"/>
        <w:jc w:val="both"/>
        <w:rPr>
          <w:rFonts w:hint="eastAsia" w:cs="Arial"/>
          <w:color w:val="auto"/>
          <w:szCs w:val="24"/>
        </w:rPr>
      </w:pPr>
      <w:r>
        <w:rPr>
          <w:rFonts w:hint="eastAsia" w:cs="Arial"/>
          <w:color w:val="auto"/>
          <w:szCs w:val="24"/>
        </w:rPr>
        <w:t>其他响应文件</w:t>
      </w:r>
      <w:r>
        <w:rPr>
          <w:rFonts w:cs="Arial"/>
          <w:color w:val="auto"/>
          <w:szCs w:val="24"/>
        </w:rPr>
        <w:t>。</w:t>
      </w:r>
    </w:p>
    <w:p w14:paraId="258B4BE4">
      <w:pPr>
        <w:spacing w:line="324" w:lineRule="auto"/>
        <w:ind w:left="360"/>
        <w:rPr>
          <w:rFonts w:hint="eastAsia" w:cs="Arial"/>
          <w:color w:val="auto"/>
          <w:szCs w:val="24"/>
        </w:rPr>
      </w:pPr>
      <w:r>
        <w:rPr>
          <w:rFonts w:cs="Arial"/>
          <w:color w:val="auto"/>
          <w:szCs w:val="24"/>
        </w:rPr>
        <w:t>根据此函，签字代表宣布同意如下：</w:t>
      </w:r>
    </w:p>
    <w:p w14:paraId="1E492B4C">
      <w:pPr>
        <w:numPr>
          <w:ilvl w:val="0"/>
          <w:numId w:val="26"/>
        </w:numPr>
        <w:spacing w:line="324" w:lineRule="auto"/>
        <w:jc w:val="both"/>
        <w:rPr>
          <w:rFonts w:hint="eastAsia" w:cs="Arial"/>
          <w:color w:val="auto"/>
          <w:szCs w:val="24"/>
        </w:rPr>
      </w:pPr>
      <w:r>
        <w:rPr>
          <w:rFonts w:cs="Arial"/>
          <w:color w:val="auto"/>
          <w:szCs w:val="24"/>
        </w:rPr>
        <w:t>所附投标价格表中规定的应提交和交付的服务和</w:t>
      </w:r>
      <w:r>
        <w:rPr>
          <w:rFonts w:hint="eastAsia" w:cs="Arial"/>
          <w:color w:val="auto"/>
          <w:szCs w:val="24"/>
        </w:rPr>
        <w:t>货物（如有）</w:t>
      </w:r>
      <w:r>
        <w:rPr>
          <w:rFonts w:cs="Arial"/>
          <w:color w:val="auto"/>
          <w:szCs w:val="24"/>
        </w:rPr>
        <w:t>的</w:t>
      </w:r>
      <w:r>
        <w:rPr>
          <w:rFonts w:hint="eastAsia" w:cs="Arial"/>
          <w:color w:val="auto"/>
          <w:szCs w:val="24"/>
        </w:rPr>
        <w:t>投标报价</w:t>
      </w:r>
      <w:r>
        <w:rPr>
          <w:rFonts w:cs="Arial"/>
          <w:color w:val="auto"/>
          <w:szCs w:val="24"/>
        </w:rPr>
        <w:t>为</w:t>
      </w:r>
      <w:r>
        <w:rPr>
          <w:rFonts w:hint="eastAsia" w:cs="Arial"/>
          <w:color w:val="auto"/>
          <w:szCs w:val="24"/>
        </w:rPr>
        <w:t xml:space="preserve"> </w:t>
      </w:r>
      <w:r>
        <w:rPr>
          <w:rFonts w:hint="eastAsia" w:cs="Arial"/>
          <w:color w:val="auto"/>
          <w:szCs w:val="24"/>
          <w:u w:val="single"/>
        </w:rPr>
        <w:t xml:space="preserve">                  </w:t>
      </w:r>
      <w:r>
        <w:rPr>
          <w:rFonts w:cs="Arial"/>
          <w:color w:val="auto"/>
          <w:szCs w:val="24"/>
        </w:rPr>
        <w:t>。</w:t>
      </w:r>
    </w:p>
    <w:p w14:paraId="1C57980C">
      <w:pPr>
        <w:numPr>
          <w:ilvl w:val="0"/>
          <w:numId w:val="26"/>
        </w:numPr>
        <w:spacing w:line="324" w:lineRule="auto"/>
        <w:jc w:val="both"/>
        <w:rPr>
          <w:rFonts w:hint="eastAsia" w:cs="Arial"/>
          <w:color w:val="auto"/>
          <w:szCs w:val="24"/>
        </w:rPr>
      </w:pPr>
      <w:r>
        <w:rPr>
          <w:rFonts w:hint="eastAsia" w:cs="Arial"/>
          <w:color w:val="auto"/>
          <w:szCs w:val="24"/>
        </w:rPr>
        <w:t>我方</w:t>
      </w:r>
      <w:r>
        <w:rPr>
          <w:rFonts w:cs="Arial"/>
          <w:color w:val="auto"/>
          <w:szCs w:val="24"/>
        </w:rPr>
        <w:t>将按招标文件的规定履行合同责任和义务。</w:t>
      </w:r>
    </w:p>
    <w:p w14:paraId="6207645D">
      <w:pPr>
        <w:numPr>
          <w:ilvl w:val="0"/>
          <w:numId w:val="26"/>
        </w:numPr>
        <w:spacing w:line="324" w:lineRule="auto"/>
        <w:jc w:val="both"/>
        <w:rPr>
          <w:rFonts w:hint="eastAsia" w:cs="Arial"/>
          <w:color w:val="auto"/>
          <w:szCs w:val="24"/>
        </w:rPr>
      </w:pPr>
      <w:r>
        <w:rPr>
          <w:rFonts w:hint="eastAsia" w:cs="Arial"/>
          <w:color w:val="auto"/>
          <w:szCs w:val="24"/>
        </w:rPr>
        <w:t>我方</w:t>
      </w:r>
      <w:r>
        <w:rPr>
          <w:rFonts w:cs="Arial"/>
          <w:color w:val="auto"/>
          <w:szCs w:val="24"/>
        </w:rPr>
        <w:t>已详细审查全部招标文件，包括第</w:t>
      </w:r>
      <w:r>
        <w:rPr>
          <w:rFonts w:cs="Arial"/>
          <w:i/>
          <w:color w:val="auto"/>
          <w:szCs w:val="24"/>
          <w:u w:val="single"/>
        </w:rPr>
        <w:t>（编号、补遗书）（如果有的话）</w:t>
      </w:r>
      <w:r>
        <w:rPr>
          <w:rFonts w:cs="Arial"/>
          <w:color w:val="auto"/>
          <w:szCs w:val="24"/>
        </w:rPr>
        <w:t>。我</w:t>
      </w:r>
      <w:r>
        <w:rPr>
          <w:rFonts w:hint="eastAsia" w:cs="Arial"/>
          <w:color w:val="auto"/>
          <w:szCs w:val="24"/>
        </w:rPr>
        <w:t>方</w:t>
      </w:r>
      <w:r>
        <w:rPr>
          <w:rFonts w:cs="Arial"/>
          <w:color w:val="auto"/>
          <w:szCs w:val="24"/>
        </w:rPr>
        <w:t>完全理解并同意放弃对这方面有不明及误解的权力。</w:t>
      </w:r>
    </w:p>
    <w:p w14:paraId="78D6022F">
      <w:pPr>
        <w:numPr>
          <w:ilvl w:val="0"/>
          <w:numId w:val="26"/>
        </w:numPr>
        <w:spacing w:line="324" w:lineRule="auto"/>
        <w:jc w:val="both"/>
        <w:rPr>
          <w:rFonts w:hint="eastAsia" w:cs="Arial"/>
          <w:color w:val="auto"/>
          <w:szCs w:val="24"/>
        </w:rPr>
      </w:pPr>
      <w:r>
        <w:rPr>
          <w:rFonts w:hint="eastAsia" w:cs="Arial"/>
          <w:color w:val="auto"/>
          <w:szCs w:val="24"/>
        </w:rPr>
        <w:t>投标/响应有效期为自提交投标/响应文件的截止之日起</w:t>
      </w:r>
      <w:r>
        <w:rPr>
          <w:rFonts w:hint="eastAsia" w:cs="Arial"/>
          <w:i/>
          <w:color w:val="auto"/>
          <w:szCs w:val="24"/>
          <w:u w:val="single"/>
        </w:rPr>
        <w:t xml:space="preserve"> （由投标供应商填写）</w:t>
      </w:r>
      <w:r>
        <w:rPr>
          <w:rFonts w:cs="Arial"/>
          <w:color w:val="auto"/>
          <w:szCs w:val="24"/>
        </w:rPr>
        <w:t>个日历天。</w:t>
      </w:r>
    </w:p>
    <w:p w14:paraId="445EE881">
      <w:pPr>
        <w:numPr>
          <w:ilvl w:val="0"/>
          <w:numId w:val="26"/>
        </w:numPr>
        <w:spacing w:line="324" w:lineRule="auto"/>
        <w:jc w:val="both"/>
        <w:rPr>
          <w:rFonts w:hint="eastAsia" w:cs="Arial"/>
          <w:color w:val="auto"/>
          <w:szCs w:val="24"/>
        </w:rPr>
      </w:pPr>
      <w:r>
        <w:rPr>
          <w:rFonts w:hint="eastAsia" w:cs="Arial"/>
          <w:color w:val="auto"/>
          <w:szCs w:val="24"/>
        </w:rPr>
        <w:t>我方</w:t>
      </w:r>
      <w:r>
        <w:rPr>
          <w:rFonts w:cs="Arial"/>
          <w:color w:val="auto"/>
          <w:szCs w:val="24"/>
        </w:rPr>
        <w:t>同意提供按照贵方</w:t>
      </w:r>
      <w:r>
        <w:rPr>
          <w:rFonts w:hint="eastAsia" w:cs="Arial"/>
          <w:color w:val="auto"/>
          <w:szCs w:val="24"/>
        </w:rPr>
        <w:t>投标文件</w:t>
      </w:r>
      <w:r>
        <w:rPr>
          <w:rFonts w:cs="Arial"/>
          <w:color w:val="auto"/>
          <w:szCs w:val="24"/>
        </w:rPr>
        <w:t>要求的与其投标有关的一切数据或资料，</w:t>
      </w:r>
      <w:r>
        <w:rPr>
          <w:rFonts w:hint="eastAsia" w:cs="Arial"/>
          <w:color w:val="auto"/>
          <w:szCs w:val="24"/>
        </w:rPr>
        <w:t>采用综合评分法时，我方</w:t>
      </w:r>
      <w:r>
        <w:rPr>
          <w:rFonts w:cs="Arial"/>
          <w:color w:val="auto"/>
          <w:szCs w:val="24"/>
        </w:rPr>
        <w:t>完全理解贵方不一定接受最低价的投标。</w:t>
      </w:r>
    </w:p>
    <w:p w14:paraId="4935E729">
      <w:pPr>
        <w:numPr>
          <w:ilvl w:val="0"/>
          <w:numId w:val="26"/>
        </w:numPr>
        <w:spacing w:line="324" w:lineRule="auto"/>
        <w:jc w:val="both"/>
        <w:rPr>
          <w:rFonts w:hint="eastAsia" w:cs="Arial"/>
          <w:color w:val="auto"/>
          <w:szCs w:val="24"/>
        </w:rPr>
      </w:pPr>
      <w:r>
        <w:rPr>
          <w:rFonts w:hint="eastAsia" w:cs="Arial"/>
          <w:color w:val="auto"/>
          <w:szCs w:val="24"/>
        </w:rPr>
        <w:t>本项目如由中标人支付采购代理服务费，我方同意按投标供应商须知前附表中规定向采购代理机构支付采购代理服务费。</w:t>
      </w:r>
    </w:p>
    <w:p w14:paraId="7CCC2D3C">
      <w:pPr>
        <w:numPr>
          <w:ilvl w:val="0"/>
          <w:numId w:val="26"/>
        </w:numPr>
        <w:snapToGrid w:val="0"/>
        <w:spacing w:line="324" w:lineRule="auto"/>
        <w:jc w:val="both"/>
        <w:rPr>
          <w:rFonts w:hint="eastAsia" w:cs="Arial"/>
          <w:color w:val="auto"/>
          <w:szCs w:val="24"/>
        </w:rPr>
      </w:pPr>
      <w:r>
        <w:rPr>
          <w:rFonts w:hint="eastAsia" w:cs="Arial"/>
          <w:color w:val="auto"/>
          <w:szCs w:val="24"/>
        </w:rPr>
        <w:t>重要声明：</w:t>
      </w:r>
    </w:p>
    <w:p w14:paraId="6AE3F308">
      <w:pPr>
        <w:snapToGrid w:val="0"/>
        <w:spacing w:line="324" w:lineRule="auto"/>
        <w:ind w:firstLine="480" w:firstLineChars="200"/>
        <w:rPr>
          <w:rFonts w:hint="eastAsia"/>
          <w:color w:val="auto"/>
          <w:szCs w:val="24"/>
        </w:rPr>
      </w:pPr>
      <w:r>
        <w:rPr>
          <w:rFonts w:hint="eastAsia"/>
          <w:color w:val="auto"/>
          <w:szCs w:val="24"/>
        </w:rPr>
        <w:t>1）与我方单位负责人为同一人的其他单位名称：</w:t>
      </w:r>
    </w:p>
    <w:p w14:paraId="322F63C8">
      <w:pPr>
        <w:snapToGrid w:val="0"/>
        <w:spacing w:line="324" w:lineRule="auto"/>
        <w:ind w:left="456" w:leftChars="190" w:firstLine="355" w:firstLineChars="148"/>
        <w:rPr>
          <w:rFonts w:hint="eastAsia"/>
          <w:color w:val="auto"/>
          <w:szCs w:val="24"/>
        </w:rPr>
      </w:pPr>
      <w:r>
        <w:rPr>
          <w:rFonts w:hint="eastAsia" w:cs="Arial"/>
          <w:color w:val="auto"/>
          <w:szCs w:val="24"/>
          <w:bdr w:val="single" w:color="auto" w:sz="4" w:space="0"/>
        </w:rPr>
        <w:t>√</w:t>
      </w:r>
      <w:r>
        <w:rPr>
          <w:rFonts w:hint="eastAsia"/>
          <w:color w:val="auto"/>
          <w:szCs w:val="24"/>
        </w:rPr>
        <w:t>无；□有，具体单位名称为：</w:t>
      </w:r>
      <w:r>
        <w:rPr>
          <w:rFonts w:hint="eastAsia" w:cs="Arial"/>
          <w:i/>
          <w:color w:val="auto"/>
          <w:szCs w:val="24"/>
          <w:u w:val="single"/>
        </w:rPr>
        <w:t>（由投标供应商如实填写）</w:t>
      </w:r>
      <w:r>
        <w:rPr>
          <w:rFonts w:hint="eastAsia"/>
          <w:color w:val="auto"/>
          <w:szCs w:val="24"/>
        </w:rPr>
        <w:t>。</w:t>
      </w:r>
    </w:p>
    <w:p w14:paraId="13C10106">
      <w:pPr>
        <w:snapToGrid w:val="0"/>
        <w:spacing w:line="324" w:lineRule="auto"/>
        <w:ind w:left="400"/>
        <w:rPr>
          <w:rFonts w:hint="eastAsia"/>
          <w:color w:val="auto"/>
          <w:szCs w:val="24"/>
        </w:rPr>
      </w:pPr>
      <w:r>
        <w:rPr>
          <w:rFonts w:hint="eastAsia"/>
          <w:color w:val="auto"/>
          <w:szCs w:val="24"/>
        </w:rPr>
        <w:t>2）与我方存在控股、管理关系的其他单位的名称：</w:t>
      </w:r>
    </w:p>
    <w:p w14:paraId="1191ECE1">
      <w:pPr>
        <w:snapToGrid w:val="0"/>
        <w:spacing w:line="324" w:lineRule="auto"/>
        <w:ind w:left="456" w:leftChars="190" w:firstLine="355" w:firstLineChars="148"/>
        <w:rPr>
          <w:rFonts w:hint="eastAsia"/>
          <w:color w:val="auto"/>
          <w:szCs w:val="24"/>
        </w:rPr>
      </w:pPr>
      <w:r>
        <w:rPr>
          <w:rFonts w:hint="eastAsia" w:cs="Arial"/>
          <w:color w:val="auto"/>
          <w:szCs w:val="24"/>
          <w:bdr w:val="single" w:color="auto" w:sz="4" w:space="0"/>
        </w:rPr>
        <w:t>√</w:t>
      </w:r>
      <w:r>
        <w:rPr>
          <w:rFonts w:hint="eastAsia"/>
          <w:color w:val="auto"/>
          <w:szCs w:val="24"/>
        </w:rPr>
        <w:t xml:space="preserve">无；□有，具体单位名称为： </w:t>
      </w:r>
      <w:r>
        <w:rPr>
          <w:rFonts w:hint="eastAsia" w:cs="Arial"/>
          <w:i/>
          <w:color w:val="auto"/>
          <w:szCs w:val="24"/>
          <w:u w:val="single"/>
        </w:rPr>
        <w:t>（由投标供应商如实填写）</w:t>
      </w:r>
      <w:r>
        <w:rPr>
          <w:rFonts w:hint="eastAsia"/>
          <w:color w:val="auto"/>
          <w:szCs w:val="24"/>
        </w:rPr>
        <w:t>。</w:t>
      </w:r>
    </w:p>
    <w:p w14:paraId="6FAB9025">
      <w:pPr>
        <w:snapToGrid w:val="0"/>
        <w:spacing w:line="324" w:lineRule="auto"/>
        <w:ind w:left="400"/>
        <w:rPr>
          <w:rFonts w:hint="eastAsia"/>
          <w:color w:val="auto"/>
          <w:szCs w:val="24"/>
        </w:rPr>
      </w:pPr>
      <w:r>
        <w:rPr>
          <w:rFonts w:hint="eastAsia"/>
          <w:color w:val="auto"/>
          <w:szCs w:val="24"/>
        </w:rPr>
        <w:t>3）参与本项目采购活动前，是否为本项目前期准备提供过整体设计、规范编制或者项目管理、监理、检测等服务：</w:t>
      </w:r>
    </w:p>
    <w:p w14:paraId="7881ECB0">
      <w:pPr>
        <w:snapToGrid w:val="0"/>
        <w:spacing w:line="324" w:lineRule="auto"/>
        <w:ind w:left="456" w:leftChars="190" w:firstLine="355" w:firstLineChars="148"/>
        <w:rPr>
          <w:rFonts w:hint="eastAsia"/>
          <w:color w:val="auto"/>
          <w:szCs w:val="24"/>
        </w:rPr>
      </w:pPr>
      <w:r>
        <w:rPr>
          <w:rFonts w:hint="eastAsia" w:cs="Arial"/>
          <w:color w:val="auto"/>
          <w:szCs w:val="24"/>
          <w:bdr w:val="single" w:color="auto" w:sz="4" w:space="0"/>
        </w:rPr>
        <w:t>√</w:t>
      </w:r>
      <w:r>
        <w:rPr>
          <w:rFonts w:hint="eastAsia"/>
          <w:color w:val="auto"/>
          <w:szCs w:val="24"/>
        </w:rPr>
        <w:t xml:space="preserve">无；□有，已提供的具体服务内容为： </w:t>
      </w:r>
      <w:r>
        <w:rPr>
          <w:rFonts w:hint="eastAsia" w:cs="Arial"/>
          <w:i/>
          <w:color w:val="auto"/>
          <w:szCs w:val="24"/>
          <w:u w:val="single"/>
        </w:rPr>
        <w:t>（由投标供应商如实填写）</w:t>
      </w:r>
      <w:r>
        <w:rPr>
          <w:rFonts w:hint="eastAsia"/>
          <w:color w:val="auto"/>
          <w:szCs w:val="24"/>
        </w:rPr>
        <w:t>。</w:t>
      </w:r>
    </w:p>
    <w:p w14:paraId="70DD7924">
      <w:pPr>
        <w:spacing w:line="324" w:lineRule="auto"/>
        <w:ind w:left="720" w:leftChars="300"/>
        <w:rPr>
          <w:rFonts w:hint="eastAsia"/>
          <w:color w:val="auto"/>
          <w:szCs w:val="24"/>
        </w:rPr>
      </w:pPr>
      <w:r>
        <w:rPr>
          <w:rFonts w:hint="eastAsia"/>
          <w:color w:val="auto"/>
          <w:szCs w:val="24"/>
        </w:rPr>
        <w:t>（备注：以上</w:t>
      </w:r>
      <w:r>
        <w:rPr>
          <w:color w:val="auto"/>
          <w:szCs w:val="24"/>
        </w:rPr>
        <w:t>3</w:t>
      </w:r>
      <w:r>
        <w:rPr>
          <w:rFonts w:hint="eastAsia"/>
          <w:color w:val="auto"/>
          <w:szCs w:val="24"/>
        </w:rPr>
        <w:t>项声明，必须如实选择，选中项用</w:t>
      </w:r>
      <w:r>
        <w:rPr>
          <w:rFonts w:hint="eastAsia"/>
          <w:color w:val="auto"/>
          <w:szCs w:val="24"/>
          <w:bdr w:val="single" w:color="auto" w:sz="4" w:space="0"/>
        </w:rPr>
        <w:t>√</w:t>
      </w:r>
      <w:r>
        <w:rPr>
          <w:rFonts w:hint="eastAsia"/>
          <w:color w:val="auto"/>
          <w:szCs w:val="24"/>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中标，应承担相应法律责任。）</w:t>
      </w:r>
    </w:p>
    <w:p w14:paraId="3B01546F">
      <w:pPr>
        <w:snapToGrid w:val="0"/>
        <w:spacing w:line="324" w:lineRule="auto"/>
        <w:ind w:firstLine="480" w:firstLineChars="200"/>
        <w:rPr>
          <w:rFonts w:hint="eastAsia"/>
          <w:color w:val="auto"/>
          <w:szCs w:val="24"/>
        </w:rPr>
      </w:pPr>
      <w:r>
        <w:rPr>
          <w:rFonts w:hint="eastAsia"/>
          <w:color w:val="auto"/>
          <w:szCs w:val="24"/>
        </w:rPr>
        <w:t>4）我方在本投标文件中所提供的全部资料均真实有效，我方承诺对其真实性负责并承担相应后果。</w:t>
      </w:r>
    </w:p>
    <w:p w14:paraId="73CA959E">
      <w:pPr>
        <w:snapToGrid w:val="0"/>
        <w:spacing w:line="324" w:lineRule="auto"/>
        <w:ind w:firstLine="480" w:firstLineChars="200"/>
        <w:rPr>
          <w:rFonts w:hint="eastAsia"/>
          <w:color w:val="auto"/>
          <w:szCs w:val="24"/>
        </w:rPr>
      </w:pPr>
      <w:r>
        <w:rPr>
          <w:rFonts w:hint="eastAsia"/>
          <w:color w:val="auto"/>
          <w:szCs w:val="24"/>
        </w:rPr>
        <w:t>5）</w:t>
      </w:r>
      <w:bookmarkStart w:id="355" w:name="_Hlk161604053"/>
      <w:r>
        <w:rPr>
          <w:rFonts w:hint="eastAsia"/>
          <w:color w:val="auto"/>
          <w:szCs w:val="24"/>
        </w:rPr>
        <w:t>我方承诺本《投标函》的签章对本投标文件全部内容具有约束力并承担法律责任。</w:t>
      </w:r>
      <w:bookmarkEnd w:id="355"/>
    </w:p>
    <w:p w14:paraId="051B3AB4">
      <w:pPr>
        <w:spacing w:line="300" w:lineRule="auto"/>
        <w:rPr>
          <w:rFonts w:hint="eastAsia" w:cs="Arial"/>
          <w:color w:val="auto"/>
          <w:szCs w:val="24"/>
        </w:rPr>
      </w:pPr>
    </w:p>
    <w:p w14:paraId="3375FA83">
      <w:pPr>
        <w:spacing w:line="300" w:lineRule="auto"/>
        <w:rPr>
          <w:rFonts w:hint="eastAsia" w:cs="Arial"/>
          <w:color w:val="auto"/>
          <w:szCs w:val="24"/>
        </w:rPr>
      </w:pPr>
    </w:p>
    <w:p w14:paraId="58020D13">
      <w:pPr>
        <w:spacing w:line="300" w:lineRule="auto"/>
        <w:rPr>
          <w:rFonts w:hint="eastAsia" w:cs="Arial"/>
          <w:color w:val="auto"/>
          <w:szCs w:val="24"/>
        </w:rPr>
      </w:pPr>
    </w:p>
    <w:p w14:paraId="40D4D1D1">
      <w:pPr>
        <w:autoSpaceDE w:val="0"/>
        <w:autoSpaceDN w:val="0"/>
        <w:adjustRightInd w:val="0"/>
        <w:snapToGrid w:val="0"/>
        <w:ind w:firstLine="480" w:firstLineChars="200"/>
        <w:rPr>
          <w:rFonts w:hint="eastAsia" w:cs="宋体"/>
          <w:color w:val="auto"/>
        </w:rPr>
      </w:pPr>
      <w:r>
        <w:rPr>
          <w:rFonts w:hint="eastAsia" w:cs="宋体"/>
          <w:color w:val="auto"/>
        </w:rPr>
        <w:t xml:space="preserve">投 </w:t>
      </w:r>
      <w:r>
        <w:rPr>
          <w:rFonts w:cs="宋体"/>
          <w:color w:val="auto"/>
        </w:rPr>
        <w:t xml:space="preserve">   </w:t>
      </w:r>
      <w:r>
        <w:rPr>
          <w:rFonts w:hint="eastAsia" w:cs="宋体"/>
          <w:color w:val="auto"/>
        </w:rPr>
        <w:t xml:space="preserve">标 </w:t>
      </w:r>
      <w:r>
        <w:rPr>
          <w:rFonts w:cs="宋体"/>
          <w:color w:val="auto"/>
        </w:rPr>
        <w:t xml:space="preserve">   </w:t>
      </w:r>
      <w:r>
        <w:rPr>
          <w:rFonts w:hint="eastAsia" w:cs="宋体"/>
          <w:color w:val="auto"/>
        </w:rPr>
        <w:t>人：（</w:t>
      </w:r>
      <w:r>
        <w:rPr>
          <w:rFonts w:hint="eastAsia" w:cs="宋体"/>
          <w:color w:val="auto"/>
          <w:lang w:val="en-US" w:eastAsia="zh-CN"/>
        </w:rPr>
        <w:t>电子签章</w:t>
      </w:r>
      <w:r>
        <w:rPr>
          <w:rFonts w:hint="eastAsia" w:cs="宋体"/>
          <w:color w:val="auto"/>
        </w:rPr>
        <w:t>）</w:t>
      </w:r>
    </w:p>
    <w:p w14:paraId="004D1C78">
      <w:pPr>
        <w:autoSpaceDE w:val="0"/>
        <w:autoSpaceDN w:val="0"/>
        <w:adjustRightInd w:val="0"/>
        <w:snapToGrid w:val="0"/>
        <w:ind w:firstLine="480" w:firstLineChars="200"/>
        <w:rPr>
          <w:rFonts w:hint="eastAsia" w:cs="宋体"/>
          <w:color w:val="auto"/>
        </w:rPr>
      </w:pPr>
      <w:r>
        <w:rPr>
          <w:rFonts w:hint="eastAsia" w:cs="宋体"/>
          <w:color w:val="auto"/>
        </w:rPr>
        <w:t>通  讯  地  址：</w:t>
      </w:r>
    </w:p>
    <w:p w14:paraId="7A103BD6">
      <w:pPr>
        <w:autoSpaceDE w:val="0"/>
        <w:autoSpaceDN w:val="0"/>
        <w:adjustRightInd w:val="0"/>
        <w:snapToGrid w:val="0"/>
        <w:ind w:firstLine="480" w:firstLineChars="200"/>
        <w:rPr>
          <w:rFonts w:hint="eastAsia" w:cs="宋体"/>
          <w:color w:val="auto"/>
        </w:rPr>
      </w:pPr>
      <w:r>
        <w:rPr>
          <w:rFonts w:hint="eastAsia" w:cs="宋体"/>
          <w:color w:val="auto"/>
        </w:rPr>
        <w:t xml:space="preserve">传       </w:t>
      </w:r>
      <w:r>
        <w:rPr>
          <w:rFonts w:cs="宋体"/>
          <w:color w:val="auto"/>
        </w:rPr>
        <w:t xml:space="preserve">   </w:t>
      </w:r>
      <w:r>
        <w:rPr>
          <w:rFonts w:hint="eastAsia" w:cs="宋体"/>
          <w:color w:val="auto"/>
        </w:rPr>
        <w:t>真：</w:t>
      </w:r>
    </w:p>
    <w:p w14:paraId="7C84ECAD">
      <w:pPr>
        <w:autoSpaceDE w:val="0"/>
        <w:autoSpaceDN w:val="0"/>
        <w:adjustRightInd w:val="0"/>
        <w:snapToGrid w:val="0"/>
        <w:ind w:firstLine="480" w:firstLineChars="200"/>
        <w:rPr>
          <w:rFonts w:hint="eastAsia" w:cs="宋体"/>
          <w:color w:val="auto"/>
        </w:rPr>
      </w:pPr>
      <w:r>
        <w:rPr>
          <w:rFonts w:hint="eastAsia" w:cs="宋体"/>
          <w:color w:val="auto"/>
        </w:rPr>
        <w:t>电          话：</w:t>
      </w:r>
    </w:p>
    <w:p w14:paraId="206487B6">
      <w:pPr>
        <w:autoSpaceDE w:val="0"/>
        <w:autoSpaceDN w:val="0"/>
        <w:adjustRightInd w:val="0"/>
        <w:snapToGrid w:val="0"/>
        <w:ind w:firstLine="480" w:firstLineChars="200"/>
        <w:rPr>
          <w:rFonts w:hint="eastAsia" w:cs="宋体"/>
          <w:color w:val="auto"/>
        </w:rPr>
      </w:pPr>
      <w:r>
        <w:rPr>
          <w:rFonts w:hint="eastAsia" w:cs="宋体"/>
          <w:color w:val="auto"/>
        </w:rPr>
        <w:t xml:space="preserve">授 </w:t>
      </w:r>
      <w:r>
        <w:rPr>
          <w:rFonts w:cs="宋体"/>
          <w:color w:val="auto"/>
        </w:rPr>
        <w:t xml:space="preserve"> </w:t>
      </w:r>
      <w:r>
        <w:rPr>
          <w:rFonts w:hint="eastAsia" w:cs="宋体"/>
          <w:color w:val="auto"/>
        </w:rPr>
        <w:t xml:space="preserve">权 </w:t>
      </w:r>
      <w:r>
        <w:rPr>
          <w:rFonts w:cs="宋体"/>
          <w:color w:val="auto"/>
        </w:rPr>
        <w:t xml:space="preserve"> </w:t>
      </w:r>
      <w:r>
        <w:rPr>
          <w:rFonts w:hint="eastAsia" w:cs="宋体"/>
          <w:color w:val="auto"/>
        </w:rPr>
        <w:t xml:space="preserve">代 </w:t>
      </w:r>
      <w:r>
        <w:rPr>
          <w:rFonts w:cs="宋体"/>
          <w:color w:val="auto"/>
        </w:rPr>
        <w:t xml:space="preserve"> </w:t>
      </w:r>
      <w:r>
        <w:rPr>
          <w:rFonts w:hint="eastAsia" w:cs="宋体"/>
          <w:color w:val="auto"/>
        </w:rPr>
        <w:t>表：</w:t>
      </w:r>
    </w:p>
    <w:p w14:paraId="01E4929C">
      <w:pPr>
        <w:ind w:firstLine="480" w:firstLineChars="200"/>
        <w:rPr>
          <w:rFonts w:hint="eastAsia" w:cs="Arial"/>
          <w:color w:val="auto"/>
          <w:szCs w:val="24"/>
        </w:rPr>
      </w:pPr>
      <w:r>
        <w:rPr>
          <w:rFonts w:hint="eastAsia" w:cs="宋体"/>
          <w:color w:val="auto"/>
        </w:rPr>
        <w:t xml:space="preserve">日     </w:t>
      </w:r>
      <w:r>
        <w:rPr>
          <w:rFonts w:cs="宋体"/>
          <w:color w:val="auto"/>
        </w:rPr>
        <w:t xml:space="preserve">  </w:t>
      </w:r>
      <w:r>
        <w:rPr>
          <w:rFonts w:hint="eastAsia" w:cs="宋体"/>
          <w:color w:val="auto"/>
        </w:rPr>
        <w:t xml:space="preserve">    期：</w:t>
      </w:r>
    </w:p>
    <w:p w14:paraId="21F989BC">
      <w:pPr>
        <w:rPr>
          <w:rFonts w:hint="eastAsia" w:cs="Arial"/>
          <w:color w:val="auto"/>
          <w:szCs w:val="24"/>
          <w:u w:val="single"/>
        </w:rPr>
      </w:pPr>
    </w:p>
    <w:p w14:paraId="1F8A6636">
      <w:pPr>
        <w:rPr>
          <w:rFonts w:hint="eastAsia" w:cs="Arial"/>
          <w:color w:val="auto"/>
          <w:szCs w:val="24"/>
          <w:u w:val="single"/>
        </w:rPr>
      </w:pPr>
      <w:r>
        <w:rPr>
          <w:rFonts w:cs="Arial"/>
          <w:color w:val="auto"/>
          <w:szCs w:val="24"/>
          <w:u w:val="single"/>
        </w:rPr>
        <w:br w:type="page"/>
      </w:r>
    </w:p>
    <w:p w14:paraId="56B4B190">
      <w:pPr>
        <w:pStyle w:val="4"/>
        <w:numPr>
          <w:ilvl w:val="0"/>
          <w:numId w:val="24"/>
        </w:numPr>
        <w:jc w:val="center"/>
        <w:rPr>
          <w:rFonts w:hint="eastAsia"/>
          <w:color w:val="auto"/>
        </w:rPr>
      </w:pPr>
      <w:bookmarkStart w:id="356" w:name="_Toc155185922"/>
      <w:bookmarkStart w:id="357" w:name="_Toc109899909"/>
      <w:bookmarkStart w:id="358" w:name="_Toc432367429"/>
      <w:bookmarkStart w:id="359" w:name="_Toc430813349"/>
      <w:bookmarkStart w:id="360" w:name="_Toc140132832"/>
      <w:bookmarkStart w:id="361" w:name="_Toc109900328"/>
      <w:bookmarkStart w:id="362" w:name="_Toc109899490"/>
      <w:bookmarkStart w:id="363" w:name="_Toc9918"/>
      <w:r>
        <w:rPr>
          <w:rFonts w:hint="eastAsia"/>
          <w:color w:val="auto"/>
        </w:rPr>
        <w:t>开标一览表</w:t>
      </w:r>
      <w:bookmarkEnd w:id="356"/>
      <w:bookmarkEnd w:id="357"/>
      <w:bookmarkEnd w:id="358"/>
      <w:bookmarkEnd w:id="359"/>
      <w:bookmarkEnd w:id="360"/>
      <w:bookmarkEnd w:id="361"/>
      <w:bookmarkEnd w:id="362"/>
      <w:bookmarkEnd w:id="363"/>
    </w:p>
    <w:p w14:paraId="3EF30381">
      <w:pPr>
        <w:spacing w:line="240" w:lineRule="auto"/>
        <w:ind w:left="58" w:leftChars="24" w:firstLine="470" w:firstLineChars="224"/>
        <w:rPr>
          <w:rFonts w:ascii="Arial" w:hAnsi="Arial" w:cs="Arial"/>
          <w:color w:val="auto"/>
          <w:sz w:val="28"/>
          <w:szCs w:val="28"/>
        </w:rPr>
      </w:pPr>
      <w:r>
        <w:rPr>
          <w:rFonts w:hint="eastAsia" w:cs="宋体"/>
          <w:color w:val="auto"/>
          <w:sz w:val="21"/>
          <w:szCs w:val="21"/>
        </w:rPr>
        <w:t>项目名称：</w:t>
      </w:r>
    </w:p>
    <w:tbl>
      <w:tblPr>
        <w:tblStyle w:val="33"/>
        <w:tblpPr w:leftFromText="180" w:rightFromText="180" w:vertAnchor="text" w:horzAnchor="page" w:tblpX="2178" w:tblpY="363"/>
        <w:tblOverlap w:val="never"/>
        <w:tblW w:w="78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6"/>
        <w:gridCol w:w="4908"/>
      </w:tblGrid>
      <w:tr w14:paraId="04928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936" w:type="dxa"/>
            <w:noWrap/>
          </w:tcPr>
          <w:p w14:paraId="0BEA95C8">
            <w:pPr>
              <w:pStyle w:val="74"/>
              <w:rPr>
                <w:rFonts w:hint="eastAsia" w:ascii="宋体" w:hAnsi="宋体" w:eastAsia="宋体" w:cs="宋体"/>
                <w:b/>
                <w:color w:val="auto"/>
                <w:sz w:val="24"/>
                <w:szCs w:val="24"/>
              </w:rPr>
            </w:pPr>
          </w:p>
          <w:p w14:paraId="6B14F439">
            <w:pPr>
              <w:pStyle w:val="74"/>
              <w:ind w:right="703"/>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名称</w:t>
            </w:r>
          </w:p>
        </w:tc>
        <w:tc>
          <w:tcPr>
            <w:tcW w:w="4908" w:type="dxa"/>
            <w:noWrap/>
          </w:tcPr>
          <w:p w14:paraId="2EFDD9ED">
            <w:pPr>
              <w:pStyle w:val="74"/>
              <w:rPr>
                <w:rFonts w:hint="eastAsia" w:ascii="宋体" w:hAnsi="宋体" w:eastAsia="宋体" w:cs="宋体"/>
                <w:color w:val="auto"/>
                <w:sz w:val="24"/>
                <w:szCs w:val="24"/>
              </w:rPr>
            </w:pPr>
          </w:p>
        </w:tc>
      </w:tr>
      <w:tr w14:paraId="4C74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3" w:hRule="atLeast"/>
        </w:trPr>
        <w:tc>
          <w:tcPr>
            <w:tcW w:w="2936" w:type="dxa"/>
            <w:noWrap/>
          </w:tcPr>
          <w:p w14:paraId="356AB39D">
            <w:pPr>
              <w:pStyle w:val="74"/>
              <w:rPr>
                <w:rFonts w:hint="eastAsia" w:ascii="宋体" w:hAnsi="宋体" w:eastAsia="宋体" w:cs="宋体"/>
                <w:b/>
                <w:color w:val="auto"/>
                <w:sz w:val="24"/>
                <w:szCs w:val="24"/>
              </w:rPr>
            </w:pPr>
          </w:p>
          <w:p w14:paraId="65E6426A">
            <w:pPr>
              <w:pStyle w:val="74"/>
              <w:spacing w:before="5"/>
              <w:rPr>
                <w:rFonts w:hint="eastAsia" w:ascii="宋体" w:hAnsi="宋体" w:eastAsia="宋体" w:cs="宋体"/>
                <w:b/>
                <w:color w:val="auto"/>
                <w:sz w:val="24"/>
                <w:szCs w:val="24"/>
              </w:rPr>
            </w:pPr>
          </w:p>
          <w:p w14:paraId="50DBA8B7">
            <w:pPr>
              <w:pStyle w:val="74"/>
              <w:ind w:left="712" w:right="703"/>
              <w:jc w:val="center"/>
              <w:rPr>
                <w:rFonts w:hint="eastAsia" w:ascii="宋体" w:hAnsi="宋体" w:eastAsia="宋体" w:cs="宋体"/>
                <w:color w:val="auto"/>
                <w:sz w:val="24"/>
                <w:szCs w:val="24"/>
                <w:lang w:val="en-US"/>
              </w:rPr>
            </w:pPr>
            <w:r>
              <w:rPr>
                <w:rFonts w:hint="eastAsia" w:cs="宋体"/>
                <w:color w:val="auto"/>
                <w:sz w:val="24"/>
                <w:szCs w:val="24"/>
                <w:lang w:val="en-US" w:eastAsia="zh-CN"/>
              </w:rPr>
              <w:t>软件系统</w:t>
            </w:r>
            <w:r>
              <w:rPr>
                <w:rFonts w:hint="eastAsia" w:ascii="宋体" w:hAnsi="宋体" w:eastAsia="宋体" w:cs="宋体"/>
                <w:color w:val="auto"/>
                <w:sz w:val="24"/>
                <w:szCs w:val="24"/>
                <w:lang w:val="en-US"/>
              </w:rPr>
              <w:t>报价</w:t>
            </w:r>
          </w:p>
          <w:p w14:paraId="17FB2806">
            <w:pPr>
              <w:pStyle w:val="74"/>
              <w:ind w:right="121"/>
              <w:jc w:val="both"/>
              <w:rPr>
                <w:rFonts w:hint="eastAsia" w:ascii="宋体" w:hAnsi="宋体" w:eastAsia="宋体" w:cs="宋体"/>
                <w:color w:val="auto"/>
                <w:sz w:val="24"/>
                <w:szCs w:val="24"/>
                <w:lang w:val="en-US"/>
              </w:rPr>
            </w:pPr>
          </w:p>
        </w:tc>
        <w:tc>
          <w:tcPr>
            <w:tcW w:w="4908" w:type="dxa"/>
            <w:tcBorders>
              <w:bottom w:val="single" w:color="auto" w:sz="4" w:space="0"/>
            </w:tcBorders>
            <w:noWrap/>
            <w:vAlign w:val="center"/>
          </w:tcPr>
          <w:p w14:paraId="39618A46">
            <w:pPr>
              <w:pStyle w:val="74"/>
              <w:spacing w:before="4"/>
              <w:rPr>
                <w:rFonts w:hint="eastAsia" w:ascii="宋体" w:hAnsi="宋体" w:eastAsia="宋体" w:cs="宋体"/>
                <w:b/>
                <w:color w:val="auto"/>
                <w:sz w:val="24"/>
                <w:szCs w:val="24"/>
              </w:rPr>
            </w:pPr>
          </w:p>
          <w:p w14:paraId="0CEFCEE1">
            <w:pPr>
              <w:pStyle w:val="74"/>
              <w:tabs>
                <w:tab w:val="left" w:pos="3202"/>
              </w:tabs>
              <w:spacing w:before="1" w:line="417" w:lineRule="auto"/>
              <w:ind w:left="108" w:right="58"/>
              <w:rPr>
                <w:rFonts w:hint="eastAsia" w:ascii="宋体" w:hAnsi="宋体" w:eastAsia="宋体" w:cs="宋体"/>
                <w:color w:val="auto"/>
                <w:w w:val="95"/>
                <w:sz w:val="24"/>
                <w:szCs w:val="24"/>
                <w:u w:val="single"/>
                <w:lang w:val="en-US"/>
              </w:rPr>
            </w:pPr>
            <w:r>
              <w:rPr>
                <w:rFonts w:hint="eastAsia" w:ascii="宋体" w:hAnsi="宋体" w:eastAsia="宋体" w:cs="宋体"/>
                <w:color w:val="auto"/>
                <w:sz w:val="24"/>
                <w:szCs w:val="24"/>
                <w:lang w:val="en-US"/>
              </w:rPr>
              <w:t>小写</w:t>
            </w:r>
            <w:r>
              <w:rPr>
                <w:rFonts w:hint="eastAsia" w:ascii="宋体" w:hAnsi="宋体" w:eastAsia="宋体" w:cs="宋体"/>
                <w:color w:val="auto"/>
                <w:w w:val="95"/>
                <w:sz w:val="24"/>
                <w:szCs w:val="24"/>
              </w:rPr>
              <w:t>：</w:t>
            </w:r>
            <w:r>
              <w:rPr>
                <w:rFonts w:hint="eastAsia" w:ascii="宋体" w:hAnsi="宋体" w:eastAsia="宋体" w:cs="宋体"/>
                <w:color w:val="auto"/>
                <w:w w:val="95"/>
                <w:sz w:val="24"/>
                <w:szCs w:val="24"/>
                <w:u w:val="single"/>
                <w:lang w:val="en-US" w:eastAsia="zh-CN"/>
              </w:rPr>
              <w:t xml:space="preserve">                    </w:t>
            </w:r>
            <w:r>
              <w:rPr>
                <w:rFonts w:hint="eastAsia" w:ascii="宋体" w:hAnsi="宋体" w:eastAsia="宋体" w:cs="宋体"/>
                <w:color w:val="auto"/>
                <w:w w:val="95"/>
                <w:sz w:val="24"/>
                <w:szCs w:val="24"/>
                <w:u w:val="none"/>
                <w:lang w:val="en-US" w:eastAsia="zh-CN"/>
              </w:rPr>
              <w:t xml:space="preserve"> </w:t>
            </w:r>
            <w:r>
              <w:rPr>
                <w:rFonts w:hint="eastAsia" w:ascii="宋体" w:hAnsi="宋体" w:eastAsia="宋体" w:cs="宋体"/>
                <w:color w:val="auto"/>
                <w:sz w:val="24"/>
                <w:szCs w:val="24"/>
                <w:u w:val="none"/>
              </w:rPr>
              <w:t>元</w:t>
            </w:r>
          </w:p>
          <w:p w14:paraId="5C4A2F31">
            <w:pPr>
              <w:pStyle w:val="74"/>
              <w:tabs>
                <w:tab w:val="left" w:pos="3202"/>
              </w:tabs>
              <w:spacing w:before="1" w:line="417" w:lineRule="auto"/>
              <w:ind w:left="108" w:right="58"/>
              <w:rPr>
                <w:rFonts w:hint="eastAsia" w:ascii="宋体" w:hAnsi="宋体" w:eastAsia="宋体" w:cs="宋体"/>
                <w:color w:val="auto"/>
                <w:sz w:val="24"/>
                <w:szCs w:val="24"/>
                <w:u w:val="single"/>
                <w:lang w:val="en-US"/>
              </w:rPr>
            </w:pPr>
            <w:r>
              <w:rPr>
                <w:rFonts w:hint="eastAsia" w:ascii="宋体" w:hAnsi="宋体" w:eastAsia="宋体" w:cs="宋体"/>
                <w:color w:val="auto"/>
                <w:sz w:val="24"/>
                <w:szCs w:val="24"/>
                <w:lang w:val="en-US"/>
              </w:rPr>
              <w:t>大写</w:t>
            </w:r>
            <w:r>
              <w:rPr>
                <w:rFonts w:hint="eastAsia" w:ascii="宋体" w:hAnsi="宋体" w:eastAsia="宋体" w:cs="宋体"/>
                <w:color w:val="auto"/>
                <w:w w:val="95"/>
                <w:sz w:val="24"/>
                <w:szCs w:val="24"/>
              </w:rPr>
              <w:t>：</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none"/>
                <w:lang w:val="en-US"/>
              </w:rPr>
              <w:t>元</w:t>
            </w:r>
          </w:p>
        </w:tc>
      </w:tr>
      <w:tr w14:paraId="4CA71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2936" w:type="dxa"/>
            <w:noWrap/>
            <w:vAlign w:val="center"/>
          </w:tcPr>
          <w:p w14:paraId="200FDAD3">
            <w:pPr>
              <w:pStyle w:val="74"/>
              <w:ind w:left="712" w:right="703"/>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质保期满后的年维保费报价</w:t>
            </w:r>
          </w:p>
        </w:tc>
        <w:tc>
          <w:tcPr>
            <w:tcW w:w="4908" w:type="dxa"/>
            <w:tcBorders>
              <w:bottom w:val="single" w:color="auto" w:sz="4" w:space="0"/>
            </w:tcBorders>
            <w:noWrap/>
            <w:vAlign w:val="center"/>
          </w:tcPr>
          <w:p w14:paraId="3C762EE9">
            <w:pPr>
              <w:pStyle w:val="74"/>
              <w:tabs>
                <w:tab w:val="left" w:pos="3202"/>
              </w:tabs>
              <w:spacing w:before="1" w:line="417" w:lineRule="auto"/>
              <w:ind w:right="58" w:firstLine="720" w:firstLineChars="300"/>
              <w:rPr>
                <w:rFonts w:hint="default" w:ascii="宋体" w:hAnsi="宋体" w:eastAsia="宋体" w:cs="宋体"/>
                <w:color w:val="auto"/>
                <w:sz w:val="24"/>
                <w:szCs w:val="24"/>
                <w:lang w:val="en-US" w:eastAsia="zh-CN"/>
              </w:rPr>
            </w:pPr>
            <w:r>
              <w:rPr>
                <w:rFonts w:hint="eastAsia" w:cs="宋体"/>
                <w:color w:val="auto"/>
                <w:sz w:val="24"/>
                <w:szCs w:val="24"/>
                <w:u w:val="single"/>
                <w:lang w:val="en-US" w:eastAsia="zh-CN"/>
              </w:rPr>
              <w:t xml:space="preserve">     元/年</w:t>
            </w:r>
          </w:p>
        </w:tc>
      </w:tr>
      <w:tr w14:paraId="3DC9B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trPr>
        <w:tc>
          <w:tcPr>
            <w:tcW w:w="2936" w:type="dxa"/>
            <w:noWrap/>
          </w:tcPr>
          <w:p w14:paraId="531CBE8B">
            <w:pPr>
              <w:pStyle w:val="74"/>
              <w:spacing w:before="1"/>
              <w:ind w:left="712" w:right="703"/>
              <w:jc w:val="center"/>
              <w:rPr>
                <w:rFonts w:hint="eastAsia" w:ascii="宋体" w:hAnsi="宋体" w:eastAsia="宋体" w:cs="宋体"/>
                <w:color w:val="auto"/>
                <w:sz w:val="24"/>
                <w:szCs w:val="24"/>
                <w:lang w:val="en-US"/>
              </w:rPr>
            </w:pPr>
          </w:p>
          <w:p w14:paraId="424BFECA">
            <w:pPr>
              <w:pStyle w:val="74"/>
              <w:spacing w:before="1"/>
              <w:ind w:left="712" w:right="703"/>
              <w:jc w:val="center"/>
              <w:rPr>
                <w:rFonts w:hint="eastAsia" w:ascii="宋体" w:hAnsi="宋体" w:eastAsia="宋体" w:cs="宋体"/>
                <w:color w:val="auto"/>
                <w:sz w:val="24"/>
                <w:szCs w:val="24"/>
                <w:lang w:val="en-US"/>
              </w:rPr>
            </w:pPr>
            <w:r>
              <w:rPr>
                <w:rFonts w:hint="eastAsia" w:cs="宋体"/>
                <w:color w:val="auto"/>
                <w:sz w:val="24"/>
                <w:szCs w:val="24"/>
                <w:lang w:val="en-US" w:eastAsia="zh-CN"/>
              </w:rPr>
              <w:t>合同履行</w:t>
            </w:r>
            <w:r>
              <w:rPr>
                <w:rFonts w:hint="eastAsia" w:ascii="宋体" w:hAnsi="宋体" w:eastAsia="宋体" w:cs="宋体"/>
                <w:color w:val="auto"/>
                <w:sz w:val="24"/>
                <w:szCs w:val="24"/>
                <w:lang w:val="en-US"/>
              </w:rPr>
              <w:t>期限承诺</w:t>
            </w:r>
          </w:p>
        </w:tc>
        <w:tc>
          <w:tcPr>
            <w:tcW w:w="4908" w:type="dxa"/>
            <w:noWrap/>
          </w:tcPr>
          <w:p w14:paraId="6E31AAFC">
            <w:pPr>
              <w:pStyle w:val="74"/>
              <w:spacing w:before="1"/>
              <w:ind w:right="703"/>
              <w:jc w:val="both"/>
              <w:rPr>
                <w:rFonts w:hint="eastAsia" w:ascii="宋体" w:hAnsi="宋体" w:eastAsia="宋体" w:cs="宋体"/>
                <w:color w:val="auto"/>
                <w:sz w:val="24"/>
                <w:szCs w:val="24"/>
                <w:lang w:val="en-US"/>
              </w:rPr>
            </w:pPr>
          </w:p>
        </w:tc>
      </w:tr>
      <w:tr w14:paraId="38212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936" w:type="dxa"/>
            <w:noWrap/>
          </w:tcPr>
          <w:p w14:paraId="4FDD5F25">
            <w:pPr>
              <w:pStyle w:val="74"/>
              <w:spacing w:before="3"/>
              <w:rPr>
                <w:rFonts w:hint="eastAsia" w:ascii="宋体" w:hAnsi="宋体" w:eastAsia="宋体" w:cs="宋体"/>
                <w:b/>
                <w:color w:val="auto"/>
                <w:sz w:val="24"/>
                <w:szCs w:val="24"/>
              </w:rPr>
            </w:pPr>
          </w:p>
          <w:p w14:paraId="2F02C3A8">
            <w:pPr>
              <w:pStyle w:val="74"/>
              <w:ind w:left="709" w:right="703"/>
              <w:jc w:val="center"/>
              <w:rPr>
                <w:rFonts w:hint="default" w:ascii="宋体" w:hAnsi="宋体" w:eastAsia="宋体" w:cs="宋体"/>
                <w:color w:val="auto"/>
                <w:sz w:val="24"/>
                <w:szCs w:val="24"/>
                <w:lang w:val="en-US" w:eastAsia="zh-CN"/>
              </w:rPr>
            </w:pPr>
            <w:r>
              <w:rPr>
                <w:rFonts w:hint="eastAsia" w:cs="宋体"/>
                <w:color w:val="auto"/>
                <w:sz w:val="24"/>
                <w:szCs w:val="24"/>
                <w:lang w:val="en-US" w:eastAsia="zh-CN"/>
              </w:rPr>
              <w:t>质保期限</w:t>
            </w:r>
          </w:p>
        </w:tc>
        <w:tc>
          <w:tcPr>
            <w:tcW w:w="4908" w:type="dxa"/>
            <w:noWrap/>
          </w:tcPr>
          <w:p w14:paraId="2269AA86">
            <w:pPr>
              <w:pStyle w:val="74"/>
              <w:ind w:left="709" w:right="703"/>
              <w:jc w:val="left"/>
              <w:rPr>
                <w:rFonts w:hint="eastAsia" w:ascii="宋体" w:hAnsi="宋体" w:eastAsia="宋体" w:cs="宋体"/>
                <w:color w:val="auto"/>
                <w:sz w:val="24"/>
                <w:szCs w:val="24"/>
                <w:lang w:val="en-US"/>
              </w:rPr>
            </w:pPr>
          </w:p>
          <w:p w14:paraId="27BE135A">
            <w:pPr>
              <w:pStyle w:val="74"/>
              <w:ind w:right="703"/>
              <w:jc w:val="left"/>
              <w:rPr>
                <w:rFonts w:hint="eastAsia" w:ascii="宋体" w:hAnsi="宋体" w:eastAsia="宋体" w:cs="宋体"/>
                <w:color w:val="auto"/>
                <w:sz w:val="24"/>
                <w:szCs w:val="24"/>
                <w:lang w:val="en-US"/>
              </w:rPr>
            </w:pPr>
          </w:p>
        </w:tc>
      </w:tr>
    </w:tbl>
    <w:p w14:paraId="2C6CAE27">
      <w:pPr>
        <w:pStyle w:val="74"/>
        <w:ind w:left="709" w:right="703"/>
        <w:jc w:val="center"/>
        <w:rPr>
          <w:rFonts w:hint="eastAsia" w:ascii="宋体" w:hAnsi="宋体" w:eastAsia="宋体" w:cs="宋体"/>
          <w:color w:val="auto"/>
          <w:sz w:val="24"/>
          <w:szCs w:val="24"/>
          <w:lang w:val="en-US"/>
        </w:rPr>
      </w:pPr>
    </w:p>
    <w:p w14:paraId="618F8873">
      <w:pPr>
        <w:pStyle w:val="74"/>
        <w:ind w:left="709" w:right="703"/>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rPr>
        <w:t xml:space="preserve"> 注：</w:t>
      </w:r>
      <w:r>
        <w:rPr>
          <w:rFonts w:hint="eastAsia" w:ascii="宋体" w:hAnsi="宋体" w:eastAsia="宋体" w:cs="宋体"/>
          <w:color w:val="auto"/>
          <w:szCs w:val="21"/>
        </w:rPr>
        <w:t>包含但不限于</w:t>
      </w:r>
      <w:r>
        <w:rPr>
          <w:rFonts w:hint="eastAsia" w:ascii="宋体" w:hAnsi="宋体" w:eastAsia="宋体" w:cs="宋体"/>
          <w:color w:val="auto"/>
          <w:szCs w:val="21"/>
          <w:lang w:eastAsia="zh-TW"/>
        </w:rPr>
        <w:t>项目管理费</w:t>
      </w:r>
      <w:r>
        <w:rPr>
          <w:rFonts w:hint="eastAsia" w:ascii="宋体" w:hAnsi="宋体" w:eastAsia="宋体" w:cs="宋体"/>
          <w:color w:val="auto"/>
          <w:szCs w:val="21"/>
        </w:rPr>
        <w:t>、</w:t>
      </w:r>
      <w:r>
        <w:rPr>
          <w:rFonts w:hint="eastAsia" w:ascii="宋体" w:hAnsi="宋体" w:eastAsia="宋体" w:cs="宋体"/>
          <w:color w:val="auto"/>
          <w:szCs w:val="21"/>
          <w:lang w:eastAsia="zh-TW"/>
        </w:rPr>
        <w:t>设备费用、</w:t>
      </w:r>
      <w:r>
        <w:rPr>
          <w:rFonts w:hint="eastAsia" w:ascii="宋体" w:hAnsi="宋体" w:eastAsia="宋体" w:cs="宋体"/>
          <w:color w:val="auto"/>
          <w:szCs w:val="21"/>
          <w:lang w:val="en-US" w:eastAsia="zh-CN"/>
        </w:rPr>
        <w:t>医院</w:t>
      </w:r>
      <w:r>
        <w:rPr>
          <w:rFonts w:hint="eastAsia" w:ascii="宋体" w:hAnsi="宋体" w:eastAsia="宋体" w:cs="宋体"/>
          <w:color w:val="auto"/>
          <w:szCs w:val="21"/>
        </w:rPr>
        <w:t>系统</w:t>
      </w:r>
      <w:r>
        <w:rPr>
          <w:rFonts w:hint="eastAsia" w:ascii="宋体" w:hAnsi="宋体" w:eastAsia="宋体" w:cs="宋体"/>
          <w:color w:val="auto"/>
          <w:szCs w:val="21"/>
          <w:lang w:val="en-US" w:eastAsia="zh-CN"/>
        </w:rPr>
        <w:t>对接费、</w:t>
      </w:r>
      <w:r>
        <w:rPr>
          <w:rFonts w:hint="eastAsia" w:ascii="宋体" w:hAnsi="宋体" w:eastAsia="宋体" w:cs="宋体"/>
          <w:color w:val="auto"/>
          <w:szCs w:val="21"/>
          <w:lang w:eastAsia="zh-TW"/>
        </w:rPr>
        <w:t>技术支持、服务费用、运维服务</w:t>
      </w:r>
      <w:r>
        <w:rPr>
          <w:rFonts w:hint="eastAsia" w:ascii="宋体" w:hAnsi="宋体" w:eastAsia="宋体" w:cs="宋体"/>
          <w:color w:val="auto"/>
          <w:szCs w:val="21"/>
          <w:lang w:eastAsia="zh-CN"/>
        </w:rPr>
        <w:t>、</w:t>
      </w:r>
      <w:r>
        <w:rPr>
          <w:rFonts w:hint="eastAsia" w:ascii="宋体" w:hAnsi="宋体" w:eastAsia="宋体" w:cs="宋体"/>
          <w:color w:val="auto"/>
          <w:szCs w:val="21"/>
        </w:rPr>
        <w:t>人工、利润、税金</w:t>
      </w:r>
      <w:r>
        <w:rPr>
          <w:rFonts w:hint="eastAsia" w:ascii="宋体" w:hAnsi="宋体" w:eastAsia="宋体" w:cs="宋体"/>
          <w:color w:val="auto"/>
          <w:szCs w:val="21"/>
          <w:lang w:eastAsia="zh-CN"/>
        </w:rPr>
        <w:t>、</w:t>
      </w:r>
      <w:r>
        <w:rPr>
          <w:rFonts w:hint="eastAsia" w:cs="宋体"/>
          <w:color w:val="auto"/>
          <w:szCs w:val="21"/>
          <w:lang w:val="en-US" w:eastAsia="zh-CN"/>
        </w:rPr>
        <w:t>软件、</w:t>
      </w:r>
      <w:r>
        <w:rPr>
          <w:rFonts w:hint="eastAsia" w:ascii="宋体" w:hAnsi="宋体" w:eastAsia="宋体" w:cs="宋体"/>
          <w:color w:val="auto"/>
          <w:szCs w:val="21"/>
          <w:lang w:val="en-US" w:eastAsia="zh-CN"/>
        </w:rPr>
        <w:t>采购代理费</w:t>
      </w:r>
      <w:r>
        <w:rPr>
          <w:rFonts w:hint="eastAsia" w:ascii="宋体" w:hAnsi="宋体" w:eastAsia="宋体" w:cs="宋体"/>
          <w:color w:val="auto"/>
          <w:szCs w:val="21"/>
        </w:rPr>
        <w:t>等所有费用</w:t>
      </w:r>
      <w:r>
        <w:rPr>
          <w:rFonts w:hint="eastAsia" w:cs="宋体"/>
          <w:color w:val="auto"/>
          <w:szCs w:val="21"/>
          <w:lang w:eastAsia="zh-CN"/>
        </w:rPr>
        <w:t>。</w:t>
      </w:r>
    </w:p>
    <w:p w14:paraId="00C29E91">
      <w:pPr>
        <w:pStyle w:val="39"/>
        <w:ind w:left="0" w:leftChars="0" w:firstLine="0" w:firstLineChars="0"/>
        <w:rPr>
          <w:rFonts w:hint="eastAsia" w:ascii="宋体" w:hAnsi="宋体" w:cs="宋体"/>
          <w:color w:val="auto"/>
          <w:sz w:val="24"/>
          <w:szCs w:val="24"/>
          <w:lang w:eastAsia="zh-CN"/>
        </w:rPr>
      </w:pPr>
    </w:p>
    <w:p w14:paraId="3A96CB9D">
      <w:pPr>
        <w:spacing w:line="300" w:lineRule="auto"/>
        <w:rPr>
          <w:rFonts w:ascii="Arial" w:hAnsi="Arial" w:cs="Arial"/>
          <w:color w:val="auto"/>
          <w:sz w:val="21"/>
          <w:szCs w:val="21"/>
        </w:rPr>
      </w:pPr>
      <w:r>
        <w:rPr>
          <w:rFonts w:hint="eastAsia" w:ascii="Arial" w:hAnsi="Arial" w:cs="Arial"/>
          <w:color w:val="auto"/>
          <w:sz w:val="21"/>
          <w:szCs w:val="21"/>
        </w:rPr>
        <w:t>投标供应商</w:t>
      </w:r>
      <w:r>
        <w:rPr>
          <w:rFonts w:ascii="Arial" w:hAnsi="Arial" w:cs="Arial"/>
          <w:color w:val="auto"/>
          <w:sz w:val="21"/>
          <w:szCs w:val="21"/>
        </w:rPr>
        <w:t>名称</w:t>
      </w:r>
      <w:r>
        <w:rPr>
          <w:rFonts w:hint="eastAsia" w:ascii="Arial" w:hAnsi="Arial" w:cs="Arial"/>
          <w:color w:val="auto"/>
          <w:sz w:val="21"/>
          <w:szCs w:val="21"/>
        </w:rPr>
        <w:t>（</w:t>
      </w:r>
      <w:r>
        <w:rPr>
          <w:rFonts w:hint="eastAsia" w:ascii="Arial" w:hAnsi="Arial" w:cs="Arial"/>
          <w:color w:val="auto"/>
          <w:sz w:val="21"/>
          <w:szCs w:val="21"/>
          <w:lang w:val="en-US" w:eastAsia="zh-CN"/>
        </w:rPr>
        <w:t>电子签</w:t>
      </w:r>
      <w:r>
        <w:rPr>
          <w:rFonts w:hint="eastAsia" w:ascii="Arial" w:hAnsi="Arial" w:cs="Arial"/>
          <w:color w:val="auto"/>
          <w:sz w:val="21"/>
          <w:szCs w:val="21"/>
        </w:rPr>
        <w:t>章）</w:t>
      </w:r>
      <w:r>
        <w:rPr>
          <w:rFonts w:ascii="Arial" w:hAnsi="Arial" w:cs="Arial"/>
          <w:color w:val="auto"/>
          <w:sz w:val="21"/>
          <w:szCs w:val="21"/>
        </w:rPr>
        <w:t>：</w:t>
      </w:r>
    </w:p>
    <w:p w14:paraId="7ECFDBF0">
      <w:pPr>
        <w:pStyle w:val="39"/>
        <w:ind w:left="0" w:leftChars="0" w:firstLine="0" w:firstLineChars="0"/>
        <w:rPr>
          <w:color w:val="auto"/>
        </w:rPr>
      </w:pPr>
      <w:r>
        <w:rPr>
          <w:rFonts w:hint="eastAsia" w:ascii="Arial" w:hAnsi="Arial" w:eastAsia="宋体" w:cs="Arial"/>
          <w:color w:val="auto"/>
          <w:kern w:val="2"/>
          <w:sz w:val="21"/>
          <w:szCs w:val="21"/>
          <w:lang w:val="en-US" w:eastAsia="zh-CN" w:bidi="ar-SA"/>
        </w:rPr>
        <w:t>法定代表人（或非法人组织负责人）(电子签章)</w:t>
      </w:r>
      <w:r>
        <w:rPr>
          <w:rFonts w:hint="eastAsia" w:ascii="仿宋" w:hAnsi="仿宋" w:eastAsia="仿宋" w:cs="仿宋"/>
          <w:color w:val="auto"/>
        </w:rPr>
        <w:t>：</w:t>
      </w:r>
    </w:p>
    <w:p w14:paraId="5B93B14E">
      <w:pPr>
        <w:spacing w:line="300" w:lineRule="auto"/>
        <w:rPr>
          <w:rFonts w:hint="eastAsia" w:ascii="Arial" w:hAnsi="Arial" w:eastAsia="宋体" w:cs="Arial"/>
          <w:color w:val="auto"/>
          <w:sz w:val="21"/>
          <w:szCs w:val="21"/>
        </w:rPr>
      </w:pPr>
    </w:p>
    <w:p w14:paraId="2D6E9F0E">
      <w:pPr>
        <w:spacing w:line="300" w:lineRule="auto"/>
        <w:rPr>
          <w:rFonts w:hint="eastAsia" w:ascii="Arial" w:hAnsi="Arial" w:eastAsia="宋体" w:cs="Arial"/>
          <w:color w:val="auto"/>
          <w:sz w:val="21"/>
          <w:szCs w:val="21"/>
        </w:rPr>
      </w:pPr>
      <w:r>
        <w:rPr>
          <w:rFonts w:hint="eastAsia" w:ascii="Arial" w:hAnsi="Arial" w:eastAsia="宋体" w:cs="Arial"/>
          <w:color w:val="auto"/>
          <w:sz w:val="21"/>
          <w:szCs w:val="21"/>
        </w:rPr>
        <w:t>日期：</w:t>
      </w:r>
    </w:p>
    <w:p w14:paraId="18EEC47E">
      <w:pPr>
        <w:spacing w:line="300" w:lineRule="auto"/>
        <w:rPr>
          <w:rFonts w:hint="eastAsia" w:ascii="Arial" w:hAnsi="Arial" w:eastAsia="宋体" w:cs="Arial"/>
          <w:color w:val="auto"/>
          <w:sz w:val="21"/>
          <w:szCs w:val="21"/>
        </w:rPr>
        <w:sectPr>
          <w:footerReference r:id="rId8" w:type="default"/>
          <w:pgSz w:w="11905" w:h="16840"/>
          <w:pgMar w:top="1440" w:right="1797" w:bottom="1440" w:left="1797" w:header="851" w:footer="850" w:gutter="0"/>
          <w:cols w:space="720" w:num="1"/>
        </w:sectPr>
      </w:pPr>
    </w:p>
    <w:p w14:paraId="0452B070">
      <w:pPr>
        <w:pStyle w:val="4"/>
        <w:numPr>
          <w:ilvl w:val="0"/>
          <w:numId w:val="24"/>
        </w:numPr>
        <w:jc w:val="center"/>
        <w:rPr>
          <w:rFonts w:hint="eastAsia"/>
          <w:color w:val="auto"/>
        </w:rPr>
      </w:pPr>
      <w:bookmarkStart w:id="364" w:name="_Toc8780"/>
      <w:bookmarkStart w:id="365" w:name="_Toc155185924"/>
      <w:r>
        <w:rPr>
          <w:rFonts w:hint="eastAsia"/>
          <w:color w:val="auto"/>
        </w:rPr>
        <w:t>法定代表人（负责人）身份证明</w:t>
      </w:r>
      <w:bookmarkEnd w:id="364"/>
      <w:bookmarkEnd w:id="365"/>
    </w:p>
    <w:p w14:paraId="780E5341">
      <w:pPr>
        <w:ind w:firstLine="480" w:firstLineChars="200"/>
        <w:rPr>
          <w:rFonts w:hint="eastAsia" w:cs="仿宋_GB2312"/>
          <w:color w:val="auto"/>
          <w:szCs w:val="24"/>
        </w:rPr>
      </w:pPr>
      <w:r>
        <w:rPr>
          <w:rFonts w:hint="eastAsia" w:cs="仿宋_GB2312"/>
          <w:color w:val="auto"/>
          <w:szCs w:val="24"/>
        </w:rPr>
        <w:t>投标供应商名称：</w:t>
      </w:r>
    </w:p>
    <w:p w14:paraId="581ABDE3">
      <w:pPr>
        <w:ind w:firstLine="480" w:firstLineChars="200"/>
        <w:rPr>
          <w:rFonts w:hint="eastAsia" w:cs="仿宋_GB2312"/>
          <w:color w:val="auto"/>
          <w:szCs w:val="24"/>
        </w:rPr>
      </w:pPr>
      <w:r>
        <w:rPr>
          <w:rFonts w:hint="eastAsia" w:cs="仿宋_GB2312"/>
          <w:color w:val="auto"/>
          <w:szCs w:val="24"/>
        </w:rPr>
        <w:t xml:space="preserve">单位性质：                                       </w:t>
      </w:r>
    </w:p>
    <w:p w14:paraId="559BD5B5">
      <w:pPr>
        <w:ind w:firstLine="480" w:firstLineChars="200"/>
        <w:rPr>
          <w:rFonts w:hint="eastAsia" w:cs="仿宋_GB2312"/>
          <w:color w:val="auto"/>
          <w:szCs w:val="24"/>
        </w:rPr>
      </w:pPr>
      <w:r>
        <w:rPr>
          <w:rFonts w:hint="eastAsia" w:cs="仿宋_GB2312"/>
          <w:color w:val="auto"/>
          <w:szCs w:val="24"/>
        </w:rPr>
        <w:t xml:space="preserve">地    址：                                             </w:t>
      </w:r>
    </w:p>
    <w:p w14:paraId="49A920A3">
      <w:pPr>
        <w:ind w:firstLine="480" w:firstLineChars="200"/>
        <w:rPr>
          <w:rFonts w:hint="eastAsia" w:cs="仿宋_GB2312"/>
          <w:color w:val="auto"/>
          <w:szCs w:val="24"/>
        </w:rPr>
      </w:pPr>
      <w:r>
        <w:rPr>
          <w:rFonts w:hint="eastAsia" w:cs="仿宋_GB2312"/>
          <w:color w:val="auto"/>
          <w:szCs w:val="24"/>
        </w:rPr>
        <w:t xml:space="preserve">成立时间：  </w:t>
      </w:r>
    </w:p>
    <w:p w14:paraId="527CB8A9">
      <w:pPr>
        <w:ind w:firstLine="480" w:firstLineChars="200"/>
        <w:rPr>
          <w:rFonts w:hint="eastAsia" w:cs="仿宋_GB2312"/>
          <w:color w:val="auto"/>
          <w:szCs w:val="24"/>
        </w:rPr>
      </w:pPr>
      <w:r>
        <w:rPr>
          <w:rFonts w:hint="eastAsia" w:cs="仿宋_GB2312"/>
          <w:color w:val="auto"/>
          <w:szCs w:val="24"/>
        </w:rPr>
        <w:t xml:space="preserve">经营期限：                                          </w:t>
      </w:r>
    </w:p>
    <w:p w14:paraId="07FD5C15">
      <w:pPr>
        <w:ind w:firstLine="480" w:firstLineChars="200"/>
        <w:rPr>
          <w:rFonts w:hint="eastAsia" w:cs="仿宋_GB2312"/>
          <w:color w:val="auto"/>
          <w:szCs w:val="24"/>
        </w:rPr>
      </w:pPr>
      <w:r>
        <w:rPr>
          <w:rFonts w:hint="eastAsia" w:cs="仿宋_GB2312"/>
          <w:color w:val="auto"/>
          <w:szCs w:val="24"/>
        </w:rPr>
        <w:t xml:space="preserve">姓    名：                性别：                   </w:t>
      </w:r>
    </w:p>
    <w:p w14:paraId="051EA698">
      <w:pPr>
        <w:ind w:firstLine="480" w:firstLineChars="200"/>
        <w:rPr>
          <w:rFonts w:hint="eastAsia" w:cs="仿宋_GB2312"/>
          <w:color w:val="auto"/>
          <w:szCs w:val="24"/>
        </w:rPr>
      </w:pPr>
      <w:r>
        <w:rPr>
          <w:rFonts w:hint="eastAsia" w:cs="仿宋_GB2312"/>
          <w:color w:val="auto"/>
          <w:szCs w:val="24"/>
        </w:rPr>
        <w:t xml:space="preserve">年龄：                    职务：                     </w:t>
      </w:r>
    </w:p>
    <w:p w14:paraId="6B945108">
      <w:pPr>
        <w:ind w:firstLine="480" w:firstLineChars="200"/>
        <w:rPr>
          <w:rFonts w:hint="eastAsia" w:cs="仿宋_GB2312"/>
          <w:color w:val="auto"/>
          <w:szCs w:val="24"/>
        </w:rPr>
      </w:pPr>
      <w:r>
        <w:rPr>
          <w:rFonts w:hint="eastAsia" w:cs="仿宋_GB2312"/>
          <w:color w:val="auto"/>
          <w:szCs w:val="24"/>
        </w:rPr>
        <w:t>系                      （投标供应商名称）的法定代表人</w:t>
      </w:r>
      <w:r>
        <w:rPr>
          <w:rFonts w:hint="eastAsia"/>
          <w:color w:val="auto"/>
        </w:rPr>
        <w:t>（负责人）</w:t>
      </w:r>
      <w:r>
        <w:rPr>
          <w:rFonts w:hint="eastAsia" w:cs="仿宋_GB2312"/>
          <w:color w:val="auto"/>
          <w:szCs w:val="24"/>
        </w:rPr>
        <w:t xml:space="preserve">。 </w:t>
      </w:r>
    </w:p>
    <w:p w14:paraId="586720D1">
      <w:pPr>
        <w:ind w:firstLine="480" w:firstLineChars="200"/>
        <w:rPr>
          <w:rFonts w:hint="eastAsia" w:cs="仿宋_GB2312"/>
          <w:color w:val="auto"/>
          <w:szCs w:val="24"/>
        </w:rPr>
      </w:pPr>
      <w:r>
        <w:rPr>
          <w:rFonts w:hint="eastAsia" w:cs="仿宋_GB2312"/>
          <w:color w:val="auto"/>
          <w:szCs w:val="24"/>
        </w:rPr>
        <w:t>特此证明。</w:t>
      </w:r>
    </w:p>
    <w:p w14:paraId="6A50D985">
      <w:pPr>
        <w:ind w:firstLine="480" w:firstLineChars="200"/>
        <w:rPr>
          <w:rFonts w:hint="eastAsia" w:cs="仿宋_GB2312"/>
          <w:color w:val="auto"/>
          <w:szCs w:val="24"/>
        </w:rPr>
      </w:pPr>
    </w:p>
    <w:p w14:paraId="4E1162A0">
      <w:pPr>
        <w:widowControl/>
        <w:rPr>
          <w:rFonts w:hint="eastAsia"/>
          <w:color w:val="auto"/>
          <w:sz w:val="21"/>
        </w:rPr>
      </w:pPr>
    </w:p>
    <w:p w14:paraId="4D1C7FC6">
      <w:pPr>
        <w:ind w:firstLine="480" w:firstLineChars="200"/>
        <w:rPr>
          <w:rFonts w:hint="eastAsia" w:cs="仿宋_GB2312"/>
          <w:color w:val="auto"/>
          <w:szCs w:val="24"/>
        </w:rPr>
      </w:pPr>
      <w:r>
        <w:rPr>
          <w:rFonts w:hint="eastAsia" w:cs="仿宋_GB2312"/>
          <w:color w:val="auto"/>
          <w:szCs w:val="24"/>
        </w:rPr>
        <w:t>投标供应商名称：（</w:t>
      </w:r>
      <w:r>
        <w:rPr>
          <w:rFonts w:hint="eastAsia" w:cs="仿宋_GB2312"/>
          <w:color w:val="auto"/>
          <w:szCs w:val="24"/>
          <w:lang w:val="en-US" w:eastAsia="zh-CN"/>
        </w:rPr>
        <w:t>电子签章</w:t>
      </w:r>
      <w:r>
        <w:rPr>
          <w:rFonts w:hint="eastAsia" w:cs="仿宋_GB2312"/>
          <w:color w:val="auto"/>
          <w:szCs w:val="24"/>
        </w:rPr>
        <w:t>）</w:t>
      </w:r>
    </w:p>
    <w:p w14:paraId="67329A25">
      <w:pPr>
        <w:ind w:firstLine="480" w:firstLineChars="200"/>
        <w:rPr>
          <w:rFonts w:hint="eastAsia" w:cs="仿宋_GB2312"/>
          <w:color w:val="auto"/>
          <w:szCs w:val="24"/>
        </w:rPr>
      </w:pPr>
      <w:r>
        <w:rPr>
          <w:rFonts w:hint="eastAsia" w:cs="仿宋_GB2312"/>
          <w:color w:val="auto"/>
          <w:szCs w:val="24"/>
        </w:rPr>
        <w:t>日      期：   年  月  日</w:t>
      </w:r>
    </w:p>
    <w:p w14:paraId="298BAD0A">
      <w:pPr>
        <w:rPr>
          <w:rFonts w:hint="eastAsia" w:cs="Arial"/>
          <w:color w:val="auto"/>
          <w:sz w:val="21"/>
          <w:szCs w:val="21"/>
        </w:rPr>
      </w:pPr>
    </w:p>
    <w:tbl>
      <w:tblPr>
        <w:tblStyle w:val="3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7655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21F72529">
            <w:pPr>
              <w:rPr>
                <w:rFonts w:hint="eastAsia" w:cs="Arial"/>
                <w:color w:val="auto"/>
              </w:rPr>
            </w:pPr>
            <w:r>
              <w:rPr>
                <w:rFonts w:hint="eastAsia" w:cs="仿宋_GB2312"/>
                <w:color w:val="auto"/>
                <w:szCs w:val="24"/>
              </w:rPr>
              <w:t>附：法定代表人</w:t>
            </w:r>
            <w:r>
              <w:rPr>
                <w:rFonts w:hint="eastAsia"/>
                <w:color w:val="auto"/>
              </w:rPr>
              <w:t>（负责人）</w:t>
            </w:r>
            <w:r>
              <w:rPr>
                <w:rFonts w:hint="eastAsia" w:cs="仿宋_GB2312"/>
                <w:color w:val="auto"/>
                <w:szCs w:val="24"/>
              </w:rPr>
              <w:t>身份证复印件</w:t>
            </w:r>
          </w:p>
        </w:tc>
      </w:tr>
    </w:tbl>
    <w:p w14:paraId="3C47EF0C">
      <w:pPr>
        <w:ind w:firstLine="840" w:firstLineChars="350"/>
        <w:jc w:val="center"/>
        <w:rPr>
          <w:rFonts w:hint="eastAsia" w:cs="Arial"/>
          <w:color w:val="auto"/>
        </w:rPr>
      </w:pPr>
    </w:p>
    <w:p w14:paraId="2C7574D4">
      <w:pPr>
        <w:rPr>
          <w:rFonts w:hint="eastAsia"/>
          <w:b/>
          <w:color w:val="auto"/>
          <w:sz w:val="28"/>
          <w:szCs w:val="28"/>
        </w:rPr>
      </w:pPr>
      <w:r>
        <w:rPr>
          <w:b/>
          <w:color w:val="auto"/>
          <w:sz w:val="28"/>
          <w:szCs w:val="28"/>
        </w:rPr>
        <w:t>注：法定代表人</w:t>
      </w:r>
      <w:r>
        <w:rPr>
          <w:rFonts w:hint="eastAsia"/>
          <w:b/>
          <w:color w:val="auto"/>
          <w:sz w:val="28"/>
          <w:szCs w:val="28"/>
        </w:rPr>
        <w:t>（负责人）</w:t>
      </w:r>
      <w:r>
        <w:rPr>
          <w:b/>
          <w:color w:val="auto"/>
          <w:sz w:val="28"/>
          <w:szCs w:val="28"/>
        </w:rPr>
        <w:t>参加投标时提供</w:t>
      </w:r>
    </w:p>
    <w:p w14:paraId="4974F53D">
      <w:pPr>
        <w:rPr>
          <w:rFonts w:hint="eastAsia"/>
          <w:b/>
          <w:color w:val="auto"/>
          <w:sz w:val="28"/>
          <w:szCs w:val="28"/>
        </w:rPr>
      </w:pPr>
      <w:r>
        <w:rPr>
          <w:b/>
          <w:color w:val="auto"/>
          <w:sz w:val="28"/>
          <w:szCs w:val="28"/>
        </w:rPr>
        <w:br w:type="page"/>
      </w:r>
    </w:p>
    <w:p w14:paraId="5D4EFE55">
      <w:pPr>
        <w:pStyle w:val="4"/>
        <w:numPr>
          <w:ilvl w:val="0"/>
          <w:numId w:val="24"/>
        </w:numPr>
        <w:jc w:val="center"/>
        <w:rPr>
          <w:rFonts w:hint="eastAsia"/>
          <w:color w:val="auto"/>
        </w:rPr>
      </w:pPr>
      <w:bookmarkStart w:id="366" w:name="_Toc6481"/>
      <w:bookmarkStart w:id="367" w:name="_Toc155185925"/>
      <w:r>
        <w:rPr>
          <w:rFonts w:hint="eastAsia"/>
          <w:color w:val="auto"/>
        </w:rPr>
        <w:t>法定代表人（负责人）授权书</w:t>
      </w:r>
      <w:bookmarkEnd w:id="366"/>
      <w:bookmarkEnd w:id="367"/>
    </w:p>
    <w:p w14:paraId="46A75CCE">
      <w:pPr>
        <w:ind w:firstLine="480" w:firstLineChars="200"/>
        <w:rPr>
          <w:rFonts w:hint="eastAsia" w:cs="仿宋_GB2312"/>
          <w:color w:val="auto"/>
          <w:szCs w:val="24"/>
        </w:rPr>
      </w:pPr>
      <w:r>
        <w:rPr>
          <w:rFonts w:hint="eastAsia" w:cs="仿宋_GB2312"/>
          <w:color w:val="auto"/>
          <w:szCs w:val="24"/>
        </w:rPr>
        <w:t>本人</w:t>
      </w:r>
      <w:r>
        <w:rPr>
          <w:rFonts w:cs="仿宋_GB2312"/>
          <w:color w:val="auto"/>
          <w:szCs w:val="24"/>
          <w:u w:val="single"/>
        </w:rPr>
        <w:t xml:space="preserve">     </w:t>
      </w:r>
      <w:r>
        <w:rPr>
          <w:rFonts w:hint="eastAsia" w:cs="仿宋_GB2312"/>
          <w:color w:val="auto"/>
          <w:szCs w:val="24"/>
          <w:u w:val="single"/>
        </w:rPr>
        <w:t>（姓名）</w:t>
      </w:r>
      <w:r>
        <w:rPr>
          <w:rFonts w:hint="eastAsia" w:cs="仿宋_GB2312"/>
          <w:color w:val="auto"/>
          <w:szCs w:val="24"/>
        </w:rPr>
        <w:t>系</w:t>
      </w:r>
      <w:r>
        <w:rPr>
          <w:rFonts w:hint="eastAsia" w:cs="仿宋_GB2312"/>
          <w:color w:val="auto"/>
          <w:szCs w:val="24"/>
          <w:u w:val="single"/>
        </w:rPr>
        <w:t xml:space="preserve">     （投标供应商名称）</w:t>
      </w:r>
      <w:r>
        <w:rPr>
          <w:rFonts w:hint="eastAsia" w:cs="仿宋_GB2312"/>
          <w:color w:val="auto"/>
          <w:szCs w:val="24"/>
        </w:rPr>
        <w:t>的法定代表人</w:t>
      </w:r>
      <w:r>
        <w:rPr>
          <w:rFonts w:hint="eastAsia"/>
          <w:color w:val="auto"/>
        </w:rPr>
        <w:t>（负责人）</w:t>
      </w:r>
      <w:r>
        <w:rPr>
          <w:rFonts w:hint="eastAsia" w:cs="仿宋_GB2312"/>
          <w:color w:val="auto"/>
          <w:szCs w:val="24"/>
        </w:rPr>
        <w:t>，现委托</w:t>
      </w:r>
      <w:r>
        <w:rPr>
          <w:rFonts w:hint="eastAsia" w:cs="仿宋_GB2312"/>
          <w:color w:val="auto"/>
          <w:szCs w:val="24"/>
          <w:u w:val="single"/>
        </w:rPr>
        <w:t xml:space="preserve">     </w:t>
      </w:r>
      <w:r>
        <w:rPr>
          <w:rFonts w:hint="eastAsia" w:cs="仿宋_GB2312"/>
          <w:color w:val="auto"/>
          <w:szCs w:val="24"/>
        </w:rPr>
        <w:t>（姓名）为我方代理人。代理人根据授权，以我方名义签署、澄清、说明、补正、递交、撤回、修改</w:t>
      </w:r>
      <w:r>
        <w:rPr>
          <w:rFonts w:hint="eastAsia" w:cs="仿宋_GB2312"/>
          <w:color w:val="auto"/>
          <w:szCs w:val="24"/>
          <w:u w:val="single"/>
        </w:rPr>
        <w:t xml:space="preserve">     </w:t>
      </w:r>
      <w:r>
        <w:rPr>
          <w:rFonts w:hint="eastAsia" w:cs="仿宋_GB2312"/>
          <w:color w:val="auto"/>
          <w:szCs w:val="24"/>
        </w:rPr>
        <w:t>（项目名称）投标文件、签订合同和处理有关事宜，其法律后果由我方承担。</w:t>
      </w:r>
    </w:p>
    <w:p w14:paraId="5DA3E9D3">
      <w:pPr>
        <w:ind w:firstLine="480" w:firstLineChars="200"/>
        <w:rPr>
          <w:rFonts w:hint="eastAsia" w:cs="仿宋_GB2312"/>
          <w:color w:val="auto"/>
          <w:szCs w:val="24"/>
        </w:rPr>
      </w:pPr>
      <w:r>
        <w:rPr>
          <w:rFonts w:hint="eastAsia" w:cs="仿宋_GB2312"/>
          <w:color w:val="auto"/>
          <w:szCs w:val="24"/>
        </w:rPr>
        <w:t xml:space="preserve">委托期限：                   </w:t>
      </w:r>
    </w:p>
    <w:p w14:paraId="7C9D12F2">
      <w:pPr>
        <w:ind w:firstLine="480" w:firstLineChars="200"/>
        <w:rPr>
          <w:rFonts w:hint="eastAsia" w:cs="仿宋_GB2312"/>
          <w:color w:val="auto"/>
          <w:szCs w:val="24"/>
        </w:rPr>
      </w:pPr>
      <w:r>
        <w:rPr>
          <w:rFonts w:hint="eastAsia" w:cs="仿宋_GB2312"/>
          <w:color w:val="auto"/>
          <w:szCs w:val="24"/>
        </w:rPr>
        <w:t>代理人无转委托权。</w:t>
      </w:r>
    </w:p>
    <w:p w14:paraId="31DBB368">
      <w:pPr>
        <w:ind w:firstLine="480" w:firstLineChars="200"/>
        <w:rPr>
          <w:rFonts w:hint="eastAsia" w:cs="仿宋_GB2312"/>
          <w:color w:val="auto"/>
          <w:szCs w:val="24"/>
        </w:rPr>
      </w:pPr>
      <w:r>
        <w:rPr>
          <w:rFonts w:hint="eastAsia" w:cs="仿宋_GB2312"/>
          <w:color w:val="auto"/>
          <w:szCs w:val="24"/>
        </w:rPr>
        <w:t>附：法定代表人</w:t>
      </w:r>
      <w:r>
        <w:rPr>
          <w:rFonts w:hint="eastAsia"/>
          <w:color w:val="auto"/>
        </w:rPr>
        <w:t>（负责人）</w:t>
      </w:r>
      <w:r>
        <w:rPr>
          <w:rFonts w:hint="eastAsia" w:cs="仿宋_GB2312"/>
          <w:color w:val="auto"/>
          <w:szCs w:val="24"/>
        </w:rPr>
        <w:t>身份证明</w:t>
      </w:r>
    </w:p>
    <w:p w14:paraId="7DD4A74D">
      <w:pPr>
        <w:ind w:firstLine="480" w:firstLineChars="200"/>
        <w:rPr>
          <w:rFonts w:hint="eastAsia" w:cs="仿宋_GB2312"/>
          <w:color w:val="auto"/>
          <w:szCs w:val="24"/>
        </w:rPr>
      </w:pPr>
    </w:p>
    <w:p w14:paraId="5E188E03">
      <w:pPr>
        <w:ind w:firstLine="480" w:firstLineChars="200"/>
        <w:rPr>
          <w:rFonts w:hint="eastAsia" w:cs="仿宋_GB2312"/>
          <w:color w:val="auto"/>
          <w:szCs w:val="24"/>
        </w:rPr>
      </w:pPr>
      <w:r>
        <w:rPr>
          <w:rFonts w:hint="eastAsia" w:cs="仿宋_GB2312"/>
          <w:color w:val="auto"/>
          <w:szCs w:val="24"/>
        </w:rPr>
        <w:t>投标供应商：（</w:t>
      </w:r>
      <w:r>
        <w:rPr>
          <w:rFonts w:hint="eastAsia" w:cs="仿宋_GB2312"/>
          <w:color w:val="auto"/>
          <w:szCs w:val="24"/>
          <w:lang w:val="en-US" w:eastAsia="zh-CN"/>
        </w:rPr>
        <w:t>电子签章</w:t>
      </w:r>
      <w:r>
        <w:rPr>
          <w:rFonts w:hint="eastAsia" w:cs="仿宋_GB2312"/>
          <w:color w:val="auto"/>
          <w:szCs w:val="24"/>
        </w:rPr>
        <w:t>）</w:t>
      </w:r>
    </w:p>
    <w:p w14:paraId="66DD202E">
      <w:pPr>
        <w:ind w:firstLine="480" w:firstLineChars="200"/>
        <w:rPr>
          <w:rFonts w:hint="eastAsia" w:cs="仿宋_GB2312"/>
          <w:color w:val="auto"/>
          <w:szCs w:val="24"/>
        </w:rPr>
      </w:pPr>
      <w:r>
        <w:rPr>
          <w:rFonts w:hint="eastAsia" w:cs="仿宋_GB2312"/>
          <w:color w:val="auto"/>
          <w:szCs w:val="24"/>
        </w:rPr>
        <w:t>法定代表人</w:t>
      </w:r>
      <w:r>
        <w:rPr>
          <w:rFonts w:hint="eastAsia"/>
          <w:color w:val="auto"/>
        </w:rPr>
        <w:t>（负责人）</w:t>
      </w:r>
      <w:r>
        <w:rPr>
          <w:rFonts w:hint="eastAsia" w:cs="仿宋_GB2312"/>
          <w:color w:val="auto"/>
          <w:szCs w:val="24"/>
          <w:lang w:val="en-US" w:eastAsia="zh-CN"/>
        </w:rPr>
        <w:t>电子签章</w:t>
      </w:r>
      <w:r>
        <w:rPr>
          <w:rFonts w:hint="eastAsia" w:cs="仿宋_GB2312"/>
          <w:color w:val="auto"/>
          <w:szCs w:val="24"/>
        </w:rPr>
        <w:t>：</w:t>
      </w:r>
    </w:p>
    <w:p w14:paraId="636DB3A8">
      <w:pPr>
        <w:ind w:firstLine="480" w:firstLineChars="200"/>
        <w:rPr>
          <w:rFonts w:hint="eastAsia" w:cs="仿宋_GB2312"/>
          <w:color w:val="auto"/>
          <w:szCs w:val="24"/>
        </w:rPr>
      </w:pPr>
      <w:r>
        <w:rPr>
          <w:rFonts w:hint="eastAsia" w:cs="仿宋_GB2312"/>
          <w:color w:val="auto"/>
          <w:szCs w:val="24"/>
        </w:rPr>
        <w:t xml:space="preserve">身份证号码：   </w:t>
      </w:r>
    </w:p>
    <w:p w14:paraId="1A21DB31">
      <w:pPr>
        <w:ind w:firstLine="480" w:firstLineChars="200"/>
        <w:rPr>
          <w:rFonts w:hint="eastAsia" w:cs="仿宋_GB2312"/>
          <w:color w:val="auto"/>
          <w:szCs w:val="24"/>
        </w:rPr>
      </w:pPr>
      <w:r>
        <w:rPr>
          <w:rFonts w:hint="eastAsia" w:cs="仿宋_GB2312"/>
          <w:color w:val="auto"/>
          <w:szCs w:val="24"/>
        </w:rPr>
        <w:t>委托代理人：</w:t>
      </w:r>
      <w:r>
        <w:rPr>
          <w:rFonts w:cs="仿宋_GB2312"/>
          <w:color w:val="auto"/>
          <w:szCs w:val="24"/>
        </w:rPr>
        <w:t xml:space="preserve"> </w:t>
      </w:r>
    </w:p>
    <w:p w14:paraId="0C8C717F">
      <w:pPr>
        <w:ind w:firstLine="480" w:firstLineChars="200"/>
        <w:rPr>
          <w:rFonts w:hint="eastAsia" w:cs="仿宋_GB2312"/>
          <w:color w:val="auto"/>
          <w:szCs w:val="24"/>
        </w:rPr>
      </w:pPr>
      <w:r>
        <w:rPr>
          <w:rFonts w:hint="eastAsia" w:cs="仿宋_GB2312"/>
          <w:color w:val="auto"/>
          <w:szCs w:val="24"/>
        </w:rPr>
        <w:t>身份证号码：</w:t>
      </w:r>
    </w:p>
    <w:p w14:paraId="708A1504">
      <w:pPr>
        <w:ind w:firstLine="480" w:firstLineChars="200"/>
        <w:rPr>
          <w:rFonts w:hint="eastAsia" w:cs="仿宋_GB2312"/>
          <w:color w:val="auto"/>
          <w:szCs w:val="24"/>
        </w:rPr>
      </w:pPr>
      <w:r>
        <w:rPr>
          <w:rFonts w:hint="eastAsia" w:cs="仿宋_GB2312"/>
          <w:color w:val="auto"/>
          <w:szCs w:val="24"/>
        </w:rPr>
        <w:t>日      期：</w:t>
      </w:r>
    </w:p>
    <w:p w14:paraId="6BED9E0C">
      <w:pPr>
        <w:pStyle w:val="49"/>
        <w:spacing w:line="300" w:lineRule="auto"/>
        <w:ind w:right="480" w:firstLine="3990" w:firstLineChars="1900"/>
        <w:rPr>
          <w:rFonts w:hint="eastAsia" w:ascii="宋体" w:hAnsi="宋体" w:cs="Arial"/>
          <w:color w:val="auto"/>
          <w:sz w:val="21"/>
          <w:szCs w:val="21"/>
        </w:rPr>
      </w:pPr>
    </w:p>
    <w:p w14:paraId="3EE7E52B">
      <w:pPr>
        <w:rPr>
          <w:rFonts w:hint="eastAsia" w:cs="Arial"/>
          <w:color w:val="auto"/>
        </w:rPr>
      </w:pPr>
    </w:p>
    <w:tbl>
      <w:tblPr>
        <w:tblStyle w:val="3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5D83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74173D8B">
            <w:pPr>
              <w:rPr>
                <w:rFonts w:hint="eastAsia" w:cs="Arial"/>
                <w:color w:val="auto"/>
              </w:rPr>
            </w:pPr>
            <w:r>
              <w:rPr>
                <w:rFonts w:hint="eastAsia" w:cs="仿宋_GB2312"/>
                <w:color w:val="auto"/>
                <w:szCs w:val="24"/>
              </w:rPr>
              <w:t>附：法定代表人</w:t>
            </w:r>
            <w:r>
              <w:rPr>
                <w:rFonts w:hint="eastAsia"/>
                <w:color w:val="auto"/>
              </w:rPr>
              <w:t>（负责人）</w:t>
            </w:r>
            <w:r>
              <w:rPr>
                <w:rFonts w:hint="eastAsia" w:cs="仿宋_GB2312"/>
                <w:color w:val="auto"/>
                <w:szCs w:val="24"/>
              </w:rPr>
              <w:t>和授权代表身份证复印件(正反面)</w:t>
            </w:r>
          </w:p>
        </w:tc>
      </w:tr>
    </w:tbl>
    <w:p w14:paraId="512DAC0C">
      <w:pPr>
        <w:rPr>
          <w:rFonts w:hint="eastAsia"/>
          <w:b/>
          <w:color w:val="auto"/>
          <w:sz w:val="28"/>
          <w:szCs w:val="28"/>
        </w:rPr>
      </w:pPr>
      <w:r>
        <w:rPr>
          <w:b/>
          <w:color w:val="auto"/>
          <w:sz w:val="28"/>
          <w:szCs w:val="28"/>
        </w:rPr>
        <w:t>注：</w:t>
      </w:r>
      <w:r>
        <w:rPr>
          <w:rFonts w:hint="eastAsia"/>
          <w:b/>
          <w:color w:val="auto"/>
          <w:sz w:val="28"/>
          <w:szCs w:val="28"/>
        </w:rPr>
        <w:t>授权</w:t>
      </w:r>
      <w:r>
        <w:rPr>
          <w:b/>
          <w:color w:val="auto"/>
          <w:sz w:val="28"/>
          <w:szCs w:val="28"/>
        </w:rPr>
        <w:t>代表人参加投标时提供</w:t>
      </w:r>
    </w:p>
    <w:p w14:paraId="4A420205">
      <w:pPr>
        <w:rPr>
          <w:rFonts w:hint="eastAsia"/>
          <w:color w:val="auto"/>
        </w:rPr>
      </w:pPr>
      <w:r>
        <w:rPr>
          <w:color w:val="auto"/>
        </w:rPr>
        <w:br w:type="page"/>
      </w:r>
    </w:p>
    <w:p w14:paraId="64AF9FB9">
      <w:pPr>
        <w:pStyle w:val="3"/>
        <w:numPr>
          <w:ilvl w:val="0"/>
          <w:numId w:val="23"/>
        </w:numPr>
        <w:rPr>
          <w:rFonts w:hint="eastAsia"/>
          <w:color w:val="auto"/>
          <w:lang w:val="zh-CN"/>
        </w:rPr>
      </w:pPr>
      <w:bookmarkStart w:id="368" w:name="_Toc155185926"/>
      <w:bookmarkStart w:id="369" w:name="_Toc8743"/>
      <w:r>
        <w:rPr>
          <w:rFonts w:hint="eastAsia"/>
          <w:color w:val="auto"/>
          <w:lang w:val="zh-CN"/>
        </w:rPr>
        <w:t>资格证明文件</w:t>
      </w:r>
      <w:bookmarkEnd w:id="368"/>
      <w:bookmarkEnd w:id="369"/>
    </w:p>
    <w:p w14:paraId="70D7C4FB">
      <w:pPr>
        <w:ind w:firstLine="480" w:firstLineChars="200"/>
        <w:rPr>
          <w:rFonts w:hint="eastAsia" w:cs="仿宋_GB2312"/>
          <w:color w:val="auto"/>
          <w:szCs w:val="24"/>
          <w:lang w:val="zh-CN"/>
        </w:rPr>
      </w:pPr>
      <w:r>
        <w:rPr>
          <w:rFonts w:hint="eastAsia" w:cs="仿宋_GB2312"/>
          <w:color w:val="auto"/>
          <w:szCs w:val="24"/>
          <w:lang w:val="zh-CN"/>
        </w:rPr>
        <w:t>封面：</w:t>
      </w:r>
    </w:p>
    <w:p w14:paraId="42DBB7A7">
      <w:pPr>
        <w:autoSpaceDE w:val="0"/>
        <w:autoSpaceDN w:val="0"/>
        <w:adjustRightInd w:val="0"/>
        <w:rPr>
          <w:rFonts w:hint="eastAsia"/>
          <w:color w:val="auto"/>
          <w:sz w:val="21"/>
          <w:szCs w:val="24"/>
        </w:rPr>
      </w:pPr>
    </w:p>
    <w:p w14:paraId="215ACF75">
      <w:pPr>
        <w:autoSpaceDE w:val="0"/>
        <w:autoSpaceDN w:val="0"/>
        <w:adjustRightInd w:val="0"/>
        <w:rPr>
          <w:rFonts w:hint="eastAsia"/>
          <w:color w:val="auto"/>
          <w:sz w:val="21"/>
          <w:szCs w:val="24"/>
        </w:rPr>
      </w:pPr>
    </w:p>
    <w:p w14:paraId="362A0D44">
      <w:pPr>
        <w:autoSpaceDE w:val="0"/>
        <w:autoSpaceDN w:val="0"/>
        <w:adjustRightInd w:val="0"/>
        <w:jc w:val="center"/>
        <w:rPr>
          <w:rFonts w:hint="eastAsia"/>
          <w:color w:val="auto"/>
          <w:sz w:val="21"/>
          <w:szCs w:val="24"/>
        </w:rPr>
      </w:pPr>
    </w:p>
    <w:p w14:paraId="70FE48F8">
      <w:pPr>
        <w:autoSpaceDE w:val="0"/>
        <w:autoSpaceDN w:val="0"/>
        <w:adjustRightInd w:val="0"/>
        <w:jc w:val="center"/>
        <w:rPr>
          <w:rFonts w:hint="eastAsia"/>
          <w:b/>
          <w:color w:val="auto"/>
          <w:sz w:val="84"/>
          <w:szCs w:val="84"/>
        </w:rPr>
      </w:pPr>
      <w:r>
        <w:rPr>
          <w:rFonts w:hint="eastAsia"/>
          <w:b/>
          <w:color w:val="auto"/>
          <w:sz w:val="84"/>
          <w:szCs w:val="84"/>
        </w:rPr>
        <w:t>投 标 文 件</w:t>
      </w:r>
    </w:p>
    <w:p w14:paraId="45643FB4">
      <w:pPr>
        <w:autoSpaceDE w:val="0"/>
        <w:autoSpaceDN w:val="0"/>
        <w:adjustRightInd w:val="0"/>
        <w:jc w:val="center"/>
        <w:rPr>
          <w:rFonts w:hint="eastAsia"/>
          <w:b/>
          <w:color w:val="auto"/>
          <w:sz w:val="56"/>
          <w:szCs w:val="56"/>
        </w:rPr>
      </w:pPr>
      <w:r>
        <w:rPr>
          <w:rFonts w:hint="eastAsia"/>
          <w:b/>
          <w:color w:val="auto"/>
          <w:sz w:val="56"/>
          <w:szCs w:val="56"/>
        </w:rPr>
        <w:t>资格证明文件</w:t>
      </w:r>
    </w:p>
    <w:p w14:paraId="6E525D82">
      <w:pPr>
        <w:autoSpaceDE w:val="0"/>
        <w:autoSpaceDN w:val="0"/>
        <w:adjustRightInd w:val="0"/>
        <w:rPr>
          <w:rFonts w:hint="eastAsia"/>
          <w:b/>
          <w:bCs/>
          <w:color w:val="auto"/>
          <w:sz w:val="22"/>
        </w:rPr>
      </w:pPr>
    </w:p>
    <w:p w14:paraId="217A44A9">
      <w:pPr>
        <w:autoSpaceDE w:val="0"/>
        <w:autoSpaceDN w:val="0"/>
        <w:adjustRightInd w:val="0"/>
        <w:rPr>
          <w:rFonts w:hint="eastAsia"/>
          <w:color w:val="auto"/>
          <w:sz w:val="21"/>
          <w:szCs w:val="21"/>
        </w:rPr>
      </w:pPr>
    </w:p>
    <w:p w14:paraId="526BBC2E">
      <w:pPr>
        <w:autoSpaceDE w:val="0"/>
        <w:autoSpaceDN w:val="0"/>
        <w:adjustRightInd w:val="0"/>
        <w:rPr>
          <w:rFonts w:hint="eastAsia"/>
          <w:color w:val="auto"/>
          <w:sz w:val="21"/>
          <w:szCs w:val="21"/>
        </w:rPr>
      </w:pPr>
    </w:p>
    <w:p w14:paraId="69922DFD">
      <w:pPr>
        <w:autoSpaceDE w:val="0"/>
        <w:autoSpaceDN w:val="0"/>
        <w:adjustRightInd w:val="0"/>
        <w:rPr>
          <w:rFonts w:hint="eastAsia"/>
          <w:color w:val="auto"/>
          <w:sz w:val="21"/>
          <w:szCs w:val="21"/>
        </w:rPr>
      </w:pPr>
    </w:p>
    <w:p w14:paraId="19B88BBE">
      <w:pPr>
        <w:ind w:left="420" w:leftChars="175"/>
        <w:rPr>
          <w:rFonts w:hint="eastAsia" w:ascii="黑体" w:hAnsi="黑体" w:eastAsia="黑体"/>
          <w:color w:val="auto"/>
          <w:sz w:val="32"/>
          <w:szCs w:val="32"/>
        </w:rPr>
      </w:pPr>
      <w:r>
        <w:rPr>
          <w:rFonts w:hint="eastAsia" w:ascii="黑体" w:hAnsi="黑体" w:eastAsia="黑体"/>
          <w:color w:val="auto"/>
          <w:sz w:val="32"/>
          <w:szCs w:val="32"/>
        </w:rPr>
        <w:t>采购计划备案号：</w:t>
      </w:r>
      <w:r>
        <w:rPr>
          <w:rFonts w:ascii="黑体" w:hAnsi="黑体" w:eastAsia="黑体"/>
          <w:color w:val="auto"/>
          <w:sz w:val="32"/>
          <w:szCs w:val="32"/>
          <w:u w:val="single"/>
        </w:rPr>
        <w:t xml:space="preserve">                                  </w:t>
      </w:r>
    </w:p>
    <w:p w14:paraId="7FD724E4">
      <w:pPr>
        <w:ind w:left="420" w:leftChars="175"/>
        <w:rPr>
          <w:rFonts w:hint="eastAsia" w:ascii="黑体" w:hAnsi="黑体" w:eastAsia="黑体"/>
          <w:color w:val="auto"/>
          <w:sz w:val="32"/>
          <w:szCs w:val="32"/>
        </w:rPr>
      </w:pPr>
      <w:r>
        <w:rPr>
          <w:rFonts w:hint="eastAsia" w:ascii="黑体" w:hAnsi="黑体" w:eastAsia="黑体"/>
          <w:color w:val="auto"/>
          <w:sz w:val="32"/>
          <w:szCs w:val="32"/>
        </w:rPr>
        <w:t>项目编号：</w:t>
      </w:r>
      <w:r>
        <w:rPr>
          <w:rFonts w:ascii="黑体" w:hAnsi="黑体" w:eastAsia="黑体"/>
          <w:color w:val="auto"/>
          <w:sz w:val="32"/>
          <w:szCs w:val="32"/>
        </w:rPr>
        <w:tab/>
      </w:r>
      <w:r>
        <w:rPr>
          <w:rFonts w:ascii="黑体" w:hAnsi="黑体" w:eastAsia="黑体"/>
          <w:color w:val="auto"/>
          <w:sz w:val="32"/>
          <w:szCs w:val="32"/>
          <w:u w:val="single"/>
        </w:rPr>
        <w:t xml:space="preserve">                                       </w:t>
      </w:r>
    </w:p>
    <w:p w14:paraId="14920FC1">
      <w:pPr>
        <w:ind w:left="420" w:leftChars="175"/>
        <w:rPr>
          <w:rFonts w:hint="eastAsia" w:ascii="黑体" w:hAnsi="黑体" w:eastAsia="黑体"/>
          <w:color w:val="auto"/>
          <w:sz w:val="32"/>
          <w:szCs w:val="32"/>
        </w:rPr>
      </w:pPr>
      <w:r>
        <w:rPr>
          <w:rFonts w:hint="eastAsia" w:eastAsia="黑体"/>
          <w:color w:val="auto"/>
          <w:sz w:val="28"/>
          <w:szCs w:val="28"/>
        </w:rPr>
        <w:t>投标供应商</w:t>
      </w:r>
      <w:r>
        <w:rPr>
          <w:rFonts w:hint="eastAsia" w:ascii="黑体" w:hAnsi="黑体" w:eastAsia="黑体"/>
          <w:color w:val="auto"/>
          <w:sz w:val="32"/>
          <w:szCs w:val="32"/>
        </w:rPr>
        <w:t>：</w:t>
      </w:r>
      <w:r>
        <w:rPr>
          <w:rFonts w:ascii="黑体" w:hAnsi="黑体" w:eastAsia="黑体"/>
          <w:color w:val="auto"/>
          <w:sz w:val="32"/>
          <w:szCs w:val="32"/>
          <w:u w:val="single"/>
        </w:rPr>
        <w:t xml:space="preserve">                                          </w:t>
      </w:r>
    </w:p>
    <w:p w14:paraId="671762E7">
      <w:pPr>
        <w:ind w:left="840" w:firstLine="420"/>
        <w:rPr>
          <w:rFonts w:hint="eastAsia"/>
          <w:b/>
          <w:bCs/>
          <w:color w:val="auto"/>
          <w:sz w:val="28"/>
          <w:szCs w:val="28"/>
        </w:rPr>
      </w:pPr>
    </w:p>
    <w:p w14:paraId="066B5462">
      <w:pPr>
        <w:ind w:left="840" w:firstLine="420"/>
        <w:rPr>
          <w:rFonts w:hint="eastAsia"/>
          <w:b/>
          <w:bCs/>
          <w:color w:val="auto"/>
          <w:sz w:val="28"/>
          <w:szCs w:val="28"/>
        </w:rPr>
      </w:pPr>
    </w:p>
    <w:p w14:paraId="2F6B46A4">
      <w:pPr>
        <w:ind w:left="840" w:firstLine="420"/>
        <w:rPr>
          <w:rFonts w:hint="eastAsia"/>
          <w:b/>
          <w:bCs/>
          <w:color w:val="auto"/>
          <w:sz w:val="28"/>
          <w:szCs w:val="28"/>
        </w:rPr>
      </w:pPr>
    </w:p>
    <w:p w14:paraId="29C8D7A2">
      <w:pPr>
        <w:jc w:val="center"/>
        <w:rPr>
          <w:rFonts w:hint="eastAsia" w:ascii="黑体" w:hAnsi="黑体" w:eastAsia="黑体"/>
          <w:color w:val="auto"/>
          <w:sz w:val="32"/>
          <w:szCs w:val="32"/>
        </w:rPr>
      </w:pPr>
      <w:r>
        <w:rPr>
          <w:rFonts w:hint="eastAsia" w:ascii="黑体" w:hAnsi="黑体" w:eastAsia="黑体"/>
          <w:color w:val="auto"/>
          <w:sz w:val="32"/>
          <w:szCs w:val="32"/>
        </w:rPr>
        <w:t xml:space="preserve">年 </w:t>
      </w:r>
      <w:r>
        <w:rPr>
          <w:rFonts w:ascii="黑体" w:hAnsi="黑体" w:eastAsia="黑体"/>
          <w:color w:val="auto"/>
          <w:sz w:val="32"/>
          <w:szCs w:val="32"/>
        </w:rPr>
        <w:t xml:space="preserve">  </w:t>
      </w:r>
      <w:r>
        <w:rPr>
          <w:rFonts w:hint="eastAsia" w:ascii="黑体" w:hAnsi="黑体" w:eastAsia="黑体"/>
          <w:color w:val="auto"/>
          <w:sz w:val="32"/>
          <w:szCs w:val="32"/>
        </w:rPr>
        <w:t xml:space="preserve">月 </w:t>
      </w:r>
      <w:r>
        <w:rPr>
          <w:rFonts w:ascii="黑体" w:hAnsi="黑体" w:eastAsia="黑体"/>
          <w:color w:val="auto"/>
          <w:sz w:val="32"/>
          <w:szCs w:val="32"/>
        </w:rPr>
        <w:t xml:space="preserve">   </w:t>
      </w:r>
      <w:r>
        <w:rPr>
          <w:rFonts w:hint="eastAsia" w:ascii="黑体" w:hAnsi="黑体" w:eastAsia="黑体"/>
          <w:color w:val="auto"/>
          <w:sz w:val="32"/>
          <w:szCs w:val="32"/>
        </w:rPr>
        <w:t>日</w:t>
      </w:r>
    </w:p>
    <w:p w14:paraId="2E5D89B9">
      <w:pPr>
        <w:rPr>
          <w:rFonts w:hint="eastAsia"/>
          <w:color w:val="auto"/>
          <w:lang w:val="zh-CN"/>
        </w:rPr>
      </w:pPr>
      <w:r>
        <w:rPr>
          <w:color w:val="auto"/>
          <w:lang w:val="zh-CN"/>
        </w:rPr>
        <w:br w:type="page"/>
      </w:r>
    </w:p>
    <w:p w14:paraId="55A383F6">
      <w:pPr>
        <w:pStyle w:val="4"/>
        <w:numPr>
          <w:ilvl w:val="0"/>
          <w:numId w:val="27"/>
        </w:numPr>
        <w:rPr>
          <w:rFonts w:hint="eastAsia"/>
          <w:color w:val="auto"/>
        </w:rPr>
      </w:pPr>
      <w:bookmarkStart w:id="370" w:name="_Toc155185927"/>
      <w:bookmarkStart w:id="371" w:name="_Toc10600"/>
      <w:r>
        <w:rPr>
          <w:rFonts w:hint="eastAsia"/>
          <w:color w:val="auto"/>
        </w:rPr>
        <w:t>企业法人营业执照、事业单位法人证书或团体组织法人证书</w:t>
      </w:r>
      <w:bookmarkEnd w:id="370"/>
      <w:bookmarkEnd w:id="371"/>
    </w:p>
    <w:p w14:paraId="60C24693">
      <w:pPr>
        <w:rPr>
          <w:rFonts w:hint="eastAsia"/>
          <w:color w:val="auto"/>
        </w:rPr>
      </w:pPr>
    </w:p>
    <w:p w14:paraId="462F37A0">
      <w:pPr>
        <w:pStyle w:val="12"/>
        <w:rPr>
          <w:rFonts w:hint="eastAsia"/>
          <w:color w:val="auto"/>
        </w:rPr>
      </w:pPr>
    </w:p>
    <w:p w14:paraId="7C8CE0A2">
      <w:pPr>
        <w:rPr>
          <w:rFonts w:hint="eastAsia"/>
          <w:color w:val="auto"/>
        </w:rPr>
      </w:pPr>
    </w:p>
    <w:p w14:paraId="6CEB81D0">
      <w:pPr>
        <w:pStyle w:val="12"/>
        <w:rPr>
          <w:rFonts w:hint="eastAsia"/>
          <w:color w:val="auto"/>
        </w:rPr>
      </w:pPr>
    </w:p>
    <w:p w14:paraId="6DB7AC04">
      <w:pPr>
        <w:rPr>
          <w:rFonts w:hint="eastAsia"/>
          <w:color w:val="auto"/>
        </w:rPr>
      </w:pPr>
    </w:p>
    <w:p w14:paraId="7FC1B5F7">
      <w:pPr>
        <w:pStyle w:val="12"/>
        <w:rPr>
          <w:rFonts w:hint="eastAsia"/>
          <w:color w:val="auto"/>
        </w:rPr>
      </w:pPr>
    </w:p>
    <w:p w14:paraId="35D8B8D1">
      <w:pPr>
        <w:rPr>
          <w:rFonts w:hint="eastAsia"/>
          <w:color w:val="auto"/>
        </w:rPr>
      </w:pPr>
    </w:p>
    <w:p w14:paraId="162474CE">
      <w:pPr>
        <w:pStyle w:val="12"/>
        <w:rPr>
          <w:rFonts w:hint="eastAsia"/>
          <w:color w:val="auto"/>
        </w:rPr>
      </w:pPr>
    </w:p>
    <w:p w14:paraId="3C6085B2">
      <w:pPr>
        <w:rPr>
          <w:rFonts w:hint="eastAsia"/>
          <w:color w:val="auto"/>
        </w:rPr>
      </w:pPr>
    </w:p>
    <w:p w14:paraId="7583CF8E">
      <w:pPr>
        <w:pStyle w:val="12"/>
        <w:rPr>
          <w:rFonts w:hint="eastAsia"/>
          <w:color w:val="auto"/>
        </w:rPr>
      </w:pPr>
    </w:p>
    <w:p w14:paraId="5B082531">
      <w:pPr>
        <w:rPr>
          <w:rFonts w:hint="eastAsia"/>
          <w:color w:val="auto"/>
        </w:rPr>
      </w:pPr>
    </w:p>
    <w:p w14:paraId="7074925E">
      <w:pPr>
        <w:pStyle w:val="12"/>
        <w:rPr>
          <w:rFonts w:hint="eastAsia"/>
          <w:color w:val="auto"/>
        </w:rPr>
      </w:pPr>
    </w:p>
    <w:p w14:paraId="0B15123E">
      <w:pPr>
        <w:rPr>
          <w:rFonts w:hint="eastAsia"/>
          <w:color w:val="auto"/>
        </w:rPr>
      </w:pPr>
    </w:p>
    <w:p w14:paraId="7C36628F">
      <w:pPr>
        <w:pStyle w:val="12"/>
        <w:rPr>
          <w:rFonts w:hint="eastAsia"/>
          <w:color w:val="auto"/>
        </w:rPr>
      </w:pPr>
    </w:p>
    <w:p w14:paraId="15891E5D">
      <w:pPr>
        <w:rPr>
          <w:rFonts w:hint="eastAsia"/>
          <w:color w:val="auto"/>
        </w:rPr>
      </w:pPr>
    </w:p>
    <w:p w14:paraId="2F62CF71">
      <w:pPr>
        <w:pStyle w:val="12"/>
        <w:rPr>
          <w:rFonts w:hint="eastAsia"/>
          <w:color w:val="auto"/>
        </w:rPr>
      </w:pPr>
    </w:p>
    <w:p w14:paraId="0A113856">
      <w:pPr>
        <w:rPr>
          <w:rFonts w:hint="eastAsia"/>
          <w:color w:val="auto"/>
        </w:rPr>
      </w:pPr>
    </w:p>
    <w:p w14:paraId="4C2C83F5">
      <w:pPr>
        <w:pStyle w:val="12"/>
        <w:rPr>
          <w:rFonts w:hint="eastAsia"/>
          <w:color w:val="auto"/>
        </w:rPr>
      </w:pPr>
    </w:p>
    <w:p w14:paraId="24E8FCBF">
      <w:pPr>
        <w:rPr>
          <w:rFonts w:hint="eastAsia"/>
          <w:color w:val="auto"/>
        </w:rPr>
      </w:pPr>
    </w:p>
    <w:p w14:paraId="4DF2BE70">
      <w:pPr>
        <w:pStyle w:val="12"/>
        <w:rPr>
          <w:rFonts w:hint="eastAsia"/>
          <w:color w:val="auto"/>
        </w:rPr>
      </w:pPr>
    </w:p>
    <w:p w14:paraId="3D77CEB6">
      <w:pPr>
        <w:rPr>
          <w:rFonts w:hint="eastAsia"/>
          <w:color w:val="auto"/>
        </w:rPr>
      </w:pPr>
    </w:p>
    <w:p w14:paraId="445779DD">
      <w:pPr>
        <w:pStyle w:val="12"/>
        <w:rPr>
          <w:rFonts w:hint="eastAsia"/>
          <w:color w:val="auto"/>
        </w:rPr>
      </w:pPr>
    </w:p>
    <w:p w14:paraId="1884521A">
      <w:pPr>
        <w:rPr>
          <w:rFonts w:hint="eastAsia"/>
          <w:color w:val="auto"/>
        </w:rPr>
      </w:pPr>
    </w:p>
    <w:p w14:paraId="12D94666">
      <w:pPr>
        <w:pStyle w:val="12"/>
        <w:rPr>
          <w:rFonts w:hint="eastAsia"/>
          <w:color w:val="auto"/>
        </w:rPr>
      </w:pPr>
    </w:p>
    <w:p w14:paraId="791F1884">
      <w:pPr>
        <w:rPr>
          <w:rFonts w:hint="eastAsia"/>
          <w:color w:val="auto"/>
        </w:rPr>
      </w:pPr>
    </w:p>
    <w:p w14:paraId="2983CD11">
      <w:pPr>
        <w:pStyle w:val="4"/>
        <w:numPr>
          <w:ilvl w:val="0"/>
          <w:numId w:val="27"/>
        </w:numPr>
        <w:jc w:val="center"/>
        <w:rPr>
          <w:rFonts w:hint="eastAsia"/>
          <w:color w:val="auto"/>
        </w:rPr>
      </w:pPr>
      <w:bookmarkStart w:id="372" w:name="_Toc155185928"/>
      <w:bookmarkStart w:id="373" w:name="_Toc11275"/>
      <w:r>
        <w:rPr>
          <w:rFonts w:hint="eastAsia"/>
          <w:color w:val="auto"/>
        </w:rPr>
        <w:t>资格条件承诺书</w:t>
      </w:r>
      <w:bookmarkEnd w:id="372"/>
      <w:bookmarkEnd w:id="373"/>
    </w:p>
    <w:p w14:paraId="7D9D4BE4">
      <w:pPr>
        <w:adjustRightInd w:val="0"/>
        <w:snapToGrid w:val="0"/>
        <w:rPr>
          <w:rFonts w:hint="eastAsia"/>
          <w:color w:val="auto"/>
          <w:szCs w:val="21"/>
        </w:rPr>
      </w:pPr>
      <w:bookmarkStart w:id="374" w:name="_Hlk161693574"/>
      <w:bookmarkStart w:id="375" w:name="_Hlk161693525"/>
      <w:r>
        <w:rPr>
          <w:rFonts w:hint="eastAsia"/>
          <w:color w:val="auto"/>
          <w:szCs w:val="21"/>
        </w:rPr>
        <w:t>致</w:t>
      </w:r>
      <w:r>
        <w:rPr>
          <w:rFonts w:cs="Arial"/>
          <w:color w:val="auto"/>
          <w:szCs w:val="21"/>
        </w:rPr>
        <w:t>：</w:t>
      </w:r>
      <w:r>
        <w:rPr>
          <w:rFonts w:hint="eastAsia" w:cs="Arial"/>
          <w:color w:val="auto"/>
          <w:szCs w:val="21"/>
          <w:u w:val="single"/>
        </w:rPr>
        <w:t>采购人/采购代理机构</w:t>
      </w:r>
    </w:p>
    <w:p w14:paraId="6A0B88ED">
      <w:pPr>
        <w:adjustRightInd w:val="0"/>
        <w:snapToGrid w:val="0"/>
        <w:ind w:firstLine="480" w:firstLineChars="200"/>
        <w:rPr>
          <w:rFonts w:hint="eastAsia"/>
          <w:color w:val="auto"/>
          <w:szCs w:val="21"/>
        </w:rPr>
      </w:pPr>
      <w:r>
        <w:rPr>
          <w:rFonts w:hint="eastAsia"/>
          <w:color w:val="auto"/>
          <w:szCs w:val="21"/>
        </w:rPr>
        <w:t>我方承诺完全</w:t>
      </w:r>
      <w:r>
        <w:rPr>
          <w:color w:val="auto"/>
          <w:szCs w:val="21"/>
        </w:rPr>
        <w:t>满足</w:t>
      </w:r>
      <w:r>
        <w:rPr>
          <w:rFonts w:hint="eastAsia"/>
          <w:color w:val="auto"/>
          <w:szCs w:val="21"/>
        </w:rPr>
        <w:t>招标文件对投标供应商的资格要求：</w:t>
      </w:r>
    </w:p>
    <w:p w14:paraId="133B5FC7">
      <w:pPr>
        <w:adjustRightInd w:val="0"/>
        <w:snapToGrid w:val="0"/>
        <w:ind w:firstLine="480" w:firstLineChars="200"/>
        <w:rPr>
          <w:rFonts w:hint="eastAsia" w:cs="宋体"/>
          <w:color w:val="auto"/>
          <w:szCs w:val="21"/>
        </w:rPr>
      </w:pPr>
      <w:r>
        <w:rPr>
          <w:rFonts w:hint="eastAsia" w:cs="宋体"/>
          <w:color w:val="auto"/>
          <w:szCs w:val="21"/>
        </w:rPr>
        <w:t>1.满足《中华人民共和国政府采购法》第二十二条规定；</w:t>
      </w:r>
    </w:p>
    <w:p w14:paraId="1DD680C2">
      <w:pPr>
        <w:widowControl/>
        <w:adjustRightInd w:val="0"/>
        <w:snapToGrid w:val="0"/>
        <w:ind w:firstLine="420"/>
        <w:rPr>
          <w:rFonts w:hint="eastAsia" w:cs="Segoe UI"/>
          <w:color w:val="auto"/>
          <w:szCs w:val="21"/>
        </w:rPr>
      </w:pPr>
      <w:r>
        <w:rPr>
          <w:rFonts w:hint="eastAsia" w:cs="Segoe UI"/>
          <w:color w:val="auto"/>
          <w:szCs w:val="21"/>
        </w:rPr>
        <w:t>（1）</w:t>
      </w:r>
      <w:r>
        <w:rPr>
          <w:rFonts w:cs="Segoe UI"/>
          <w:color w:val="auto"/>
          <w:szCs w:val="21"/>
        </w:rPr>
        <w:t>具有独立承担民事责任的能力；</w:t>
      </w:r>
    </w:p>
    <w:p w14:paraId="5E950D89">
      <w:pPr>
        <w:widowControl/>
        <w:adjustRightInd w:val="0"/>
        <w:snapToGrid w:val="0"/>
        <w:ind w:firstLine="420"/>
        <w:rPr>
          <w:rFonts w:hint="eastAsia" w:cs="Segoe UI"/>
          <w:color w:val="auto"/>
          <w:szCs w:val="21"/>
        </w:rPr>
      </w:pPr>
      <w:r>
        <w:rPr>
          <w:rFonts w:hint="eastAsia" w:cs="Segoe UI"/>
          <w:color w:val="auto"/>
          <w:szCs w:val="21"/>
        </w:rPr>
        <w:t>（2）</w:t>
      </w:r>
      <w:r>
        <w:rPr>
          <w:rFonts w:cs="Segoe UI"/>
          <w:color w:val="auto"/>
          <w:szCs w:val="21"/>
        </w:rPr>
        <w:t>具有良好的商业信誉和健全的财务会计制度</w:t>
      </w:r>
      <w:r>
        <w:rPr>
          <w:rFonts w:hint="eastAsia" w:cs="Segoe UI"/>
          <w:color w:val="auto"/>
          <w:szCs w:val="21"/>
        </w:rPr>
        <w:t>；</w:t>
      </w:r>
    </w:p>
    <w:p w14:paraId="141978F4">
      <w:pPr>
        <w:widowControl/>
        <w:adjustRightInd w:val="0"/>
        <w:snapToGrid w:val="0"/>
        <w:ind w:firstLine="420"/>
        <w:rPr>
          <w:rFonts w:hint="eastAsia" w:cs="Segoe UI"/>
          <w:color w:val="auto"/>
          <w:szCs w:val="21"/>
        </w:rPr>
      </w:pPr>
      <w:r>
        <w:rPr>
          <w:rFonts w:hint="eastAsia" w:cs="Segoe UI"/>
          <w:color w:val="auto"/>
          <w:szCs w:val="21"/>
        </w:rPr>
        <w:t>（3）</w:t>
      </w:r>
      <w:r>
        <w:rPr>
          <w:rFonts w:cs="Segoe UI"/>
          <w:color w:val="auto"/>
          <w:szCs w:val="21"/>
        </w:rPr>
        <w:t>具有履行合同所必需的设备和专业技术能力；</w:t>
      </w:r>
    </w:p>
    <w:p w14:paraId="1ADFD499">
      <w:pPr>
        <w:widowControl/>
        <w:adjustRightInd w:val="0"/>
        <w:snapToGrid w:val="0"/>
        <w:ind w:firstLine="420"/>
        <w:rPr>
          <w:rFonts w:hint="eastAsia" w:cs="Segoe UI"/>
          <w:color w:val="auto"/>
          <w:szCs w:val="21"/>
        </w:rPr>
      </w:pPr>
      <w:r>
        <w:rPr>
          <w:rFonts w:hint="eastAsia" w:cs="Segoe UI"/>
          <w:color w:val="auto"/>
          <w:szCs w:val="21"/>
        </w:rPr>
        <w:t>（4）</w:t>
      </w:r>
      <w:r>
        <w:rPr>
          <w:rFonts w:cs="Segoe UI"/>
          <w:color w:val="auto"/>
          <w:szCs w:val="21"/>
        </w:rPr>
        <w:t>有依法缴纳税收和社会保障资金的良好记录；</w:t>
      </w:r>
    </w:p>
    <w:p w14:paraId="7494A4BF">
      <w:pPr>
        <w:widowControl/>
        <w:adjustRightInd w:val="0"/>
        <w:snapToGrid w:val="0"/>
        <w:ind w:firstLine="420"/>
        <w:rPr>
          <w:rFonts w:hint="eastAsia" w:cs="Segoe UI"/>
          <w:color w:val="auto"/>
          <w:szCs w:val="21"/>
        </w:rPr>
      </w:pPr>
      <w:r>
        <w:rPr>
          <w:rFonts w:hint="eastAsia" w:cs="Segoe UI"/>
          <w:color w:val="auto"/>
          <w:szCs w:val="21"/>
        </w:rPr>
        <w:t>（5）</w:t>
      </w:r>
      <w:r>
        <w:rPr>
          <w:rFonts w:cs="Segoe UI"/>
          <w:color w:val="auto"/>
          <w:szCs w:val="21"/>
        </w:rPr>
        <w:t>参加政府采购活动前三年内，在经营活动中没有重大违法记录：</w:t>
      </w:r>
    </w:p>
    <w:p w14:paraId="517A140D">
      <w:pPr>
        <w:pStyle w:val="44"/>
        <w:numPr>
          <w:ilvl w:val="0"/>
          <w:numId w:val="28"/>
        </w:numPr>
        <w:adjustRightInd w:val="0"/>
        <w:snapToGrid w:val="0"/>
        <w:rPr>
          <w:rFonts w:hint="eastAsia"/>
          <w:color w:val="auto"/>
          <w:szCs w:val="21"/>
        </w:rPr>
      </w:pPr>
      <w:r>
        <w:rPr>
          <w:rFonts w:hint="eastAsia"/>
          <w:color w:val="auto"/>
          <w:szCs w:val="21"/>
          <w:shd w:val="clear" w:color="auto" w:fill="FFFFFF"/>
        </w:rPr>
        <w:t>我</w:t>
      </w:r>
      <w:r>
        <w:rPr>
          <w:rFonts w:hint="eastAsia"/>
          <w:color w:val="auto"/>
          <w:szCs w:val="21"/>
        </w:rPr>
        <w:t>方</w:t>
      </w:r>
      <w:r>
        <w:rPr>
          <w:rFonts w:hint="eastAsia"/>
          <w:color w:val="auto"/>
          <w:szCs w:val="21"/>
          <w:shd w:val="clear" w:color="auto" w:fill="FFFFFF"/>
        </w:rPr>
        <w:t>未因违法经营被追究过刑事责任；</w:t>
      </w:r>
    </w:p>
    <w:p w14:paraId="242F512D">
      <w:pPr>
        <w:pStyle w:val="44"/>
        <w:numPr>
          <w:ilvl w:val="0"/>
          <w:numId w:val="28"/>
        </w:numPr>
        <w:adjustRightInd w:val="0"/>
        <w:snapToGrid w:val="0"/>
        <w:rPr>
          <w:rFonts w:hint="eastAsia"/>
          <w:color w:val="auto"/>
          <w:szCs w:val="21"/>
        </w:rPr>
      </w:pPr>
      <w:r>
        <w:rPr>
          <w:rFonts w:hint="eastAsia"/>
          <w:color w:val="auto"/>
          <w:szCs w:val="21"/>
          <w:shd w:val="clear" w:color="auto" w:fill="FFFFFF"/>
        </w:rPr>
        <w:t>我</w:t>
      </w:r>
      <w:r>
        <w:rPr>
          <w:rFonts w:hint="eastAsia"/>
          <w:color w:val="auto"/>
          <w:szCs w:val="21"/>
        </w:rPr>
        <w:t>方</w:t>
      </w:r>
      <w:r>
        <w:rPr>
          <w:rFonts w:hint="eastAsia"/>
          <w:color w:val="auto"/>
          <w:szCs w:val="21"/>
          <w:shd w:val="clear" w:color="auto" w:fill="FFFFFF"/>
        </w:rPr>
        <w:t>未因违法经营被责令停产停业、吊销许可证或者执照；</w:t>
      </w:r>
    </w:p>
    <w:p w14:paraId="5C60E113">
      <w:pPr>
        <w:pStyle w:val="44"/>
        <w:numPr>
          <w:ilvl w:val="0"/>
          <w:numId w:val="28"/>
        </w:numPr>
        <w:adjustRightInd w:val="0"/>
        <w:snapToGrid w:val="0"/>
        <w:rPr>
          <w:rFonts w:hint="eastAsia"/>
          <w:color w:val="auto"/>
          <w:szCs w:val="21"/>
        </w:rPr>
      </w:pPr>
      <w:r>
        <w:rPr>
          <w:rFonts w:hint="eastAsia"/>
          <w:color w:val="auto"/>
          <w:szCs w:val="21"/>
          <w:shd w:val="clear" w:color="auto" w:fill="FFFFFF"/>
        </w:rPr>
        <w:t>我</w:t>
      </w:r>
      <w:r>
        <w:rPr>
          <w:rFonts w:hint="eastAsia"/>
          <w:color w:val="auto"/>
          <w:szCs w:val="21"/>
        </w:rPr>
        <w:t>方</w:t>
      </w:r>
      <w:r>
        <w:rPr>
          <w:rFonts w:hint="eastAsia"/>
          <w:color w:val="auto"/>
          <w:szCs w:val="21"/>
          <w:shd w:val="clear" w:color="auto" w:fill="FFFFFF"/>
        </w:rPr>
        <w:t>未因违法经营被处以较大数额罚款等行政处罚。</w:t>
      </w:r>
    </w:p>
    <w:p w14:paraId="24952B5C">
      <w:pPr>
        <w:widowControl/>
        <w:adjustRightInd w:val="0"/>
        <w:snapToGrid w:val="0"/>
        <w:ind w:firstLine="420"/>
        <w:rPr>
          <w:rFonts w:hint="eastAsia" w:cs="Segoe UI"/>
          <w:color w:val="auto"/>
          <w:szCs w:val="21"/>
        </w:rPr>
      </w:pPr>
      <w:r>
        <w:rPr>
          <w:rFonts w:hint="eastAsia" w:cs="Segoe UI"/>
          <w:color w:val="auto"/>
          <w:szCs w:val="21"/>
        </w:rPr>
        <w:t>（</w:t>
      </w:r>
      <w:r>
        <w:rPr>
          <w:rFonts w:cs="Segoe UI"/>
          <w:color w:val="auto"/>
          <w:szCs w:val="21"/>
        </w:rPr>
        <w:t>6</w:t>
      </w:r>
      <w:r>
        <w:rPr>
          <w:rFonts w:hint="eastAsia" w:cs="Segoe UI"/>
          <w:color w:val="auto"/>
          <w:szCs w:val="21"/>
        </w:rPr>
        <w:t>）满足</w:t>
      </w:r>
      <w:r>
        <w:rPr>
          <w:rFonts w:cs="Segoe UI"/>
          <w:color w:val="auto"/>
          <w:szCs w:val="21"/>
        </w:rPr>
        <w:t>法律、行政法规规定的其他条件。</w:t>
      </w:r>
    </w:p>
    <w:p w14:paraId="35BBCD20">
      <w:pPr>
        <w:adjustRightInd w:val="0"/>
        <w:snapToGrid w:val="0"/>
        <w:ind w:firstLine="480" w:firstLineChars="200"/>
        <w:rPr>
          <w:rFonts w:hint="eastAsia" w:cs="宋体"/>
          <w:color w:val="auto"/>
          <w:szCs w:val="21"/>
        </w:rPr>
      </w:pPr>
      <w:r>
        <w:rPr>
          <w:rFonts w:hint="eastAsia" w:cs="宋体"/>
          <w:color w:val="auto"/>
          <w:szCs w:val="21"/>
        </w:rPr>
        <w:t>2.我</w:t>
      </w:r>
      <w:r>
        <w:rPr>
          <w:rFonts w:hint="eastAsia"/>
          <w:color w:val="auto"/>
          <w:szCs w:val="21"/>
        </w:rPr>
        <w:t>方</w:t>
      </w:r>
      <w:r>
        <w:rPr>
          <w:rFonts w:hint="eastAsia" w:cs="宋体"/>
          <w:color w:val="auto"/>
          <w:szCs w:val="21"/>
        </w:rPr>
        <w:t>未被列入失信被执行人、重大税收违法案件当事人名单，未被列入政府采购严重违法失信行为记录名单。</w:t>
      </w:r>
    </w:p>
    <w:p w14:paraId="0842346B">
      <w:pPr>
        <w:adjustRightInd w:val="0"/>
        <w:snapToGrid w:val="0"/>
        <w:ind w:firstLine="480" w:firstLineChars="200"/>
        <w:rPr>
          <w:rFonts w:hint="eastAsia" w:cs="宋体"/>
          <w:color w:val="auto"/>
          <w:szCs w:val="21"/>
        </w:rPr>
      </w:pPr>
      <w:r>
        <w:rPr>
          <w:rFonts w:hint="eastAsia" w:cs="宋体"/>
          <w:color w:val="auto"/>
          <w:szCs w:val="21"/>
        </w:rPr>
        <w:t>我</w:t>
      </w:r>
      <w:r>
        <w:rPr>
          <w:rFonts w:hint="eastAsia"/>
          <w:color w:val="auto"/>
          <w:szCs w:val="21"/>
        </w:rPr>
        <w:t>方</w:t>
      </w:r>
      <w:r>
        <w:rPr>
          <w:rFonts w:hint="eastAsia" w:cs="宋体"/>
          <w:color w:val="auto"/>
          <w:szCs w:val="21"/>
        </w:rPr>
        <w:t>保证上述信息的完整、客观、真实、准确，并愿意承担我</w:t>
      </w:r>
      <w:r>
        <w:rPr>
          <w:rFonts w:hint="eastAsia"/>
          <w:color w:val="auto"/>
          <w:szCs w:val="21"/>
        </w:rPr>
        <w:t>方</w:t>
      </w:r>
      <w:r>
        <w:rPr>
          <w:rFonts w:hint="eastAsia" w:cs="宋体"/>
          <w:color w:val="auto"/>
          <w:szCs w:val="21"/>
        </w:rPr>
        <w:t>因提供虚假材料谋骗取中标所引起的一切法律后果。</w:t>
      </w:r>
    </w:p>
    <w:bookmarkEnd w:id="374"/>
    <w:p w14:paraId="05881F81">
      <w:pPr>
        <w:adjustRightInd w:val="0"/>
        <w:snapToGrid w:val="0"/>
        <w:ind w:firstLine="480" w:firstLineChars="200"/>
        <w:rPr>
          <w:rFonts w:hint="eastAsia" w:cs="宋体"/>
          <w:color w:val="auto"/>
          <w:szCs w:val="21"/>
        </w:rPr>
      </w:pPr>
    </w:p>
    <w:p w14:paraId="1AE416A1">
      <w:pPr>
        <w:adjustRightInd w:val="0"/>
        <w:snapToGrid w:val="0"/>
        <w:ind w:firstLine="480" w:firstLineChars="200"/>
        <w:rPr>
          <w:rFonts w:hint="eastAsia" w:cs="宋体"/>
          <w:color w:val="auto"/>
          <w:szCs w:val="21"/>
        </w:rPr>
      </w:pPr>
    </w:p>
    <w:p w14:paraId="47781016">
      <w:pPr>
        <w:adjustRightInd w:val="0"/>
        <w:snapToGrid w:val="0"/>
        <w:ind w:firstLine="480" w:firstLineChars="200"/>
        <w:rPr>
          <w:rFonts w:hint="eastAsia" w:cs="宋体"/>
          <w:color w:val="auto"/>
          <w:szCs w:val="21"/>
        </w:rPr>
      </w:pPr>
    </w:p>
    <w:p w14:paraId="7E6D6FFD">
      <w:pPr>
        <w:rPr>
          <w:rFonts w:hint="eastAsia" w:ascii="Arial" w:hAnsi="Arial" w:cs="Arial"/>
          <w:color w:val="auto"/>
          <w:szCs w:val="21"/>
        </w:rPr>
      </w:pPr>
      <w:r>
        <w:rPr>
          <w:rFonts w:hint="eastAsia" w:ascii="Arial" w:hAnsi="Arial" w:cs="Arial"/>
          <w:color w:val="auto"/>
          <w:szCs w:val="21"/>
        </w:rPr>
        <w:t>投标供应商名称（</w:t>
      </w:r>
      <w:r>
        <w:rPr>
          <w:rFonts w:hint="eastAsia" w:cs="仿宋_GB2312"/>
          <w:color w:val="auto"/>
          <w:szCs w:val="24"/>
          <w:lang w:val="en-US" w:eastAsia="zh-CN"/>
        </w:rPr>
        <w:t>电子签章</w:t>
      </w:r>
      <w:r>
        <w:rPr>
          <w:rFonts w:hint="eastAsia" w:ascii="Arial" w:hAnsi="Arial" w:cs="Arial"/>
          <w:color w:val="auto"/>
          <w:szCs w:val="21"/>
        </w:rPr>
        <w:t>）</w:t>
      </w:r>
      <w:r>
        <w:rPr>
          <w:rFonts w:ascii="Arial" w:hAnsi="Arial" w:cs="Arial"/>
          <w:color w:val="auto"/>
          <w:szCs w:val="21"/>
        </w:rPr>
        <w:t xml:space="preserve"> </w:t>
      </w:r>
      <w:r>
        <w:rPr>
          <w:rFonts w:hint="eastAsia" w:ascii="Arial" w:hAnsi="Arial" w:cs="Arial"/>
          <w:color w:val="auto"/>
          <w:szCs w:val="21"/>
        </w:rPr>
        <w:t>：</w:t>
      </w:r>
    </w:p>
    <w:p w14:paraId="36B8F6B7">
      <w:pPr>
        <w:rPr>
          <w:rFonts w:ascii="Arial" w:hAnsi="Arial" w:cs="Arial"/>
          <w:color w:val="auto"/>
          <w:szCs w:val="21"/>
        </w:rPr>
      </w:pPr>
      <w:r>
        <w:rPr>
          <w:rFonts w:hint="eastAsia" w:ascii="Arial" w:hAnsi="Arial" w:cs="Arial"/>
          <w:color w:val="auto"/>
          <w:szCs w:val="21"/>
          <w:lang w:val="en-US" w:eastAsia="zh-CN"/>
        </w:rPr>
        <w:t>法定代表人（或非法人组织负责人）(电子签章)</w:t>
      </w:r>
      <w:r>
        <w:rPr>
          <w:rFonts w:ascii="Arial" w:hAnsi="Arial" w:cs="Arial"/>
          <w:color w:val="auto"/>
          <w:szCs w:val="21"/>
        </w:rPr>
        <w:br w:type="textWrapping"/>
      </w:r>
      <w:r>
        <w:rPr>
          <w:rFonts w:hint="eastAsia" w:ascii="Arial" w:hAnsi="Arial" w:cs="Arial"/>
          <w:color w:val="auto"/>
          <w:szCs w:val="21"/>
        </w:rPr>
        <w:t>日期：</w:t>
      </w:r>
      <w:bookmarkEnd w:id="375"/>
      <w:r>
        <w:rPr>
          <w:rFonts w:ascii="Arial" w:hAnsi="Arial" w:cs="Arial"/>
          <w:color w:val="auto"/>
          <w:szCs w:val="21"/>
        </w:rPr>
        <w:br w:type="page"/>
      </w:r>
    </w:p>
    <w:p w14:paraId="43A80500">
      <w:pPr>
        <w:pStyle w:val="4"/>
        <w:numPr>
          <w:ilvl w:val="0"/>
          <w:numId w:val="27"/>
        </w:numPr>
        <w:rPr>
          <w:rFonts w:hint="eastAsia"/>
          <w:color w:val="auto"/>
        </w:rPr>
      </w:pPr>
      <w:bookmarkStart w:id="376" w:name="_Toc140132840"/>
      <w:bookmarkStart w:id="377" w:name="_Toc8674"/>
      <w:bookmarkStart w:id="378" w:name="_Toc155185930"/>
      <w:bookmarkStart w:id="379" w:name="_Toc109900336"/>
      <w:bookmarkStart w:id="380" w:name="_Toc109899498"/>
      <w:bookmarkStart w:id="381" w:name="_Toc109899917"/>
      <w:r>
        <w:rPr>
          <w:rFonts w:hint="eastAsia"/>
          <w:color w:val="auto"/>
        </w:rPr>
        <w:t>资格证明文件</w:t>
      </w:r>
      <w:bookmarkEnd w:id="376"/>
      <w:bookmarkEnd w:id="377"/>
      <w:bookmarkEnd w:id="378"/>
      <w:bookmarkEnd w:id="379"/>
      <w:bookmarkEnd w:id="380"/>
      <w:bookmarkEnd w:id="381"/>
    </w:p>
    <w:p w14:paraId="328EBB83">
      <w:pPr>
        <w:snapToGrid w:val="0"/>
        <w:ind w:firstLine="480" w:firstLineChars="200"/>
        <w:rPr>
          <w:rFonts w:ascii="Arial" w:hAnsi="Arial" w:cs="Arial"/>
          <w:color w:val="auto"/>
        </w:rPr>
      </w:pPr>
      <w:r>
        <w:rPr>
          <w:rFonts w:hint="eastAsia" w:ascii="Arial" w:hAnsi="Arial" w:cs="Arial"/>
          <w:color w:val="auto"/>
        </w:rPr>
        <w:t>投标供应商须提供的资格证明文件详见第四章《资格审查表》。</w:t>
      </w:r>
    </w:p>
    <w:p w14:paraId="53DC5176">
      <w:pPr>
        <w:rPr>
          <w:rFonts w:hint="eastAsia"/>
          <w:color w:val="auto"/>
        </w:rPr>
      </w:pPr>
      <w:r>
        <w:rPr>
          <w:color w:val="auto"/>
        </w:rPr>
        <w:br w:type="page"/>
      </w:r>
    </w:p>
    <w:p w14:paraId="1BCAEB35">
      <w:pPr>
        <w:pStyle w:val="4"/>
        <w:numPr>
          <w:ilvl w:val="0"/>
          <w:numId w:val="27"/>
        </w:numPr>
        <w:rPr>
          <w:rFonts w:hint="eastAsia"/>
          <w:color w:val="auto"/>
        </w:rPr>
      </w:pPr>
      <w:bookmarkStart w:id="382" w:name="_Toc155185932"/>
      <w:bookmarkStart w:id="383" w:name="_Toc12875"/>
      <w:r>
        <w:rPr>
          <w:rFonts w:hint="eastAsia"/>
          <w:color w:val="auto"/>
        </w:rPr>
        <w:t>其他资格证明文件</w:t>
      </w:r>
      <w:bookmarkEnd w:id="382"/>
      <w:bookmarkEnd w:id="383"/>
    </w:p>
    <w:p w14:paraId="3632B200">
      <w:pPr>
        <w:rPr>
          <w:rFonts w:hint="eastAsia" w:cs="Courier New"/>
          <w:color w:val="auto"/>
          <w:szCs w:val="24"/>
        </w:rPr>
      </w:pPr>
      <w:r>
        <w:rPr>
          <w:rFonts w:hint="eastAsia" w:cs="Courier New"/>
          <w:color w:val="auto"/>
          <w:szCs w:val="24"/>
        </w:rPr>
        <w:t>投标供应商认为需提供的其它相关资格证明材料</w:t>
      </w:r>
      <w:r>
        <w:rPr>
          <w:rFonts w:cs="Courier New"/>
          <w:color w:val="auto"/>
          <w:szCs w:val="24"/>
        </w:rPr>
        <w:br w:type="page"/>
      </w:r>
    </w:p>
    <w:p w14:paraId="509FA928">
      <w:pPr>
        <w:pStyle w:val="3"/>
        <w:numPr>
          <w:ilvl w:val="0"/>
          <w:numId w:val="23"/>
        </w:numPr>
        <w:rPr>
          <w:rFonts w:hint="eastAsia"/>
          <w:color w:val="auto"/>
          <w:lang w:val="zh-CN"/>
        </w:rPr>
      </w:pPr>
      <w:bookmarkStart w:id="384" w:name="_Toc10680"/>
      <w:bookmarkStart w:id="385" w:name="_Toc155185933"/>
      <w:r>
        <w:rPr>
          <w:rFonts w:hint="eastAsia"/>
          <w:color w:val="auto"/>
          <w:lang w:val="zh-CN"/>
        </w:rPr>
        <w:t>其他响应文件</w:t>
      </w:r>
      <w:bookmarkEnd w:id="384"/>
      <w:bookmarkEnd w:id="385"/>
    </w:p>
    <w:p w14:paraId="3952C8B1">
      <w:pPr>
        <w:ind w:firstLine="480" w:firstLineChars="200"/>
        <w:rPr>
          <w:rFonts w:hint="eastAsia" w:cs="仿宋_GB2312"/>
          <w:color w:val="auto"/>
          <w:szCs w:val="24"/>
          <w:lang w:val="zh-CN"/>
        </w:rPr>
      </w:pPr>
      <w:r>
        <w:rPr>
          <w:rFonts w:hint="eastAsia" w:cs="仿宋_GB2312"/>
          <w:color w:val="auto"/>
          <w:szCs w:val="24"/>
          <w:lang w:val="zh-CN"/>
        </w:rPr>
        <w:t>封面：</w:t>
      </w:r>
    </w:p>
    <w:p w14:paraId="32C75E2B">
      <w:pPr>
        <w:autoSpaceDE w:val="0"/>
        <w:autoSpaceDN w:val="0"/>
        <w:adjustRightInd w:val="0"/>
        <w:rPr>
          <w:rFonts w:hint="eastAsia"/>
          <w:color w:val="auto"/>
          <w:sz w:val="21"/>
          <w:szCs w:val="24"/>
        </w:rPr>
      </w:pPr>
    </w:p>
    <w:p w14:paraId="227C923B">
      <w:pPr>
        <w:autoSpaceDE w:val="0"/>
        <w:autoSpaceDN w:val="0"/>
        <w:adjustRightInd w:val="0"/>
        <w:rPr>
          <w:rFonts w:hint="eastAsia"/>
          <w:color w:val="auto"/>
          <w:sz w:val="21"/>
          <w:szCs w:val="24"/>
        </w:rPr>
      </w:pPr>
    </w:p>
    <w:p w14:paraId="65E6687C">
      <w:pPr>
        <w:autoSpaceDE w:val="0"/>
        <w:autoSpaceDN w:val="0"/>
        <w:adjustRightInd w:val="0"/>
        <w:jc w:val="center"/>
        <w:rPr>
          <w:rFonts w:hint="eastAsia"/>
          <w:color w:val="auto"/>
          <w:sz w:val="21"/>
          <w:szCs w:val="24"/>
        </w:rPr>
      </w:pPr>
    </w:p>
    <w:p w14:paraId="42679F80">
      <w:pPr>
        <w:autoSpaceDE w:val="0"/>
        <w:autoSpaceDN w:val="0"/>
        <w:adjustRightInd w:val="0"/>
        <w:jc w:val="center"/>
        <w:rPr>
          <w:rFonts w:hint="eastAsia"/>
          <w:b/>
          <w:color w:val="auto"/>
          <w:sz w:val="84"/>
          <w:szCs w:val="84"/>
        </w:rPr>
      </w:pPr>
      <w:r>
        <w:rPr>
          <w:rFonts w:hint="eastAsia"/>
          <w:b/>
          <w:color w:val="auto"/>
          <w:sz w:val="84"/>
          <w:szCs w:val="84"/>
        </w:rPr>
        <w:t>投 标 文 件</w:t>
      </w:r>
    </w:p>
    <w:p w14:paraId="6B1C5862">
      <w:pPr>
        <w:autoSpaceDE w:val="0"/>
        <w:autoSpaceDN w:val="0"/>
        <w:adjustRightInd w:val="0"/>
        <w:jc w:val="center"/>
        <w:rPr>
          <w:rFonts w:hint="eastAsia"/>
          <w:b/>
          <w:color w:val="auto"/>
          <w:sz w:val="56"/>
          <w:szCs w:val="56"/>
        </w:rPr>
      </w:pPr>
      <w:r>
        <w:rPr>
          <w:rFonts w:hint="eastAsia"/>
          <w:b/>
          <w:color w:val="auto"/>
          <w:sz w:val="56"/>
          <w:szCs w:val="56"/>
        </w:rPr>
        <w:t>其他响应文件</w:t>
      </w:r>
    </w:p>
    <w:p w14:paraId="5700AB1C">
      <w:pPr>
        <w:autoSpaceDE w:val="0"/>
        <w:autoSpaceDN w:val="0"/>
        <w:adjustRightInd w:val="0"/>
        <w:rPr>
          <w:rFonts w:hint="eastAsia"/>
          <w:b/>
          <w:bCs/>
          <w:color w:val="auto"/>
          <w:sz w:val="22"/>
        </w:rPr>
      </w:pPr>
    </w:p>
    <w:p w14:paraId="033789AE">
      <w:pPr>
        <w:autoSpaceDE w:val="0"/>
        <w:autoSpaceDN w:val="0"/>
        <w:adjustRightInd w:val="0"/>
        <w:rPr>
          <w:rFonts w:hint="eastAsia"/>
          <w:color w:val="auto"/>
          <w:sz w:val="21"/>
          <w:szCs w:val="21"/>
        </w:rPr>
      </w:pPr>
    </w:p>
    <w:p w14:paraId="36FA7721">
      <w:pPr>
        <w:autoSpaceDE w:val="0"/>
        <w:autoSpaceDN w:val="0"/>
        <w:adjustRightInd w:val="0"/>
        <w:rPr>
          <w:rFonts w:hint="eastAsia"/>
          <w:color w:val="auto"/>
          <w:sz w:val="21"/>
          <w:szCs w:val="21"/>
        </w:rPr>
      </w:pPr>
    </w:p>
    <w:p w14:paraId="06D4E32D">
      <w:pPr>
        <w:autoSpaceDE w:val="0"/>
        <w:autoSpaceDN w:val="0"/>
        <w:adjustRightInd w:val="0"/>
        <w:rPr>
          <w:rFonts w:hint="eastAsia"/>
          <w:color w:val="auto"/>
          <w:sz w:val="21"/>
          <w:szCs w:val="21"/>
        </w:rPr>
      </w:pPr>
    </w:p>
    <w:p w14:paraId="356B2C62">
      <w:pPr>
        <w:ind w:left="420" w:leftChars="175"/>
        <w:rPr>
          <w:rFonts w:hint="eastAsia" w:ascii="黑体" w:hAnsi="黑体" w:eastAsia="黑体"/>
          <w:color w:val="auto"/>
          <w:sz w:val="32"/>
          <w:szCs w:val="32"/>
        </w:rPr>
      </w:pPr>
      <w:r>
        <w:rPr>
          <w:rFonts w:hint="eastAsia" w:ascii="黑体" w:hAnsi="黑体" w:eastAsia="黑体"/>
          <w:color w:val="auto"/>
          <w:sz w:val="32"/>
          <w:szCs w:val="32"/>
        </w:rPr>
        <w:t>采购计划备案号：</w:t>
      </w:r>
      <w:r>
        <w:rPr>
          <w:rFonts w:ascii="黑体" w:hAnsi="黑体" w:eastAsia="黑体"/>
          <w:color w:val="auto"/>
          <w:sz w:val="32"/>
          <w:szCs w:val="32"/>
          <w:u w:val="single"/>
        </w:rPr>
        <w:t xml:space="preserve">                                  </w:t>
      </w:r>
    </w:p>
    <w:p w14:paraId="1E5CB598">
      <w:pPr>
        <w:ind w:left="420" w:leftChars="175"/>
        <w:rPr>
          <w:rFonts w:hint="eastAsia" w:ascii="黑体" w:hAnsi="黑体" w:eastAsia="黑体"/>
          <w:color w:val="auto"/>
          <w:sz w:val="32"/>
          <w:szCs w:val="32"/>
        </w:rPr>
      </w:pPr>
      <w:r>
        <w:rPr>
          <w:rFonts w:hint="eastAsia" w:ascii="黑体" w:hAnsi="黑体" w:eastAsia="黑体"/>
          <w:color w:val="auto"/>
          <w:sz w:val="32"/>
          <w:szCs w:val="32"/>
        </w:rPr>
        <w:t>项目编号：</w:t>
      </w:r>
      <w:r>
        <w:rPr>
          <w:rFonts w:ascii="黑体" w:hAnsi="黑体" w:eastAsia="黑体"/>
          <w:color w:val="auto"/>
          <w:sz w:val="32"/>
          <w:szCs w:val="32"/>
        </w:rPr>
        <w:tab/>
      </w:r>
      <w:r>
        <w:rPr>
          <w:rFonts w:ascii="黑体" w:hAnsi="黑体" w:eastAsia="黑体"/>
          <w:color w:val="auto"/>
          <w:sz w:val="32"/>
          <w:szCs w:val="32"/>
          <w:u w:val="single"/>
        </w:rPr>
        <w:t xml:space="preserve">                                       </w:t>
      </w:r>
    </w:p>
    <w:p w14:paraId="2E7ED311">
      <w:pPr>
        <w:ind w:left="420" w:leftChars="175"/>
        <w:rPr>
          <w:rFonts w:hint="eastAsia" w:ascii="黑体" w:hAnsi="黑体" w:eastAsia="黑体"/>
          <w:color w:val="auto"/>
          <w:sz w:val="32"/>
          <w:szCs w:val="32"/>
        </w:rPr>
      </w:pPr>
      <w:r>
        <w:rPr>
          <w:rFonts w:hint="eastAsia" w:eastAsia="黑体"/>
          <w:color w:val="auto"/>
          <w:sz w:val="28"/>
          <w:szCs w:val="28"/>
        </w:rPr>
        <w:t>投标供应商</w:t>
      </w:r>
      <w:r>
        <w:rPr>
          <w:rFonts w:hint="eastAsia" w:ascii="黑体" w:hAnsi="黑体" w:eastAsia="黑体"/>
          <w:color w:val="auto"/>
          <w:sz w:val="32"/>
          <w:szCs w:val="32"/>
        </w:rPr>
        <w:t>：</w:t>
      </w:r>
      <w:r>
        <w:rPr>
          <w:rFonts w:ascii="黑体" w:hAnsi="黑体" w:eastAsia="黑体"/>
          <w:color w:val="auto"/>
          <w:sz w:val="32"/>
          <w:szCs w:val="32"/>
          <w:u w:val="single"/>
        </w:rPr>
        <w:t xml:space="preserve">                                          </w:t>
      </w:r>
    </w:p>
    <w:p w14:paraId="22FF8468">
      <w:pPr>
        <w:ind w:left="840" w:firstLine="420"/>
        <w:rPr>
          <w:rFonts w:hint="eastAsia"/>
          <w:b/>
          <w:bCs/>
          <w:color w:val="auto"/>
          <w:sz w:val="28"/>
          <w:szCs w:val="28"/>
        </w:rPr>
      </w:pPr>
    </w:p>
    <w:p w14:paraId="47DA8E56">
      <w:pPr>
        <w:ind w:left="840" w:firstLine="420"/>
        <w:rPr>
          <w:rFonts w:hint="eastAsia"/>
          <w:b/>
          <w:bCs/>
          <w:color w:val="auto"/>
          <w:sz w:val="28"/>
          <w:szCs w:val="28"/>
        </w:rPr>
      </w:pPr>
    </w:p>
    <w:p w14:paraId="7C38E878">
      <w:pPr>
        <w:ind w:left="840" w:firstLine="420"/>
        <w:rPr>
          <w:rFonts w:hint="eastAsia"/>
          <w:b/>
          <w:bCs/>
          <w:color w:val="auto"/>
          <w:sz w:val="28"/>
          <w:szCs w:val="28"/>
        </w:rPr>
      </w:pPr>
    </w:p>
    <w:p w14:paraId="2AA960C2">
      <w:pPr>
        <w:jc w:val="center"/>
        <w:rPr>
          <w:rFonts w:hint="eastAsia" w:ascii="黑体" w:hAnsi="黑体" w:eastAsia="黑体"/>
          <w:color w:val="auto"/>
          <w:sz w:val="32"/>
          <w:szCs w:val="32"/>
        </w:rPr>
      </w:pPr>
      <w:r>
        <w:rPr>
          <w:rFonts w:hint="eastAsia" w:ascii="黑体" w:hAnsi="黑体" w:eastAsia="黑体"/>
          <w:color w:val="auto"/>
          <w:sz w:val="32"/>
          <w:szCs w:val="32"/>
        </w:rPr>
        <w:t xml:space="preserve">年 </w:t>
      </w:r>
      <w:r>
        <w:rPr>
          <w:rFonts w:ascii="黑体" w:hAnsi="黑体" w:eastAsia="黑体"/>
          <w:color w:val="auto"/>
          <w:sz w:val="32"/>
          <w:szCs w:val="32"/>
        </w:rPr>
        <w:t xml:space="preserve">  </w:t>
      </w:r>
      <w:r>
        <w:rPr>
          <w:rFonts w:hint="eastAsia" w:ascii="黑体" w:hAnsi="黑体" w:eastAsia="黑体"/>
          <w:color w:val="auto"/>
          <w:sz w:val="32"/>
          <w:szCs w:val="32"/>
        </w:rPr>
        <w:t xml:space="preserve">月 </w:t>
      </w:r>
      <w:r>
        <w:rPr>
          <w:rFonts w:ascii="黑体" w:hAnsi="黑体" w:eastAsia="黑体"/>
          <w:color w:val="auto"/>
          <w:sz w:val="32"/>
          <w:szCs w:val="32"/>
        </w:rPr>
        <w:t xml:space="preserve">   </w:t>
      </w:r>
      <w:r>
        <w:rPr>
          <w:rFonts w:hint="eastAsia" w:ascii="黑体" w:hAnsi="黑体" w:eastAsia="黑体"/>
          <w:color w:val="auto"/>
          <w:sz w:val="32"/>
          <w:szCs w:val="32"/>
        </w:rPr>
        <w:t>日</w:t>
      </w:r>
    </w:p>
    <w:p w14:paraId="1C7AEEEB">
      <w:pPr>
        <w:rPr>
          <w:rFonts w:hint="eastAsia"/>
          <w:color w:val="auto"/>
          <w:lang w:val="zh-CN"/>
        </w:rPr>
      </w:pPr>
      <w:r>
        <w:rPr>
          <w:color w:val="auto"/>
          <w:lang w:val="zh-CN"/>
        </w:rPr>
        <w:br w:type="page"/>
      </w:r>
    </w:p>
    <w:p w14:paraId="6F0A438E">
      <w:pPr>
        <w:pStyle w:val="4"/>
        <w:numPr>
          <w:ilvl w:val="0"/>
          <w:numId w:val="29"/>
        </w:numPr>
        <w:rPr>
          <w:rFonts w:hint="eastAsia"/>
          <w:color w:val="auto"/>
        </w:rPr>
      </w:pPr>
      <w:bookmarkStart w:id="386" w:name="_Toc155185934"/>
      <w:bookmarkStart w:id="387" w:name="_Toc3620"/>
      <w:r>
        <w:rPr>
          <w:rFonts w:hint="eastAsia"/>
          <w:color w:val="auto"/>
        </w:rPr>
        <w:t>商务部分</w:t>
      </w:r>
      <w:bookmarkEnd w:id="386"/>
      <w:bookmarkEnd w:id="387"/>
    </w:p>
    <w:p w14:paraId="4FA98973">
      <w:pPr>
        <w:pStyle w:val="5"/>
        <w:numPr>
          <w:ilvl w:val="0"/>
          <w:numId w:val="30"/>
        </w:numPr>
        <w:rPr>
          <w:rFonts w:hint="eastAsia"/>
          <w:color w:val="auto"/>
        </w:rPr>
      </w:pPr>
      <w:bookmarkStart w:id="388" w:name="_Toc29365"/>
      <w:r>
        <w:rPr>
          <w:rFonts w:hint="eastAsia"/>
          <w:color w:val="auto"/>
        </w:rPr>
        <w:t>商务响应偏离表</w:t>
      </w:r>
      <w:bookmarkEnd w:id="388"/>
    </w:p>
    <w:p w14:paraId="69C247D7">
      <w:pPr>
        <w:rPr>
          <w:rFonts w:hint="eastAsia" w:cs="仿宋_GB2312"/>
          <w:color w:val="auto"/>
          <w:szCs w:val="24"/>
        </w:rPr>
      </w:pPr>
      <w:r>
        <w:rPr>
          <w:rFonts w:hint="eastAsia" w:cs="仿宋_GB2312"/>
          <w:color w:val="auto"/>
          <w:szCs w:val="24"/>
        </w:rPr>
        <w:t xml:space="preserve">项目名称：                                         </w:t>
      </w:r>
    </w:p>
    <w:p w14:paraId="64F86BAB">
      <w:pPr>
        <w:rPr>
          <w:rFonts w:hint="eastAsia" w:cs="仿宋_GB2312"/>
          <w:color w:val="auto"/>
          <w:szCs w:val="24"/>
        </w:rPr>
      </w:pPr>
      <w:r>
        <w:rPr>
          <w:rFonts w:hint="eastAsia" w:cs="仿宋_GB2312"/>
          <w:color w:val="auto"/>
          <w:szCs w:val="24"/>
        </w:rPr>
        <w:t xml:space="preserve">项目编号：        </w:t>
      </w:r>
    </w:p>
    <w:tbl>
      <w:tblPr>
        <w:tblStyle w:val="33"/>
        <w:tblW w:w="8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835"/>
        <w:gridCol w:w="2104"/>
        <w:gridCol w:w="1662"/>
        <w:gridCol w:w="993"/>
      </w:tblGrid>
      <w:tr w14:paraId="67FB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4EC053A6">
            <w:pPr>
              <w:pStyle w:val="54"/>
              <w:rPr>
                <w:rFonts w:hint="eastAsia"/>
                <w:color w:val="auto"/>
              </w:rPr>
            </w:pPr>
            <w:r>
              <w:rPr>
                <w:rFonts w:hint="eastAsia"/>
                <w:color w:val="auto"/>
              </w:rPr>
              <w:t>序号</w:t>
            </w:r>
          </w:p>
        </w:tc>
        <w:tc>
          <w:tcPr>
            <w:tcW w:w="2835" w:type="dxa"/>
            <w:vAlign w:val="center"/>
          </w:tcPr>
          <w:p w14:paraId="606DB733">
            <w:pPr>
              <w:pStyle w:val="54"/>
              <w:rPr>
                <w:rFonts w:hint="eastAsia"/>
                <w:color w:val="auto"/>
              </w:rPr>
            </w:pPr>
            <w:r>
              <w:rPr>
                <w:rFonts w:hint="eastAsia"/>
                <w:color w:val="auto"/>
              </w:rPr>
              <w:t>招标文件的商务条款</w:t>
            </w:r>
          </w:p>
        </w:tc>
        <w:tc>
          <w:tcPr>
            <w:tcW w:w="2104" w:type="dxa"/>
            <w:vAlign w:val="center"/>
          </w:tcPr>
          <w:p w14:paraId="1BCFA7C3">
            <w:pPr>
              <w:pStyle w:val="54"/>
              <w:rPr>
                <w:rFonts w:hint="eastAsia"/>
                <w:color w:val="auto"/>
              </w:rPr>
            </w:pPr>
            <w:r>
              <w:rPr>
                <w:rFonts w:hint="eastAsia"/>
                <w:color w:val="auto"/>
              </w:rPr>
              <w:t>投标文件的响应内容</w:t>
            </w:r>
          </w:p>
        </w:tc>
        <w:tc>
          <w:tcPr>
            <w:tcW w:w="1662" w:type="dxa"/>
          </w:tcPr>
          <w:p w14:paraId="3A76606F">
            <w:pPr>
              <w:pStyle w:val="54"/>
              <w:rPr>
                <w:rFonts w:hint="eastAsia"/>
                <w:color w:val="auto"/>
              </w:rPr>
            </w:pPr>
            <w:r>
              <w:rPr>
                <w:rFonts w:hint="eastAsia"/>
                <w:color w:val="auto"/>
              </w:rPr>
              <w:t>响应情况</w:t>
            </w:r>
          </w:p>
        </w:tc>
        <w:tc>
          <w:tcPr>
            <w:tcW w:w="993" w:type="dxa"/>
          </w:tcPr>
          <w:p w14:paraId="47BE1AA6">
            <w:pPr>
              <w:pStyle w:val="54"/>
              <w:rPr>
                <w:rFonts w:hint="eastAsia"/>
                <w:color w:val="auto"/>
              </w:rPr>
            </w:pPr>
            <w:r>
              <w:rPr>
                <w:rFonts w:hint="eastAsia"/>
                <w:color w:val="auto"/>
              </w:rPr>
              <w:t>说明及索引</w:t>
            </w:r>
          </w:p>
        </w:tc>
      </w:tr>
      <w:tr w14:paraId="4376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3275F61B">
            <w:pPr>
              <w:pStyle w:val="54"/>
              <w:rPr>
                <w:rFonts w:hint="eastAsia"/>
                <w:color w:val="auto"/>
              </w:rPr>
            </w:pPr>
            <w:r>
              <w:rPr>
                <w:rFonts w:hint="eastAsia"/>
                <w:color w:val="auto"/>
              </w:rPr>
              <w:t>1</w:t>
            </w:r>
          </w:p>
        </w:tc>
        <w:tc>
          <w:tcPr>
            <w:tcW w:w="2835" w:type="dxa"/>
          </w:tcPr>
          <w:p w14:paraId="62D59BDC">
            <w:pPr>
              <w:pStyle w:val="54"/>
              <w:rPr>
                <w:rFonts w:hint="eastAsia"/>
                <w:color w:val="auto"/>
                <w:sz w:val="21"/>
                <w:szCs w:val="21"/>
              </w:rPr>
            </w:pPr>
          </w:p>
        </w:tc>
        <w:tc>
          <w:tcPr>
            <w:tcW w:w="2104" w:type="dxa"/>
          </w:tcPr>
          <w:p w14:paraId="1DDC82F7">
            <w:pPr>
              <w:pStyle w:val="54"/>
              <w:rPr>
                <w:rFonts w:hint="eastAsia"/>
                <w:color w:val="auto"/>
              </w:rPr>
            </w:pPr>
          </w:p>
        </w:tc>
        <w:tc>
          <w:tcPr>
            <w:tcW w:w="1662" w:type="dxa"/>
          </w:tcPr>
          <w:p w14:paraId="2C511EF7">
            <w:pPr>
              <w:pStyle w:val="54"/>
              <w:rPr>
                <w:rFonts w:hint="eastAsia"/>
                <w:color w:val="auto"/>
              </w:rPr>
            </w:pPr>
            <w:r>
              <w:rPr>
                <w:rFonts w:hint="eastAsia"/>
                <w:color w:val="auto"/>
              </w:rPr>
              <w:t>响应</w:t>
            </w:r>
            <w:r>
              <w:rPr>
                <w:color w:val="auto"/>
              </w:rPr>
              <w:t>/偏离</w:t>
            </w:r>
          </w:p>
        </w:tc>
        <w:tc>
          <w:tcPr>
            <w:tcW w:w="993" w:type="dxa"/>
          </w:tcPr>
          <w:p w14:paraId="1B043928">
            <w:pPr>
              <w:pStyle w:val="54"/>
              <w:rPr>
                <w:rFonts w:hint="eastAsia"/>
                <w:color w:val="auto"/>
              </w:rPr>
            </w:pPr>
          </w:p>
        </w:tc>
      </w:tr>
      <w:tr w14:paraId="3F22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1EDC880">
            <w:pPr>
              <w:pStyle w:val="54"/>
              <w:rPr>
                <w:rFonts w:hint="eastAsia"/>
                <w:color w:val="auto"/>
              </w:rPr>
            </w:pPr>
            <w:r>
              <w:rPr>
                <w:rFonts w:hint="eastAsia"/>
                <w:color w:val="auto"/>
              </w:rPr>
              <w:t>2</w:t>
            </w:r>
          </w:p>
        </w:tc>
        <w:tc>
          <w:tcPr>
            <w:tcW w:w="2835" w:type="dxa"/>
          </w:tcPr>
          <w:p w14:paraId="4773B654">
            <w:pPr>
              <w:pStyle w:val="54"/>
              <w:rPr>
                <w:rFonts w:hint="eastAsia"/>
                <w:color w:val="auto"/>
              </w:rPr>
            </w:pPr>
          </w:p>
        </w:tc>
        <w:tc>
          <w:tcPr>
            <w:tcW w:w="2104" w:type="dxa"/>
          </w:tcPr>
          <w:p w14:paraId="33FD211A">
            <w:pPr>
              <w:pStyle w:val="54"/>
              <w:rPr>
                <w:rFonts w:hint="eastAsia"/>
                <w:color w:val="auto"/>
              </w:rPr>
            </w:pPr>
          </w:p>
        </w:tc>
        <w:tc>
          <w:tcPr>
            <w:tcW w:w="1662" w:type="dxa"/>
          </w:tcPr>
          <w:p w14:paraId="51C38425">
            <w:pPr>
              <w:pStyle w:val="54"/>
              <w:rPr>
                <w:rFonts w:hint="eastAsia"/>
                <w:color w:val="auto"/>
              </w:rPr>
            </w:pPr>
          </w:p>
        </w:tc>
        <w:tc>
          <w:tcPr>
            <w:tcW w:w="993" w:type="dxa"/>
          </w:tcPr>
          <w:p w14:paraId="57BDD8F2">
            <w:pPr>
              <w:pStyle w:val="54"/>
              <w:rPr>
                <w:rFonts w:hint="eastAsia"/>
                <w:color w:val="auto"/>
              </w:rPr>
            </w:pPr>
          </w:p>
        </w:tc>
      </w:tr>
      <w:tr w14:paraId="48FD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F4D5EFA">
            <w:pPr>
              <w:pStyle w:val="54"/>
              <w:rPr>
                <w:rFonts w:hint="eastAsia"/>
                <w:color w:val="auto"/>
              </w:rPr>
            </w:pPr>
            <w:r>
              <w:rPr>
                <w:rFonts w:hint="eastAsia"/>
                <w:color w:val="auto"/>
              </w:rPr>
              <w:t>3</w:t>
            </w:r>
          </w:p>
        </w:tc>
        <w:tc>
          <w:tcPr>
            <w:tcW w:w="2835" w:type="dxa"/>
          </w:tcPr>
          <w:p w14:paraId="7D43EF09">
            <w:pPr>
              <w:pStyle w:val="54"/>
              <w:rPr>
                <w:rFonts w:hint="eastAsia"/>
                <w:color w:val="auto"/>
              </w:rPr>
            </w:pPr>
          </w:p>
        </w:tc>
        <w:tc>
          <w:tcPr>
            <w:tcW w:w="2104" w:type="dxa"/>
          </w:tcPr>
          <w:p w14:paraId="64F2049A">
            <w:pPr>
              <w:pStyle w:val="54"/>
              <w:rPr>
                <w:rFonts w:hint="eastAsia"/>
                <w:color w:val="auto"/>
              </w:rPr>
            </w:pPr>
          </w:p>
        </w:tc>
        <w:tc>
          <w:tcPr>
            <w:tcW w:w="1662" w:type="dxa"/>
          </w:tcPr>
          <w:p w14:paraId="18C3E4D4">
            <w:pPr>
              <w:pStyle w:val="54"/>
              <w:rPr>
                <w:rFonts w:hint="eastAsia"/>
                <w:color w:val="auto"/>
              </w:rPr>
            </w:pPr>
          </w:p>
        </w:tc>
        <w:tc>
          <w:tcPr>
            <w:tcW w:w="993" w:type="dxa"/>
          </w:tcPr>
          <w:p w14:paraId="7FCE8F28">
            <w:pPr>
              <w:pStyle w:val="54"/>
              <w:rPr>
                <w:rFonts w:hint="eastAsia"/>
                <w:color w:val="auto"/>
              </w:rPr>
            </w:pPr>
          </w:p>
        </w:tc>
      </w:tr>
      <w:tr w14:paraId="27D3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34AB930">
            <w:pPr>
              <w:pStyle w:val="54"/>
              <w:rPr>
                <w:rFonts w:hint="eastAsia"/>
                <w:color w:val="auto"/>
              </w:rPr>
            </w:pPr>
            <w:r>
              <w:rPr>
                <w:rFonts w:hint="eastAsia"/>
                <w:color w:val="auto"/>
              </w:rPr>
              <w:t>4.</w:t>
            </w:r>
          </w:p>
        </w:tc>
        <w:tc>
          <w:tcPr>
            <w:tcW w:w="2835" w:type="dxa"/>
          </w:tcPr>
          <w:p w14:paraId="0BD64CFC">
            <w:pPr>
              <w:pStyle w:val="54"/>
              <w:rPr>
                <w:rFonts w:hint="eastAsia"/>
                <w:color w:val="auto"/>
              </w:rPr>
            </w:pPr>
          </w:p>
        </w:tc>
        <w:tc>
          <w:tcPr>
            <w:tcW w:w="2104" w:type="dxa"/>
          </w:tcPr>
          <w:p w14:paraId="7B9F1965">
            <w:pPr>
              <w:pStyle w:val="54"/>
              <w:rPr>
                <w:rFonts w:hint="eastAsia"/>
                <w:color w:val="auto"/>
              </w:rPr>
            </w:pPr>
          </w:p>
        </w:tc>
        <w:tc>
          <w:tcPr>
            <w:tcW w:w="1662" w:type="dxa"/>
          </w:tcPr>
          <w:p w14:paraId="6737DEC9">
            <w:pPr>
              <w:pStyle w:val="54"/>
              <w:rPr>
                <w:rFonts w:hint="eastAsia"/>
                <w:color w:val="auto"/>
              </w:rPr>
            </w:pPr>
          </w:p>
        </w:tc>
        <w:tc>
          <w:tcPr>
            <w:tcW w:w="993" w:type="dxa"/>
          </w:tcPr>
          <w:p w14:paraId="0C80B349">
            <w:pPr>
              <w:pStyle w:val="54"/>
              <w:rPr>
                <w:rFonts w:hint="eastAsia"/>
                <w:color w:val="auto"/>
              </w:rPr>
            </w:pPr>
          </w:p>
        </w:tc>
      </w:tr>
      <w:tr w14:paraId="32B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B0EBBA">
            <w:pPr>
              <w:pStyle w:val="54"/>
              <w:rPr>
                <w:rFonts w:hint="eastAsia"/>
                <w:color w:val="auto"/>
              </w:rPr>
            </w:pPr>
            <w:r>
              <w:rPr>
                <w:rFonts w:hint="eastAsia"/>
                <w:color w:val="auto"/>
              </w:rPr>
              <w:t>5.</w:t>
            </w:r>
          </w:p>
        </w:tc>
        <w:tc>
          <w:tcPr>
            <w:tcW w:w="2835" w:type="dxa"/>
          </w:tcPr>
          <w:p w14:paraId="2C2650AD">
            <w:pPr>
              <w:pStyle w:val="54"/>
              <w:rPr>
                <w:rFonts w:hint="eastAsia"/>
                <w:color w:val="auto"/>
              </w:rPr>
            </w:pPr>
          </w:p>
        </w:tc>
        <w:tc>
          <w:tcPr>
            <w:tcW w:w="2104" w:type="dxa"/>
          </w:tcPr>
          <w:p w14:paraId="509BA404">
            <w:pPr>
              <w:pStyle w:val="54"/>
              <w:rPr>
                <w:rFonts w:hint="eastAsia"/>
                <w:color w:val="auto"/>
              </w:rPr>
            </w:pPr>
          </w:p>
        </w:tc>
        <w:tc>
          <w:tcPr>
            <w:tcW w:w="1662" w:type="dxa"/>
          </w:tcPr>
          <w:p w14:paraId="72332983">
            <w:pPr>
              <w:pStyle w:val="54"/>
              <w:rPr>
                <w:rFonts w:hint="eastAsia"/>
                <w:color w:val="auto"/>
              </w:rPr>
            </w:pPr>
          </w:p>
        </w:tc>
        <w:tc>
          <w:tcPr>
            <w:tcW w:w="993" w:type="dxa"/>
          </w:tcPr>
          <w:p w14:paraId="085BDEE5">
            <w:pPr>
              <w:pStyle w:val="54"/>
              <w:rPr>
                <w:rFonts w:hint="eastAsia"/>
                <w:color w:val="auto"/>
              </w:rPr>
            </w:pPr>
          </w:p>
        </w:tc>
      </w:tr>
      <w:tr w14:paraId="7FE3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194B5C2">
            <w:pPr>
              <w:pStyle w:val="54"/>
              <w:rPr>
                <w:rFonts w:hint="eastAsia"/>
                <w:color w:val="auto"/>
              </w:rPr>
            </w:pPr>
            <w:r>
              <w:rPr>
                <w:rFonts w:hint="eastAsia"/>
                <w:color w:val="auto"/>
              </w:rPr>
              <w:t>6.</w:t>
            </w:r>
          </w:p>
        </w:tc>
        <w:tc>
          <w:tcPr>
            <w:tcW w:w="2835" w:type="dxa"/>
          </w:tcPr>
          <w:p w14:paraId="0691C8E7">
            <w:pPr>
              <w:pStyle w:val="54"/>
              <w:rPr>
                <w:rFonts w:hint="eastAsia"/>
                <w:color w:val="auto"/>
              </w:rPr>
            </w:pPr>
          </w:p>
        </w:tc>
        <w:tc>
          <w:tcPr>
            <w:tcW w:w="2104" w:type="dxa"/>
          </w:tcPr>
          <w:p w14:paraId="2FB4A307">
            <w:pPr>
              <w:pStyle w:val="54"/>
              <w:rPr>
                <w:rFonts w:hint="eastAsia"/>
                <w:color w:val="auto"/>
              </w:rPr>
            </w:pPr>
          </w:p>
        </w:tc>
        <w:tc>
          <w:tcPr>
            <w:tcW w:w="1662" w:type="dxa"/>
          </w:tcPr>
          <w:p w14:paraId="1C982DB4">
            <w:pPr>
              <w:pStyle w:val="54"/>
              <w:rPr>
                <w:rFonts w:hint="eastAsia"/>
                <w:color w:val="auto"/>
              </w:rPr>
            </w:pPr>
          </w:p>
        </w:tc>
        <w:tc>
          <w:tcPr>
            <w:tcW w:w="993" w:type="dxa"/>
          </w:tcPr>
          <w:p w14:paraId="759B83BD">
            <w:pPr>
              <w:pStyle w:val="54"/>
              <w:rPr>
                <w:rFonts w:hint="eastAsia"/>
                <w:color w:val="auto"/>
              </w:rPr>
            </w:pPr>
          </w:p>
        </w:tc>
      </w:tr>
      <w:tr w14:paraId="10C1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FD5F0A3">
            <w:pPr>
              <w:pStyle w:val="54"/>
              <w:rPr>
                <w:rFonts w:hint="eastAsia"/>
                <w:color w:val="auto"/>
              </w:rPr>
            </w:pPr>
            <w:r>
              <w:rPr>
                <w:rFonts w:hint="eastAsia"/>
                <w:color w:val="auto"/>
              </w:rPr>
              <w:t>……</w:t>
            </w:r>
          </w:p>
        </w:tc>
        <w:tc>
          <w:tcPr>
            <w:tcW w:w="2835" w:type="dxa"/>
          </w:tcPr>
          <w:p w14:paraId="29FFDCE7">
            <w:pPr>
              <w:pStyle w:val="54"/>
              <w:rPr>
                <w:rFonts w:hint="eastAsia"/>
                <w:color w:val="auto"/>
              </w:rPr>
            </w:pPr>
            <w:r>
              <w:rPr>
                <w:rFonts w:hint="eastAsia"/>
                <w:color w:val="auto"/>
              </w:rPr>
              <w:t>…………</w:t>
            </w:r>
          </w:p>
        </w:tc>
        <w:tc>
          <w:tcPr>
            <w:tcW w:w="2104" w:type="dxa"/>
          </w:tcPr>
          <w:p w14:paraId="2829112D">
            <w:pPr>
              <w:pStyle w:val="54"/>
              <w:rPr>
                <w:rFonts w:hint="eastAsia"/>
                <w:color w:val="auto"/>
              </w:rPr>
            </w:pPr>
            <w:r>
              <w:rPr>
                <w:rFonts w:hint="eastAsia"/>
                <w:color w:val="auto"/>
              </w:rPr>
              <w:t>…………</w:t>
            </w:r>
          </w:p>
        </w:tc>
        <w:tc>
          <w:tcPr>
            <w:tcW w:w="1662" w:type="dxa"/>
          </w:tcPr>
          <w:p w14:paraId="60E74148">
            <w:pPr>
              <w:pStyle w:val="54"/>
              <w:rPr>
                <w:rFonts w:hint="eastAsia"/>
                <w:color w:val="auto"/>
              </w:rPr>
            </w:pPr>
            <w:r>
              <w:rPr>
                <w:rFonts w:hint="eastAsia"/>
                <w:color w:val="auto"/>
              </w:rPr>
              <w:t>……</w:t>
            </w:r>
          </w:p>
        </w:tc>
        <w:tc>
          <w:tcPr>
            <w:tcW w:w="993" w:type="dxa"/>
          </w:tcPr>
          <w:p w14:paraId="1E338B3D">
            <w:pPr>
              <w:pStyle w:val="54"/>
              <w:rPr>
                <w:rFonts w:hint="eastAsia"/>
                <w:color w:val="auto"/>
              </w:rPr>
            </w:pPr>
          </w:p>
        </w:tc>
      </w:tr>
    </w:tbl>
    <w:p w14:paraId="7312BF6A">
      <w:pPr>
        <w:ind w:firstLine="480" w:firstLineChars="200"/>
        <w:rPr>
          <w:rFonts w:hint="eastAsia" w:cs="仿宋_GB2312"/>
          <w:color w:val="auto"/>
          <w:szCs w:val="24"/>
        </w:rPr>
      </w:pPr>
      <w:r>
        <w:rPr>
          <w:rFonts w:hint="eastAsia" w:cs="仿宋_GB2312"/>
          <w:color w:val="auto"/>
          <w:szCs w:val="24"/>
        </w:rPr>
        <w:t>注：</w:t>
      </w:r>
    </w:p>
    <w:p w14:paraId="5756A99A">
      <w:pPr>
        <w:ind w:firstLine="480" w:firstLineChars="200"/>
        <w:rPr>
          <w:rFonts w:hint="eastAsia" w:cs="仿宋_GB2312"/>
          <w:color w:val="auto"/>
          <w:szCs w:val="24"/>
        </w:rPr>
      </w:pPr>
      <w:r>
        <w:rPr>
          <w:rFonts w:hint="eastAsia" w:cs="仿宋_GB2312"/>
          <w:color w:val="auto"/>
          <w:szCs w:val="24"/>
        </w:rPr>
        <w:t>投标供应商应按照招标文件采购需求中相关商务要求填写。</w:t>
      </w:r>
    </w:p>
    <w:p w14:paraId="090E9E19">
      <w:pPr>
        <w:rPr>
          <w:rFonts w:hint="eastAsia" w:cs="仿宋_GB2312"/>
          <w:color w:val="auto"/>
          <w:szCs w:val="24"/>
        </w:rPr>
      </w:pPr>
    </w:p>
    <w:p w14:paraId="55E2C2F0">
      <w:pPr>
        <w:ind w:firstLine="480" w:firstLineChars="200"/>
        <w:rPr>
          <w:rFonts w:hint="eastAsia" w:cs="仿宋_GB2312"/>
          <w:color w:val="auto"/>
          <w:szCs w:val="24"/>
        </w:rPr>
      </w:pPr>
    </w:p>
    <w:p w14:paraId="4772714E">
      <w:pPr>
        <w:ind w:firstLine="480" w:firstLineChars="200"/>
        <w:rPr>
          <w:rFonts w:hint="eastAsia" w:cs="仿宋_GB2312"/>
          <w:color w:val="auto"/>
          <w:szCs w:val="24"/>
        </w:rPr>
      </w:pPr>
      <w:r>
        <w:rPr>
          <w:rFonts w:hint="eastAsia" w:cs="仿宋_GB2312"/>
          <w:color w:val="auto"/>
          <w:szCs w:val="24"/>
        </w:rPr>
        <w:t>投标供应商名称（</w:t>
      </w:r>
      <w:r>
        <w:rPr>
          <w:rFonts w:hint="eastAsia" w:cs="仿宋_GB2312"/>
          <w:color w:val="auto"/>
          <w:szCs w:val="24"/>
          <w:lang w:val="en-US" w:eastAsia="zh-CN"/>
        </w:rPr>
        <w:t>电子签</w:t>
      </w:r>
      <w:r>
        <w:rPr>
          <w:rFonts w:hint="eastAsia" w:cs="仿宋_GB2312"/>
          <w:color w:val="auto"/>
          <w:szCs w:val="24"/>
        </w:rPr>
        <w:t>章）：</w:t>
      </w:r>
    </w:p>
    <w:p w14:paraId="09C4FCF3">
      <w:pPr>
        <w:ind w:firstLine="420" w:firstLineChars="200"/>
        <w:rPr>
          <w:rFonts w:hint="eastAsia" w:cs="仿宋_GB2312"/>
          <w:color w:val="auto"/>
          <w:szCs w:val="24"/>
        </w:rPr>
      </w:pPr>
      <w:r>
        <w:rPr>
          <w:rFonts w:hint="eastAsia" w:ascii="Arial" w:hAnsi="Arial" w:eastAsia="宋体" w:cs="Arial"/>
          <w:color w:val="auto"/>
          <w:kern w:val="2"/>
          <w:sz w:val="21"/>
          <w:szCs w:val="21"/>
          <w:lang w:val="en-US" w:eastAsia="zh-CN" w:bidi="ar-SA"/>
        </w:rPr>
        <w:t>法定代表人（或非法人组织负责人）(电子签章)</w:t>
      </w:r>
      <w:r>
        <w:rPr>
          <w:rFonts w:cs="仿宋_GB2312"/>
          <w:color w:val="auto"/>
          <w:szCs w:val="24"/>
        </w:rPr>
        <w:t xml:space="preserve"> </w:t>
      </w:r>
    </w:p>
    <w:p w14:paraId="254289AD">
      <w:pPr>
        <w:ind w:firstLine="420"/>
        <w:rPr>
          <w:rFonts w:hint="eastAsia" w:cs="仿宋_GB2312"/>
          <w:color w:val="auto"/>
          <w:szCs w:val="24"/>
        </w:rPr>
      </w:pPr>
      <w:r>
        <w:rPr>
          <w:rFonts w:hint="eastAsia" w:cs="仿宋_GB2312"/>
          <w:color w:val="auto"/>
          <w:szCs w:val="24"/>
        </w:rPr>
        <w:t>日      期：</w:t>
      </w:r>
    </w:p>
    <w:p w14:paraId="6FF09C98">
      <w:pPr>
        <w:ind w:firstLine="420"/>
        <w:rPr>
          <w:rFonts w:hint="eastAsia" w:cs="仿宋_GB2312"/>
          <w:color w:val="auto"/>
          <w:szCs w:val="24"/>
        </w:rPr>
      </w:pPr>
      <w:r>
        <w:rPr>
          <w:rFonts w:cs="仿宋_GB2312"/>
          <w:color w:val="auto"/>
          <w:szCs w:val="24"/>
        </w:rPr>
        <w:br w:type="page"/>
      </w:r>
    </w:p>
    <w:p w14:paraId="28976097">
      <w:pPr>
        <w:pStyle w:val="5"/>
        <w:numPr>
          <w:ilvl w:val="0"/>
          <w:numId w:val="30"/>
        </w:numPr>
        <w:rPr>
          <w:rFonts w:hint="eastAsia"/>
          <w:color w:val="auto"/>
        </w:rPr>
      </w:pPr>
      <w:bookmarkStart w:id="389" w:name="_Toc31156"/>
      <w:r>
        <w:rPr>
          <w:rFonts w:hint="eastAsia"/>
          <w:color w:val="auto"/>
        </w:rPr>
        <w:t>其他商务文件</w:t>
      </w:r>
      <w:bookmarkEnd w:id="389"/>
    </w:p>
    <w:p w14:paraId="437CFF76">
      <w:pPr>
        <w:pStyle w:val="42"/>
        <w:rPr>
          <w:rFonts w:hint="eastAsia"/>
          <w:color w:val="auto"/>
        </w:rPr>
      </w:pPr>
      <w:r>
        <w:rPr>
          <w:rFonts w:hint="eastAsia"/>
          <w:color w:val="auto"/>
        </w:rPr>
        <w:t>1. 招标文件要求提供的其它商务资料和证明材料，</w:t>
      </w:r>
      <w:r>
        <w:rPr>
          <w:rFonts w:hint="eastAsia"/>
          <w:color w:val="auto"/>
          <w:lang w:val="en-US"/>
        </w:rPr>
        <w:t>供应商结合评分办法内容自行拟定</w:t>
      </w:r>
      <w:r>
        <w:rPr>
          <w:rFonts w:hint="eastAsia"/>
          <w:color w:val="auto"/>
        </w:rPr>
        <w:t>；</w:t>
      </w:r>
    </w:p>
    <w:p w14:paraId="3EB9479B">
      <w:pPr>
        <w:pStyle w:val="42"/>
        <w:rPr>
          <w:rFonts w:hint="eastAsia"/>
          <w:color w:val="auto"/>
        </w:rPr>
      </w:pPr>
      <w:r>
        <w:rPr>
          <w:rFonts w:hint="eastAsia"/>
          <w:color w:val="auto"/>
        </w:rPr>
        <w:t>2. 投标供应商认为需要提供的其它商务资料和说明。</w:t>
      </w:r>
      <w:r>
        <w:rPr>
          <w:color w:val="auto"/>
        </w:rPr>
        <w:br w:type="page"/>
      </w:r>
    </w:p>
    <w:p w14:paraId="6A0591E0">
      <w:pPr>
        <w:pStyle w:val="4"/>
        <w:numPr>
          <w:ilvl w:val="0"/>
          <w:numId w:val="29"/>
        </w:numPr>
        <w:rPr>
          <w:rFonts w:hint="eastAsia"/>
          <w:color w:val="auto"/>
        </w:rPr>
      </w:pPr>
      <w:bookmarkStart w:id="390" w:name="_Toc155185935"/>
      <w:bookmarkStart w:id="391" w:name="_Toc18450"/>
      <w:r>
        <w:rPr>
          <w:rFonts w:hint="eastAsia"/>
          <w:color w:val="auto"/>
        </w:rPr>
        <w:t>技术部分</w:t>
      </w:r>
      <w:bookmarkEnd w:id="390"/>
      <w:bookmarkEnd w:id="391"/>
    </w:p>
    <w:p w14:paraId="40703231">
      <w:pPr>
        <w:pStyle w:val="5"/>
        <w:numPr>
          <w:ilvl w:val="0"/>
          <w:numId w:val="31"/>
        </w:numPr>
        <w:rPr>
          <w:rFonts w:hint="eastAsia"/>
          <w:color w:val="auto"/>
        </w:rPr>
      </w:pPr>
      <w:bookmarkStart w:id="392" w:name="_Toc28309"/>
      <w:r>
        <w:rPr>
          <w:rFonts w:hint="eastAsia"/>
          <w:color w:val="auto"/>
        </w:rPr>
        <w:t>技术响应偏离表</w:t>
      </w:r>
      <w:bookmarkEnd w:id="392"/>
    </w:p>
    <w:p w14:paraId="4B8051F1">
      <w:pPr>
        <w:rPr>
          <w:rFonts w:hint="eastAsia" w:cs="仿宋_GB2312"/>
          <w:color w:val="auto"/>
          <w:szCs w:val="24"/>
        </w:rPr>
      </w:pPr>
      <w:r>
        <w:rPr>
          <w:rFonts w:hint="eastAsia" w:cs="仿宋_GB2312"/>
          <w:color w:val="auto"/>
          <w:szCs w:val="24"/>
        </w:rPr>
        <w:t xml:space="preserve">项目名称：                                         </w:t>
      </w:r>
    </w:p>
    <w:p w14:paraId="3A6E8DDF">
      <w:pPr>
        <w:rPr>
          <w:rFonts w:hint="eastAsia" w:cs="仿宋_GB2312"/>
          <w:color w:val="auto"/>
          <w:szCs w:val="24"/>
        </w:rPr>
      </w:pPr>
      <w:r>
        <w:rPr>
          <w:rFonts w:hint="eastAsia" w:cs="仿宋_GB2312"/>
          <w:color w:val="auto"/>
          <w:szCs w:val="24"/>
        </w:rPr>
        <w:t xml:space="preserve">项目编号：         </w:t>
      </w:r>
    </w:p>
    <w:tbl>
      <w:tblPr>
        <w:tblStyle w:val="33"/>
        <w:tblW w:w="8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551"/>
        <w:gridCol w:w="1691"/>
        <w:gridCol w:w="1669"/>
        <w:gridCol w:w="1549"/>
      </w:tblGrid>
      <w:tr w14:paraId="2D1D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96" w:type="dxa"/>
            <w:vAlign w:val="center"/>
          </w:tcPr>
          <w:p w14:paraId="7AFC34C4">
            <w:pPr>
              <w:pStyle w:val="54"/>
              <w:rPr>
                <w:rFonts w:hint="eastAsia"/>
                <w:color w:val="auto"/>
              </w:rPr>
            </w:pPr>
            <w:r>
              <w:rPr>
                <w:rFonts w:hint="eastAsia"/>
                <w:color w:val="auto"/>
              </w:rPr>
              <w:t>序号</w:t>
            </w:r>
          </w:p>
        </w:tc>
        <w:tc>
          <w:tcPr>
            <w:tcW w:w="2551" w:type="dxa"/>
            <w:vAlign w:val="center"/>
          </w:tcPr>
          <w:p w14:paraId="29879474">
            <w:pPr>
              <w:pStyle w:val="54"/>
              <w:rPr>
                <w:rFonts w:hint="eastAsia"/>
                <w:color w:val="auto"/>
              </w:rPr>
            </w:pPr>
            <w:r>
              <w:rPr>
                <w:rFonts w:hint="eastAsia"/>
                <w:color w:val="auto"/>
              </w:rPr>
              <w:t>招标文件技术、服务要求条款</w:t>
            </w:r>
          </w:p>
        </w:tc>
        <w:tc>
          <w:tcPr>
            <w:tcW w:w="1691" w:type="dxa"/>
            <w:vAlign w:val="center"/>
          </w:tcPr>
          <w:p w14:paraId="614B6739">
            <w:pPr>
              <w:pStyle w:val="54"/>
              <w:rPr>
                <w:rFonts w:hint="eastAsia"/>
                <w:color w:val="auto"/>
              </w:rPr>
            </w:pPr>
            <w:r>
              <w:rPr>
                <w:rFonts w:hint="eastAsia"/>
                <w:color w:val="auto"/>
              </w:rPr>
              <w:t>投标文件内容</w:t>
            </w:r>
          </w:p>
          <w:p w14:paraId="3BAC867D">
            <w:pPr>
              <w:pStyle w:val="54"/>
              <w:rPr>
                <w:rFonts w:hint="eastAsia"/>
                <w:color w:val="auto"/>
              </w:rPr>
            </w:pPr>
            <w:r>
              <w:rPr>
                <w:rFonts w:hint="eastAsia"/>
                <w:color w:val="auto"/>
              </w:rPr>
              <w:t>对应简述</w:t>
            </w:r>
          </w:p>
        </w:tc>
        <w:tc>
          <w:tcPr>
            <w:tcW w:w="1669" w:type="dxa"/>
            <w:vAlign w:val="center"/>
          </w:tcPr>
          <w:p w14:paraId="7263335D">
            <w:pPr>
              <w:pStyle w:val="54"/>
              <w:rPr>
                <w:rFonts w:hint="eastAsia"/>
                <w:color w:val="auto"/>
              </w:rPr>
            </w:pPr>
            <w:r>
              <w:rPr>
                <w:rFonts w:hint="eastAsia"/>
                <w:color w:val="auto"/>
              </w:rPr>
              <w:t>响应情况</w:t>
            </w:r>
          </w:p>
        </w:tc>
        <w:tc>
          <w:tcPr>
            <w:tcW w:w="1549" w:type="dxa"/>
            <w:vAlign w:val="center"/>
          </w:tcPr>
          <w:p w14:paraId="6EA99934">
            <w:pPr>
              <w:pStyle w:val="54"/>
              <w:rPr>
                <w:rFonts w:hint="eastAsia"/>
                <w:color w:val="auto"/>
              </w:rPr>
            </w:pPr>
            <w:r>
              <w:rPr>
                <w:rFonts w:hint="eastAsia"/>
                <w:color w:val="auto"/>
              </w:rPr>
              <w:t>说明及索引</w:t>
            </w:r>
          </w:p>
        </w:tc>
      </w:tr>
      <w:tr w14:paraId="4F46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vAlign w:val="center"/>
          </w:tcPr>
          <w:p w14:paraId="466B7BF9">
            <w:pPr>
              <w:pStyle w:val="54"/>
              <w:rPr>
                <w:rFonts w:hint="eastAsia"/>
                <w:color w:val="auto"/>
              </w:rPr>
            </w:pPr>
            <w:r>
              <w:rPr>
                <w:rFonts w:hint="eastAsia"/>
                <w:color w:val="auto"/>
              </w:rPr>
              <w:t>1</w:t>
            </w:r>
          </w:p>
        </w:tc>
        <w:tc>
          <w:tcPr>
            <w:tcW w:w="2551" w:type="dxa"/>
            <w:vAlign w:val="center"/>
          </w:tcPr>
          <w:p w14:paraId="646F6C98">
            <w:pPr>
              <w:pStyle w:val="54"/>
              <w:rPr>
                <w:rFonts w:hint="eastAsia"/>
                <w:color w:val="auto"/>
              </w:rPr>
            </w:pPr>
          </w:p>
        </w:tc>
        <w:tc>
          <w:tcPr>
            <w:tcW w:w="1691" w:type="dxa"/>
            <w:vAlign w:val="center"/>
          </w:tcPr>
          <w:p w14:paraId="5838D0CB">
            <w:pPr>
              <w:pStyle w:val="54"/>
              <w:rPr>
                <w:rFonts w:hint="eastAsia"/>
                <w:color w:val="auto"/>
              </w:rPr>
            </w:pPr>
          </w:p>
        </w:tc>
        <w:tc>
          <w:tcPr>
            <w:tcW w:w="1669" w:type="dxa"/>
            <w:vAlign w:val="center"/>
          </w:tcPr>
          <w:p w14:paraId="7B4BF03E">
            <w:pPr>
              <w:pStyle w:val="54"/>
              <w:rPr>
                <w:rFonts w:hint="eastAsia"/>
                <w:color w:val="auto"/>
              </w:rPr>
            </w:pPr>
          </w:p>
        </w:tc>
        <w:tc>
          <w:tcPr>
            <w:tcW w:w="1549" w:type="dxa"/>
            <w:vAlign w:val="center"/>
          </w:tcPr>
          <w:p w14:paraId="30B42CB7">
            <w:pPr>
              <w:pStyle w:val="54"/>
              <w:rPr>
                <w:rFonts w:hint="eastAsia"/>
                <w:color w:val="auto"/>
              </w:rPr>
            </w:pPr>
          </w:p>
        </w:tc>
      </w:tr>
      <w:tr w14:paraId="01C0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vAlign w:val="center"/>
          </w:tcPr>
          <w:p w14:paraId="2803388F">
            <w:pPr>
              <w:pStyle w:val="54"/>
              <w:rPr>
                <w:rFonts w:hint="eastAsia"/>
                <w:color w:val="auto"/>
              </w:rPr>
            </w:pPr>
            <w:r>
              <w:rPr>
                <w:rFonts w:hint="eastAsia"/>
                <w:color w:val="auto"/>
              </w:rPr>
              <w:t>2</w:t>
            </w:r>
          </w:p>
        </w:tc>
        <w:tc>
          <w:tcPr>
            <w:tcW w:w="2551" w:type="dxa"/>
            <w:vAlign w:val="center"/>
          </w:tcPr>
          <w:p w14:paraId="2A5F3238">
            <w:pPr>
              <w:pStyle w:val="54"/>
              <w:rPr>
                <w:rFonts w:hint="eastAsia"/>
                <w:color w:val="auto"/>
              </w:rPr>
            </w:pPr>
          </w:p>
        </w:tc>
        <w:tc>
          <w:tcPr>
            <w:tcW w:w="1691" w:type="dxa"/>
            <w:vAlign w:val="center"/>
          </w:tcPr>
          <w:p w14:paraId="6D29EEAD">
            <w:pPr>
              <w:pStyle w:val="54"/>
              <w:rPr>
                <w:rFonts w:hint="eastAsia"/>
                <w:color w:val="auto"/>
              </w:rPr>
            </w:pPr>
          </w:p>
        </w:tc>
        <w:tc>
          <w:tcPr>
            <w:tcW w:w="1669" w:type="dxa"/>
            <w:vAlign w:val="center"/>
          </w:tcPr>
          <w:p w14:paraId="23F07BAC">
            <w:pPr>
              <w:pStyle w:val="54"/>
              <w:rPr>
                <w:rFonts w:hint="eastAsia"/>
                <w:color w:val="auto"/>
              </w:rPr>
            </w:pPr>
          </w:p>
        </w:tc>
        <w:tc>
          <w:tcPr>
            <w:tcW w:w="1549" w:type="dxa"/>
            <w:vAlign w:val="center"/>
          </w:tcPr>
          <w:p w14:paraId="05C61D61">
            <w:pPr>
              <w:pStyle w:val="54"/>
              <w:rPr>
                <w:rFonts w:hint="eastAsia"/>
                <w:color w:val="auto"/>
              </w:rPr>
            </w:pPr>
          </w:p>
        </w:tc>
      </w:tr>
      <w:tr w14:paraId="2086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FB4D7C6">
            <w:pPr>
              <w:pStyle w:val="54"/>
              <w:rPr>
                <w:rFonts w:hint="eastAsia"/>
                <w:color w:val="auto"/>
              </w:rPr>
            </w:pPr>
            <w:r>
              <w:rPr>
                <w:rFonts w:hint="eastAsia"/>
                <w:color w:val="auto"/>
              </w:rPr>
              <w:t>3</w:t>
            </w:r>
          </w:p>
        </w:tc>
        <w:tc>
          <w:tcPr>
            <w:tcW w:w="2551" w:type="dxa"/>
          </w:tcPr>
          <w:p w14:paraId="0C222C95">
            <w:pPr>
              <w:pStyle w:val="54"/>
              <w:rPr>
                <w:rFonts w:hint="eastAsia"/>
                <w:color w:val="auto"/>
              </w:rPr>
            </w:pPr>
          </w:p>
        </w:tc>
        <w:tc>
          <w:tcPr>
            <w:tcW w:w="1691" w:type="dxa"/>
          </w:tcPr>
          <w:p w14:paraId="4B63F3D9">
            <w:pPr>
              <w:pStyle w:val="54"/>
              <w:rPr>
                <w:rFonts w:hint="eastAsia"/>
                <w:color w:val="auto"/>
              </w:rPr>
            </w:pPr>
          </w:p>
        </w:tc>
        <w:tc>
          <w:tcPr>
            <w:tcW w:w="1669" w:type="dxa"/>
          </w:tcPr>
          <w:p w14:paraId="5261B9B4">
            <w:pPr>
              <w:pStyle w:val="54"/>
              <w:rPr>
                <w:rFonts w:hint="eastAsia"/>
                <w:color w:val="auto"/>
              </w:rPr>
            </w:pPr>
          </w:p>
        </w:tc>
        <w:tc>
          <w:tcPr>
            <w:tcW w:w="1549" w:type="dxa"/>
          </w:tcPr>
          <w:p w14:paraId="0BED255A">
            <w:pPr>
              <w:pStyle w:val="54"/>
              <w:rPr>
                <w:rFonts w:hint="eastAsia"/>
                <w:color w:val="auto"/>
              </w:rPr>
            </w:pPr>
          </w:p>
        </w:tc>
      </w:tr>
      <w:tr w14:paraId="4414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0F162E66">
            <w:pPr>
              <w:pStyle w:val="54"/>
              <w:rPr>
                <w:rFonts w:hint="eastAsia"/>
                <w:color w:val="auto"/>
              </w:rPr>
            </w:pPr>
          </w:p>
        </w:tc>
        <w:tc>
          <w:tcPr>
            <w:tcW w:w="2551" w:type="dxa"/>
          </w:tcPr>
          <w:p w14:paraId="36664319">
            <w:pPr>
              <w:pStyle w:val="54"/>
              <w:rPr>
                <w:rFonts w:hint="eastAsia"/>
                <w:color w:val="auto"/>
              </w:rPr>
            </w:pPr>
          </w:p>
        </w:tc>
        <w:tc>
          <w:tcPr>
            <w:tcW w:w="1691" w:type="dxa"/>
          </w:tcPr>
          <w:p w14:paraId="77B2983E">
            <w:pPr>
              <w:pStyle w:val="54"/>
              <w:rPr>
                <w:rFonts w:hint="eastAsia"/>
                <w:color w:val="auto"/>
              </w:rPr>
            </w:pPr>
          </w:p>
        </w:tc>
        <w:tc>
          <w:tcPr>
            <w:tcW w:w="1669" w:type="dxa"/>
          </w:tcPr>
          <w:p w14:paraId="26171990">
            <w:pPr>
              <w:pStyle w:val="54"/>
              <w:rPr>
                <w:rFonts w:hint="eastAsia"/>
                <w:color w:val="auto"/>
              </w:rPr>
            </w:pPr>
          </w:p>
        </w:tc>
        <w:tc>
          <w:tcPr>
            <w:tcW w:w="1549" w:type="dxa"/>
          </w:tcPr>
          <w:p w14:paraId="254FFCA1">
            <w:pPr>
              <w:pStyle w:val="54"/>
              <w:rPr>
                <w:rFonts w:hint="eastAsia"/>
                <w:color w:val="auto"/>
              </w:rPr>
            </w:pPr>
          </w:p>
        </w:tc>
      </w:tr>
      <w:tr w14:paraId="6B38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3399C41">
            <w:pPr>
              <w:pStyle w:val="54"/>
              <w:rPr>
                <w:rFonts w:hint="eastAsia"/>
                <w:color w:val="auto"/>
              </w:rPr>
            </w:pPr>
          </w:p>
        </w:tc>
        <w:tc>
          <w:tcPr>
            <w:tcW w:w="2551" w:type="dxa"/>
          </w:tcPr>
          <w:p w14:paraId="29951764">
            <w:pPr>
              <w:pStyle w:val="54"/>
              <w:rPr>
                <w:rFonts w:hint="eastAsia"/>
                <w:color w:val="auto"/>
              </w:rPr>
            </w:pPr>
          </w:p>
        </w:tc>
        <w:tc>
          <w:tcPr>
            <w:tcW w:w="1691" w:type="dxa"/>
          </w:tcPr>
          <w:p w14:paraId="78D1E647">
            <w:pPr>
              <w:pStyle w:val="54"/>
              <w:rPr>
                <w:rFonts w:hint="eastAsia"/>
                <w:color w:val="auto"/>
              </w:rPr>
            </w:pPr>
          </w:p>
        </w:tc>
        <w:tc>
          <w:tcPr>
            <w:tcW w:w="1669" w:type="dxa"/>
          </w:tcPr>
          <w:p w14:paraId="13C6380D">
            <w:pPr>
              <w:pStyle w:val="54"/>
              <w:rPr>
                <w:rFonts w:hint="eastAsia"/>
                <w:color w:val="auto"/>
              </w:rPr>
            </w:pPr>
          </w:p>
        </w:tc>
        <w:tc>
          <w:tcPr>
            <w:tcW w:w="1549" w:type="dxa"/>
          </w:tcPr>
          <w:p w14:paraId="17975F69">
            <w:pPr>
              <w:pStyle w:val="54"/>
              <w:rPr>
                <w:rFonts w:hint="eastAsia"/>
                <w:color w:val="auto"/>
              </w:rPr>
            </w:pPr>
          </w:p>
        </w:tc>
      </w:tr>
      <w:tr w14:paraId="404C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66183371">
            <w:pPr>
              <w:pStyle w:val="54"/>
              <w:rPr>
                <w:rFonts w:hint="eastAsia"/>
                <w:color w:val="auto"/>
              </w:rPr>
            </w:pPr>
          </w:p>
        </w:tc>
        <w:tc>
          <w:tcPr>
            <w:tcW w:w="2551" w:type="dxa"/>
          </w:tcPr>
          <w:p w14:paraId="642F0B4C">
            <w:pPr>
              <w:pStyle w:val="54"/>
              <w:rPr>
                <w:rFonts w:hint="eastAsia"/>
                <w:color w:val="auto"/>
              </w:rPr>
            </w:pPr>
          </w:p>
        </w:tc>
        <w:tc>
          <w:tcPr>
            <w:tcW w:w="1691" w:type="dxa"/>
          </w:tcPr>
          <w:p w14:paraId="3936E1D9">
            <w:pPr>
              <w:pStyle w:val="54"/>
              <w:rPr>
                <w:rFonts w:hint="eastAsia"/>
                <w:color w:val="auto"/>
              </w:rPr>
            </w:pPr>
          </w:p>
        </w:tc>
        <w:tc>
          <w:tcPr>
            <w:tcW w:w="1669" w:type="dxa"/>
          </w:tcPr>
          <w:p w14:paraId="78CED6C9">
            <w:pPr>
              <w:pStyle w:val="54"/>
              <w:rPr>
                <w:rFonts w:hint="eastAsia"/>
                <w:color w:val="auto"/>
              </w:rPr>
            </w:pPr>
          </w:p>
        </w:tc>
        <w:tc>
          <w:tcPr>
            <w:tcW w:w="1549" w:type="dxa"/>
          </w:tcPr>
          <w:p w14:paraId="3B7B357D">
            <w:pPr>
              <w:pStyle w:val="54"/>
              <w:rPr>
                <w:rFonts w:hint="eastAsia"/>
                <w:color w:val="auto"/>
              </w:rPr>
            </w:pPr>
          </w:p>
        </w:tc>
      </w:tr>
      <w:tr w14:paraId="0571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316A2BFB">
            <w:pPr>
              <w:pStyle w:val="54"/>
              <w:rPr>
                <w:rFonts w:hint="eastAsia"/>
                <w:color w:val="auto"/>
              </w:rPr>
            </w:pPr>
          </w:p>
        </w:tc>
        <w:tc>
          <w:tcPr>
            <w:tcW w:w="2551" w:type="dxa"/>
          </w:tcPr>
          <w:p w14:paraId="4C821675">
            <w:pPr>
              <w:pStyle w:val="54"/>
              <w:rPr>
                <w:rFonts w:hint="eastAsia"/>
                <w:color w:val="auto"/>
              </w:rPr>
            </w:pPr>
          </w:p>
        </w:tc>
        <w:tc>
          <w:tcPr>
            <w:tcW w:w="1691" w:type="dxa"/>
          </w:tcPr>
          <w:p w14:paraId="25FCF6C9">
            <w:pPr>
              <w:pStyle w:val="54"/>
              <w:rPr>
                <w:rFonts w:hint="eastAsia"/>
                <w:color w:val="auto"/>
              </w:rPr>
            </w:pPr>
          </w:p>
        </w:tc>
        <w:tc>
          <w:tcPr>
            <w:tcW w:w="1669" w:type="dxa"/>
          </w:tcPr>
          <w:p w14:paraId="00A23EAB">
            <w:pPr>
              <w:pStyle w:val="54"/>
              <w:rPr>
                <w:rFonts w:hint="eastAsia"/>
                <w:color w:val="auto"/>
              </w:rPr>
            </w:pPr>
          </w:p>
        </w:tc>
        <w:tc>
          <w:tcPr>
            <w:tcW w:w="1549" w:type="dxa"/>
          </w:tcPr>
          <w:p w14:paraId="6EDD0BC8">
            <w:pPr>
              <w:pStyle w:val="54"/>
              <w:rPr>
                <w:rFonts w:hint="eastAsia"/>
                <w:color w:val="auto"/>
              </w:rPr>
            </w:pPr>
          </w:p>
        </w:tc>
      </w:tr>
      <w:tr w14:paraId="4BD1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FD38552">
            <w:pPr>
              <w:pStyle w:val="54"/>
              <w:rPr>
                <w:rFonts w:hint="eastAsia"/>
                <w:color w:val="auto"/>
              </w:rPr>
            </w:pPr>
          </w:p>
        </w:tc>
        <w:tc>
          <w:tcPr>
            <w:tcW w:w="2551" w:type="dxa"/>
          </w:tcPr>
          <w:p w14:paraId="3C81E7C7">
            <w:pPr>
              <w:pStyle w:val="54"/>
              <w:rPr>
                <w:rFonts w:hint="eastAsia"/>
                <w:color w:val="auto"/>
              </w:rPr>
            </w:pPr>
          </w:p>
        </w:tc>
        <w:tc>
          <w:tcPr>
            <w:tcW w:w="1691" w:type="dxa"/>
          </w:tcPr>
          <w:p w14:paraId="58E33CE2">
            <w:pPr>
              <w:pStyle w:val="54"/>
              <w:rPr>
                <w:rFonts w:hint="eastAsia"/>
                <w:color w:val="auto"/>
              </w:rPr>
            </w:pPr>
          </w:p>
        </w:tc>
        <w:tc>
          <w:tcPr>
            <w:tcW w:w="1669" w:type="dxa"/>
          </w:tcPr>
          <w:p w14:paraId="6EBDD8EE">
            <w:pPr>
              <w:pStyle w:val="54"/>
              <w:rPr>
                <w:rFonts w:hint="eastAsia"/>
                <w:color w:val="auto"/>
              </w:rPr>
            </w:pPr>
          </w:p>
        </w:tc>
        <w:tc>
          <w:tcPr>
            <w:tcW w:w="1549" w:type="dxa"/>
          </w:tcPr>
          <w:p w14:paraId="27C31CA2">
            <w:pPr>
              <w:pStyle w:val="54"/>
              <w:rPr>
                <w:rFonts w:hint="eastAsia"/>
                <w:color w:val="auto"/>
              </w:rPr>
            </w:pPr>
          </w:p>
        </w:tc>
      </w:tr>
      <w:tr w14:paraId="65FF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0E6C9440">
            <w:pPr>
              <w:pStyle w:val="54"/>
              <w:rPr>
                <w:rFonts w:hint="eastAsia"/>
                <w:color w:val="auto"/>
              </w:rPr>
            </w:pPr>
          </w:p>
        </w:tc>
        <w:tc>
          <w:tcPr>
            <w:tcW w:w="2551" w:type="dxa"/>
          </w:tcPr>
          <w:p w14:paraId="71C74754">
            <w:pPr>
              <w:pStyle w:val="54"/>
              <w:rPr>
                <w:rFonts w:hint="eastAsia"/>
                <w:color w:val="auto"/>
              </w:rPr>
            </w:pPr>
          </w:p>
        </w:tc>
        <w:tc>
          <w:tcPr>
            <w:tcW w:w="1691" w:type="dxa"/>
          </w:tcPr>
          <w:p w14:paraId="2A4B1490">
            <w:pPr>
              <w:pStyle w:val="54"/>
              <w:rPr>
                <w:rFonts w:hint="eastAsia"/>
                <w:color w:val="auto"/>
              </w:rPr>
            </w:pPr>
          </w:p>
        </w:tc>
        <w:tc>
          <w:tcPr>
            <w:tcW w:w="1669" w:type="dxa"/>
          </w:tcPr>
          <w:p w14:paraId="5EBA2901">
            <w:pPr>
              <w:pStyle w:val="54"/>
              <w:rPr>
                <w:rFonts w:hint="eastAsia"/>
                <w:color w:val="auto"/>
              </w:rPr>
            </w:pPr>
          </w:p>
        </w:tc>
        <w:tc>
          <w:tcPr>
            <w:tcW w:w="1549" w:type="dxa"/>
          </w:tcPr>
          <w:p w14:paraId="4B9CAA29">
            <w:pPr>
              <w:pStyle w:val="54"/>
              <w:rPr>
                <w:rFonts w:hint="eastAsia"/>
                <w:color w:val="auto"/>
              </w:rPr>
            </w:pPr>
          </w:p>
        </w:tc>
      </w:tr>
      <w:tr w14:paraId="061D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123704D3">
            <w:pPr>
              <w:pStyle w:val="54"/>
              <w:rPr>
                <w:rFonts w:hint="eastAsia"/>
                <w:color w:val="auto"/>
              </w:rPr>
            </w:pPr>
          </w:p>
        </w:tc>
        <w:tc>
          <w:tcPr>
            <w:tcW w:w="2551" w:type="dxa"/>
          </w:tcPr>
          <w:p w14:paraId="1A2242C1">
            <w:pPr>
              <w:pStyle w:val="54"/>
              <w:rPr>
                <w:rFonts w:hint="eastAsia"/>
                <w:color w:val="auto"/>
              </w:rPr>
            </w:pPr>
          </w:p>
        </w:tc>
        <w:tc>
          <w:tcPr>
            <w:tcW w:w="1691" w:type="dxa"/>
          </w:tcPr>
          <w:p w14:paraId="3C36ABA4">
            <w:pPr>
              <w:pStyle w:val="54"/>
              <w:rPr>
                <w:rFonts w:hint="eastAsia"/>
                <w:color w:val="auto"/>
              </w:rPr>
            </w:pPr>
          </w:p>
        </w:tc>
        <w:tc>
          <w:tcPr>
            <w:tcW w:w="1669" w:type="dxa"/>
          </w:tcPr>
          <w:p w14:paraId="6B00EB54">
            <w:pPr>
              <w:pStyle w:val="54"/>
              <w:rPr>
                <w:rFonts w:hint="eastAsia"/>
                <w:color w:val="auto"/>
              </w:rPr>
            </w:pPr>
          </w:p>
        </w:tc>
        <w:tc>
          <w:tcPr>
            <w:tcW w:w="1549" w:type="dxa"/>
          </w:tcPr>
          <w:p w14:paraId="4948170A">
            <w:pPr>
              <w:pStyle w:val="54"/>
              <w:rPr>
                <w:rFonts w:hint="eastAsia"/>
                <w:color w:val="auto"/>
              </w:rPr>
            </w:pPr>
          </w:p>
        </w:tc>
      </w:tr>
      <w:tr w14:paraId="6F88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Pr>
          <w:p w14:paraId="7A6F14C8">
            <w:pPr>
              <w:pStyle w:val="54"/>
              <w:rPr>
                <w:rFonts w:hint="eastAsia"/>
                <w:color w:val="auto"/>
              </w:rPr>
            </w:pPr>
            <w:r>
              <w:rPr>
                <w:rFonts w:hint="eastAsia"/>
                <w:color w:val="auto"/>
              </w:rPr>
              <w:t>……</w:t>
            </w:r>
          </w:p>
        </w:tc>
        <w:tc>
          <w:tcPr>
            <w:tcW w:w="2551" w:type="dxa"/>
          </w:tcPr>
          <w:p w14:paraId="4AEA1D24">
            <w:pPr>
              <w:pStyle w:val="54"/>
              <w:rPr>
                <w:rFonts w:hint="eastAsia"/>
                <w:color w:val="auto"/>
              </w:rPr>
            </w:pPr>
            <w:r>
              <w:rPr>
                <w:rFonts w:hint="eastAsia"/>
                <w:color w:val="auto"/>
              </w:rPr>
              <w:t>…………</w:t>
            </w:r>
          </w:p>
        </w:tc>
        <w:tc>
          <w:tcPr>
            <w:tcW w:w="1691" w:type="dxa"/>
          </w:tcPr>
          <w:p w14:paraId="57DB8CC0">
            <w:pPr>
              <w:pStyle w:val="54"/>
              <w:rPr>
                <w:rFonts w:hint="eastAsia"/>
                <w:color w:val="auto"/>
              </w:rPr>
            </w:pPr>
            <w:r>
              <w:rPr>
                <w:rFonts w:hint="eastAsia"/>
                <w:color w:val="auto"/>
              </w:rPr>
              <w:t>………………</w:t>
            </w:r>
          </w:p>
        </w:tc>
        <w:tc>
          <w:tcPr>
            <w:tcW w:w="1669" w:type="dxa"/>
          </w:tcPr>
          <w:p w14:paraId="25E482C7">
            <w:pPr>
              <w:pStyle w:val="54"/>
              <w:rPr>
                <w:rFonts w:hint="eastAsia"/>
                <w:color w:val="auto"/>
              </w:rPr>
            </w:pPr>
            <w:r>
              <w:rPr>
                <w:rFonts w:hint="eastAsia"/>
                <w:color w:val="auto"/>
              </w:rPr>
              <w:t>…………</w:t>
            </w:r>
          </w:p>
        </w:tc>
        <w:tc>
          <w:tcPr>
            <w:tcW w:w="1549" w:type="dxa"/>
          </w:tcPr>
          <w:p w14:paraId="3E529156">
            <w:pPr>
              <w:pStyle w:val="54"/>
              <w:rPr>
                <w:rFonts w:hint="eastAsia"/>
                <w:color w:val="auto"/>
              </w:rPr>
            </w:pPr>
          </w:p>
        </w:tc>
      </w:tr>
    </w:tbl>
    <w:p w14:paraId="10396EED">
      <w:pPr>
        <w:ind w:firstLine="480" w:firstLineChars="200"/>
        <w:rPr>
          <w:rFonts w:hint="eastAsia" w:cs="仿宋_GB2312"/>
          <w:color w:val="auto"/>
          <w:szCs w:val="24"/>
        </w:rPr>
      </w:pPr>
      <w:r>
        <w:rPr>
          <w:rFonts w:hint="eastAsia" w:cs="仿宋_GB2312"/>
          <w:color w:val="auto"/>
          <w:szCs w:val="24"/>
        </w:rPr>
        <w:t>说明：投标供应商应按照招标文件第三章 采购需求填写。</w:t>
      </w:r>
    </w:p>
    <w:p w14:paraId="34D67B9C">
      <w:pPr>
        <w:ind w:firstLine="480" w:firstLineChars="200"/>
        <w:rPr>
          <w:rFonts w:hint="eastAsia" w:cs="仿宋_GB2312"/>
          <w:color w:val="auto"/>
          <w:szCs w:val="24"/>
        </w:rPr>
      </w:pPr>
    </w:p>
    <w:p w14:paraId="0A1CEDA0">
      <w:pPr>
        <w:ind w:firstLine="480" w:firstLineChars="200"/>
        <w:rPr>
          <w:rFonts w:hint="eastAsia" w:cs="仿宋_GB2312"/>
          <w:color w:val="auto"/>
          <w:szCs w:val="24"/>
        </w:rPr>
      </w:pPr>
      <w:r>
        <w:rPr>
          <w:rFonts w:hint="eastAsia" w:cs="仿宋_GB2312"/>
          <w:color w:val="auto"/>
          <w:szCs w:val="24"/>
        </w:rPr>
        <w:t>投标供应商名称（</w:t>
      </w:r>
      <w:r>
        <w:rPr>
          <w:rFonts w:hint="eastAsia" w:cs="仿宋_GB2312"/>
          <w:color w:val="auto"/>
          <w:szCs w:val="24"/>
          <w:lang w:val="en-US" w:eastAsia="zh-CN"/>
        </w:rPr>
        <w:t>电子签</w:t>
      </w:r>
      <w:r>
        <w:rPr>
          <w:rFonts w:hint="eastAsia" w:cs="仿宋_GB2312"/>
          <w:color w:val="auto"/>
          <w:szCs w:val="24"/>
        </w:rPr>
        <w:t>章）：</w:t>
      </w:r>
    </w:p>
    <w:p w14:paraId="4558AB64">
      <w:pPr>
        <w:ind w:firstLine="420" w:firstLineChars="200"/>
        <w:rPr>
          <w:rFonts w:hint="eastAsia" w:cs="仿宋_GB2312"/>
          <w:color w:val="auto"/>
          <w:szCs w:val="24"/>
        </w:rPr>
      </w:pPr>
      <w:r>
        <w:rPr>
          <w:rFonts w:hint="eastAsia" w:ascii="Arial" w:hAnsi="Arial" w:eastAsia="宋体" w:cs="Arial"/>
          <w:color w:val="auto"/>
          <w:kern w:val="2"/>
          <w:sz w:val="21"/>
          <w:szCs w:val="21"/>
          <w:lang w:val="en-US" w:eastAsia="zh-CN" w:bidi="ar-SA"/>
        </w:rPr>
        <w:t>法定代表人（或非法人组织负责人）(电子签章)</w:t>
      </w:r>
      <w:r>
        <w:rPr>
          <w:rFonts w:cs="仿宋_GB2312"/>
          <w:color w:val="auto"/>
          <w:szCs w:val="24"/>
        </w:rPr>
        <w:t xml:space="preserve"> </w:t>
      </w:r>
    </w:p>
    <w:p w14:paraId="5142ABE7">
      <w:pPr>
        <w:ind w:firstLine="420"/>
        <w:rPr>
          <w:rFonts w:hint="eastAsia" w:cs="仿宋_GB2312"/>
          <w:color w:val="auto"/>
          <w:szCs w:val="24"/>
        </w:rPr>
      </w:pPr>
      <w:r>
        <w:rPr>
          <w:rFonts w:hint="eastAsia" w:cs="仿宋_GB2312"/>
          <w:color w:val="auto"/>
          <w:szCs w:val="24"/>
        </w:rPr>
        <w:t>日      期：</w:t>
      </w:r>
    </w:p>
    <w:p w14:paraId="6B084ECA">
      <w:pPr>
        <w:ind w:firstLine="420"/>
        <w:rPr>
          <w:rFonts w:hint="eastAsia" w:cs="仿宋_GB2312"/>
          <w:color w:val="auto"/>
          <w:szCs w:val="24"/>
        </w:rPr>
      </w:pPr>
      <w:r>
        <w:rPr>
          <w:rFonts w:cs="仿宋_GB2312"/>
          <w:color w:val="auto"/>
          <w:szCs w:val="24"/>
        </w:rPr>
        <w:br w:type="page"/>
      </w:r>
    </w:p>
    <w:p w14:paraId="5BAB7D49">
      <w:pPr>
        <w:pStyle w:val="5"/>
        <w:numPr>
          <w:ilvl w:val="0"/>
          <w:numId w:val="31"/>
        </w:numPr>
        <w:rPr>
          <w:rFonts w:hint="default"/>
          <w:color w:val="auto"/>
          <w:lang w:val="en-US"/>
        </w:rPr>
      </w:pPr>
      <w:r>
        <w:rPr>
          <w:rFonts w:hint="eastAsia" w:eastAsia="宋体"/>
          <w:color w:val="auto"/>
          <w:lang w:val="en-US" w:eastAsia="zh-CN"/>
        </w:rPr>
        <w:t>技术、商务服务方案</w:t>
      </w:r>
    </w:p>
    <w:p w14:paraId="6A0BC883">
      <w:pPr>
        <w:spacing w:line="360" w:lineRule="auto"/>
        <w:outlineLvl w:val="1"/>
        <w:rPr>
          <w:rFonts w:hint="eastAsia" w:ascii="宋体" w:hAnsi="宋体" w:eastAsia="宋体" w:cs="宋体"/>
          <w:b w:val="0"/>
          <w:bCs w:val="0"/>
          <w:color w:val="auto"/>
        </w:rPr>
      </w:pPr>
      <w:r>
        <w:rPr>
          <w:rFonts w:hint="eastAsia" w:ascii="宋体" w:hAnsi="宋体" w:eastAsia="宋体" w:cs="宋体"/>
          <w:b w:val="0"/>
          <w:bCs w:val="0"/>
          <w:color w:val="auto"/>
        </w:rPr>
        <w:t>（一）</w:t>
      </w:r>
      <w:r>
        <w:rPr>
          <w:rFonts w:hint="eastAsia" w:ascii="宋体" w:hAnsi="宋体" w:eastAsia="宋体" w:cs="宋体"/>
          <w:b w:val="0"/>
          <w:bCs w:val="0"/>
          <w:color w:val="auto"/>
          <w:lang w:val="en-US" w:eastAsia="zh-CN"/>
        </w:rPr>
        <w:t>项目理解及需求分析</w:t>
      </w:r>
    </w:p>
    <w:p w14:paraId="7272181F">
      <w:pPr>
        <w:spacing w:line="360" w:lineRule="auto"/>
        <w:outlineLvl w:val="1"/>
        <w:rPr>
          <w:rFonts w:hint="eastAsia" w:ascii="宋体" w:hAnsi="宋体" w:eastAsia="宋体" w:cs="宋体"/>
          <w:b w:val="0"/>
          <w:bCs w:val="0"/>
          <w:color w:val="auto"/>
        </w:rPr>
      </w:pPr>
      <w:r>
        <w:rPr>
          <w:rFonts w:hint="eastAsia" w:ascii="宋体" w:hAnsi="宋体" w:eastAsia="宋体" w:cs="宋体"/>
          <w:b w:val="0"/>
          <w:bCs w:val="0"/>
          <w:color w:val="auto"/>
        </w:rPr>
        <w:t>（二）</w:t>
      </w:r>
      <w:r>
        <w:rPr>
          <w:rFonts w:hint="eastAsia" w:ascii="宋体" w:hAnsi="宋体" w:eastAsia="宋体" w:cs="宋体"/>
          <w:b w:val="0"/>
          <w:bCs w:val="0"/>
          <w:color w:val="auto"/>
          <w:lang w:val="en-US" w:eastAsia="zh-CN"/>
        </w:rPr>
        <w:t>项目总体设计</w:t>
      </w:r>
    </w:p>
    <w:p w14:paraId="4321A988">
      <w:pPr>
        <w:spacing w:line="360" w:lineRule="auto"/>
        <w:outlineLvl w:val="1"/>
        <w:rPr>
          <w:rFonts w:hint="eastAsia" w:ascii="宋体" w:hAnsi="宋体" w:eastAsia="宋体" w:cs="宋体"/>
          <w:b w:val="0"/>
          <w:bCs w:val="0"/>
          <w:color w:val="auto"/>
          <w:lang w:val="en-US" w:eastAsia="zh-CN"/>
        </w:rPr>
      </w:pPr>
      <w:r>
        <w:rPr>
          <w:rFonts w:hint="eastAsia" w:ascii="宋体" w:hAnsi="宋体" w:eastAsia="宋体" w:cs="宋体"/>
          <w:b w:val="0"/>
          <w:bCs w:val="0"/>
          <w:color w:val="auto"/>
        </w:rPr>
        <w:t>（三）</w:t>
      </w:r>
      <w:r>
        <w:rPr>
          <w:rFonts w:hint="eastAsia" w:ascii="宋体" w:hAnsi="宋体" w:eastAsia="宋体" w:cs="宋体"/>
          <w:b w:val="0"/>
          <w:bCs w:val="0"/>
          <w:color w:val="auto"/>
          <w:lang w:val="en-US" w:eastAsia="zh-CN"/>
        </w:rPr>
        <w:t>项目功能设计</w:t>
      </w:r>
    </w:p>
    <w:p w14:paraId="75E5E819">
      <w:pPr>
        <w:spacing w:line="360" w:lineRule="auto"/>
        <w:outlineLvl w:val="1"/>
        <w:rPr>
          <w:rFonts w:hint="eastAsia" w:ascii="宋体" w:hAnsi="宋体" w:eastAsia="宋体" w:cs="宋体"/>
          <w:b w:val="0"/>
          <w:bCs w:val="0"/>
          <w:color w:val="auto"/>
        </w:rPr>
      </w:pPr>
      <w:r>
        <w:rPr>
          <w:rFonts w:hint="eastAsia" w:ascii="宋体" w:hAnsi="宋体" w:eastAsia="宋体" w:cs="宋体"/>
          <w:b w:val="0"/>
          <w:bCs w:val="0"/>
          <w:color w:val="auto"/>
        </w:rPr>
        <w:t>（四）</w:t>
      </w:r>
      <w:r>
        <w:rPr>
          <w:rFonts w:hint="eastAsia" w:ascii="宋体" w:hAnsi="宋体" w:eastAsia="宋体" w:cs="宋体"/>
          <w:b w:val="0"/>
          <w:bCs w:val="0"/>
          <w:color w:val="auto"/>
          <w:lang w:val="en-US" w:eastAsia="zh-CN"/>
        </w:rPr>
        <w:t>项目技术设计</w:t>
      </w:r>
    </w:p>
    <w:p w14:paraId="38036772">
      <w:pPr>
        <w:spacing w:line="360" w:lineRule="auto"/>
        <w:outlineLvl w:val="1"/>
        <w:rPr>
          <w:rFonts w:hint="eastAsia" w:ascii="宋体" w:hAnsi="宋体" w:eastAsia="宋体" w:cs="宋体"/>
          <w:b w:val="0"/>
          <w:bCs w:val="0"/>
          <w:color w:val="auto"/>
        </w:rPr>
      </w:pPr>
      <w:r>
        <w:rPr>
          <w:rFonts w:hint="eastAsia" w:ascii="宋体" w:hAnsi="宋体" w:eastAsia="宋体" w:cs="宋体"/>
          <w:b w:val="0"/>
          <w:bCs w:val="0"/>
          <w:color w:val="auto"/>
        </w:rPr>
        <w:t>（五）</w:t>
      </w:r>
      <w:r>
        <w:rPr>
          <w:rFonts w:hint="eastAsia" w:ascii="宋体" w:hAnsi="宋体" w:eastAsia="宋体" w:cs="宋体"/>
          <w:b w:val="0"/>
          <w:bCs w:val="0"/>
          <w:color w:val="auto"/>
          <w:lang w:val="en-US" w:eastAsia="zh-CN"/>
        </w:rPr>
        <w:t>实施计划</w:t>
      </w:r>
    </w:p>
    <w:p w14:paraId="0E31184A">
      <w:pPr>
        <w:spacing w:line="360" w:lineRule="auto"/>
        <w:outlineLvl w:val="1"/>
        <w:rPr>
          <w:rFonts w:hint="eastAsia" w:ascii="宋体" w:hAnsi="宋体" w:eastAsia="宋体" w:cs="宋体"/>
          <w:b w:val="0"/>
          <w:bCs w:val="0"/>
          <w:color w:val="auto"/>
        </w:rPr>
      </w:pPr>
      <w:r>
        <w:rPr>
          <w:rFonts w:hint="eastAsia" w:ascii="宋体" w:hAnsi="宋体" w:eastAsia="宋体" w:cs="宋体"/>
          <w:b w:val="0"/>
          <w:bCs w:val="0"/>
          <w:color w:val="auto"/>
        </w:rPr>
        <w:t>（六）</w:t>
      </w:r>
      <w:r>
        <w:rPr>
          <w:rFonts w:hint="eastAsia" w:ascii="宋体" w:hAnsi="宋体" w:eastAsia="宋体" w:cs="宋体"/>
          <w:b w:val="0"/>
          <w:bCs w:val="0"/>
          <w:color w:val="auto"/>
          <w:lang w:val="en-US" w:eastAsia="zh-CN"/>
        </w:rPr>
        <w:t>进度保障方案</w:t>
      </w:r>
    </w:p>
    <w:p w14:paraId="2E216828">
      <w:pPr>
        <w:spacing w:line="360" w:lineRule="auto"/>
        <w:outlineLvl w:val="1"/>
        <w:rPr>
          <w:rFonts w:hint="default"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（七）参数响应</w:t>
      </w:r>
      <w:r>
        <w:rPr>
          <w:rFonts w:hint="eastAsia" w:cs="宋体"/>
          <w:b w:val="0"/>
          <w:bCs w:val="0"/>
          <w:color w:val="auto"/>
          <w:lang w:val="en-US" w:eastAsia="zh-CN"/>
        </w:rPr>
        <w:t>情况</w:t>
      </w:r>
    </w:p>
    <w:p w14:paraId="729A1882">
      <w:pPr>
        <w:spacing w:line="360" w:lineRule="auto"/>
        <w:outlineLvl w:val="1"/>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w:t>
      </w:r>
      <w:r>
        <w:rPr>
          <w:rFonts w:hint="eastAsia" w:cs="宋体"/>
          <w:b w:val="0"/>
          <w:bCs w:val="0"/>
          <w:color w:val="auto"/>
          <w:lang w:val="en-US" w:eastAsia="zh-CN"/>
        </w:rPr>
        <w:t>八</w:t>
      </w:r>
      <w:r>
        <w:rPr>
          <w:rFonts w:hint="eastAsia" w:ascii="宋体" w:hAnsi="宋体" w:eastAsia="宋体" w:cs="宋体"/>
          <w:b w:val="0"/>
          <w:bCs w:val="0"/>
          <w:color w:val="auto"/>
          <w:lang w:val="en-US" w:eastAsia="zh-CN"/>
        </w:rPr>
        <w:t>）培训方案</w:t>
      </w:r>
    </w:p>
    <w:p w14:paraId="3F014CF3">
      <w:pPr>
        <w:spacing w:line="360" w:lineRule="auto"/>
        <w:outlineLvl w:val="1"/>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w:t>
      </w:r>
      <w:r>
        <w:rPr>
          <w:rFonts w:hint="eastAsia" w:cs="宋体"/>
          <w:b w:val="0"/>
          <w:bCs w:val="0"/>
          <w:color w:val="auto"/>
          <w:lang w:val="en-US" w:eastAsia="zh-CN"/>
        </w:rPr>
        <w:t>九</w:t>
      </w:r>
      <w:r>
        <w:rPr>
          <w:rFonts w:hint="eastAsia" w:ascii="宋体" w:hAnsi="宋体" w:eastAsia="宋体" w:cs="宋体"/>
          <w:b w:val="0"/>
          <w:bCs w:val="0"/>
          <w:color w:val="auto"/>
          <w:lang w:val="en-US" w:eastAsia="zh-CN"/>
        </w:rPr>
        <w:t>）售后服务方案</w:t>
      </w:r>
    </w:p>
    <w:p w14:paraId="398886A0">
      <w:pPr>
        <w:spacing w:line="360" w:lineRule="auto"/>
        <w:outlineLvl w:val="1"/>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（十</w:t>
      </w:r>
      <w:r>
        <w:rPr>
          <w:rFonts w:hint="eastAsia" w:cs="宋体"/>
          <w:b w:val="0"/>
          <w:bCs w:val="0"/>
          <w:color w:val="auto"/>
          <w:lang w:val="en-US" w:eastAsia="zh-CN"/>
        </w:rPr>
        <w:t>一</w:t>
      </w:r>
      <w:r>
        <w:rPr>
          <w:rFonts w:hint="eastAsia" w:ascii="宋体" w:hAnsi="宋体" w:eastAsia="宋体" w:cs="宋体"/>
          <w:b w:val="0"/>
          <w:bCs w:val="0"/>
          <w:color w:val="auto"/>
          <w:lang w:val="en-US" w:eastAsia="zh-CN"/>
        </w:rPr>
        <w:t>）类似业绩</w:t>
      </w:r>
    </w:p>
    <w:p w14:paraId="67E75A88">
      <w:pPr>
        <w:spacing w:line="360" w:lineRule="auto"/>
        <w:outlineLvl w:val="1"/>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（十</w:t>
      </w:r>
      <w:r>
        <w:rPr>
          <w:rFonts w:hint="eastAsia" w:cs="宋体"/>
          <w:b w:val="0"/>
          <w:bCs w:val="0"/>
          <w:color w:val="auto"/>
          <w:lang w:val="en-US" w:eastAsia="zh-CN"/>
        </w:rPr>
        <w:t>二</w:t>
      </w:r>
      <w:r>
        <w:rPr>
          <w:rFonts w:hint="eastAsia" w:ascii="宋体" w:hAnsi="宋体" w:eastAsia="宋体" w:cs="宋体"/>
          <w:b w:val="0"/>
          <w:bCs w:val="0"/>
          <w:color w:val="auto"/>
          <w:lang w:val="en-US" w:eastAsia="zh-CN"/>
        </w:rPr>
        <w:t>）项目团队</w:t>
      </w:r>
    </w:p>
    <w:p w14:paraId="6170840F">
      <w:pPr>
        <w:spacing w:line="360" w:lineRule="auto"/>
        <w:outlineLvl w:val="1"/>
        <w:rPr>
          <w:rFonts w:hint="default" w:ascii="宋体" w:hAnsi="宋体" w:eastAsia="宋体" w:cs="宋体"/>
          <w:b w:val="0"/>
          <w:bCs w:val="0"/>
          <w:color w:val="auto"/>
          <w:lang w:val="en-US" w:eastAsia="zh-CN"/>
        </w:rPr>
      </w:pPr>
      <w:r>
        <w:rPr>
          <w:rFonts w:hint="eastAsia" w:cs="宋体"/>
          <w:b w:val="0"/>
          <w:bCs w:val="0"/>
          <w:color w:val="auto"/>
          <w:lang w:val="en-US" w:eastAsia="zh-CN"/>
        </w:rPr>
        <w:t>（十三）其他供应商认为需要提供的材料</w:t>
      </w:r>
    </w:p>
    <w:p w14:paraId="0E33BD35">
      <w:pPr>
        <w:outlineLvl w:val="9"/>
        <w:rPr>
          <w:rFonts w:hint="default"/>
          <w:b w:val="0"/>
          <w:bCs w:val="0"/>
          <w:color w:val="auto"/>
          <w:lang w:val="en-US" w:eastAsia="zh-CN"/>
        </w:rPr>
      </w:pPr>
    </w:p>
    <w:p w14:paraId="27A45770">
      <w:pPr>
        <w:pStyle w:val="42"/>
        <w:rPr>
          <w:rFonts w:hint="eastAsia"/>
          <w:color w:val="auto"/>
        </w:rPr>
      </w:pPr>
    </w:p>
    <w:p w14:paraId="2CD1414F">
      <w:pPr>
        <w:pStyle w:val="42"/>
        <w:rPr>
          <w:rFonts w:hint="eastAsia" w:ascii="宋体" w:hAnsi="宋体" w:eastAsia="宋体"/>
          <w:color w:val="auto"/>
        </w:rPr>
      </w:pPr>
      <w:r>
        <w:rPr>
          <w:rFonts w:hint="eastAsia"/>
          <w:color w:val="auto"/>
        </w:rPr>
        <w:t>投标供应商应按照招标文件的要求</w:t>
      </w:r>
      <w:r>
        <w:rPr>
          <w:rFonts w:hint="eastAsia" w:ascii="宋体" w:hAnsi="宋体" w:eastAsia="宋体"/>
          <w:color w:val="auto"/>
        </w:rPr>
        <w:t>，结合采购需求和评分办法进行针对性的响应格式自拟。</w:t>
      </w:r>
    </w:p>
    <w:p w14:paraId="4FF382F1">
      <w:pPr>
        <w:pStyle w:val="42"/>
        <w:rPr>
          <w:rFonts w:hint="eastAsia"/>
          <w:color w:val="auto"/>
        </w:rPr>
      </w:pPr>
      <w:r>
        <w:rPr>
          <w:color w:val="auto"/>
        </w:rPr>
        <w:br w:type="page"/>
      </w:r>
    </w:p>
    <w:p w14:paraId="73A4BB60">
      <w:pPr>
        <w:pStyle w:val="5"/>
        <w:numPr>
          <w:ilvl w:val="0"/>
          <w:numId w:val="31"/>
        </w:numPr>
        <w:rPr>
          <w:rFonts w:hint="eastAsia"/>
          <w:color w:val="auto"/>
        </w:rPr>
      </w:pPr>
      <w:bookmarkStart w:id="393" w:name="_Toc13937"/>
      <w:r>
        <w:rPr>
          <w:rFonts w:hint="eastAsia"/>
          <w:color w:val="auto"/>
        </w:rPr>
        <w:t>其他技术文件</w:t>
      </w:r>
      <w:bookmarkEnd w:id="393"/>
    </w:p>
    <w:p w14:paraId="269081A5">
      <w:pPr>
        <w:pStyle w:val="42"/>
        <w:rPr>
          <w:rFonts w:hint="eastAsia"/>
          <w:color w:val="auto"/>
        </w:rPr>
      </w:pPr>
      <w:r>
        <w:rPr>
          <w:rFonts w:hint="eastAsia"/>
          <w:color w:val="auto"/>
        </w:rPr>
        <w:t>1. 招标文件要求提供的其它技术资料和证明材料，</w:t>
      </w:r>
      <w:r>
        <w:rPr>
          <w:rFonts w:hint="eastAsia"/>
          <w:color w:val="auto"/>
          <w:lang w:val="en-US"/>
        </w:rPr>
        <w:t>供应商根据评分办法内容自行拟定</w:t>
      </w:r>
      <w:r>
        <w:rPr>
          <w:rFonts w:hint="eastAsia"/>
          <w:color w:val="auto"/>
        </w:rPr>
        <w:t>；</w:t>
      </w:r>
    </w:p>
    <w:p w14:paraId="534B1414">
      <w:pPr>
        <w:pStyle w:val="42"/>
        <w:rPr>
          <w:rFonts w:hint="eastAsia"/>
          <w:color w:val="auto"/>
        </w:rPr>
      </w:pPr>
      <w:r>
        <w:rPr>
          <w:rFonts w:hint="eastAsia"/>
          <w:color w:val="auto"/>
        </w:rPr>
        <w:t>2. 投标供应商认为需要提供的其它技术资料和说明。</w:t>
      </w:r>
      <w:r>
        <w:rPr>
          <w:color w:val="auto"/>
        </w:rPr>
        <w:br w:type="page"/>
      </w:r>
    </w:p>
    <w:p w14:paraId="0DCC1D05">
      <w:pPr>
        <w:pStyle w:val="4"/>
        <w:numPr>
          <w:ilvl w:val="0"/>
          <w:numId w:val="29"/>
        </w:numPr>
        <w:rPr>
          <w:rFonts w:ascii="Arial" w:hAnsi="Arial" w:cs="Arial"/>
          <w:color w:val="auto"/>
          <w:szCs w:val="21"/>
        </w:rPr>
      </w:pPr>
      <w:bookmarkStart w:id="394" w:name="_Toc19994"/>
      <w:r>
        <w:rPr>
          <w:rFonts w:hint="eastAsia"/>
          <w:color w:val="auto"/>
        </w:rPr>
        <w:t>落实政府采购政策相关证明文件</w:t>
      </w:r>
      <w:bookmarkEnd w:id="394"/>
    </w:p>
    <w:p w14:paraId="23181799">
      <w:pPr>
        <w:pStyle w:val="5"/>
        <w:numPr>
          <w:ilvl w:val="0"/>
          <w:numId w:val="32"/>
        </w:numPr>
        <w:rPr>
          <w:rFonts w:hint="eastAsia"/>
          <w:color w:val="auto"/>
        </w:rPr>
      </w:pPr>
      <w:bookmarkStart w:id="395" w:name="_Toc24200"/>
      <w:r>
        <w:rPr>
          <w:rFonts w:hint="eastAsia"/>
          <w:color w:val="auto"/>
        </w:rPr>
        <w:t>中小企业声明函【如适用】</w:t>
      </w:r>
      <w:bookmarkEnd w:id="395"/>
    </w:p>
    <w:p w14:paraId="7A83D7B6">
      <w:pPr>
        <w:pStyle w:val="44"/>
        <w:numPr>
          <w:ilvl w:val="0"/>
          <w:numId w:val="33"/>
        </w:numPr>
        <w:rPr>
          <w:rFonts w:hint="eastAsia"/>
          <w:color w:val="auto"/>
        </w:rPr>
      </w:pPr>
      <w:r>
        <w:rPr>
          <w:rFonts w:hint="eastAsia"/>
          <w:color w:val="auto"/>
        </w:rPr>
        <w:t>中小企业声明函（服务）</w:t>
      </w:r>
    </w:p>
    <w:p w14:paraId="3BF2789D">
      <w:pPr>
        <w:ind w:firstLine="504" w:firstLineChars="200"/>
        <w:rPr>
          <w:rFonts w:hint="eastAsia" w:cs="宋体"/>
          <w:color w:val="auto"/>
          <w:spacing w:val="6"/>
          <w:szCs w:val="24"/>
        </w:rPr>
      </w:pPr>
      <w:r>
        <w:rPr>
          <w:rFonts w:hint="eastAsia" w:cs="宋体"/>
          <w:color w:val="auto"/>
          <w:spacing w:val="6"/>
          <w:szCs w:val="24"/>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39FA9D17">
      <w:pPr>
        <w:ind w:firstLine="504" w:firstLineChars="200"/>
        <w:rPr>
          <w:rFonts w:hint="eastAsia" w:cs="宋体"/>
          <w:color w:val="auto"/>
          <w:spacing w:val="6"/>
          <w:szCs w:val="24"/>
          <w:u w:val="single"/>
        </w:rPr>
      </w:pPr>
      <w:r>
        <w:rPr>
          <w:rFonts w:hint="eastAsia" w:cs="宋体"/>
          <w:color w:val="auto"/>
          <w:spacing w:val="6"/>
          <w:szCs w:val="24"/>
        </w:rPr>
        <w:t>1.</w:t>
      </w:r>
      <w:r>
        <w:rPr>
          <w:rFonts w:hint="eastAsia" w:cs="宋体"/>
          <w:color w:val="auto"/>
          <w:spacing w:val="6"/>
          <w:szCs w:val="24"/>
          <w:u w:val="single"/>
        </w:rPr>
        <w:t xml:space="preserve"> </w:t>
      </w:r>
      <w:r>
        <w:rPr>
          <w:rFonts w:hint="eastAsia" w:cs="宋体"/>
          <w:color w:val="auto"/>
          <w:spacing w:val="6"/>
          <w:szCs w:val="24"/>
          <w:u w:val="single"/>
          <w:lang w:val="en-US" w:eastAsia="zh-CN"/>
        </w:rPr>
        <w:t xml:space="preserve">   </w:t>
      </w:r>
      <w:r>
        <w:rPr>
          <w:rFonts w:hint="eastAsia" w:cs="宋体"/>
          <w:color w:val="auto"/>
          <w:spacing w:val="6"/>
          <w:szCs w:val="24"/>
          <w:u w:val="single"/>
        </w:rPr>
        <w:t xml:space="preserve">（标的名称） </w:t>
      </w:r>
      <w:r>
        <w:rPr>
          <w:rFonts w:hint="eastAsia" w:cs="宋体"/>
          <w:color w:val="auto"/>
          <w:spacing w:val="6"/>
          <w:szCs w:val="24"/>
        </w:rPr>
        <w:t>，属于</w:t>
      </w:r>
      <w:r>
        <w:rPr>
          <w:rFonts w:hint="eastAsia" w:cs="宋体"/>
          <w:color w:val="auto"/>
          <w:spacing w:val="6"/>
          <w:szCs w:val="24"/>
          <w:u w:val="single"/>
        </w:rPr>
        <w:t xml:space="preserve"> （采购文件中明确的所属行业） </w:t>
      </w:r>
      <w:r>
        <w:rPr>
          <w:rFonts w:hint="eastAsia" w:cs="宋体"/>
          <w:color w:val="auto"/>
          <w:spacing w:val="6"/>
          <w:szCs w:val="24"/>
        </w:rPr>
        <w:t>；承建（承接）企业为</w:t>
      </w:r>
      <w:r>
        <w:rPr>
          <w:rFonts w:hint="eastAsia" w:cs="宋体"/>
          <w:color w:val="auto"/>
          <w:spacing w:val="6"/>
          <w:szCs w:val="24"/>
          <w:u w:val="single"/>
        </w:rPr>
        <w:t xml:space="preserve"> （企业名称）  </w:t>
      </w:r>
      <w:r>
        <w:rPr>
          <w:rFonts w:hint="eastAsia" w:cs="宋体"/>
          <w:color w:val="auto"/>
          <w:spacing w:val="6"/>
          <w:szCs w:val="24"/>
        </w:rPr>
        <w:t>，从业人员人，营业收入为万元，资产总额为万元，属于</w:t>
      </w:r>
      <w:r>
        <w:rPr>
          <w:rFonts w:hint="eastAsia" w:cs="宋体"/>
          <w:color w:val="auto"/>
          <w:spacing w:val="6"/>
          <w:szCs w:val="24"/>
          <w:u w:val="single"/>
          <w:lang w:val="en-US" w:eastAsia="zh-CN"/>
        </w:rPr>
        <w:t xml:space="preserve">     </w:t>
      </w:r>
      <w:r>
        <w:rPr>
          <w:rFonts w:hint="eastAsia" w:cs="宋体"/>
          <w:color w:val="auto"/>
          <w:spacing w:val="6"/>
          <w:szCs w:val="24"/>
          <w:u w:val="single"/>
        </w:rPr>
        <w:t>（中型企业、小型企业、微型企业）</w:t>
      </w:r>
      <w:r>
        <w:rPr>
          <w:rFonts w:hint="eastAsia" w:cs="宋体"/>
          <w:color w:val="auto"/>
          <w:spacing w:val="6"/>
          <w:szCs w:val="24"/>
        </w:rPr>
        <w:t>；</w:t>
      </w:r>
    </w:p>
    <w:p w14:paraId="09CA8DF5">
      <w:pPr>
        <w:ind w:firstLine="504" w:firstLineChars="200"/>
        <w:rPr>
          <w:rFonts w:hint="eastAsia" w:cs="宋体"/>
          <w:color w:val="auto"/>
          <w:spacing w:val="6"/>
          <w:szCs w:val="24"/>
          <w:u w:val="single"/>
        </w:rPr>
      </w:pPr>
      <w:r>
        <w:rPr>
          <w:rFonts w:hint="eastAsia" w:cs="宋体"/>
          <w:color w:val="auto"/>
          <w:spacing w:val="6"/>
          <w:szCs w:val="24"/>
        </w:rPr>
        <w:t>2.</w:t>
      </w:r>
      <w:r>
        <w:rPr>
          <w:rFonts w:hint="eastAsia" w:cs="宋体"/>
          <w:color w:val="auto"/>
          <w:spacing w:val="6"/>
          <w:szCs w:val="24"/>
          <w:u w:val="single"/>
        </w:rPr>
        <w:t xml:space="preserve"> （标的名称） </w:t>
      </w:r>
      <w:r>
        <w:rPr>
          <w:rFonts w:hint="eastAsia" w:cs="宋体"/>
          <w:color w:val="auto"/>
          <w:spacing w:val="6"/>
          <w:szCs w:val="24"/>
        </w:rPr>
        <w:t>，属于</w:t>
      </w:r>
      <w:r>
        <w:rPr>
          <w:rFonts w:hint="eastAsia" w:cs="宋体"/>
          <w:color w:val="auto"/>
          <w:spacing w:val="6"/>
          <w:szCs w:val="24"/>
          <w:u w:val="single"/>
        </w:rPr>
        <w:t xml:space="preserve"> （采购文件中明确的所属行业） </w:t>
      </w:r>
      <w:r>
        <w:rPr>
          <w:rFonts w:hint="eastAsia" w:cs="宋体"/>
          <w:color w:val="auto"/>
          <w:spacing w:val="6"/>
          <w:szCs w:val="24"/>
        </w:rPr>
        <w:t>；承建（承接）企业为</w:t>
      </w:r>
      <w:r>
        <w:rPr>
          <w:rFonts w:hint="eastAsia" w:cs="宋体"/>
          <w:color w:val="auto"/>
          <w:spacing w:val="6"/>
          <w:szCs w:val="24"/>
          <w:u w:val="single"/>
        </w:rPr>
        <w:t xml:space="preserve"> （企业名称）  </w:t>
      </w:r>
      <w:r>
        <w:rPr>
          <w:rFonts w:hint="eastAsia" w:cs="宋体"/>
          <w:color w:val="auto"/>
          <w:spacing w:val="6"/>
          <w:szCs w:val="24"/>
        </w:rPr>
        <w:t>，从业人员人，营业收入为万元，资产总额为万元，属于</w:t>
      </w:r>
      <w:r>
        <w:rPr>
          <w:rFonts w:hint="eastAsia" w:cs="宋体"/>
          <w:color w:val="auto"/>
          <w:spacing w:val="6"/>
          <w:szCs w:val="24"/>
          <w:u w:val="single"/>
          <w:lang w:val="en-US" w:eastAsia="zh-CN"/>
        </w:rPr>
        <w:t xml:space="preserve">     </w:t>
      </w:r>
      <w:r>
        <w:rPr>
          <w:rFonts w:hint="eastAsia" w:cs="宋体"/>
          <w:color w:val="auto"/>
          <w:spacing w:val="6"/>
          <w:szCs w:val="24"/>
          <w:u w:val="single"/>
        </w:rPr>
        <w:t>（中型企业、小型企业、微型企业）</w:t>
      </w:r>
      <w:r>
        <w:rPr>
          <w:rFonts w:hint="eastAsia" w:cs="宋体"/>
          <w:color w:val="auto"/>
          <w:spacing w:val="6"/>
          <w:szCs w:val="24"/>
        </w:rPr>
        <w:t>；</w:t>
      </w:r>
    </w:p>
    <w:p w14:paraId="2A6126B7">
      <w:pPr>
        <w:ind w:firstLine="504" w:firstLineChars="200"/>
        <w:rPr>
          <w:rFonts w:hint="eastAsia" w:cs="宋体"/>
          <w:color w:val="auto"/>
          <w:spacing w:val="6"/>
          <w:szCs w:val="24"/>
        </w:rPr>
      </w:pPr>
      <w:r>
        <w:rPr>
          <w:rFonts w:hint="eastAsia" w:cs="宋体"/>
          <w:color w:val="auto"/>
          <w:spacing w:val="6"/>
          <w:szCs w:val="24"/>
        </w:rPr>
        <w:t>……</w:t>
      </w:r>
    </w:p>
    <w:p w14:paraId="7EC940C5">
      <w:pPr>
        <w:ind w:firstLine="504" w:firstLineChars="200"/>
        <w:rPr>
          <w:rFonts w:hint="eastAsia" w:cs="宋体"/>
          <w:color w:val="auto"/>
          <w:spacing w:val="6"/>
          <w:szCs w:val="24"/>
        </w:rPr>
      </w:pPr>
      <w:r>
        <w:rPr>
          <w:rFonts w:hint="eastAsia" w:cs="宋体"/>
          <w:color w:val="auto"/>
          <w:spacing w:val="6"/>
          <w:szCs w:val="24"/>
        </w:rPr>
        <w:t>以上企业，不属于大企业的分支机构，不存在控股股东为大企业的情形，也不存在与大企业的负责人为同一人的情形。</w:t>
      </w:r>
    </w:p>
    <w:p w14:paraId="4997B72B">
      <w:pPr>
        <w:ind w:firstLine="504" w:firstLineChars="200"/>
        <w:rPr>
          <w:rFonts w:hint="eastAsia" w:cs="宋体"/>
          <w:color w:val="auto"/>
          <w:spacing w:val="6"/>
          <w:szCs w:val="24"/>
        </w:rPr>
      </w:pPr>
      <w:r>
        <w:rPr>
          <w:rFonts w:hint="eastAsia" w:cs="宋体"/>
          <w:color w:val="auto"/>
          <w:spacing w:val="6"/>
          <w:szCs w:val="24"/>
        </w:rPr>
        <w:t>本企业对上述声明内容的真实性负责。如有虚假，将依法承担相应责任。</w:t>
      </w:r>
    </w:p>
    <w:p w14:paraId="5FF71D2E">
      <w:pPr>
        <w:ind w:right="1008" w:firstLine="4788" w:firstLineChars="1900"/>
        <w:rPr>
          <w:rFonts w:hint="eastAsia" w:cs="宋体"/>
          <w:color w:val="auto"/>
          <w:spacing w:val="6"/>
          <w:szCs w:val="24"/>
        </w:rPr>
      </w:pPr>
    </w:p>
    <w:p w14:paraId="16594755">
      <w:pPr>
        <w:ind w:right="1008" w:firstLine="4788" w:firstLineChars="1900"/>
        <w:rPr>
          <w:rFonts w:hint="eastAsia" w:cs="宋体"/>
          <w:color w:val="auto"/>
          <w:spacing w:val="6"/>
          <w:szCs w:val="24"/>
        </w:rPr>
      </w:pPr>
      <w:r>
        <w:rPr>
          <w:rFonts w:hint="eastAsia" w:cs="宋体"/>
          <w:color w:val="auto"/>
          <w:spacing w:val="6"/>
          <w:szCs w:val="24"/>
        </w:rPr>
        <w:t>企业名称：</w:t>
      </w:r>
    </w:p>
    <w:p w14:paraId="21CC1A3D">
      <w:pPr>
        <w:ind w:right="1008" w:firstLine="4788" w:firstLineChars="1900"/>
        <w:rPr>
          <w:rFonts w:hint="eastAsia" w:cs="宋体"/>
          <w:color w:val="auto"/>
          <w:spacing w:val="6"/>
          <w:szCs w:val="24"/>
        </w:rPr>
      </w:pPr>
      <w:r>
        <w:rPr>
          <w:rFonts w:hint="eastAsia" w:cs="宋体"/>
          <w:color w:val="auto"/>
          <w:spacing w:val="6"/>
          <w:szCs w:val="24"/>
        </w:rPr>
        <w:t>日 期：</w:t>
      </w:r>
    </w:p>
    <w:p w14:paraId="46CE3EF3">
      <w:pPr>
        <w:ind w:firstLine="504" w:firstLineChars="200"/>
        <w:rPr>
          <w:rFonts w:hint="eastAsia" w:cs="宋体"/>
          <w:color w:val="auto"/>
          <w:spacing w:val="6"/>
          <w:szCs w:val="24"/>
        </w:rPr>
      </w:pPr>
    </w:p>
    <w:p w14:paraId="1CDB4E6B">
      <w:pPr>
        <w:rPr>
          <w:rFonts w:hint="eastAsia" w:cs="宋体"/>
          <w:color w:val="auto"/>
          <w:spacing w:val="6"/>
          <w:sz w:val="21"/>
          <w:szCs w:val="21"/>
        </w:rPr>
      </w:pPr>
      <w:r>
        <w:rPr>
          <w:rFonts w:hint="eastAsia" w:cs="宋体"/>
          <w:b/>
          <w:bCs/>
          <w:color w:val="auto"/>
          <w:spacing w:val="6"/>
          <w:sz w:val="21"/>
          <w:szCs w:val="21"/>
        </w:rPr>
        <w:t>说明：</w:t>
      </w:r>
      <w:r>
        <w:rPr>
          <w:rFonts w:hint="eastAsia" w:cs="宋体"/>
          <w:color w:val="auto"/>
          <w:spacing w:val="6"/>
          <w:sz w:val="21"/>
          <w:szCs w:val="21"/>
        </w:rPr>
        <w:t>从业人员、营业收入、资产总额填报上一年度数据，无上一年度数据的新成立企业可不填报。</w:t>
      </w:r>
    </w:p>
    <w:p w14:paraId="7307D895">
      <w:pPr>
        <w:rPr>
          <w:rFonts w:hint="eastAsia" w:cs="宋体"/>
          <w:color w:val="auto"/>
          <w:spacing w:val="6"/>
          <w:sz w:val="21"/>
          <w:szCs w:val="21"/>
        </w:rPr>
      </w:pPr>
      <w:r>
        <w:rPr>
          <w:rFonts w:cs="宋体"/>
          <w:color w:val="auto"/>
          <w:spacing w:val="6"/>
          <w:sz w:val="21"/>
          <w:szCs w:val="21"/>
        </w:rPr>
        <w:br w:type="page"/>
      </w:r>
    </w:p>
    <w:p w14:paraId="2DFB7CBC">
      <w:pPr>
        <w:pStyle w:val="5"/>
        <w:numPr>
          <w:ilvl w:val="0"/>
          <w:numId w:val="32"/>
        </w:numPr>
        <w:rPr>
          <w:rFonts w:hint="eastAsia"/>
          <w:color w:val="auto"/>
        </w:rPr>
      </w:pPr>
      <w:bookmarkStart w:id="396" w:name="_Toc28520"/>
      <w:r>
        <w:rPr>
          <w:rFonts w:hint="eastAsia"/>
          <w:color w:val="auto"/>
        </w:rPr>
        <w:t>监狱企业证明文件【如适用】</w:t>
      </w:r>
      <w:bookmarkEnd w:id="396"/>
    </w:p>
    <w:p w14:paraId="2A61AD8A">
      <w:pPr>
        <w:rPr>
          <w:rFonts w:hint="eastAsia" w:cs="仿宋_GB2312"/>
          <w:b/>
          <w:color w:val="auto"/>
          <w:sz w:val="28"/>
          <w:szCs w:val="28"/>
        </w:rPr>
      </w:pPr>
    </w:p>
    <w:p w14:paraId="20F57F0C">
      <w:pPr>
        <w:adjustRightInd w:val="0"/>
        <w:snapToGrid w:val="0"/>
        <w:ind w:firstLine="420" w:firstLineChars="200"/>
        <w:rPr>
          <w:rFonts w:ascii="Arial" w:hAnsi="Arial" w:cs="Arial"/>
          <w:color w:val="auto"/>
          <w:sz w:val="21"/>
          <w:szCs w:val="21"/>
        </w:rPr>
      </w:pPr>
      <w:r>
        <w:rPr>
          <w:rFonts w:hint="eastAsia" w:ascii="Arial" w:hAnsi="Arial" w:cs="Arial"/>
          <w:color w:val="auto"/>
          <w:sz w:val="21"/>
          <w:szCs w:val="21"/>
        </w:rPr>
        <w:t>【</w:t>
      </w:r>
      <w:r>
        <w:rPr>
          <w:rFonts w:hint="eastAsia"/>
          <w:color w:val="auto"/>
          <w:szCs w:val="24"/>
        </w:rPr>
        <w:t>（</w:t>
      </w:r>
      <w:r>
        <w:rPr>
          <w:rFonts w:hint="eastAsia" w:ascii="宋体" w:hAnsi="宋体" w:eastAsia="宋体" w:cs="宋体"/>
          <w:color w:val="auto"/>
          <w:szCs w:val="24"/>
        </w:rPr>
        <w:t>监狱企业应当提供由省级及以上监狱管理局、戒毒管理局（含新疆生产建设兵团）出具的监狱企业的证明文件，格式自行编写）</w:t>
      </w:r>
      <w:r>
        <w:rPr>
          <w:rFonts w:hint="eastAsia" w:ascii="Arial" w:hAnsi="Arial" w:cs="Arial"/>
          <w:color w:val="auto"/>
          <w:sz w:val="21"/>
          <w:szCs w:val="21"/>
        </w:rPr>
        <w:t>】</w:t>
      </w:r>
      <w:r>
        <w:rPr>
          <w:rFonts w:hint="eastAsia" w:cs="Arial"/>
          <w:color w:val="auto"/>
          <w:sz w:val="21"/>
          <w:szCs w:val="21"/>
        </w:rPr>
        <w:t>。</w:t>
      </w:r>
    </w:p>
    <w:p w14:paraId="49ED0616">
      <w:pPr>
        <w:widowControl/>
        <w:spacing w:before="100" w:beforeAutospacing="1" w:after="100" w:afterAutospacing="1"/>
        <w:rPr>
          <w:rFonts w:ascii="Arial" w:hAnsi="Arial" w:cs="Arial"/>
          <w:color w:val="auto"/>
          <w:sz w:val="21"/>
          <w:szCs w:val="21"/>
        </w:rPr>
      </w:pPr>
    </w:p>
    <w:p w14:paraId="45A379CF">
      <w:pPr>
        <w:widowControl/>
        <w:spacing w:before="100" w:beforeAutospacing="1" w:after="100" w:afterAutospacing="1"/>
        <w:rPr>
          <w:rFonts w:ascii="Arial" w:hAnsi="Arial" w:cs="Arial"/>
          <w:color w:val="auto"/>
          <w:sz w:val="21"/>
          <w:szCs w:val="21"/>
        </w:rPr>
      </w:pPr>
    </w:p>
    <w:p w14:paraId="35A98654">
      <w:pPr>
        <w:widowControl/>
        <w:spacing w:before="100" w:beforeAutospacing="1" w:after="100" w:afterAutospacing="1"/>
        <w:rPr>
          <w:rFonts w:ascii="Arial" w:hAnsi="Arial" w:cs="Arial"/>
          <w:color w:val="auto"/>
          <w:sz w:val="21"/>
          <w:szCs w:val="21"/>
        </w:rPr>
      </w:pPr>
    </w:p>
    <w:p w14:paraId="05CA9DD6">
      <w:pPr>
        <w:widowControl/>
        <w:spacing w:before="100" w:beforeAutospacing="1" w:after="100" w:afterAutospacing="1"/>
        <w:rPr>
          <w:rFonts w:ascii="Arial" w:hAnsi="Arial" w:cs="Arial"/>
          <w:color w:val="auto"/>
          <w:sz w:val="21"/>
          <w:szCs w:val="21"/>
        </w:rPr>
      </w:pPr>
    </w:p>
    <w:p w14:paraId="693BA711">
      <w:pPr>
        <w:widowControl/>
        <w:spacing w:before="100" w:beforeAutospacing="1" w:after="100" w:afterAutospacing="1"/>
        <w:rPr>
          <w:rFonts w:ascii="Arial" w:hAnsi="Arial" w:cs="Arial"/>
          <w:color w:val="auto"/>
          <w:sz w:val="21"/>
          <w:szCs w:val="21"/>
        </w:rPr>
      </w:pPr>
    </w:p>
    <w:p w14:paraId="48B4CF5E">
      <w:pPr>
        <w:spacing w:line="300" w:lineRule="auto"/>
        <w:rPr>
          <w:rFonts w:ascii="Arial" w:hAnsi="Arial" w:cs="Arial"/>
          <w:color w:val="auto"/>
          <w:sz w:val="21"/>
          <w:szCs w:val="21"/>
        </w:rPr>
      </w:pPr>
      <w:r>
        <w:rPr>
          <w:rFonts w:hint="eastAsia" w:ascii="Arial" w:hAnsi="Arial" w:cs="Arial"/>
          <w:color w:val="auto"/>
          <w:sz w:val="21"/>
          <w:szCs w:val="21"/>
        </w:rPr>
        <w:t>投标供应商</w:t>
      </w:r>
      <w:r>
        <w:rPr>
          <w:rFonts w:ascii="Arial" w:hAnsi="Arial" w:cs="Arial"/>
          <w:color w:val="auto"/>
          <w:sz w:val="21"/>
          <w:szCs w:val="21"/>
        </w:rPr>
        <w:t>名称[盖章]：</w:t>
      </w:r>
    </w:p>
    <w:p w14:paraId="7D7F3F06">
      <w:pPr>
        <w:widowControl/>
        <w:spacing w:before="100" w:beforeAutospacing="1" w:after="100" w:afterAutospacing="1"/>
        <w:rPr>
          <w:rFonts w:ascii="Arial" w:hAnsi="Arial" w:cs="Arial"/>
          <w:color w:val="auto"/>
          <w:sz w:val="21"/>
          <w:szCs w:val="21"/>
          <w:u w:val="single"/>
        </w:rPr>
      </w:pPr>
      <w:r>
        <w:rPr>
          <w:rFonts w:ascii="Arial" w:hAnsi="Arial" w:cs="Arial"/>
          <w:color w:val="auto"/>
          <w:sz w:val="21"/>
          <w:szCs w:val="21"/>
        </w:rPr>
        <w:t>日期：</w:t>
      </w:r>
    </w:p>
    <w:p w14:paraId="6FF40CAA">
      <w:pPr>
        <w:rPr>
          <w:rFonts w:hint="eastAsia" w:cs="仿宋_GB2312"/>
          <w:b/>
          <w:color w:val="auto"/>
          <w:sz w:val="28"/>
          <w:szCs w:val="28"/>
        </w:rPr>
      </w:pPr>
      <w:r>
        <w:rPr>
          <w:rFonts w:cs="仿宋_GB2312"/>
          <w:b/>
          <w:color w:val="auto"/>
          <w:sz w:val="28"/>
          <w:szCs w:val="28"/>
        </w:rPr>
        <w:br w:type="page"/>
      </w:r>
    </w:p>
    <w:p w14:paraId="162D6FD4">
      <w:pPr>
        <w:pStyle w:val="5"/>
        <w:numPr>
          <w:ilvl w:val="0"/>
          <w:numId w:val="32"/>
        </w:numPr>
        <w:rPr>
          <w:rFonts w:hint="eastAsia"/>
          <w:color w:val="auto"/>
        </w:rPr>
      </w:pPr>
      <w:bookmarkStart w:id="397" w:name="_Toc23531"/>
      <w:r>
        <w:rPr>
          <w:color w:val="auto"/>
        </w:rPr>
        <w:t>残疾人福利性单位声明函</w:t>
      </w:r>
      <w:r>
        <w:rPr>
          <w:rFonts w:hint="eastAsia"/>
          <w:color w:val="auto"/>
        </w:rPr>
        <w:t>【如适用】</w:t>
      </w:r>
      <w:bookmarkEnd w:id="397"/>
    </w:p>
    <w:p w14:paraId="5ED42836">
      <w:pPr>
        <w:pStyle w:val="44"/>
        <w:numPr>
          <w:ilvl w:val="0"/>
          <w:numId w:val="34"/>
        </w:numPr>
        <w:rPr>
          <w:rFonts w:hint="eastAsia"/>
          <w:color w:val="auto"/>
        </w:rPr>
      </w:pPr>
      <w:r>
        <w:rPr>
          <w:rFonts w:hint="eastAsia"/>
          <w:color w:val="auto"/>
          <w:szCs w:val="24"/>
        </w:rPr>
        <w:t>残疾人福利性单位声明函（货物）</w:t>
      </w:r>
    </w:p>
    <w:p w14:paraId="45E4398E">
      <w:pPr>
        <w:wordWrap w:val="0"/>
        <w:ind w:firstLine="480" w:firstLineChars="200"/>
        <w:rPr>
          <w:rFonts w:hint="eastAsia"/>
          <w:color w:val="auto"/>
          <w:szCs w:val="24"/>
        </w:rPr>
      </w:pPr>
      <w:r>
        <w:rPr>
          <w:rFonts w:hint="eastAsia"/>
          <w:color w:val="auto"/>
          <w:szCs w:val="24"/>
        </w:rPr>
        <w:t>本公司（联合体）郑重声明，根据《财政部 民政部 中国残疾人联合会关于促进残疾人就业政府采购政策的通知》（财库〔2017〕141号）的规定，本公司（联合体）参加</w:t>
      </w:r>
      <w:r>
        <w:rPr>
          <w:rFonts w:hint="eastAsia"/>
          <w:color w:val="auto"/>
          <w:szCs w:val="24"/>
          <w:u w:val="single"/>
        </w:rPr>
        <w:t xml:space="preserve"> </w:t>
      </w:r>
      <w:r>
        <w:rPr>
          <w:rFonts w:hint="eastAsia"/>
          <w:i/>
          <w:color w:val="auto"/>
          <w:szCs w:val="24"/>
          <w:u w:val="single"/>
        </w:rPr>
        <w:t>（单位名称）</w:t>
      </w:r>
      <w:r>
        <w:rPr>
          <w:rFonts w:hint="eastAsia"/>
          <w:color w:val="auto"/>
          <w:szCs w:val="24"/>
          <w:u w:val="single"/>
        </w:rPr>
        <w:t xml:space="preserve"> </w:t>
      </w:r>
      <w:r>
        <w:rPr>
          <w:rFonts w:hint="eastAsia"/>
          <w:color w:val="auto"/>
          <w:szCs w:val="24"/>
        </w:rPr>
        <w:t>的</w:t>
      </w:r>
      <w:r>
        <w:rPr>
          <w:rFonts w:hint="eastAsia"/>
          <w:color w:val="auto"/>
          <w:szCs w:val="24"/>
          <w:u w:val="single"/>
        </w:rPr>
        <w:t xml:space="preserve"> </w:t>
      </w:r>
      <w:r>
        <w:rPr>
          <w:rFonts w:hint="eastAsia"/>
          <w:i/>
          <w:color w:val="auto"/>
          <w:szCs w:val="24"/>
          <w:u w:val="single"/>
        </w:rPr>
        <w:t>（项目名称）</w:t>
      </w:r>
      <w:r>
        <w:rPr>
          <w:rFonts w:hint="eastAsia"/>
          <w:color w:val="auto"/>
          <w:szCs w:val="24"/>
          <w:u w:val="single"/>
        </w:rPr>
        <w:t xml:space="preserve"> </w:t>
      </w:r>
      <w:r>
        <w:rPr>
          <w:rFonts w:hint="eastAsia"/>
          <w:color w:val="auto"/>
          <w:szCs w:val="24"/>
        </w:rPr>
        <w:t>采购活动，提供的货物</w:t>
      </w:r>
      <w:r>
        <w:rPr>
          <w:rFonts w:hint="eastAsia"/>
          <w:b/>
          <w:color w:val="auto"/>
          <w:szCs w:val="24"/>
        </w:rPr>
        <w:t>全部由</w:t>
      </w:r>
      <w:r>
        <w:rPr>
          <w:rFonts w:hint="eastAsia"/>
          <w:color w:val="auto"/>
          <w:szCs w:val="24"/>
        </w:rPr>
        <w:t>符合政策要求的</w:t>
      </w:r>
      <w:r>
        <w:rPr>
          <w:rFonts w:hint="eastAsia"/>
          <w:b/>
          <w:color w:val="auto"/>
          <w:szCs w:val="24"/>
        </w:rPr>
        <w:t>残疾人福利性单位制造</w:t>
      </w:r>
      <w:r>
        <w:rPr>
          <w:rFonts w:hint="eastAsia"/>
          <w:color w:val="auto"/>
          <w:szCs w:val="24"/>
        </w:rPr>
        <w:t>。相关企业（含联合体中的残疾人福利性单位、签订分包意向协议的残疾人福利性单位）的具体情况如下：</w:t>
      </w:r>
    </w:p>
    <w:p w14:paraId="557EA34F">
      <w:pPr>
        <w:wordWrap w:val="0"/>
        <w:ind w:firstLine="480" w:firstLineChars="200"/>
        <w:rPr>
          <w:rFonts w:hint="eastAsia"/>
          <w:color w:val="auto"/>
          <w:szCs w:val="24"/>
        </w:rPr>
      </w:pPr>
      <w:r>
        <w:rPr>
          <w:rFonts w:hint="eastAsia"/>
          <w:color w:val="auto"/>
          <w:szCs w:val="24"/>
        </w:rPr>
        <w:t>1.</w:t>
      </w:r>
      <w:r>
        <w:rPr>
          <w:rFonts w:hint="eastAsia"/>
          <w:color w:val="auto"/>
          <w:szCs w:val="24"/>
          <w:u w:val="single"/>
        </w:rPr>
        <w:t xml:space="preserve"> </w:t>
      </w:r>
      <w:r>
        <w:rPr>
          <w:rFonts w:hint="eastAsia"/>
          <w:i/>
          <w:color w:val="auto"/>
          <w:szCs w:val="24"/>
          <w:u w:val="single"/>
        </w:rPr>
        <w:t>（标的名称）</w:t>
      </w:r>
      <w:r>
        <w:rPr>
          <w:rFonts w:hint="eastAsia"/>
          <w:color w:val="auto"/>
          <w:szCs w:val="24"/>
          <w:u w:val="single"/>
        </w:rPr>
        <w:t xml:space="preserve"> </w:t>
      </w:r>
      <w:r>
        <w:rPr>
          <w:rFonts w:hint="eastAsia"/>
          <w:color w:val="auto"/>
          <w:szCs w:val="24"/>
        </w:rPr>
        <w:t xml:space="preserve">，制造商为 </w:t>
      </w:r>
      <w:r>
        <w:rPr>
          <w:color w:val="auto"/>
          <w:szCs w:val="24"/>
          <w:u w:val="single"/>
        </w:rPr>
        <w:t xml:space="preserve">  </w:t>
      </w:r>
      <w:r>
        <w:rPr>
          <w:rFonts w:hint="eastAsia"/>
          <w:i/>
          <w:color w:val="auto"/>
          <w:szCs w:val="24"/>
          <w:u w:val="single"/>
        </w:rPr>
        <w:t>（企业名称）</w:t>
      </w:r>
      <w:r>
        <w:rPr>
          <w:rFonts w:hint="eastAsia"/>
          <w:color w:val="auto"/>
          <w:szCs w:val="24"/>
          <w:u w:val="single"/>
        </w:rPr>
        <w:t xml:space="preserve"> </w:t>
      </w:r>
      <w:r>
        <w:rPr>
          <w:rFonts w:hint="eastAsia"/>
          <w:color w:val="auto"/>
          <w:szCs w:val="24"/>
        </w:rPr>
        <w:t>，属于残疾人福利性单位；</w:t>
      </w:r>
    </w:p>
    <w:p w14:paraId="0823ECF6">
      <w:pPr>
        <w:wordWrap w:val="0"/>
        <w:ind w:firstLine="480" w:firstLineChars="200"/>
        <w:rPr>
          <w:rFonts w:hint="eastAsia"/>
          <w:color w:val="auto"/>
          <w:szCs w:val="24"/>
        </w:rPr>
      </w:pPr>
      <w:r>
        <w:rPr>
          <w:rFonts w:hint="eastAsia"/>
          <w:color w:val="auto"/>
          <w:szCs w:val="24"/>
        </w:rPr>
        <w:t xml:space="preserve">2. </w:t>
      </w:r>
      <w:r>
        <w:rPr>
          <w:rFonts w:hint="eastAsia"/>
          <w:i/>
          <w:color w:val="auto"/>
          <w:szCs w:val="24"/>
          <w:u w:val="single"/>
        </w:rPr>
        <w:t>（标的名称）</w:t>
      </w:r>
      <w:r>
        <w:rPr>
          <w:rFonts w:hint="eastAsia"/>
          <w:color w:val="auto"/>
          <w:szCs w:val="24"/>
          <w:u w:val="single"/>
        </w:rPr>
        <w:t xml:space="preserve"> </w:t>
      </w:r>
      <w:r>
        <w:rPr>
          <w:rFonts w:hint="eastAsia"/>
          <w:color w:val="auto"/>
          <w:szCs w:val="24"/>
        </w:rPr>
        <w:t xml:space="preserve">，制造商为 </w:t>
      </w:r>
      <w:r>
        <w:rPr>
          <w:color w:val="auto"/>
          <w:szCs w:val="24"/>
          <w:u w:val="single"/>
        </w:rPr>
        <w:t xml:space="preserve">  </w:t>
      </w:r>
      <w:r>
        <w:rPr>
          <w:rFonts w:hint="eastAsia"/>
          <w:i/>
          <w:color w:val="auto"/>
          <w:szCs w:val="24"/>
          <w:u w:val="single"/>
        </w:rPr>
        <w:t>（企业名称）</w:t>
      </w:r>
      <w:r>
        <w:rPr>
          <w:rFonts w:hint="eastAsia"/>
          <w:color w:val="auto"/>
          <w:szCs w:val="24"/>
          <w:u w:val="single"/>
        </w:rPr>
        <w:t xml:space="preserve"> </w:t>
      </w:r>
      <w:r>
        <w:rPr>
          <w:rFonts w:hint="eastAsia"/>
          <w:color w:val="auto"/>
          <w:szCs w:val="24"/>
        </w:rPr>
        <w:t>，属于残疾人福利性单位；</w:t>
      </w:r>
    </w:p>
    <w:p w14:paraId="294F8966">
      <w:pPr>
        <w:wordWrap w:val="0"/>
        <w:ind w:firstLine="480" w:firstLineChars="200"/>
        <w:rPr>
          <w:rFonts w:hint="eastAsia"/>
          <w:color w:val="auto"/>
          <w:szCs w:val="24"/>
        </w:rPr>
      </w:pPr>
      <w:r>
        <w:rPr>
          <w:rFonts w:hint="eastAsia"/>
          <w:color w:val="auto"/>
          <w:szCs w:val="24"/>
        </w:rPr>
        <w:t>……</w:t>
      </w:r>
    </w:p>
    <w:p w14:paraId="774E0006">
      <w:pPr>
        <w:wordWrap w:val="0"/>
        <w:ind w:firstLine="480" w:firstLineChars="200"/>
        <w:rPr>
          <w:rFonts w:hint="eastAsia"/>
          <w:color w:val="auto"/>
          <w:szCs w:val="24"/>
        </w:rPr>
      </w:pPr>
      <w:r>
        <w:rPr>
          <w:rFonts w:hint="eastAsia"/>
          <w:color w:val="auto"/>
          <w:szCs w:val="24"/>
        </w:rPr>
        <w:t>以上企业，不属于大企业的分支机构，不存在控股股东为大企业的情形，也不存在与大企业的负责人为同一人的情形。</w:t>
      </w:r>
    </w:p>
    <w:p w14:paraId="5B07062C">
      <w:pPr>
        <w:wordWrap w:val="0"/>
        <w:ind w:left="1087" w:leftChars="200" w:hanging="607" w:hangingChars="253"/>
        <w:rPr>
          <w:rFonts w:hint="eastAsia"/>
          <w:color w:val="auto"/>
          <w:szCs w:val="24"/>
        </w:rPr>
      </w:pPr>
      <w:r>
        <w:rPr>
          <w:rFonts w:hint="eastAsia"/>
          <w:color w:val="auto"/>
          <w:szCs w:val="24"/>
        </w:rPr>
        <w:t>本企业对上述声明内容的真实性负责。如有虚假，将依法承担相应责任。</w:t>
      </w:r>
    </w:p>
    <w:p w14:paraId="05EDB89A">
      <w:pPr>
        <w:wordWrap w:val="0"/>
        <w:ind w:left="1091" w:hanging="1091" w:hangingChars="453"/>
        <w:rPr>
          <w:rFonts w:hint="eastAsia"/>
          <w:b/>
          <w:bCs/>
          <w:color w:val="auto"/>
          <w:szCs w:val="24"/>
        </w:rPr>
      </w:pPr>
    </w:p>
    <w:p w14:paraId="6B823C79">
      <w:pPr>
        <w:wordWrap w:val="0"/>
        <w:ind w:left="1091" w:hanging="1091" w:hangingChars="453"/>
        <w:rPr>
          <w:rFonts w:hint="eastAsia"/>
          <w:bCs/>
          <w:color w:val="auto"/>
          <w:szCs w:val="24"/>
        </w:rPr>
      </w:pPr>
      <w:r>
        <w:rPr>
          <w:rFonts w:hint="eastAsia"/>
          <w:b/>
          <w:bCs/>
          <w:color w:val="auto"/>
          <w:szCs w:val="24"/>
        </w:rPr>
        <w:t>说明：</w:t>
      </w:r>
      <w:r>
        <w:rPr>
          <w:rFonts w:hint="eastAsia"/>
          <w:bCs/>
          <w:color w:val="auto"/>
          <w:szCs w:val="24"/>
        </w:rPr>
        <w:t>1、</w:t>
      </w:r>
      <w:r>
        <w:rPr>
          <w:rFonts w:hint="eastAsia"/>
          <w:bCs/>
          <w:color w:val="auto"/>
          <w:szCs w:val="21"/>
          <w:lang w:val="zh-CN"/>
        </w:rPr>
        <w:t>货物应当全部由符合政策要求的残疾人福利性单位生产且使用该残疾人福利性单位商号或注册商标（与代理商或投标供应商无关）；应当严格按上述格式及内容进行填写（应当明确每个标的的生产企业类型及相关数据），否则导致的后果由投标供应商自行承担；</w:t>
      </w:r>
    </w:p>
    <w:p w14:paraId="45E807C8">
      <w:pPr>
        <w:wordWrap w:val="0"/>
        <w:ind w:left="1087" w:hanging="1087" w:hangingChars="453"/>
        <w:rPr>
          <w:rFonts w:hint="eastAsia" w:cs="Courier New"/>
          <w:color w:val="auto"/>
          <w:szCs w:val="21"/>
        </w:rPr>
      </w:pPr>
      <w:r>
        <w:rPr>
          <w:rFonts w:hint="eastAsia"/>
          <w:bCs/>
          <w:color w:val="auto"/>
          <w:szCs w:val="21"/>
          <w:lang w:val="zh-CN"/>
        </w:rPr>
        <w:t xml:space="preserve">      2、</w:t>
      </w:r>
      <w:r>
        <w:rPr>
          <w:rFonts w:hint="eastAsia" w:cs="Courier New"/>
          <w:color w:val="auto"/>
          <w:szCs w:val="21"/>
        </w:rPr>
        <w:t>以联合体形式参加的，应</w:t>
      </w:r>
      <w:r>
        <w:rPr>
          <w:rFonts w:hint="eastAsia"/>
          <w:bCs/>
          <w:color w:val="auto"/>
          <w:szCs w:val="21"/>
          <w:lang w:val="zh-CN"/>
        </w:rPr>
        <w:t>当</w:t>
      </w:r>
      <w:r>
        <w:rPr>
          <w:rFonts w:hint="eastAsia" w:cs="Courier New"/>
          <w:color w:val="auto"/>
          <w:szCs w:val="21"/>
        </w:rPr>
        <w:t>由联合体各方盖章。</w:t>
      </w:r>
    </w:p>
    <w:p w14:paraId="5A01B4B2">
      <w:pPr>
        <w:wordWrap w:val="0"/>
        <w:spacing w:before="100" w:beforeAutospacing="1" w:after="100" w:afterAutospacing="1"/>
        <w:ind w:firstLine="3316" w:firstLineChars="1382"/>
        <w:rPr>
          <w:rFonts w:hint="eastAsia"/>
          <w:bCs/>
          <w:color w:val="auto"/>
          <w:szCs w:val="21"/>
          <w:lang w:val="zh-CN"/>
        </w:rPr>
      </w:pPr>
      <w:r>
        <w:rPr>
          <w:rFonts w:hint="eastAsia"/>
          <w:bCs/>
          <w:color w:val="auto"/>
          <w:szCs w:val="21"/>
          <w:lang w:val="zh-CN"/>
        </w:rPr>
        <w:t>投标供应商：</w:t>
      </w:r>
      <w:r>
        <w:rPr>
          <w:rFonts w:hint="eastAsia"/>
          <w:bCs/>
          <w:color w:val="auto"/>
          <w:szCs w:val="21"/>
          <w:u w:val="single"/>
          <w:lang w:val="zh-CN"/>
        </w:rPr>
        <w:t xml:space="preserve">                         </w:t>
      </w:r>
    </w:p>
    <w:p w14:paraId="600154BD">
      <w:pPr>
        <w:wordWrap w:val="0"/>
        <w:spacing w:before="100" w:beforeAutospacing="1" w:after="100" w:afterAutospacing="1"/>
        <w:ind w:firstLine="3316" w:firstLineChars="1382"/>
        <w:rPr>
          <w:rFonts w:hint="eastAsia"/>
          <w:color w:val="auto"/>
        </w:rPr>
      </w:pPr>
      <w:r>
        <w:rPr>
          <w:rFonts w:hint="eastAsia"/>
          <w:color w:val="auto"/>
          <w:szCs w:val="24"/>
        </w:rPr>
        <w:t>日</w:t>
      </w:r>
      <w:r>
        <w:rPr>
          <w:color w:val="auto"/>
          <w:szCs w:val="24"/>
        </w:rPr>
        <w:t xml:space="preserve">  </w:t>
      </w:r>
      <w:r>
        <w:rPr>
          <w:rFonts w:hint="eastAsia"/>
          <w:color w:val="auto"/>
          <w:szCs w:val="24"/>
        </w:rPr>
        <w:t>期：</w:t>
      </w:r>
      <w:r>
        <w:rPr>
          <w:bCs/>
          <w:color w:val="auto"/>
          <w:szCs w:val="24"/>
          <w:u w:val="single"/>
        </w:rPr>
        <w:t xml:space="preserve">                              </w:t>
      </w:r>
    </w:p>
    <w:p w14:paraId="051EB93C">
      <w:pPr>
        <w:ind w:left="4620" w:firstLine="281" w:firstLineChars="100"/>
        <w:rPr>
          <w:rFonts w:hint="eastAsia" w:cs="仿宋_GB2312"/>
          <w:b/>
          <w:color w:val="auto"/>
          <w:sz w:val="28"/>
          <w:szCs w:val="28"/>
        </w:rPr>
      </w:pPr>
      <w:r>
        <w:rPr>
          <w:rFonts w:cs="仿宋_GB2312"/>
          <w:b/>
          <w:color w:val="auto"/>
          <w:sz w:val="28"/>
          <w:szCs w:val="28"/>
        </w:rPr>
        <w:br w:type="page"/>
      </w:r>
    </w:p>
    <w:p w14:paraId="0F797EC6">
      <w:pPr>
        <w:pStyle w:val="44"/>
        <w:numPr>
          <w:ilvl w:val="0"/>
          <w:numId w:val="34"/>
        </w:numPr>
        <w:rPr>
          <w:rFonts w:hint="eastAsia"/>
          <w:color w:val="auto"/>
        </w:rPr>
      </w:pPr>
      <w:r>
        <w:rPr>
          <w:rFonts w:hint="eastAsia"/>
          <w:color w:val="auto"/>
          <w:szCs w:val="24"/>
        </w:rPr>
        <w:t>残疾人福利性单位声明函（服务）</w:t>
      </w:r>
    </w:p>
    <w:p w14:paraId="62E48136">
      <w:pPr>
        <w:wordWrap w:val="0"/>
        <w:ind w:firstLine="480" w:firstLineChars="200"/>
        <w:rPr>
          <w:rFonts w:hint="eastAsia"/>
          <w:color w:val="auto"/>
          <w:szCs w:val="24"/>
        </w:rPr>
      </w:pPr>
      <w:r>
        <w:rPr>
          <w:rFonts w:hint="eastAsia"/>
          <w:color w:val="auto"/>
          <w:szCs w:val="24"/>
        </w:rPr>
        <w:t>本公司（联合体）郑重声明，根据《财政部 民政部 中国残疾人联合会关于促进残疾人就业政府采购政策的通知》（财库〔2017〕141号）的规定，本公司（联合体）参加</w:t>
      </w:r>
      <w:r>
        <w:rPr>
          <w:rFonts w:hint="eastAsia"/>
          <w:color w:val="auto"/>
          <w:szCs w:val="24"/>
          <w:u w:val="single"/>
        </w:rPr>
        <w:t xml:space="preserve"> </w:t>
      </w:r>
      <w:r>
        <w:rPr>
          <w:rFonts w:hint="eastAsia"/>
          <w:i/>
          <w:color w:val="auto"/>
          <w:szCs w:val="24"/>
          <w:u w:val="single"/>
        </w:rPr>
        <w:t>（单位名称）</w:t>
      </w:r>
      <w:r>
        <w:rPr>
          <w:rFonts w:hint="eastAsia"/>
          <w:color w:val="auto"/>
          <w:szCs w:val="24"/>
          <w:u w:val="single"/>
        </w:rPr>
        <w:t xml:space="preserve"> </w:t>
      </w:r>
      <w:r>
        <w:rPr>
          <w:rFonts w:hint="eastAsia"/>
          <w:color w:val="auto"/>
          <w:szCs w:val="24"/>
        </w:rPr>
        <w:t>的</w:t>
      </w:r>
      <w:r>
        <w:rPr>
          <w:rFonts w:hint="eastAsia"/>
          <w:color w:val="auto"/>
          <w:szCs w:val="24"/>
          <w:u w:val="single"/>
        </w:rPr>
        <w:t xml:space="preserve"> </w:t>
      </w:r>
      <w:r>
        <w:rPr>
          <w:rFonts w:hint="eastAsia"/>
          <w:i/>
          <w:color w:val="auto"/>
          <w:szCs w:val="24"/>
          <w:u w:val="single"/>
        </w:rPr>
        <w:t>（项目名称）</w:t>
      </w:r>
      <w:r>
        <w:rPr>
          <w:rFonts w:hint="eastAsia"/>
          <w:color w:val="auto"/>
          <w:szCs w:val="24"/>
          <w:u w:val="single"/>
        </w:rPr>
        <w:t xml:space="preserve"> </w:t>
      </w:r>
      <w:r>
        <w:rPr>
          <w:rFonts w:hint="eastAsia"/>
          <w:color w:val="auto"/>
          <w:szCs w:val="24"/>
        </w:rPr>
        <w:t>采购活动，服务</w:t>
      </w:r>
      <w:r>
        <w:rPr>
          <w:rFonts w:hint="eastAsia"/>
          <w:b/>
          <w:color w:val="auto"/>
          <w:szCs w:val="24"/>
        </w:rPr>
        <w:t>全部由</w:t>
      </w:r>
      <w:r>
        <w:rPr>
          <w:rFonts w:hint="eastAsia"/>
          <w:color w:val="auto"/>
          <w:szCs w:val="24"/>
        </w:rPr>
        <w:t>符合政策要求的</w:t>
      </w:r>
      <w:r>
        <w:rPr>
          <w:rFonts w:hint="eastAsia"/>
          <w:b/>
          <w:color w:val="auto"/>
          <w:szCs w:val="24"/>
        </w:rPr>
        <w:t>残疾人福利性单位承接</w:t>
      </w:r>
      <w:r>
        <w:rPr>
          <w:rFonts w:hint="eastAsia"/>
          <w:color w:val="auto"/>
          <w:szCs w:val="24"/>
        </w:rPr>
        <w:t>。相关企业（含联合体中的残疾人福利性单位、签订分包意向协议的残疾人福利性单位）的具体情况如下：</w:t>
      </w:r>
    </w:p>
    <w:p w14:paraId="319769E9">
      <w:pPr>
        <w:wordWrap w:val="0"/>
        <w:ind w:firstLine="480" w:firstLineChars="200"/>
        <w:rPr>
          <w:rFonts w:hint="eastAsia"/>
          <w:color w:val="auto"/>
          <w:szCs w:val="24"/>
        </w:rPr>
      </w:pPr>
      <w:r>
        <w:rPr>
          <w:rFonts w:hint="eastAsia"/>
          <w:color w:val="auto"/>
          <w:szCs w:val="24"/>
        </w:rPr>
        <w:t>1.</w:t>
      </w:r>
      <w:r>
        <w:rPr>
          <w:rFonts w:hint="eastAsia"/>
          <w:color w:val="auto"/>
          <w:szCs w:val="24"/>
          <w:u w:val="single"/>
        </w:rPr>
        <w:t xml:space="preserve"> </w:t>
      </w:r>
      <w:r>
        <w:rPr>
          <w:rFonts w:hint="eastAsia"/>
          <w:i/>
          <w:color w:val="auto"/>
          <w:szCs w:val="24"/>
          <w:u w:val="single"/>
        </w:rPr>
        <w:t>（标的名称）</w:t>
      </w:r>
      <w:r>
        <w:rPr>
          <w:rFonts w:hint="eastAsia"/>
          <w:color w:val="auto"/>
          <w:szCs w:val="24"/>
          <w:u w:val="single"/>
        </w:rPr>
        <w:t xml:space="preserve"> </w:t>
      </w:r>
      <w:r>
        <w:rPr>
          <w:rFonts w:hint="eastAsia"/>
          <w:color w:val="auto"/>
          <w:szCs w:val="24"/>
        </w:rPr>
        <w:t>，承接企业为</w:t>
      </w:r>
      <w:r>
        <w:rPr>
          <w:rFonts w:hint="eastAsia"/>
          <w:color w:val="auto"/>
          <w:szCs w:val="24"/>
          <w:u w:val="single"/>
        </w:rPr>
        <w:t xml:space="preserve"> </w:t>
      </w:r>
      <w:r>
        <w:rPr>
          <w:rFonts w:hint="eastAsia"/>
          <w:i/>
          <w:color w:val="auto"/>
          <w:szCs w:val="24"/>
          <w:u w:val="single"/>
        </w:rPr>
        <w:t>（企业名称）</w:t>
      </w:r>
      <w:r>
        <w:rPr>
          <w:rFonts w:hint="eastAsia"/>
          <w:color w:val="auto"/>
          <w:szCs w:val="24"/>
          <w:u w:val="single"/>
        </w:rPr>
        <w:t xml:space="preserve"> </w:t>
      </w:r>
      <w:r>
        <w:rPr>
          <w:rFonts w:hint="eastAsia"/>
          <w:color w:val="auto"/>
          <w:szCs w:val="24"/>
        </w:rPr>
        <w:t>，属于残疾人福利性单位；</w:t>
      </w:r>
    </w:p>
    <w:p w14:paraId="1FEF1B4A">
      <w:pPr>
        <w:wordWrap w:val="0"/>
        <w:ind w:firstLine="480" w:firstLineChars="200"/>
        <w:rPr>
          <w:rFonts w:hint="eastAsia"/>
          <w:color w:val="auto"/>
          <w:szCs w:val="24"/>
        </w:rPr>
      </w:pPr>
      <w:r>
        <w:rPr>
          <w:rFonts w:hint="eastAsia"/>
          <w:color w:val="auto"/>
          <w:szCs w:val="24"/>
        </w:rPr>
        <w:t>2.</w:t>
      </w:r>
      <w:r>
        <w:rPr>
          <w:rFonts w:hint="eastAsia"/>
          <w:color w:val="auto"/>
          <w:szCs w:val="24"/>
          <w:u w:val="single"/>
        </w:rPr>
        <w:t xml:space="preserve"> </w:t>
      </w:r>
      <w:r>
        <w:rPr>
          <w:rFonts w:hint="eastAsia"/>
          <w:i/>
          <w:color w:val="auto"/>
          <w:szCs w:val="24"/>
          <w:u w:val="single"/>
        </w:rPr>
        <w:t>（标的名称）</w:t>
      </w:r>
      <w:r>
        <w:rPr>
          <w:rFonts w:hint="eastAsia"/>
          <w:color w:val="auto"/>
          <w:szCs w:val="24"/>
          <w:u w:val="single"/>
        </w:rPr>
        <w:t xml:space="preserve"> </w:t>
      </w:r>
      <w:r>
        <w:rPr>
          <w:rFonts w:hint="eastAsia"/>
          <w:color w:val="auto"/>
          <w:szCs w:val="24"/>
        </w:rPr>
        <w:t>，承接企业为</w:t>
      </w:r>
      <w:r>
        <w:rPr>
          <w:rFonts w:hint="eastAsia"/>
          <w:color w:val="auto"/>
          <w:szCs w:val="24"/>
          <w:u w:val="single"/>
        </w:rPr>
        <w:t xml:space="preserve"> </w:t>
      </w:r>
      <w:r>
        <w:rPr>
          <w:rFonts w:hint="eastAsia"/>
          <w:i/>
          <w:color w:val="auto"/>
          <w:szCs w:val="24"/>
          <w:u w:val="single"/>
        </w:rPr>
        <w:t>（企业名称）</w:t>
      </w:r>
      <w:r>
        <w:rPr>
          <w:rFonts w:hint="eastAsia"/>
          <w:color w:val="auto"/>
          <w:szCs w:val="24"/>
          <w:u w:val="single"/>
        </w:rPr>
        <w:t xml:space="preserve"> </w:t>
      </w:r>
      <w:r>
        <w:rPr>
          <w:rFonts w:hint="eastAsia"/>
          <w:color w:val="auto"/>
          <w:szCs w:val="24"/>
        </w:rPr>
        <w:t>，属于残疾人福利性单位；</w:t>
      </w:r>
    </w:p>
    <w:p w14:paraId="0DDE0D23">
      <w:pPr>
        <w:wordWrap w:val="0"/>
        <w:ind w:firstLine="480" w:firstLineChars="200"/>
        <w:rPr>
          <w:rFonts w:hint="eastAsia"/>
          <w:color w:val="auto"/>
          <w:szCs w:val="24"/>
        </w:rPr>
      </w:pPr>
      <w:r>
        <w:rPr>
          <w:rFonts w:hint="eastAsia"/>
          <w:color w:val="auto"/>
          <w:szCs w:val="24"/>
        </w:rPr>
        <w:t>……</w:t>
      </w:r>
    </w:p>
    <w:p w14:paraId="45096413">
      <w:pPr>
        <w:wordWrap w:val="0"/>
        <w:ind w:firstLine="480" w:firstLineChars="200"/>
        <w:rPr>
          <w:rFonts w:hint="eastAsia"/>
          <w:color w:val="auto"/>
          <w:szCs w:val="24"/>
        </w:rPr>
      </w:pPr>
      <w:r>
        <w:rPr>
          <w:rFonts w:hint="eastAsia"/>
          <w:color w:val="auto"/>
          <w:szCs w:val="24"/>
        </w:rPr>
        <w:t>以上企业，不属于大企业的分支机构，不存在控股股东为大企业的情形，也不存在与大企业的负责人为同一人的情形。</w:t>
      </w:r>
    </w:p>
    <w:p w14:paraId="45C2B7B4">
      <w:pPr>
        <w:wordWrap w:val="0"/>
        <w:ind w:left="1087" w:leftChars="200" w:hanging="607" w:hangingChars="253"/>
        <w:rPr>
          <w:rFonts w:hint="eastAsia"/>
          <w:color w:val="auto"/>
          <w:szCs w:val="24"/>
        </w:rPr>
      </w:pPr>
      <w:r>
        <w:rPr>
          <w:rFonts w:hint="eastAsia"/>
          <w:color w:val="auto"/>
          <w:szCs w:val="24"/>
        </w:rPr>
        <w:t>本企业对上述声明内容的真实性负责。如有虚假，将依法承担相应责任。</w:t>
      </w:r>
    </w:p>
    <w:p w14:paraId="2E08C478">
      <w:pPr>
        <w:wordWrap w:val="0"/>
        <w:ind w:left="1091" w:hanging="1091" w:hangingChars="453"/>
        <w:rPr>
          <w:rFonts w:hint="eastAsia"/>
          <w:b/>
          <w:color w:val="auto"/>
          <w:szCs w:val="21"/>
          <w:lang w:val="zh-CN"/>
        </w:rPr>
      </w:pPr>
    </w:p>
    <w:p w14:paraId="70873D69">
      <w:pPr>
        <w:wordWrap w:val="0"/>
        <w:ind w:left="1091" w:hanging="1091" w:hangingChars="453"/>
        <w:rPr>
          <w:rFonts w:hint="eastAsia"/>
          <w:bCs/>
          <w:color w:val="auto"/>
          <w:szCs w:val="24"/>
        </w:rPr>
      </w:pPr>
      <w:r>
        <w:rPr>
          <w:rFonts w:hint="eastAsia"/>
          <w:b/>
          <w:color w:val="auto"/>
          <w:szCs w:val="21"/>
          <w:lang w:val="zh-CN"/>
        </w:rPr>
        <w:t>说明：</w:t>
      </w:r>
      <w:r>
        <w:rPr>
          <w:rFonts w:hint="eastAsia"/>
          <w:bCs/>
          <w:color w:val="auto"/>
          <w:szCs w:val="24"/>
        </w:rPr>
        <w:t>1、</w:t>
      </w:r>
      <w:r>
        <w:rPr>
          <w:rFonts w:hint="eastAsia"/>
          <w:bCs/>
          <w:color w:val="auto"/>
          <w:szCs w:val="21"/>
          <w:lang w:val="zh-CN"/>
        </w:rPr>
        <w:t>服务应当全部由符合</w:t>
      </w:r>
      <w:r>
        <w:rPr>
          <w:bCs/>
          <w:color w:val="auto"/>
          <w:szCs w:val="21"/>
          <w:lang w:val="zh-CN"/>
        </w:rPr>
        <w:t>政策要求的</w:t>
      </w:r>
      <w:r>
        <w:rPr>
          <w:rFonts w:hint="eastAsia"/>
          <w:bCs/>
          <w:color w:val="auto"/>
          <w:szCs w:val="21"/>
          <w:lang w:val="zh-CN"/>
        </w:rPr>
        <w:t>残疾人福利性单位承接，应当严格按上述格式及内容进行填写（应当明确每个标的的承接企业类型及相关数据），否则导致的后果由投标供应商自行承担；</w:t>
      </w:r>
    </w:p>
    <w:p w14:paraId="011D1E1D">
      <w:pPr>
        <w:wordWrap w:val="0"/>
        <w:ind w:left="1087" w:hanging="1087" w:hangingChars="453"/>
        <w:rPr>
          <w:rFonts w:hint="eastAsia" w:cs="Courier New"/>
          <w:color w:val="auto"/>
          <w:szCs w:val="21"/>
        </w:rPr>
      </w:pPr>
      <w:r>
        <w:rPr>
          <w:rFonts w:hint="eastAsia"/>
          <w:bCs/>
          <w:color w:val="auto"/>
          <w:szCs w:val="21"/>
          <w:lang w:val="zh-CN"/>
        </w:rPr>
        <w:t xml:space="preserve">      2、</w:t>
      </w:r>
      <w:r>
        <w:rPr>
          <w:rFonts w:hint="eastAsia" w:cs="Courier New"/>
          <w:color w:val="auto"/>
          <w:szCs w:val="21"/>
        </w:rPr>
        <w:t>以联合体形式参加的，应</w:t>
      </w:r>
      <w:r>
        <w:rPr>
          <w:rFonts w:hint="eastAsia"/>
          <w:bCs/>
          <w:color w:val="auto"/>
          <w:szCs w:val="21"/>
          <w:lang w:val="zh-CN"/>
        </w:rPr>
        <w:t>当</w:t>
      </w:r>
      <w:r>
        <w:rPr>
          <w:rFonts w:hint="eastAsia" w:cs="Courier New"/>
          <w:color w:val="auto"/>
          <w:szCs w:val="21"/>
        </w:rPr>
        <w:t>由联合体各方盖章。</w:t>
      </w:r>
    </w:p>
    <w:p w14:paraId="14A84F4E">
      <w:pPr>
        <w:wordWrap w:val="0"/>
        <w:spacing w:before="100" w:beforeAutospacing="1" w:after="100" w:afterAutospacing="1"/>
        <w:ind w:firstLine="3316" w:firstLineChars="1382"/>
        <w:rPr>
          <w:rFonts w:hint="eastAsia"/>
          <w:bCs/>
          <w:color w:val="auto"/>
          <w:szCs w:val="21"/>
          <w:lang w:val="zh-CN"/>
        </w:rPr>
      </w:pPr>
      <w:r>
        <w:rPr>
          <w:rFonts w:hint="eastAsia"/>
          <w:bCs/>
          <w:color w:val="auto"/>
          <w:szCs w:val="21"/>
          <w:lang w:val="zh-CN"/>
        </w:rPr>
        <w:t>投标供应商：</w:t>
      </w:r>
      <w:r>
        <w:rPr>
          <w:rFonts w:hint="eastAsia"/>
          <w:bCs/>
          <w:color w:val="auto"/>
          <w:szCs w:val="21"/>
          <w:u w:val="single"/>
          <w:lang w:val="zh-CN"/>
        </w:rPr>
        <w:t xml:space="preserve">                         </w:t>
      </w:r>
    </w:p>
    <w:p w14:paraId="4959C910">
      <w:pPr>
        <w:wordWrap w:val="0"/>
        <w:spacing w:before="100" w:beforeAutospacing="1" w:after="100" w:afterAutospacing="1"/>
        <w:ind w:firstLine="3316" w:firstLineChars="1382"/>
        <w:rPr>
          <w:rFonts w:hint="eastAsia"/>
          <w:bCs/>
          <w:color w:val="auto"/>
          <w:szCs w:val="24"/>
          <w:u w:val="single"/>
        </w:rPr>
      </w:pPr>
      <w:r>
        <w:rPr>
          <w:rFonts w:hint="eastAsia"/>
          <w:color w:val="auto"/>
          <w:szCs w:val="24"/>
        </w:rPr>
        <w:t xml:space="preserve">日 </w:t>
      </w:r>
      <w:r>
        <w:rPr>
          <w:color w:val="auto"/>
          <w:szCs w:val="24"/>
        </w:rPr>
        <w:t xml:space="preserve"> </w:t>
      </w:r>
      <w:r>
        <w:rPr>
          <w:rFonts w:hint="eastAsia"/>
          <w:color w:val="auto"/>
          <w:szCs w:val="24"/>
        </w:rPr>
        <w:t>期：</w:t>
      </w:r>
      <w:r>
        <w:rPr>
          <w:bCs/>
          <w:color w:val="auto"/>
          <w:szCs w:val="24"/>
          <w:u w:val="single"/>
        </w:rPr>
        <w:t xml:space="preserve">                    </w:t>
      </w:r>
      <w:r>
        <w:rPr>
          <w:rFonts w:hint="eastAsia"/>
          <w:bCs/>
          <w:color w:val="auto"/>
          <w:szCs w:val="24"/>
          <w:u w:val="single"/>
        </w:rPr>
        <w:t xml:space="preserve"> </w:t>
      </w:r>
      <w:r>
        <w:rPr>
          <w:bCs/>
          <w:color w:val="auto"/>
          <w:szCs w:val="24"/>
          <w:u w:val="single"/>
        </w:rPr>
        <w:t xml:space="preserve">         </w:t>
      </w:r>
    </w:p>
    <w:p w14:paraId="4D6F2E1B">
      <w:pPr>
        <w:rPr>
          <w:rFonts w:hint="eastAsia" w:cs="仿宋_GB2312"/>
          <w:b/>
          <w:color w:val="auto"/>
          <w:sz w:val="28"/>
          <w:szCs w:val="28"/>
        </w:rPr>
      </w:pPr>
      <w:r>
        <w:rPr>
          <w:color w:val="auto"/>
        </w:rPr>
        <w:br w:type="page"/>
      </w:r>
    </w:p>
    <w:p w14:paraId="5E7C88C3">
      <w:pPr>
        <w:pStyle w:val="44"/>
        <w:numPr>
          <w:ilvl w:val="0"/>
          <w:numId w:val="0"/>
        </w:numPr>
        <w:ind w:leftChars="0"/>
        <w:rPr>
          <w:rFonts w:hint="eastAsia" w:eastAsia="宋体" w:asciiTheme="majorHAnsi" w:hAnsiTheme="majorHAnsi" w:cstheme="majorBidi"/>
          <w:b/>
          <w:bCs/>
          <w:color w:val="auto"/>
          <w:kern w:val="2"/>
          <w:sz w:val="28"/>
          <w:szCs w:val="28"/>
          <w:lang w:val="en-US" w:eastAsia="zh-CN" w:bidi="ar-SA"/>
        </w:rPr>
      </w:pPr>
      <w:r>
        <w:rPr>
          <w:rFonts w:hint="eastAsia" w:eastAsia="宋体" w:asciiTheme="majorHAnsi" w:hAnsiTheme="majorHAnsi" w:cstheme="majorBidi"/>
          <w:b/>
          <w:bCs/>
          <w:color w:val="auto"/>
          <w:kern w:val="2"/>
          <w:sz w:val="28"/>
          <w:szCs w:val="28"/>
          <w:lang w:val="en-US" w:eastAsia="zh-CN" w:bidi="ar-SA"/>
        </w:rPr>
        <w:t>3、其它落实政府采购政策的相关证明文件</w:t>
      </w:r>
    </w:p>
    <w:p w14:paraId="71B7653F">
      <w:pPr>
        <w:rPr>
          <w:rFonts w:hint="eastAsia" w:cs="仿宋_GB2312"/>
          <w:b/>
          <w:color w:val="auto"/>
          <w:sz w:val="28"/>
          <w:szCs w:val="28"/>
        </w:rPr>
      </w:pPr>
    </w:p>
    <w:p w14:paraId="76D3EEC2">
      <w:pPr>
        <w:rPr>
          <w:rFonts w:hint="eastAsia" w:cs="仿宋_GB2312"/>
          <w:b/>
          <w:color w:val="auto"/>
          <w:sz w:val="28"/>
          <w:szCs w:val="28"/>
        </w:rPr>
      </w:pPr>
      <w:r>
        <w:rPr>
          <w:rFonts w:cs="仿宋_GB2312"/>
          <w:b/>
          <w:color w:val="auto"/>
          <w:sz w:val="28"/>
          <w:szCs w:val="28"/>
        </w:rPr>
        <w:br w:type="page"/>
      </w:r>
    </w:p>
    <w:p w14:paraId="5AA89452">
      <w:pPr>
        <w:pStyle w:val="5"/>
        <w:numPr>
          <w:ilvl w:val="0"/>
          <w:numId w:val="32"/>
        </w:numPr>
        <w:rPr>
          <w:rFonts w:hint="eastAsia"/>
          <w:color w:val="auto"/>
        </w:rPr>
      </w:pPr>
      <w:bookmarkStart w:id="398" w:name="_Toc29356"/>
      <w:r>
        <w:rPr>
          <w:rFonts w:hint="eastAsia"/>
          <w:color w:val="auto"/>
        </w:rPr>
        <w:t>投标供应商认为需要提供的其他资料</w:t>
      </w:r>
      <w:bookmarkEnd w:id="398"/>
    </w:p>
    <w:p w14:paraId="14AAA6C2">
      <w:pPr>
        <w:pStyle w:val="42"/>
        <w:rPr>
          <w:rFonts w:hint="eastAsia"/>
          <w:color w:val="auto"/>
        </w:rPr>
      </w:pPr>
      <w:r>
        <w:rPr>
          <w:rFonts w:hint="eastAsia"/>
          <w:color w:val="auto"/>
        </w:rPr>
        <w:t>1</w:t>
      </w:r>
      <w:r>
        <w:rPr>
          <w:color w:val="auto"/>
        </w:rPr>
        <w:t>.</w:t>
      </w:r>
      <w:r>
        <w:rPr>
          <w:rFonts w:hint="eastAsia"/>
          <w:color w:val="auto"/>
        </w:rPr>
        <w:t>招标文件要求供应商须提交的其它资料；</w:t>
      </w:r>
    </w:p>
    <w:p w14:paraId="525A3636">
      <w:pPr>
        <w:pStyle w:val="42"/>
        <w:rPr>
          <w:rFonts w:hint="eastAsia"/>
          <w:color w:val="auto"/>
        </w:rPr>
      </w:pPr>
      <w:r>
        <w:rPr>
          <w:rFonts w:hint="eastAsia"/>
          <w:color w:val="auto"/>
        </w:rPr>
        <w:t>2.投标供应商认为需加以说明的其它内容。</w:t>
      </w:r>
    </w:p>
    <w:sectPr>
      <w:footerReference r:id="rId9"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BBB2BB1-E5D3-40C9-B311-74692659127F}"/>
  </w:font>
  <w:font w:name="Arial">
    <w:panose1 w:val="020B0604020202020204"/>
    <w:charset w:val="01"/>
    <w:family w:val="swiss"/>
    <w:pitch w:val="default"/>
    <w:sig w:usb0="E0002EFF" w:usb1="C000785B" w:usb2="00000009" w:usb3="00000000" w:csb0="400001FF" w:csb1="FFFF0000"/>
    <w:embedRegular r:id="rId2" w:fontKey="{190F5AD9-25D8-425A-997A-80C3D8512F58}"/>
  </w:font>
  <w:font w:name="黑体">
    <w:panose1 w:val="02010609060101010101"/>
    <w:charset w:val="86"/>
    <w:family w:val="auto"/>
    <w:pitch w:val="default"/>
    <w:sig w:usb0="800002BF" w:usb1="38CF7CFA" w:usb2="00000016" w:usb3="00000000" w:csb0="00040001" w:csb1="00000000"/>
    <w:embedRegular r:id="rId3" w:fontKey="{A7BF8B8C-874C-42BC-8E7E-4F2AEDD0A741}"/>
  </w:font>
  <w:font w:name="Courier New">
    <w:panose1 w:val="02070309020205020404"/>
    <w:charset w:val="01"/>
    <w:family w:val="modern"/>
    <w:pitch w:val="default"/>
    <w:sig w:usb0="E0002EFF" w:usb1="C0007843" w:usb2="00000009" w:usb3="00000000" w:csb0="400001FF" w:csb1="FFFF0000"/>
    <w:embedRegular r:id="rId4" w:fontKey="{C86C677D-1AE4-44EF-81C3-5493EBFDB2E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embedRegular r:id="rId5" w:fontKey="{1902E75E-0C30-4735-9264-172F378D102F}"/>
  </w:font>
  <w:font w:name="等线">
    <w:panose1 w:val="02010600030101010101"/>
    <w:charset w:val="86"/>
    <w:family w:val="auto"/>
    <w:pitch w:val="default"/>
    <w:sig w:usb0="A00002BF" w:usb1="38CF7CFA" w:usb2="00000016" w:usb3="00000000" w:csb0="0004000F" w:csb1="00000000"/>
    <w:embedRegular r:id="rId6" w:fontKey="{C7746FB0-4947-4AA5-A5A4-16B134021F3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7" w:fontKey="{A925F4E9-65F3-433C-9CA7-AA18EAE86E0E}"/>
  </w:font>
  <w:font w:name="仿宋">
    <w:panose1 w:val="02010609060101010101"/>
    <w:charset w:val="86"/>
    <w:family w:val="auto"/>
    <w:pitch w:val="default"/>
    <w:sig w:usb0="800002BF" w:usb1="38CF7CFA" w:usb2="00000016" w:usb3="00000000" w:csb0="00040001" w:csb1="00000000"/>
    <w:embedRegular r:id="rId8" w:fontKey="{F5902924-E28E-41DD-9BF1-5AC6733BD136}"/>
  </w:font>
  <w:font w:name="微软雅黑">
    <w:panose1 w:val="020B0503020204020204"/>
    <w:charset w:val="86"/>
    <w:family w:val="auto"/>
    <w:pitch w:val="default"/>
    <w:sig w:usb0="80000287" w:usb1="2ACF3C50" w:usb2="00000016" w:usb3="00000000" w:csb0="0004001F" w:csb1="00000000"/>
    <w:embedRegular r:id="rId9" w:fontKey="{DF62DA04-0AA8-4977-AF48-E8E7E1409505}"/>
  </w:font>
  <w:font w:name="Helvetica">
    <w:altName w:val="Arial"/>
    <w:panose1 w:val="020B0604020202020204"/>
    <w:charset w:val="00"/>
    <w:family w:val="swiss"/>
    <w:pitch w:val="default"/>
    <w:sig w:usb0="00000000" w:usb1="00000000" w:usb2="00000000" w:usb3="00000000" w:csb0="00000001" w:csb1="00000000"/>
    <w:embedRegular r:id="rId10" w:fontKey="{D28D369B-E1D3-4264-B397-94423032AD23}"/>
  </w:font>
  <w:font w:name="方正仿宋_GB2312">
    <w:panose1 w:val="02000000000000000000"/>
    <w:charset w:val="86"/>
    <w:family w:val="auto"/>
    <w:pitch w:val="default"/>
    <w:sig w:usb0="A00002BF" w:usb1="184F6CFA" w:usb2="00000012" w:usb3="00000000" w:csb0="00040001" w:csb1="00000000"/>
    <w:embedRegular r:id="rId11" w:fontKey="{46D5629E-FC78-42DA-AF16-E32BE7DF5E07}"/>
  </w:font>
  <w:font w:name="Segoe UI">
    <w:panose1 w:val="020B0502040204020203"/>
    <w:charset w:val="00"/>
    <w:family w:val="swiss"/>
    <w:pitch w:val="default"/>
    <w:sig w:usb0="E4002EFF" w:usb1="C000E47F" w:usb2="00000009" w:usb3="00000000" w:csb0="200001FF" w:csb1="00000000"/>
    <w:embedRegular r:id="rId12" w:fontKey="{80769250-7DC7-453A-80F6-DC1470563B7A}"/>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2C78">
    <w:pPr>
      <w:pStyle w:val="23"/>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top</wp:align>
              </wp:positionV>
              <wp:extent cx="531495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53149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70.25pt;height:0pt;width:418.5pt;mso-position-horizontal-relative:page;mso-position-vertical-relative:page;z-index:251660288;mso-width-relative:margin;mso-height-relative:page;mso-width-percent:1000;" filled="f" stroked="t" coordsize="21600,21600" o:gfxdata="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3ni19MAAAACAQAADwAA&#10;AAAAAAABACAAAAAiAAAAZHJzL2Rvd25yZXYueG1sUEsBAhQAFAAAAAgAh07iQH9BalHiAQAAsQMA&#10;AA4AAAAAAAAAAQAgAAAAIgEAAGRycy9lMm9Eb2MueG1sUEsFBgAAAAAGAAYAWQEAAHYFAAAAAA==&#10;">
              <v:fill on="f" focussize="0,0"/>
              <v:stroke color="#000000 [3213]" miterlimit="8" joinstyle="miter"/>
              <v:imagedata o:title=""/>
              <o:lock v:ext="edit" aspectratio="f"/>
            </v:line>
          </w:pict>
        </mc:Fallback>
      </mc:AlternateContent>
    </w:r>
    <w:r>
      <mc:AlternateContent>
        <mc:Choice Requires="wpg">
          <w:drawing>
            <wp:anchor distT="0" distB="0" distL="114300" distR="114300" simplePos="0" relativeHeight="251661312" behindDoc="0" locked="0" layoutInCell="1" allowOverlap="1">
              <wp:simplePos x="0" y="0"/>
              <wp:positionH relativeFrom="margin">
                <wp:posOffset>2078355</wp:posOffset>
              </wp:positionH>
              <wp:positionV relativeFrom="bottomMargin">
                <wp:posOffset>-1905</wp:posOffset>
              </wp:positionV>
              <wp:extent cx="3129280" cy="305435"/>
              <wp:effectExtent l="0" t="0" r="0" b="0"/>
              <wp:wrapNone/>
              <wp:docPr id="3" name="组合 3"/>
              <wp:cNvGraphicFramePr/>
              <a:graphic xmlns:a="http://schemas.openxmlformats.org/drawingml/2006/main">
                <a:graphicData uri="http://schemas.microsoft.com/office/word/2010/wordprocessingGroup">
                  <wpg:wgp>
                    <wpg:cNvGrpSpPr/>
                    <wpg:grpSpPr>
                      <a:xfrm>
                        <a:off x="0" y="0"/>
                        <a:ext cx="3129280" cy="305435"/>
                        <a:chOff x="4728" y="1160"/>
                        <a:chExt cx="4928" cy="481"/>
                      </a:xfrm>
                    </wpg:grpSpPr>
                    <wps:wsp>
                      <wps:cNvPr id="6" name="矩形 2"/>
                      <wps:cNvSpPr/>
                      <wps:spPr>
                        <a:xfrm>
                          <a:off x="4728" y="1163"/>
                          <a:ext cx="1760" cy="47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文本框 3"/>
                      <wps:cNvSpPr txBox="1"/>
                      <wps:spPr>
                        <a:xfrm>
                          <a:off x="5484" y="1160"/>
                          <a:ext cx="4172" cy="46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88CB4">
                            <w:pPr>
                              <w:rPr>
                                <w:rFonts w:hint="eastAsia" w:ascii="宋体" w:hAnsi="宋体" w:eastAsia="宋体" w:cs="宋体"/>
                              </w:rPr>
                            </w:pPr>
                            <w:r>
                              <w:rPr>
                                <w:rFonts w:hint="eastAsia" w:ascii="宋体" w:hAnsi="宋体" w:eastAsia="宋体" w:cs="宋体"/>
                              </w:rPr>
                              <w:t>昆明阔海建设工程咨询有限</w:t>
                            </w:r>
                            <w:r>
                              <w:rPr>
                                <w:rFonts w:hint="eastAsia" w:ascii="宋体" w:hAnsi="宋体" w:eastAsia="宋体" w:cs="宋体"/>
                                <w:lang w:val="en-US" w:eastAsia="zh-CN"/>
                              </w:rPr>
                              <w:t>公司</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53.65pt;margin-top:769.75pt;height:24.05pt;width:246.4pt;mso-position-horizontal-relative:page;mso-position-vertical-relative:page;z-index:251661312;mso-width-relative:page;mso-height-relative:page;" coordorigin="4728,1160" coordsize="4928,481" o:gfxdata="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4jyG32QAAAAgBAAAPAAAAAAAAAAEAIAAAACIAAABkcnMvZG93bnJldi54bWxQ&#10;SwECFAAUAAAACACHTuJAFqxtgEwDAACfCAAADgAAAAAAAAABACAAAAAoAQAAZHJzL2Uyb0RvYy54&#10;bWxQSwUGAAAAAAYABgBZAQAA5gYAAAAA&#10;">
              <o:lock v:ext="edit" aspectratio="f"/>
              <v:rect id="矩形 2" o:spid="_x0000_s1026" o:spt="1" style="position:absolute;left:4728;top:1163;height:478;width:1760;v-text-anchor:middle;" fillcolor="#FFFFFF [3212]" filled="t" stroked="f" coordsize="21600,21600" o:gfxdata="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3jnsvQAA&#10;ANoAAAAPAAAAAAAAAAEAIAAAACIAAABkcnMvZG93bnJldi54bWxQSwECFAAUAAAACACHTuJAMy8F&#10;njsAAAA5AAAAEAAAAAAAAAABACAAAAAMAQAAZHJzL3NoYXBleG1sLnhtbFBLBQYAAAAABgAGAFsB&#10;AAC2AwAAAAA=&#10;">
                <v:fill on="t" opacity="0f" focussize="0,0"/>
                <v:stroke on="f" weight="1pt" miterlimit="8" joinstyle="miter"/>
                <v:imagedata o:title=""/>
                <o:lock v:ext="edit" aspectratio="f"/>
              </v:rect>
              <v:shape id="文本框 3" o:spid="_x0000_s1026" o:spt="202" type="#_x0000_t202" style="position:absolute;left:5484;top:1160;height:461;width:4172;"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0588CB4">
                      <w:pPr>
                        <w:rPr>
                          <w:rFonts w:hint="eastAsia" w:ascii="宋体" w:hAnsi="宋体" w:eastAsia="宋体" w:cs="宋体"/>
                        </w:rPr>
                      </w:pPr>
                      <w:r>
                        <w:rPr>
                          <w:rFonts w:hint="eastAsia" w:ascii="宋体" w:hAnsi="宋体" w:eastAsia="宋体" w:cs="宋体"/>
                        </w:rPr>
                        <w:t>昆明阔海建设工程咨询有限</w:t>
                      </w:r>
                      <w:r>
                        <w:rPr>
                          <w:rFonts w:hint="eastAsia" w:ascii="宋体" w:hAnsi="宋体" w:eastAsia="宋体" w:cs="宋体"/>
                          <w:lang w:val="en-US" w:eastAsia="zh-CN"/>
                        </w:rPr>
                        <w:t>公司</w:t>
                      </w:r>
                    </w:p>
                  </w:txbxContent>
                </v:textbox>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3555917"/>
    </w:sdtPr>
    <w:sdtContent>
      <w:p w14:paraId="1C72F989">
        <w:pPr>
          <w:pStyle w:val="23"/>
          <w:jc w:val="center"/>
          <w:rPr>
            <w:rFonts w:hint="eastAsia"/>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7242EFA7">
    <w:pPr>
      <w:pStyle w:val="2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4058">
    <w:pPr>
      <w:spacing w:line="174" w:lineRule="auto"/>
      <w:ind w:left="8689"/>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428888"/>
    </w:sdtPr>
    <w:sdtContent>
      <w:p w14:paraId="61A95348">
        <w:pPr>
          <w:pStyle w:val="23"/>
          <w:jc w:val="center"/>
          <w:rPr>
            <w:rFonts w:hint="eastAsia"/>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9028809">
    <w:pPr>
      <w:pStyle w:val="2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0D197">
    <w:pPr>
      <w:pStyle w:val="25"/>
      <w:jc w:val="both"/>
      <w:rPr>
        <w:rFonts w:hint="eastAs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3F70D"/>
    <w:multiLevelType w:val="singleLevel"/>
    <w:tmpl w:val="82E3F70D"/>
    <w:lvl w:ilvl="0" w:tentative="0">
      <w:start w:val="5"/>
      <w:numFmt w:val="chineseCounting"/>
      <w:suff w:val="nothing"/>
      <w:lvlText w:val="（%1）"/>
      <w:lvlJc w:val="left"/>
      <w:rPr>
        <w:rFonts w:hint="eastAsia"/>
      </w:rPr>
    </w:lvl>
  </w:abstractNum>
  <w:abstractNum w:abstractNumId="1">
    <w:nsid w:val="D2D8B1E3"/>
    <w:multiLevelType w:val="multilevel"/>
    <w:tmpl w:val="D2D8B1E3"/>
    <w:lvl w:ilvl="0" w:tentative="0">
      <w:start w:val="1"/>
      <w:numFmt w:val="decimal"/>
      <w:lvlText w:val="%1."/>
      <w:lvlJc w:val="left"/>
      <w:pPr>
        <w:ind w:left="425" w:hanging="425"/>
      </w:pPr>
      <w:rPr>
        <w:rFonts w:hint="default" w:ascii="宋体" w:hAnsi="宋体" w:eastAsia="宋体" w:cstheme="minorEastAsia"/>
      </w:rPr>
    </w:lvl>
    <w:lvl w:ilvl="1" w:tentative="0">
      <w:start w:val="1"/>
      <w:numFmt w:val="decimal"/>
      <w:suff w:val="nothing"/>
      <w:lvlText w:val="%1.%2."/>
      <w:lvlJc w:val="left"/>
      <w:pPr>
        <w:ind w:left="567" w:hanging="567"/>
      </w:pPr>
      <w:rPr>
        <w:rFonts w:hint="default"/>
      </w:rPr>
    </w:lvl>
    <w:lvl w:ilvl="2" w:tentative="0">
      <w:start w:val="1"/>
      <w:numFmt w:val="decimal"/>
      <w:suff w:val="nothing"/>
      <w:lvlText w:val="%1.%2.%3."/>
      <w:lvlJc w:val="left"/>
      <w:pPr>
        <w:ind w:left="709" w:hanging="709"/>
      </w:pPr>
      <w:rPr>
        <w:rFonts w:hint="default"/>
      </w:rPr>
    </w:lvl>
    <w:lvl w:ilvl="3" w:tentative="0">
      <w:start w:val="1"/>
      <w:numFmt w:val="decimal"/>
      <w:suff w:val="nothing"/>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01D4469D"/>
    <w:multiLevelType w:val="multilevel"/>
    <w:tmpl w:val="01D4469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491CF59"/>
    <w:multiLevelType w:val="singleLevel"/>
    <w:tmpl w:val="0491CF59"/>
    <w:lvl w:ilvl="0" w:tentative="0">
      <w:start w:val="7"/>
      <w:numFmt w:val="chineseCounting"/>
      <w:suff w:val="nothing"/>
      <w:lvlText w:val="（%1）"/>
      <w:lvlJc w:val="left"/>
      <w:rPr>
        <w:rFonts w:hint="eastAsia"/>
        <w:b/>
        <w:bCs/>
      </w:rPr>
    </w:lvl>
  </w:abstractNum>
  <w:abstractNum w:abstractNumId="4">
    <w:nsid w:val="070B6939"/>
    <w:multiLevelType w:val="multilevel"/>
    <w:tmpl w:val="070B6939"/>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9680487"/>
    <w:multiLevelType w:val="multilevel"/>
    <w:tmpl w:val="0968048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A9C383F"/>
    <w:multiLevelType w:val="multilevel"/>
    <w:tmpl w:val="0A9C383F"/>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C2D483C"/>
    <w:multiLevelType w:val="multilevel"/>
    <w:tmpl w:val="0C2D483C"/>
    <w:lvl w:ilvl="0" w:tentative="0">
      <w:start w:val="1"/>
      <w:numFmt w:val="decimal"/>
      <w:lvlText w:val="%1."/>
      <w:lvlJc w:val="left"/>
      <w:pPr>
        <w:tabs>
          <w:tab w:val="left" w:pos="720"/>
        </w:tabs>
        <w:ind w:left="720" w:hanging="360"/>
      </w:pPr>
      <w:rPr>
        <w:rFonts w:hint="eastAsia"/>
      </w:rPr>
    </w:lvl>
    <w:lvl w:ilvl="1" w:tentative="0">
      <w:start w:val="1"/>
      <w:numFmt w:val="decimal"/>
      <w:lvlText w:val="%2."/>
      <w:lvlJc w:val="left"/>
      <w:pPr>
        <w:tabs>
          <w:tab w:val="left" w:pos="1140"/>
        </w:tabs>
        <w:ind w:left="1140" w:hanging="360"/>
      </w:pPr>
      <w:rPr>
        <w:rFonts w:hint="eastAsia"/>
      </w:rPr>
    </w:lvl>
    <w:lvl w:ilvl="2" w:tentative="0">
      <w:start w:val="1"/>
      <w:numFmt w:val="japaneseCounting"/>
      <w:lvlText w:val="%3、"/>
      <w:lvlJc w:val="left"/>
      <w:pPr>
        <w:tabs>
          <w:tab w:val="left" w:pos="1560"/>
        </w:tabs>
        <w:ind w:left="1560" w:hanging="360"/>
      </w:pPr>
      <w:rPr>
        <w:rFonts w:hint="eastAsia"/>
      </w:rPr>
    </w:lvl>
    <w:lvl w:ilvl="3" w:tentative="0">
      <w:start w:val="1"/>
      <w:numFmt w:val="decimal"/>
      <w:lvlText w:val="%4."/>
      <w:lvlJc w:val="left"/>
      <w:pPr>
        <w:tabs>
          <w:tab w:val="left" w:pos="2040"/>
        </w:tabs>
        <w:ind w:left="2040" w:hanging="420"/>
      </w:pPr>
    </w:lvl>
    <w:lvl w:ilvl="4" w:tentative="0">
      <w:start w:val="1"/>
      <w:numFmt w:val="decimal"/>
      <w:lvlText w:val="（%5）"/>
      <w:lvlJc w:val="left"/>
      <w:pPr>
        <w:tabs>
          <w:tab w:val="left" w:pos="2760"/>
        </w:tabs>
        <w:ind w:left="2760" w:hanging="720"/>
      </w:pPr>
      <w:rPr>
        <w:rFonts w:hint="eastAsia"/>
      </w:r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18E11C3C"/>
    <w:multiLevelType w:val="multilevel"/>
    <w:tmpl w:val="18E11C3C"/>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B5D0180"/>
    <w:multiLevelType w:val="singleLevel"/>
    <w:tmpl w:val="1B5D0180"/>
    <w:lvl w:ilvl="0" w:tentative="0">
      <w:start w:val="1"/>
      <w:numFmt w:val="decimal"/>
      <w:lvlText w:val="%1."/>
      <w:lvlJc w:val="left"/>
      <w:pPr>
        <w:tabs>
          <w:tab w:val="left" w:pos="312"/>
        </w:tabs>
        <w:ind w:left="480" w:leftChars="0" w:firstLine="0" w:firstLineChars="0"/>
      </w:pPr>
    </w:lvl>
  </w:abstractNum>
  <w:abstractNum w:abstractNumId="10">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1">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5107505"/>
    <w:multiLevelType w:val="multilevel"/>
    <w:tmpl w:val="3510750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62D19BE"/>
    <w:multiLevelType w:val="multilevel"/>
    <w:tmpl w:val="362D19BE"/>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9843CD9"/>
    <w:multiLevelType w:val="multilevel"/>
    <w:tmpl w:val="39843CD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FE05AD"/>
    <w:multiLevelType w:val="multilevel"/>
    <w:tmpl w:val="39FE05A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A0105B5"/>
    <w:multiLevelType w:val="multilevel"/>
    <w:tmpl w:val="3A0105B5"/>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7">
    <w:nsid w:val="3FA84B13"/>
    <w:multiLevelType w:val="multilevel"/>
    <w:tmpl w:val="3FA84B13"/>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2B56A15"/>
    <w:multiLevelType w:val="multilevel"/>
    <w:tmpl w:val="42B56A1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31E1E9D"/>
    <w:multiLevelType w:val="multilevel"/>
    <w:tmpl w:val="431E1E9D"/>
    <w:lvl w:ilvl="0" w:tentative="0">
      <w:start w:val="1"/>
      <w:numFmt w:val="decimal"/>
      <w:lvlText w:val="（%1）"/>
      <w:lvlJc w:val="left"/>
      <w:pPr>
        <w:tabs>
          <w:tab w:val="left" w:pos="902"/>
        </w:tabs>
        <w:ind w:left="902" w:hanging="420"/>
      </w:pPr>
      <w:rPr>
        <w:rFonts w:hint="eastAsia"/>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0">
    <w:nsid w:val="447B6378"/>
    <w:multiLevelType w:val="multilevel"/>
    <w:tmpl w:val="447B6378"/>
    <w:lvl w:ilvl="0" w:tentative="0">
      <w:start w:val="1"/>
      <w:numFmt w:val="decimal"/>
      <w:pStyle w:val="44"/>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FD04E75"/>
    <w:multiLevelType w:val="singleLevel"/>
    <w:tmpl w:val="4FD04E75"/>
    <w:lvl w:ilvl="0" w:tentative="0">
      <w:start w:val="6"/>
      <w:numFmt w:val="chineseCounting"/>
      <w:suff w:val="nothing"/>
      <w:lvlText w:val="（%1）"/>
      <w:lvlJc w:val="left"/>
      <w:rPr>
        <w:rFonts w:hint="eastAsia"/>
      </w:rPr>
    </w:lvl>
  </w:abstractNum>
  <w:abstractNum w:abstractNumId="22">
    <w:nsid w:val="519869B7"/>
    <w:multiLevelType w:val="multilevel"/>
    <w:tmpl w:val="519869B7"/>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29B3B6E"/>
    <w:multiLevelType w:val="multilevel"/>
    <w:tmpl w:val="529B3B6E"/>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2F7058B"/>
    <w:multiLevelType w:val="multilevel"/>
    <w:tmpl w:val="52F7058B"/>
    <w:lvl w:ilvl="0" w:tentative="0">
      <w:start w:val="1"/>
      <w:numFmt w:val="decimal"/>
      <w:lvlText w:val="%1."/>
      <w:lvlJc w:val="left"/>
      <w:pPr>
        <w:tabs>
          <w:tab w:val="left" w:pos="830"/>
        </w:tabs>
        <w:ind w:left="830" w:hanging="360"/>
      </w:pPr>
      <w:rPr>
        <w:rFonts w:hint="eastAsia" w:ascii="黑体" w:hAnsi="Times New Roman"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5">
    <w:nsid w:val="530F2C8E"/>
    <w:multiLevelType w:val="multilevel"/>
    <w:tmpl w:val="530F2C8E"/>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8B657F2"/>
    <w:multiLevelType w:val="multilevel"/>
    <w:tmpl w:val="68B657F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9A06F9C"/>
    <w:multiLevelType w:val="multilevel"/>
    <w:tmpl w:val="69A06F9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6D20426D"/>
    <w:multiLevelType w:val="multilevel"/>
    <w:tmpl w:val="6D20426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04A0C0D"/>
    <w:multiLevelType w:val="multilevel"/>
    <w:tmpl w:val="704A0C0D"/>
    <w:lvl w:ilvl="0" w:tentative="0">
      <w:start w:val="1"/>
      <w:numFmt w:val="decimal"/>
      <w:suff w:val="nothing"/>
      <w:lvlText w:val="（%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49D759A"/>
    <w:multiLevelType w:val="multilevel"/>
    <w:tmpl w:val="749D759A"/>
    <w:lvl w:ilvl="0" w:tentative="0">
      <w:start w:val="1"/>
      <w:numFmt w:val="upp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79841C79"/>
    <w:multiLevelType w:val="multilevel"/>
    <w:tmpl w:val="79841C7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7E9200FF"/>
    <w:multiLevelType w:val="multilevel"/>
    <w:tmpl w:val="7E9200FF"/>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F01297A"/>
    <w:multiLevelType w:val="multilevel"/>
    <w:tmpl w:val="7F01297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0"/>
  </w:num>
  <w:num w:numId="2">
    <w:abstractNumId w:val="4"/>
  </w:num>
  <w:num w:numId="3">
    <w:abstractNumId w:val="13"/>
  </w:num>
  <w:num w:numId="4">
    <w:abstractNumId w:val="6"/>
  </w:num>
  <w:num w:numId="5">
    <w:abstractNumId w:val="2"/>
  </w:num>
  <w:num w:numId="6">
    <w:abstractNumId w:val="19"/>
  </w:num>
  <w:num w:numId="7">
    <w:abstractNumId w:val="1"/>
  </w:num>
  <w:num w:numId="8">
    <w:abstractNumId w:val="0"/>
  </w:num>
  <w:num w:numId="9">
    <w:abstractNumId w:val="21"/>
  </w:num>
  <w:num w:numId="10">
    <w:abstractNumId w:val="3"/>
  </w:num>
  <w:num w:numId="11">
    <w:abstractNumId w:val="9"/>
  </w:num>
  <w:num w:numId="12">
    <w:abstractNumId w:val="8"/>
  </w:num>
  <w:num w:numId="13">
    <w:abstractNumId w:val="12"/>
  </w:num>
  <w:num w:numId="14">
    <w:abstractNumId w:val="17"/>
  </w:num>
  <w:num w:numId="15">
    <w:abstractNumId w:val="11"/>
  </w:num>
  <w:num w:numId="16">
    <w:abstractNumId w:val="22"/>
  </w:num>
  <w:num w:numId="17">
    <w:abstractNumId w:val="25"/>
  </w:num>
  <w:num w:numId="18">
    <w:abstractNumId w:val="30"/>
  </w:num>
  <w:num w:numId="19">
    <w:abstractNumId w:val="27"/>
  </w:num>
  <w:num w:numId="20">
    <w:abstractNumId w:val="26"/>
  </w:num>
  <w:num w:numId="21">
    <w:abstractNumId w:val="23"/>
  </w:num>
  <w:num w:numId="22">
    <w:abstractNumId w:val="24"/>
    <w:lvlOverride w:ilvl="0">
      <w:startOverride w:val="1"/>
    </w:lvlOverride>
  </w:num>
  <w:num w:numId="23">
    <w:abstractNumId w:val="14"/>
  </w:num>
  <w:num w:numId="24">
    <w:abstractNumId w:val="18"/>
  </w:num>
  <w:num w:numId="25">
    <w:abstractNumId w:val="7"/>
  </w:num>
  <w:num w:numId="26">
    <w:abstractNumId w:val="16"/>
  </w:num>
  <w:num w:numId="27">
    <w:abstractNumId w:val="5"/>
  </w:num>
  <w:num w:numId="28">
    <w:abstractNumId w:val="10"/>
  </w:num>
  <w:num w:numId="29">
    <w:abstractNumId w:val="32"/>
  </w:num>
  <w:num w:numId="30">
    <w:abstractNumId w:val="31"/>
  </w:num>
  <w:num w:numId="31">
    <w:abstractNumId w:val="28"/>
  </w:num>
  <w:num w:numId="32">
    <w:abstractNumId w:val="15"/>
  </w:num>
  <w:num w:numId="33">
    <w:abstractNumId w:val="29"/>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2MzkxMzMxNzk0Njk1ZWJiNmVlNGQzMmQxYmY1MjAifQ=="/>
  </w:docVars>
  <w:rsids>
    <w:rsidRoot w:val="001022A4"/>
    <w:rsid w:val="0000366A"/>
    <w:rsid w:val="00006F7F"/>
    <w:rsid w:val="00007003"/>
    <w:rsid w:val="000075B7"/>
    <w:rsid w:val="000237EA"/>
    <w:rsid w:val="00027CD2"/>
    <w:rsid w:val="00031E0C"/>
    <w:rsid w:val="00040832"/>
    <w:rsid w:val="00040D23"/>
    <w:rsid w:val="000439DA"/>
    <w:rsid w:val="00063604"/>
    <w:rsid w:val="0006370A"/>
    <w:rsid w:val="00066832"/>
    <w:rsid w:val="00067934"/>
    <w:rsid w:val="000720BF"/>
    <w:rsid w:val="0008641D"/>
    <w:rsid w:val="000B39A0"/>
    <w:rsid w:val="000C3E03"/>
    <w:rsid w:val="000C488D"/>
    <w:rsid w:val="000C52EC"/>
    <w:rsid w:val="000D0230"/>
    <w:rsid w:val="000D0AD3"/>
    <w:rsid w:val="000E45BD"/>
    <w:rsid w:val="000E4E33"/>
    <w:rsid w:val="000E67CF"/>
    <w:rsid w:val="000F20FD"/>
    <w:rsid w:val="000F39B0"/>
    <w:rsid w:val="001008D8"/>
    <w:rsid w:val="001022A4"/>
    <w:rsid w:val="00115EF7"/>
    <w:rsid w:val="0013642D"/>
    <w:rsid w:val="00146410"/>
    <w:rsid w:val="00150D67"/>
    <w:rsid w:val="00156600"/>
    <w:rsid w:val="00160E9C"/>
    <w:rsid w:val="00172190"/>
    <w:rsid w:val="00173480"/>
    <w:rsid w:val="00181988"/>
    <w:rsid w:val="00182557"/>
    <w:rsid w:val="0018304A"/>
    <w:rsid w:val="001904E9"/>
    <w:rsid w:val="001A77DE"/>
    <w:rsid w:val="001B36EC"/>
    <w:rsid w:val="001C1E0C"/>
    <w:rsid w:val="001D7B23"/>
    <w:rsid w:val="001E2F56"/>
    <w:rsid w:val="002062E6"/>
    <w:rsid w:val="00207131"/>
    <w:rsid w:val="0022214D"/>
    <w:rsid w:val="00223585"/>
    <w:rsid w:val="002317DB"/>
    <w:rsid w:val="00232245"/>
    <w:rsid w:val="0023265E"/>
    <w:rsid w:val="00235B5A"/>
    <w:rsid w:val="00251060"/>
    <w:rsid w:val="002514A3"/>
    <w:rsid w:val="00256B32"/>
    <w:rsid w:val="00256D01"/>
    <w:rsid w:val="002706F2"/>
    <w:rsid w:val="00271135"/>
    <w:rsid w:val="00285E30"/>
    <w:rsid w:val="002A1AEC"/>
    <w:rsid w:val="002A1BCB"/>
    <w:rsid w:val="002A5262"/>
    <w:rsid w:val="002A6484"/>
    <w:rsid w:val="002A79C6"/>
    <w:rsid w:val="002C06B9"/>
    <w:rsid w:val="002C0FDD"/>
    <w:rsid w:val="002C5E37"/>
    <w:rsid w:val="002D11F7"/>
    <w:rsid w:val="002D48C5"/>
    <w:rsid w:val="002E0B52"/>
    <w:rsid w:val="002E1CF4"/>
    <w:rsid w:val="002E5FED"/>
    <w:rsid w:val="002F0DA9"/>
    <w:rsid w:val="003113C1"/>
    <w:rsid w:val="00312C3A"/>
    <w:rsid w:val="0031353D"/>
    <w:rsid w:val="0032200D"/>
    <w:rsid w:val="00333B37"/>
    <w:rsid w:val="0034487B"/>
    <w:rsid w:val="00347CC6"/>
    <w:rsid w:val="00347D88"/>
    <w:rsid w:val="00350BCD"/>
    <w:rsid w:val="0035643C"/>
    <w:rsid w:val="00366226"/>
    <w:rsid w:val="003746B0"/>
    <w:rsid w:val="00374A6B"/>
    <w:rsid w:val="00383E1C"/>
    <w:rsid w:val="00390D4A"/>
    <w:rsid w:val="0039222E"/>
    <w:rsid w:val="0039288A"/>
    <w:rsid w:val="00393395"/>
    <w:rsid w:val="0039372E"/>
    <w:rsid w:val="00394AF5"/>
    <w:rsid w:val="003A19A4"/>
    <w:rsid w:val="003A1A1B"/>
    <w:rsid w:val="003A4485"/>
    <w:rsid w:val="003A4878"/>
    <w:rsid w:val="003B4310"/>
    <w:rsid w:val="003B60A6"/>
    <w:rsid w:val="003C5883"/>
    <w:rsid w:val="003C7C49"/>
    <w:rsid w:val="003D3327"/>
    <w:rsid w:val="003E057C"/>
    <w:rsid w:val="003E2B14"/>
    <w:rsid w:val="003E314B"/>
    <w:rsid w:val="003F5655"/>
    <w:rsid w:val="003F5BC6"/>
    <w:rsid w:val="004021C6"/>
    <w:rsid w:val="00406BEF"/>
    <w:rsid w:val="00410595"/>
    <w:rsid w:val="00420F7C"/>
    <w:rsid w:val="00433514"/>
    <w:rsid w:val="00446BB3"/>
    <w:rsid w:val="0045353D"/>
    <w:rsid w:val="004771C7"/>
    <w:rsid w:val="00481C3A"/>
    <w:rsid w:val="004851CA"/>
    <w:rsid w:val="0048656E"/>
    <w:rsid w:val="00493221"/>
    <w:rsid w:val="004A302C"/>
    <w:rsid w:val="004B539D"/>
    <w:rsid w:val="004C1FA1"/>
    <w:rsid w:val="004C3DCC"/>
    <w:rsid w:val="004E0BF9"/>
    <w:rsid w:val="004E0CF9"/>
    <w:rsid w:val="004F3FDD"/>
    <w:rsid w:val="004F46AB"/>
    <w:rsid w:val="00501A4A"/>
    <w:rsid w:val="005032B9"/>
    <w:rsid w:val="005100F2"/>
    <w:rsid w:val="00510300"/>
    <w:rsid w:val="00511D7B"/>
    <w:rsid w:val="00513AD5"/>
    <w:rsid w:val="00523D37"/>
    <w:rsid w:val="00524831"/>
    <w:rsid w:val="0052616B"/>
    <w:rsid w:val="00532F25"/>
    <w:rsid w:val="00541D90"/>
    <w:rsid w:val="00542258"/>
    <w:rsid w:val="0054547C"/>
    <w:rsid w:val="0054632A"/>
    <w:rsid w:val="00551EDC"/>
    <w:rsid w:val="005544D1"/>
    <w:rsid w:val="00554509"/>
    <w:rsid w:val="00561523"/>
    <w:rsid w:val="00561527"/>
    <w:rsid w:val="00594E7A"/>
    <w:rsid w:val="005A146E"/>
    <w:rsid w:val="005A7987"/>
    <w:rsid w:val="005B2C2B"/>
    <w:rsid w:val="005B5936"/>
    <w:rsid w:val="005B6EDA"/>
    <w:rsid w:val="005C0D20"/>
    <w:rsid w:val="005D050C"/>
    <w:rsid w:val="005F7A46"/>
    <w:rsid w:val="00611383"/>
    <w:rsid w:val="00620B1C"/>
    <w:rsid w:val="00626E33"/>
    <w:rsid w:val="006407ED"/>
    <w:rsid w:val="0064251F"/>
    <w:rsid w:val="00643F74"/>
    <w:rsid w:val="006503AE"/>
    <w:rsid w:val="00651EE4"/>
    <w:rsid w:val="00654524"/>
    <w:rsid w:val="00654BCF"/>
    <w:rsid w:val="0066052B"/>
    <w:rsid w:val="006630EF"/>
    <w:rsid w:val="0066446E"/>
    <w:rsid w:val="0066601A"/>
    <w:rsid w:val="006662AB"/>
    <w:rsid w:val="00674212"/>
    <w:rsid w:val="0067621A"/>
    <w:rsid w:val="006815D1"/>
    <w:rsid w:val="00687DD5"/>
    <w:rsid w:val="006923C3"/>
    <w:rsid w:val="006937E9"/>
    <w:rsid w:val="00693EF9"/>
    <w:rsid w:val="006947A5"/>
    <w:rsid w:val="006A1A11"/>
    <w:rsid w:val="006A2C75"/>
    <w:rsid w:val="006A4105"/>
    <w:rsid w:val="006B0C84"/>
    <w:rsid w:val="006B543B"/>
    <w:rsid w:val="006B7E54"/>
    <w:rsid w:val="006C0BD1"/>
    <w:rsid w:val="006C30C8"/>
    <w:rsid w:val="006C5139"/>
    <w:rsid w:val="006C69FC"/>
    <w:rsid w:val="006D069F"/>
    <w:rsid w:val="006D2C95"/>
    <w:rsid w:val="006D5F8F"/>
    <w:rsid w:val="006D6CEA"/>
    <w:rsid w:val="006E3B5C"/>
    <w:rsid w:val="006E3EB8"/>
    <w:rsid w:val="00707B1D"/>
    <w:rsid w:val="00710909"/>
    <w:rsid w:val="00716369"/>
    <w:rsid w:val="00723649"/>
    <w:rsid w:val="007265C3"/>
    <w:rsid w:val="00735F23"/>
    <w:rsid w:val="00740CEF"/>
    <w:rsid w:val="00742261"/>
    <w:rsid w:val="00752C5E"/>
    <w:rsid w:val="007531F9"/>
    <w:rsid w:val="00764378"/>
    <w:rsid w:val="0076591F"/>
    <w:rsid w:val="00766F0F"/>
    <w:rsid w:val="00773B9A"/>
    <w:rsid w:val="0077582F"/>
    <w:rsid w:val="007862C9"/>
    <w:rsid w:val="0079007B"/>
    <w:rsid w:val="007A0F22"/>
    <w:rsid w:val="007B5C1A"/>
    <w:rsid w:val="007C03A0"/>
    <w:rsid w:val="007C2BEF"/>
    <w:rsid w:val="007D3D77"/>
    <w:rsid w:val="007E157B"/>
    <w:rsid w:val="007E4818"/>
    <w:rsid w:val="007E6A7E"/>
    <w:rsid w:val="007F33F3"/>
    <w:rsid w:val="007F6124"/>
    <w:rsid w:val="00801BDF"/>
    <w:rsid w:val="00802B86"/>
    <w:rsid w:val="0082514B"/>
    <w:rsid w:val="00830599"/>
    <w:rsid w:val="008334B0"/>
    <w:rsid w:val="0083496F"/>
    <w:rsid w:val="0083530F"/>
    <w:rsid w:val="00836468"/>
    <w:rsid w:val="00843492"/>
    <w:rsid w:val="00845F16"/>
    <w:rsid w:val="00852AF3"/>
    <w:rsid w:val="00856D2D"/>
    <w:rsid w:val="00856F2E"/>
    <w:rsid w:val="00871560"/>
    <w:rsid w:val="00872D54"/>
    <w:rsid w:val="00872F2D"/>
    <w:rsid w:val="0087585D"/>
    <w:rsid w:val="00880E22"/>
    <w:rsid w:val="00882B6F"/>
    <w:rsid w:val="008834AE"/>
    <w:rsid w:val="00885F4D"/>
    <w:rsid w:val="008962E2"/>
    <w:rsid w:val="008A74EF"/>
    <w:rsid w:val="008B0539"/>
    <w:rsid w:val="008B1C98"/>
    <w:rsid w:val="008B5ADF"/>
    <w:rsid w:val="008D0B3B"/>
    <w:rsid w:val="008D1450"/>
    <w:rsid w:val="008D2E66"/>
    <w:rsid w:val="008D56A5"/>
    <w:rsid w:val="008E1546"/>
    <w:rsid w:val="008E189F"/>
    <w:rsid w:val="008E24ED"/>
    <w:rsid w:val="008E40FE"/>
    <w:rsid w:val="008E57AC"/>
    <w:rsid w:val="008E6D3B"/>
    <w:rsid w:val="00906396"/>
    <w:rsid w:val="0090770A"/>
    <w:rsid w:val="00916E4D"/>
    <w:rsid w:val="00917A63"/>
    <w:rsid w:val="00923C36"/>
    <w:rsid w:val="00924B8E"/>
    <w:rsid w:val="009344DE"/>
    <w:rsid w:val="009357E5"/>
    <w:rsid w:val="00936087"/>
    <w:rsid w:val="009418F8"/>
    <w:rsid w:val="00945D17"/>
    <w:rsid w:val="00965FBF"/>
    <w:rsid w:val="00973941"/>
    <w:rsid w:val="0097751F"/>
    <w:rsid w:val="00980255"/>
    <w:rsid w:val="009804FA"/>
    <w:rsid w:val="00985B78"/>
    <w:rsid w:val="0098649F"/>
    <w:rsid w:val="00993AFA"/>
    <w:rsid w:val="0099686E"/>
    <w:rsid w:val="00996DF2"/>
    <w:rsid w:val="009A41B0"/>
    <w:rsid w:val="009A4756"/>
    <w:rsid w:val="009A4C46"/>
    <w:rsid w:val="009A4DBF"/>
    <w:rsid w:val="009B3513"/>
    <w:rsid w:val="009B39EA"/>
    <w:rsid w:val="009D3FC3"/>
    <w:rsid w:val="009D433D"/>
    <w:rsid w:val="009D4484"/>
    <w:rsid w:val="009D5889"/>
    <w:rsid w:val="009D7755"/>
    <w:rsid w:val="009F1D20"/>
    <w:rsid w:val="00A00548"/>
    <w:rsid w:val="00A00713"/>
    <w:rsid w:val="00A00731"/>
    <w:rsid w:val="00A11A5C"/>
    <w:rsid w:val="00A22235"/>
    <w:rsid w:val="00A22F7B"/>
    <w:rsid w:val="00A23801"/>
    <w:rsid w:val="00A2554C"/>
    <w:rsid w:val="00A33652"/>
    <w:rsid w:val="00A3798C"/>
    <w:rsid w:val="00A42866"/>
    <w:rsid w:val="00A461C1"/>
    <w:rsid w:val="00A46B5C"/>
    <w:rsid w:val="00A50D6E"/>
    <w:rsid w:val="00A51DD8"/>
    <w:rsid w:val="00A647EA"/>
    <w:rsid w:val="00A736C6"/>
    <w:rsid w:val="00A82472"/>
    <w:rsid w:val="00A83F1F"/>
    <w:rsid w:val="00A8416F"/>
    <w:rsid w:val="00AA0223"/>
    <w:rsid w:val="00AB28B8"/>
    <w:rsid w:val="00AB3B77"/>
    <w:rsid w:val="00AC57B7"/>
    <w:rsid w:val="00AC73C5"/>
    <w:rsid w:val="00AC755C"/>
    <w:rsid w:val="00AD0E13"/>
    <w:rsid w:val="00AD5ABF"/>
    <w:rsid w:val="00AF45C5"/>
    <w:rsid w:val="00AF5667"/>
    <w:rsid w:val="00B05DD5"/>
    <w:rsid w:val="00B12477"/>
    <w:rsid w:val="00B13343"/>
    <w:rsid w:val="00B1354B"/>
    <w:rsid w:val="00B220B2"/>
    <w:rsid w:val="00B23942"/>
    <w:rsid w:val="00B4327E"/>
    <w:rsid w:val="00B467A4"/>
    <w:rsid w:val="00B5286D"/>
    <w:rsid w:val="00B545BC"/>
    <w:rsid w:val="00B61032"/>
    <w:rsid w:val="00B61D2E"/>
    <w:rsid w:val="00B71854"/>
    <w:rsid w:val="00B71DA4"/>
    <w:rsid w:val="00B7235B"/>
    <w:rsid w:val="00B76348"/>
    <w:rsid w:val="00B81261"/>
    <w:rsid w:val="00B82556"/>
    <w:rsid w:val="00B87655"/>
    <w:rsid w:val="00B87801"/>
    <w:rsid w:val="00B92871"/>
    <w:rsid w:val="00B928DA"/>
    <w:rsid w:val="00BA5AC3"/>
    <w:rsid w:val="00BA630D"/>
    <w:rsid w:val="00BB06B4"/>
    <w:rsid w:val="00BB2551"/>
    <w:rsid w:val="00BB4892"/>
    <w:rsid w:val="00BB5E9B"/>
    <w:rsid w:val="00BC1A44"/>
    <w:rsid w:val="00BC5C37"/>
    <w:rsid w:val="00BC7ED2"/>
    <w:rsid w:val="00BD0190"/>
    <w:rsid w:val="00BE212E"/>
    <w:rsid w:val="00BE4AAB"/>
    <w:rsid w:val="00BE5086"/>
    <w:rsid w:val="00BF4971"/>
    <w:rsid w:val="00C07F40"/>
    <w:rsid w:val="00C12E85"/>
    <w:rsid w:val="00C16A79"/>
    <w:rsid w:val="00C20278"/>
    <w:rsid w:val="00C22791"/>
    <w:rsid w:val="00C236DC"/>
    <w:rsid w:val="00C32F79"/>
    <w:rsid w:val="00C33FD2"/>
    <w:rsid w:val="00C35271"/>
    <w:rsid w:val="00C4036A"/>
    <w:rsid w:val="00C50E28"/>
    <w:rsid w:val="00C62934"/>
    <w:rsid w:val="00C64428"/>
    <w:rsid w:val="00C74D6F"/>
    <w:rsid w:val="00C842DE"/>
    <w:rsid w:val="00C902FB"/>
    <w:rsid w:val="00C965AE"/>
    <w:rsid w:val="00CA0AED"/>
    <w:rsid w:val="00CA66E6"/>
    <w:rsid w:val="00CC29DE"/>
    <w:rsid w:val="00CC3B64"/>
    <w:rsid w:val="00CC3ECD"/>
    <w:rsid w:val="00CD37C6"/>
    <w:rsid w:val="00CD3BA4"/>
    <w:rsid w:val="00CD41AA"/>
    <w:rsid w:val="00CD6943"/>
    <w:rsid w:val="00CE6C2F"/>
    <w:rsid w:val="00CE73CC"/>
    <w:rsid w:val="00CE7E9C"/>
    <w:rsid w:val="00CF2EF3"/>
    <w:rsid w:val="00CF3298"/>
    <w:rsid w:val="00D02F3B"/>
    <w:rsid w:val="00D0657B"/>
    <w:rsid w:val="00D129CB"/>
    <w:rsid w:val="00D16A04"/>
    <w:rsid w:val="00D27C17"/>
    <w:rsid w:val="00D41B89"/>
    <w:rsid w:val="00D47F27"/>
    <w:rsid w:val="00D5212B"/>
    <w:rsid w:val="00D5541F"/>
    <w:rsid w:val="00D57923"/>
    <w:rsid w:val="00D66387"/>
    <w:rsid w:val="00D741B6"/>
    <w:rsid w:val="00D74BD0"/>
    <w:rsid w:val="00D74FED"/>
    <w:rsid w:val="00D75A81"/>
    <w:rsid w:val="00D7761F"/>
    <w:rsid w:val="00D86806"/>
    <w:rsid w:val="00D86C35"/>
    <w:rsid w:val="00DB04FB"/>
    <w:rsid w:val="00DB6DFF"/>
    <w:rsid w:val="00DC003F"/>
    <w:rsid w:val="00DE72B3"/>
    <w:rsid w:val="00DF4668"/>
    <w:rsid w:val="00E00172"/>
    <w:rsid w:val="00E0533A"/>
    <w:rsid w:val="00E0701A"/>
    <w:rsid w:val="00E131D1"/>
    <w:rsid w:val="00E17AA0"/>
    <w:rsid w:val="00E2655B"/>
    <w:rsid w:val="00E311AB"/>
    <w:rsid w:val="00E358BF"/>
    <w:rsid w:val="00E36EC8"/>
    <w:rsid w:val="00E51146"/>
    <w:rsid w:val="00E512A9"/>
    <w:rsid w:val="00E54AF9"/>
    <w:rsid w:val="00E5624E"/>
    <w:rsid w:val="00E601D4"/>
    <w:rsid w:val="00E64C88"/>
    <w:rsid w:val="00E7179D"/>
    <w:rsid w:val="00E74832"/>
    <w:rsid w:val="00E81B04"/>
    <w:rsid w:val="00E820C5"/>
    <w:rsid w:val="00E87550"/>
    <w:rsid w:val="00E9413F"/>
    <w:rsid w:val="00E973D2"/>
    <w:rsid w:val="00EC7C64"/>
    <w:rsid w:val="00ED00D6"/>
    <w:rsid w:val="00EE26DC"/>
    <w:rsid w:val="00EE3FF1"/>
    <w:rsid w:val="00EE5816"/>
    <w:rsid w:val="00F03292"/>
    <w:rsid w:val="00F0565C"/>
    <w:rsid w:val="00F121AE"/>
    <w:rsid w:val="00F15852"/>
    <w:rsid w:val="00F23F4B"/>
    <w:rsid w:val="00F46C50"/>
    <w:rsid w:val="00F56CD7"/>
    <w:rsid w:val="00F60B61"/>
    <w:rsid w:val="00F66852"/>
    <w:rsid w:val="00F66E89"/>
    <w:rsid w:val="00F67822"/>
    <w:rsid w:val="00F70621"/>
    <w:rsid w:val="00F74182"/>
    <w:rsid w:val="00F7607A"/>
    <w:rsid w:val="00F8517B"/>
    <w:rsid w:val="00F90250"/>
    <w:rsid w:val="00F91395"/>
    <w:rsid w:val="00F961D7"/>
    <w:rsid w:val="00F97A2B"/>
    <w:rsid w:val="00FA0CA3"/>
    <w:rsid w:val="00FA3BC5"/>
    <w:rsid w:val="00FA40FE"/>
    <w:rsid w:val="00FB08DC"/>
    <w:rsid w:val="00FB0D30"/>
    <w:rsid w:val="00FB1AE0"/>
    <w:rsid w:val="00FB34C2"/>
    <w:rsid w:val="00FB42F5"/>
    <w:rsid w:val="00FD76E1"/>
    <w:rsid w:val="00FE0970"/>
    <w:rsid w:val="00FF3F3A"/>
    <w:rsid w:val="00FF400F"/>
    <w:rsid w:val="01286028"/>
    <w:rsid w:val="01FC1052"/>
    <w:rsid w:val="0227136C"/>
    <w:rsid w:val="0233386D"/>
    <w:rsid w:val="028139B3"/>
    <w:rsid w:val="02AD3196"/>
    <w:rsid w:val="02CA7BCA"/>
    <w:rsid w:val="02FF2FAA"/>
    <w:rsid w:val="03180A38"/>
    <w:rsid w:val="03E25EBE"/>
    <w:rsid w:val="044F5D72"/>
    <w:rsid w:val="047C1AFE"/>
    <w:rsid w:val="04F52FA5"/>
    <w:rsid w:val="05E123AB"/>
    <w:rsid w:val="06D73646"/>
    <w:rsid w:val="075859CA"/>
    <w:rsid w:val="07727233"/>
    <w:rsid w:val="07737445"/>
    <w:rsid w:val="07C33C3F"/>
    <w:rsid w:val="08014698"/>
    <w:rsid w:val="082779D0"/>
    <w:rsid w:val="08531220"/>
    <w:rsid w:val="08580961"/>
    <w:rsid w:val="08C63F68"/>
    <w:rsid w:val="08D21531"/>
    <w:rsid w:val="09AC1C5B"/>
    <w:rsid w:val="09C41C01"/>
    <w:rsid w:val="09CE174C"/>
    <w:rsid w:val="09DE0562"/>
    <w:rsid w:val="0A55555D"/>
    <w:rsid w:val="0A89528F"/>
    <w:rsid w:val="0B073859"/>
    <w:rsid w:val="0B2608D7"/>
    <w:rsid w:val="0BB24C22"/>
    <w:rsid w:val="0BBF669C"/>
    <w:rsid w:val="0C0F0EA7"/>
    <w:rsid w:val="0C1741FF"/>
    <w:rsid w:val="0C1B31DE"/>
    <w:rsid w:val="0C2D757F"/>
    <w:rsid w:val="0C583AAF"/>
    <w:rsid w:val="0C8F0E82"/>
    <w:rsid w:val="0CBD2B44"/>
    <w:rsid w:val="0D097FEC"/>
    <w:rsid w:val="0D1A36F5"/>
    <w:rsid w:val="0D2A3ABE"/>
    <w:rsid w:val="0D4738AD"/>
    <w:rsid w:val="0E4746BC"/>
    <w:rsid w:val="0E7C0027"/>
    <w:rsid w:val="0E9A56E1"/>
    <w:rsid w:val="0F0A3BA7"/>
    <w:rsid w:val="0F612D44"/>
    <w:rsid w:val="0F6861FE"/>
    <w:rsid w:val="0F705A14"/>
    <w:rsid w:val="0F9D2C6D"/>
    <w:rsid w:val="10047D52"/>
    <w:rsid w:val="103F51A1"/>
    <w:rsid w:val="109127D2"/>
    <w:rsid w:val="111F2762"/>
    <w:rsid w:val="116C7B5C"/>
    <w:rsid w:val="11DF6C1B"/>
    <w:rsid w:val="124B359D"/>
    <w:rsid w:val="12F90B9E"/>
    <w:rsid w:val="132D77D9"/>
    <w:rsid w:val="13E35D7A"/>
    <w:rsid w:val="154E7F02"/>
    <w:rsid w:val="157418B7"/>
    <w:rsid w:val="15EA028F"/>
    <w:rsid w:val="167D2FDD"/>
    <w:rsid w:val="185C36C6"/>
    <w:rsid w:val="18664544"/>
    <w:rsid w:val="18787932"/>
    <w:rsid w:val="197523EC"/>
    <w:rsid w:val="1A494B7D"/>
    <w:rsid w:val="1B3557AC"/>
    <w:rsid w:val="1B481EA2"/>
    <w:rsid w:val="1B815B4D"/>
    <w:rsid w:val="1C362480"/>
    <w:rsid w:val="1C473F2F"/>
    <w:rsid w:val="1C972B3B"/>
    <w:rsid w:val="1CD770EC"/>
    <w:rsid w:val="1D217D2A"/>
    <w:rsid w:val="1DB22149"/>
    <w:rsid w:val="1DC064A5"/>
    <w:rsid w:val="1DD728CD"/>
    <w:rsid w:val="1E7459EC"/>
    <w:rsid w:val="1F0E2CAF"/>
    <w:rsid w:val="1FFE512F"/>
    <w:rsid w:val="206465BD"/>
    <w:rsid w:val="20745325"/>
    <w:rsid w:val="20F81003"/>
    <w:rsid w:val="217301BA"/>
    <w:rsid w:val="22076385"/>
    <w:rsid w:val="22376565"/>
    <w:rsid w:val="22AD4B1E"/>
    <w:rsid w:val="235F6E6A"/>
    <w:rsid w:val="23D5432C"/>
    <w:rsid w:val="245324FA"/>
    <w:rsid w:val="24994059"/>
    <w:rsid w:val="24B2219B"/>
    <w:rsid w:val="24B44889"/>
    <w:rsid w:val="25A9221E"/>
    <w:rsid w:val="25C72DAF"/>
    <w:rsid w:val="25D4535E"/>
    <w:rsid w:val="25D6107C"/>
    <w:rsid w:val="25E114CD"/>
    <w:rsid w:val="268329C3"/>
    <w:rsid w:val="26B5196F"/>
    <w:rsid w:val="285726DC"/>
    <w:rsid w:val="291C4568"/>
    <w:rsid w:val="295E5148"/>
    <w:rsid w:val="2A092B7A"/>
    <w:rsid w:val="2AEE4B12"/>
    <w:rsid w:val="2B74267D"/>
    <w:rsid w:val="2BF86A81"/>
    <w:rsid w:val="2CB86575"/>
    <w:rsid w:val="2CF3530C"/>
    <w:rsid w:val="2D4F46CF"/>
    <w:rsid w:val="2E277E7A"/>
    <w:rsid w:val="2E342D23"/>
    <w:rsid w:val="2E6A629D"/>
    <w:rsid w:val="2F167CA6"/>
    <w:rsid w:val="2F9B005A"/>
    <w:rsid w:val="2FC40C1D"/>
    <w:rsid w:val="302760F9"/>
    <w:rsid w:val="304E7940"/>
    <w:rsid w:val="30894E1C"/>
    <w:rsid w:val="30B471BD"/>
    <w:rsid w:val="30D77936"/>
    <w:rsid w:val="30E20F06"/>
    <w:rsid w:val="312F7772"/>
    <w:rsid w:val="31B9751F"/>
    <w:rsid w:val="31EB273D"/>
    <w:rsid w:val="32711E60"/>
    <w:rsid w:val="327D078A"/>
    <w:rsid w:val="32843053"/>
    <w:rsid w:val="33150BE9"/>
    <w:rsid w:val="339935C8"/>
    <w:rsid w:val="33F66A11"/>
    <w:rsid w:val="34CD25FA"/>
    <w:rsid w:val="355E7319"/>
    <w:rsid w:val="358552F0"/>
    <w:rsid w:val="362631B4"/>
    <w:rsid w:val="36CA5B5B"/>
    <w:rsid w:val="36ED2B4E"/>
    <w:rsid w:val="371A4A20"/>
    <w:rsid w:val="379F4F25"/>
    <w:rsid w:val="38D20269"/>
    <w:rsid w:val="3A631110"/>
    <w:rsid w:val="3B510614"/>
    <w:rsid w:val="3C372D23"/>
    <w:rsid w:val="3D5D2603"/>
    <w:rsid w:val="3D5E0E89"/>
    <w:rsid w:val="3D926692"/>
    <w:rsid w:val="3DA07FFB"/>
    <w:rsid w:val="3E32264F"/>
    <w:rsid w:val="3E885B96"/>
    <w:rsid w:val="3EE26297"/>
    <w:rsid w:val="3F7E0FC5"/>
    <w:rsid w:val="40B444DA"/>
    <w:rsid w:val="41263FC1"/>
    <w:rsid w:val="42297828"/>
    <w:rsid w:val="423E7774"/>
    <w:rsid w:val="429C09DF"/>
    <w:rsid w:val="43DB6061"/>
    <w:rsid w:val="43F14D5A"/>
    <w:rsid w:val="44202F4A"/>
    <w:rsid w:val="44791D1E"/>
    <w:rsid w:val="44C11AA6"/>
    <w:rsid w:val="45415D40"/>
    <w:rsid w:val="464A3696"/>
    <w:rsid w:val="466B70DD"/>
    <w:rsid w:val="46833059"/>
    <w:rsid w:val="46886904"/>
    <w:rsid w:val="46F26E20"/>
    <w:rsid w:val="4753708C"/>
    <w:rsid w:val="47A655F6"/>
    <w:rsid w:val="47C3273A"/>
    <w:rsid w:val="48492ED4"/>
    <w:rsid w:val="487B247F"/>
    <w:rsid w:val="488538B1"/>
    <w:rsid w:val="48E26FDE"/>
    <w:rsid w:val="490B5937"/>
    <w:rsid w:val="49A95790"/>
    <w:rsid w:val="49C80DC6"/>
    <w:rsid w:val="49EC4FB2"/>
    <w:rsid w:val="4A866A51"/>
    <w:rsid w:val="4AC0389D"/>
    <w:rsid w:val="4ADA1CF2"/>
    <w:rsid w:val="4B4F76A7"/>
    <w:rsid w:val="4B6A0712"/>
    <w:rsid w:val="4BDD35B6"/>
    <w:rsid w:val="4C237A7B"/>
    <w:rsid w:val="4CE02864"/>
    <w:rsid w:val="4D1D1BBF"/>
    <w:rsid w:val="4D6D763B"/>
    <w:rsid w:val="4D84279B"/>
    <w:rsid w:val="4DB5669C"/>
    <w:rsid w:val="4E063E26"/>
    <w:rsid w:val="4F2524EC"/>
    <w:rsid w:val="4FED287A"/>
    <w:rsid w:val="50067498"/>
    <w:rsid w:val="5039723F"/>
    <w:rsid w:val="50593A6B"/>
    <w:rsid w:val="50926F7D"/>
    <w:rsid w:val="5133132A"/>
    <w:rsid w:val="51AE366B"/>
    <w:rsid w:val="52057887"/>
    <w:rsid w:val="5206024C"/>
    <w:rsid w:val="52391819"/>
    <w:rsid w:val="523A34FC"/>
    <w:rsid w:val="525261E9"/>
    <w:rsid w:val="52C11263"/>
    <w:rsid w:val="53134D13"/>
    <w:rsid w:val="532E2213"/>
    <w:rsid w:val="5332320C"/>
    <w:rsid w:val="538B4884"/>
    <w:rsid w:val="53FB308C"/>
    <w:rsid w:val="5471551F"/>
    <w:rsid w:val="54E71E04"/>
    <w:rsid w:val="550078C9"/>
    <w:rsid w:val="553300E1"/>
    <w:rsid w:val="558A33FA"/>
    <w:rsid w:val="56537B04"/>
    <w:rsid w:val="56975D64"/>
    <w:rsid w:val="574868BE"/>
    <w:rsid w:val="58275743"/>
    <w:rsid w:val="58542A76"/>
    <w:rsid w:val="586E695B"/>
    <w:rsid w:val="59100F11"/>
    <w:rsid w:val="59946C72"/>
    <w:rsid w:val="5A682595"/>
    <w:rsid w:val="5A6C13ED"/>
    <w:rsid w:val="5A981634"/>
    <w:rsid w:val="5ACE232B"/>
    <w:rsid w:val="5AFA096D"/>
    <w:rsid w:val="5B3F7D02"/>
    <w:rsid w:val="5C433404"/>
    <w:rsid w:val="5C9F6CAA"/>
    <w:rsid w:val="5D4F58C1"/>
    <w:rsid w:val="5D9C77F1"/>
    <w:rsid w:val="5DE95C95"/>
    <w:rsid w:val="5E9006E9"/>
    <w:rsid w:val="5F1808B5"/>
    <w:rsid w:val="5F2D51B5"/>
    <w:rsid w:val="5F8B79B9"/>
    <w:rsid w:val="603C7EC5"/>
    <w:rsid w:val="60F15F42"/>
    <w:rsid w:val="61251748"/>
    <w:rsid w:val="61903065"/>
    <w:rsid w:val="62145A44"/>
    <w:rsid w:val="631D39FC"/>
    <w:rsid w:val="63D74F7B"/>
    <w:rsid w:val="64346872"/>
    <w:rsid w:val="6561399E"/>
    <w:rsid w:val="65AC2C8F"/>
    <w:rsid w:val="65B04D7D"/>
    <w:rsid w:val="664F1AF2"/>
    <w:rsid w:val="667B3932"/>
    <w:rsid w:val="66A52AB3"/>
    <w:rsid w:val="66CD4D5B"/>
    <w:rsid w:val="66D451B4"/>
    <w:rsid w:val="66E64663"/>
    <w:rsid w:val="67293782"/>
    <w:rsid w:val="67643B73"/>
    <w:rsid w:val="6792766D"/>
    <w:rsid w:val="67AC4971"/>
    <w:rsid w:val="67B97DDD"/>
    <w:rsid w:val="68054845"/>
    <w:rsid w:val="68153625"/>
    <w:rsid w:val="68935378"/>
    <w:rsid w:val="68967D59"/>
    <w:rsid w:val="68CA5C2B"/>
    <w:rsid w:val="68D73994"/>
    <w:rsid w:val="697652D1"/>
    <w:rsid w:val="697E069E"/>
    <w:rsid w:val="6A482C7A"/>
    <w:rsid w:val="6B80414A"/>
    <w:rsid w:val="6B9C2183"/>
    <w:rsid w:val="6C7157A2"/>
    <w:rsid w:val="6CB93DB8"/>
    <w:rsid w:val="6CED3F94"/>
    <w:rsid w:val="6D254935"/>
    <w:rsid w:val="6D3B18E0"/>
    <w:rsid w:val="6DAB3D20"/>
    <w:rsid w:val="6E3D4575"/>
    <w:rsid w:val="6E7D1C1C"/>
    <w:rsid w:val="6E8102AC"/>
    <w:rsid w:val="6EA75E92"/>
    <w:rsid w:val="703F7B99"/>
    <w:rsid w:val="7073427E"/>
    <w:rsid w:val="709541F4"/>
    <w:rsid w:val="70D333AE"/>
    <w:rsid w:val="71321FE1"/>
    <w:rsid w:val="718304F0"/>
    <w:rsid w:val="71B154C6"/>
    <w:rsid w:val="72631049"/>
    <w:rsid w:val="726F7FB0"/>
    <w:rsid w:val="728E195E"/>
    <w:rsid w:val="73280CCD"/>
    <w:rsid w:val="73F76F74"/>
    <w:rsid w:val="741060F5"/>
    <w:rsid w:val="745135E2"/>
    <w:rsid w:val="74B60BDD"/>
    <w:rsid w:val="752124FA"/>
    <w:rsid w:val="75D3714B"/>
    <w:rsid w:val="76562D52"/>
    <w:rsid w:val="76A57F41"/>
    <w:rsid w:val="7760252B"/>
    <w:rsid w:val="77D3240E"/>
    <w:rsid w:val="77EB35CE"/>
    <w:rsid w:val="789B3CC7"/>
    <w:rsid w:val="78A357ED"/>
    <w:rsid w:val="78B72740"/>
    <w:rsid w:val="7A7C6425"/>
    <w:rsid w:val="7B3B62E0"/>
    <w:rsid w:val="7B923E27"/>
    <w:rsid w:val="7C0650B8"/>
    <w:rsid w:val="7CC85844"/>
    <w:rsid w:val="7CE81B50"/>
    <w:rsid w:val="7CF666B5"/>
    <w:rsid w:val="7D406A1E"/>
    <w:rsid w:val="7D6C6966"/>
    <w:rsid w:val="7DD60C5F"/>
    <w:rsid w:val="7E1B6BDD"/>
    <w:rsid w:val="7E436E76"/>
    <w:rsid w:val="7FA402FC"/>
    <w:rsid w:val="7FAC6712"/>
    <w:rsid w:val="7FC05C95"/>
    <w:rsid w:val="7FC963C2"/>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2">
    <w:name w:val="heading 1"/>
    <w:basedOn w:val="1"/>
    <w:next w:val="1"/>
    <w:link w:val="43"/>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47"/>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link w:val="50"/>
    <w:unhideWhenUsed/>
    <w:qFormat/>
    <w:uiPriority w:val="9"/>
    <w:pPr>
      <w:keepNext/>
      <w:keepLines/>
      <w:spacing w:before="260" w:after="260" w:line="416" w:lineRule="auto"/>
      <w:outlineLvl w:val="2"/>
    </w:pPr>
    <w:rPr>
      <w:b/>
      <w:bCs/>
      <w:sz w:val="30"/>
      <w:szCs w:val="32"/>
    </w:rPr>
  </w:style>
  <w:style w:type="paragraph" w:styleId="5">
    <w:name w:val="heading 4"/>
    <w:basedOn w:val="1"/>
    <w:next w:val="1"/>
    <w:link w:val="51"/>
    <w:unhideWhenUsed/>
    <w:qFormat/>
    <w:uiPriority w:val="9"/>
    <w:pPr>
      <w:keepNext/>
      <w:keepLines/>
      <w:spacing w:before="280" w:after="290" w:line="376" w:lineRule="auto"/>
      <w:outlineLvl w:val="3"/>
    </w:pPr>
    <w:rPr>
      <w:rFonts w:asciiTheme="majorHAnsi" w:hAnsiTheme="majorHAnsi" w:cstheme="majorBidi"/>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Theme="minorHAnsi" w:eastAsiaTheme="minorHAnsi"/>
      <w:sz w:val="18"/>
      <w:szCs w:val="18"/>
    </w:rPr>
  </w:style>
  <w:style w:type="paragraph" w:styleId="7">
    <w:name w:val="Normal Indent"/>
    <w:basedOn w:val="1"/>
    <w:qFormat/>
    <w:uiPriority w:val="0"/>
    <w:pPr>
      <w:ind w:firstLine="420" w:firstLineChars="200"/>
    </w:pPr>
    <w:rPr>
      <w:kern w:val="0"/>
      <w:sz w:val="20"/>
    </w:rPr>
  </w:style>
  <w:style w:type="paragraph" w:styleId="8">
    <w:name w:val="caption"/>
    <w:basedOn w:val="1"/>
    <w:next w:val="1"/>
    <w:unhideWhenUsed/>
    <w:qFormat/>
    <w:uiPriority w:val="0"/>
    <w:pPr>
      <w:keepNext/>
      <w:ind w:firstLine="0" w:firstLineChars="0"/>
      <w:jc w:val="center"/>
    </w:pPr>
    <w:rPr>
      <w:rFonts w:ascii="宋体" w:hAnsi="宋体" w:eastAsia="宋体"/>
    </w:rPr>
  </w:style>
  <w:style w:type="paragraph" w:styleId="9">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10">
    <w:name w:val="Document Map"/>
    <w:basedOn w:val="1"/>
    <w:qFormat/>
    <w:uiPriority w:val="0"/>
    <w:rPr>
      <w:sz w:val="18"/>
      <w:szCs w:val="18"/>
    </w:rPr>
  </w:style>
  <w:style w:type="paragraph" w:styleId="11">
    <w:name w:val="annotation text"/>
    <w:basedOn w:val="1"/>
    <w:link w:val="48"/>
    <w:qFormat/>
    <w:uiPriority w:val="0"/>
    <w:pPr>
      <w:spacing w:line="240" w:lineRule="auto"/>
    </w:pPr>
    <w:rPr>
      <w:rFonts w:eastAsiaTheme="minorEastAsia"/>
      <w:sz w:val="21"/>
      <w:szCs w:val="24"/>
    </w:rPr>
  </w:style>
  <w:style w:type="paragraph" w:styleId="12">
    <w:name w:val="Body Text"/>
    <w:basedOn w:val="1"/>
    <w:next w:val="13"/>
    <w:link w:val="52"/>
    <w:qFormat/>
    <w:uiPriority w:val="99"/>
    <w:pPr>
      <w:spacing w:after="120" w:line="240" w:lineRule="auto"/>
      <w:jc w:val="both"/>
    </w:pPr>
    <w:rPr>
      <w:rFonts w:eastAsiaTheme="minorEastAsia"/>
      <w:sz w:val="21"/>
      <w:szCs w:val="24"/>
    </w:rPr>
  </w:style>
  <w:style w:type="paragraph" w:styleId="13">
    <w:name w:val="Body Text 2"/>
    <w:basedOn w:val="1"/>
    <w:qFormat/>
    <w:uiPriority w:val="0"/>
    <w:pPr>
      <w:adjustRightInd w:val="0"/>
      <w:snapToGrid w:val="0"/>
      <w:spacing w:after="120" w:line="480" w:lineRule="auto"/>
    </w:pPr>
  </w:style>
  <w:style w:type="paragraph" w:styleId="14">
    <w:name w:val="Body Text Indent"/>
    <w:basedOn w:val="15"/>
    <w:qFormat/>
    <w:uiPriority w:val="0"/>
    <w:pPr>
      <w:spacing w:after="120"/>
      <w:ind w:left="420" w:leftChars="200"/>
    </w:pPr>
  </w:style>
  <w:style w:type="paragraph" w:customStyle="1" w:styleId="15">
    <w:name w:val="正文_4"/>
    <w:next w:val="16"/>
    <w:qFormat/>
    <w:uiPriority w:val="0"/>
    <w:pPr>
      <w:widowControl w:val="0"/>
      <w:jc w:val="both"/>
    </w:pPr>
    <w:rPr>
      <w:rFonts w:ascii="Times New Roman" w:hAnsi="Times New Roman" w:eastAsia="宋体" w:cs="Times New Roman"/>
      <w:kern w:val="2"/>
      <w:sz w:val="21"/>
      <w:lang w:val="en-US" w:eastAsia="zh-CN" w:bidi="ar-SA"/>
    </w:rPr>
  </w:style>
  <w:style w:type="paragraph" w:styleId="16">
    <w:name w:val="Body Text First Indent 2"/>
    <w:basedOn w:val="14"/>
    <w:qFormat/>
    <w:uiPriority w:val="0"/>
    <w:pPr>
      <w:ind w:firstLine="420" w:firstLineChars="200"/>
    </w:pPr>
  </w:style>
  <w:style w:type="paragraph" w:styleId="17">
    <w:name w:val="toc 5"/>
    <w:basedOn w:val="1"/>
    <w:next w:val="1"/>
    <w:unhideWhenUsed/>
    <w:qFormat/>
    <w:uiPriority w:val="39"/>
    <w:pPr>
      <w:ind w:left="960"/>
    </w:pPr>
    <w:rPr>
      <w:rFonts w:asciiTheme="minorHAnsi" w:eastAsiaTheme="minorHAnsi"/>
      <w:sz w:val="18"/>
      <w:szCs w:val="18"/>
    </w:rPr>
  </w:style>
  <w:style w:type="paragraph" w:styleId="18">
    <w:name w:val="toc 3"/>
    <w:basedOn w:val="1"/>
    <w:next w:val="1"/>
    <w:unhideWhenUsed/>
    <w:qFormat/>
    <w:uiPriority w:val="39"/>
    <w:pPr>
      <w:ind w:left="480"/>
    </w:pPr>
    <w:rPr>
      <w:rFonts w:asciiTheme="minorHAnsi" w:eastAsiaTheme="minorHAnsi"/>
      <w:i/>
      <w:iCs/>
      <w:sz w:val="20"/>
      <w:szCs w:val="20"/>
    </w:rPr>
  </w:style>
  <w:style w:type="paragraph" w:styleId="19">
    <w:name w:val="Plain Text"/>
    <w:basedOn w:val="1"/>
    <w:next w:val="1"/>
    <w:qFormat/>
    <w:uiPriority w:val="0"/>
    <w:pPr>
      <w:jc w:val="both"/>
    </w:pPr>
    <w:rPr>
      <w:rFonts w:hAnsi="Courier New" w:cs="Times New Roman"/>
      <w:sz w:val="21"/>
      <w:szCs w:val="21"/>
    </w:rPr>
  </w:style>
  <w:style w:type="paragraph" w:styleId="20">
    <w:name w:val="toc 8"/>
    <w:basedOn w:val="1"/>
    <w:next w:val="1"/>
    <w:unhideWhenUsed/>
    <w:qFormat/>
    <w:uiPriority w:val="39"/>
    <w:pPr>
      <w:ind w:left="1680"/>
    </w:pPr>
    <w:rPr>
      <w:rFonts w:asciiTheme="minorHAnsi" w:eastAsiaTheme="minorHAnsi"/>
      <w:sz w:val="18"/>
      <w:szCs w:val="18"/>
    </w:rPr>
  </w:style>
  <w:style w:type="paragraph" w:styleId="21">
    <w:name w:val="Body Text Indent 2"/>
    <w:basedOn w:val="1"/>
    <w:next w:val="22"/>
    <w:qFormat/>
    <w:uiPriority w:val="0"/>
    <w:pPr>
      <w:spacing w:line="360" w:lineRule="auto"/>
      <w:ind w:firstLine="540"/>
    </w:pPr>
    <w:rPr>
      <w:rFonts w:ascii="宋体" w:hAnsi="宋体"/>
      <w:sz w:val="24"/>
    </w:rPr>
  </w:style>
  <w:style w:type="paragraph" w:styleId="22">
    <w:name w:val="index 9"/>
    <w:basedOn w:val="1"/>
    <w:next w:val="1"/>
    <w:semiHidden/>
    <w:qFormat/>
    <w:uiPriority w:val="99"/>
    <w:pPr>
      <w:ind w:left="1600"/>
    </w:pPr>
  </w:style>
  <w:style w:type="paragraph" w:styleId="23">
    <w:name w:val="footer"/>
    <w:basedOn w:val="1"/>
    <w:link w:val="46"/>
    <w:unhideWhenUsed/>
    <w:qFormat/>
    <w:uiPriority w:val="99"/>
    <w:pPr>
      <w:tabs>
        <w:tab w:val="center" w:pos="4153"/>
        <w:tab w:val="right" w:pos="8306"/>
      </w:tabs>
      <w:snapToGrid w:val="0"/>
      <w:spacing w:line="240" w:lineRule="auto"/>
    </w:pPr>
    <w:rPr>
      <w:sz w:val="18"/>
      <w:szCs w:val="18"/>
    </w:rPr>
  </w:style>
  <w:style w:type="paragraph" w:styleId="24">
    <w:name w:val="envelope return"/>
    <w:basedOn w:val="1"/>
    <w:qFormat/>
    <w:uiPriority w:val="0"/>
    <w:pPr>
      <w:snapToGrid w:val="0"/>
    </w:pPr>
    <w:rPr>
      <w:rFonts w:ascii="Arial" w:hAnsi="Arial" w:cs="Arial"/>
    </w:rPr>
  </w:style>
  <w:style w:type="paragraph" w:styleId="25">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6">
    <w:name w:val="toc 1"/>
    <w:basedOn w:val="1"/>
    <w:next w:val="1"/>
    <w:unhideWhenUsed/>
    <w:qFormat/>
    <w:uiPriority w:val="39"/>
    <w:pPr>
      <w:spacing w:before="120" w:after="120"/>
    </w:pPr>
    <w:rPr>
      <w:rFonts w:asciiTheme="minorHAnsi" w:eastAsiaTheme="minorHAnsi"/>
      <w:b/>
      <w:bCs/>
      <w:caps/>
      <w:sz w:val="20"/>
      <w:szCs w:val="20"/>
    </w:rPr>
  </w:style>
  <w:style w:type="paragraph" w:styleId="27">
    <w:name w:val="toc 4"/>
    <w:basedOn w:val="1"/>
    <w:next w:val="1"/>
    <w:unhideWhenUsed/>
    <w:qFormat/>
    <w:uiPriority w:val="39"/>
    <w:pPr>
      <w:ind w:left="720"/>
    </w:pPr>
    <w:rPr>
      <w:rFonts w:asciiTheme="minorHAnsi" w:eastAsiaTheme="minorHAnsi"/>
      <w:sz w:val="18"/>
      <w:szCs w:val="18"/>
    </w:rPr>
  </w:style>
  <w:style w:type="paragraph" w:styleId="28">
    <w:name w:val="toc 6"/>
    <w:basedOn w:val="1"/>
    <w:next w:val="1"/>
    <w:unhideWhenUsed/>
    <w:qFormat/>
    <w:uiPriority w:val="39"/>
    <w:pPr>
      <w:ind w:left="1200"/>
    </w:pPr>
    <w:rPr>
      <w:rFonts w:asciiTheme="minorHAnsi" w:eastAsiaTheme="minorHAnsi"/>
      <w:sz w:val="18"/>
      <w:szCs w:val="18"/>
    </w:rPr>
  </w:style>
  <w:style w:type="paragraph" w:styleId="29">
    <w:name w:val="toc 2"/>
    <w:basedOn w:val="1"/>
    <w:next w:val="1"/>
    <w:unhideWhenUsed/>
    <w:qFormat/>
    <w:uiPriority w:val="39"/>
    <w:pPr>
      <w:ind w:left="240"/>
    </w:pPr>
    <w:rPr>
      <w:rFonts w:asciiTheme="minorHAnsi" w:eastAsiaTheme="minorHAnsi"/>
      <w:smallCaps/>
      <w:sz w:val="20"/>
      <w:szCs w:val="20"/>
    </w:rPr>
  </w:style>
  <w:style w:type="paragraph" w:styleId="30">
    <w:name w:val="toc 9"/>
    <w:basedOn w:val="1"/>
    <w:next w:val="1"/>
    <w:unhideWhenUsed/>
    <w:qFormat/>
    <w:uiPriority w:val="39"/>
    <w:pPr>
      <w:ind w:left="1920"/>
    </w:pPr>
    <w:rPr>
      <w:rFonts w:asciiTheme="minorHAnsi" w:eastAsiaTheme="minorHAnsi"/>
      <w:sz w:val="18"/>
      <w:szCs w:val="18"/>
    </w:rPr>
  </w:style>
  <w:style w:type="paragraph" w:styleId="31">
    <w:name w:val="Normal (Web)"/>
    <w:basedOn w:val="1"/>
    <w:qFormat/>
    <w:uiPriority w:val="99"/>
    <w:pPr>
      <w:widowControl/>
      <w:spacing w:before="100" w:beforeAutospacing="1" w:after="100" w:afterAutospacing="1"/>
    </w:pPr>
    <w:rPr>
      <w:rFonts w:cs="宋体"/>
      <w:color w:val="000000"/>
      <w:kern w:val="0"/>
      <w:szCs w:val="24"/>
    </w:rPr>
  </w:style>
  <w:style w:type="paragraph" w:styleId="32">
    <w:name w:val="annotation subject"/>
    <w:basedOn w:val="11"/>
    <w:next w:val="11"/>
    <w:link w:val="56"/>
    <w:semiHidden/>
    <w:unhideWhenUsed/>
    <w:qFormat/>
    <w:uiPriority w:val="99"/>
    <w:pPr>
      <w:spacing w:line="360" w:lineRule="auto"/>
    </w:pPr>
    <w:rPr>
      <w:rFonts w:eastAsia="宋体"/>
      <w:b/>
      <w:bCs/>
      <w:sz w:val="24"/>
      <w:szCs w:val="22"/>
    </w:rPr>
  </w:style>
  <w:style w:type="table" w:styleId="34">
    <w:name w:val="Table Grid"/>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qFormat/>
    <w:uiPriority w:val="0"/>
  </w:style>
  <w:style w:type="character" w:styleId="37">
    <w:name w:val="Hyperlink"/>
    <w:basedOn w:val="35"/>
    <w:unhideWhenUsed/>
    <w:qFormat/>
    <w:uiPriority w:val="99"/>
    <w:rPr>
      <w:color w:val="0563C1" w:themeColor="hyperlink"/>
      <w:u w:val="single"/>
      <w14:textFill>
        <w14:solidFill>
          <w14:schemeClr w14:val="hlink"/>
        </w14:solidFill>
      </w14:textFill>
    </w:rPr>
  </w:style>
  <w:style w:type="character" w:styleId="38">
    <w:name w:val="annotation reference"/>
    <w:qFormat/>
    <w:uiPriority w:val="0"/>
    <w:rPr>
      <w:sz w:val="21"/>
      <w:szCs w:val="21"/>
    </w:rPr>
  </w:style>
  <w:style w:type="paragraph" w:customStyle="1" w:styleId="39">
    <w:name w:val="正文文本首行缩进 21"/>
    <w:basedOn w:val="40"/>
    <w:qFormat/>
    <w:uiPriority w:val="0"/>
    <w:pPr>
      <w:spacing w:after="0" w:line="500" w:lineRule="exact"/>
      <w:ind w:left="0" w:leftChars="0" w:firstLine="420" w:firstLineChars="200"/>
    </w:pPr>
  </w:style>
  <w:style w:type="paragraph" w:customStyle="1" w:styleId="40">
    <w:name w:val="正文文本缩进1"/>
    <w:basedOn w:val="15"/>
    <w:qFormat/>
    <w:uiPriority w:val="0"/>
    <w:pPr>
      <w:spacing w:after="120"/>
      <w:ind w:left="420" w:leftChars="200"/>
    </w:pPr>
  </w:style>
  <w:style w:type="paragraph" w:customStyle="1" w:styleId="41">
    <w:name w:val="正文 缩进2字符"/>
    <w:qFormat/>
    <w:uiPriority w:val="0"/>
    <w:pPr>
      <w:widowControl w:val="0"/>
      <w:spacing w:line="288" w:lineRule="auto"/>
      <w:jc w:val="both"/>
    </w:pPr>
    <w:rPr>
      <w:rFonts w:ascii="宋体" w:hAnsi="宋体" w:eastAsia="宋体" w:cs="Times New Roman"/>
      <w:kern w:val="2"/>
      <w:sz w:val="28"/>
      <w:szCs w:val="28"/>
      <w:lang w:val="en-US" w:eastAsia="zh-CN" w:bidi="ar-SA"/>
    </w:rPr>
  </w:style>
  <w:style w:type="paragraph" w:customStyle="1" w:styleId="42">
    <w:name w:val="正文缩进2"/>
    <w:basedOn w:val="1"/>
    <w:qFormat/>
    <w:uiPriority w:val="0"/>
    <w:pPr>
      <w:wordWrap w:val="0"/>
      <w:ind w:firstLine="480"/>
    </w:pPr>
    <w:rPr>
      <w:iCs/>
      <w:shd w:val="clear" w:color="auto" w:fill="FFFFFF" w:themeFill="background1"/>
      <w:lang w:val="zh-CN"/>
    </w:rPr>
  </w:style>
  <w:style w:type="character" w:customStyle="1" w:styleId="43">
    <w:name w:val="标题 1 字符"/>
    <w:basedOn w:val="35"/>
    <w:link w:val="2"/>
    <w:qFormat/>
    <w:uiPriority w:val="9"/>
    <w:rPr>
      <w:rFonts w:eastAsia="黑体"/>
      <w:b/>
      <w:bCs/>
      <w:kern w:val="44"/>
      <w:sz w:val="44"/>
      <w:szCs w:val="44"/>
    </w:rPr>
  </w:style>
  <w:style w:type="paragraph" w:styleId="44">
    <w:name w:val="List Paragraph"/>
    <w:basedOn w:val="1"/>
    <w:qFormat/>
    <w:uiPriority w:val="34"/>
    <w:pPr>
      <w:numPr>
        <w:ilvl w:val="0"/>
        <w:numId w:val="1"/>
      </w:numPr>
    </w:pPr>
  </w:style>
  <w:style w:type="character" w:customStyle="1" w:styleId="45">
    <w:name w:val="页眉 字符"/>
    <w:basedOn w:val="35"/>
    <w:link w:val="25"/>
    <w:qFormat/>
    <w:uiPriority w:val="99"/>
    <w:rPr>
      <w:rFonts w:eastAsia="宋体"/>
      <w:sz w:val="18"/>
      <w:szCs w:val="18"/>
    </w:rPr>
  </w:style>
  <w:style w:type="character" w:customStyle="1" w:styleId="46">
    <w:name w:val="页脚 字符"/>
    <w:basedOn w:val="35"/>
    <w:link w:val="23"/>
    <w:qFormat/>
    <w:uiPriority w:val="99"/>
    <w:rPr>
      <w:rFonts w:eastAsia="宋体"/>
      <w:sz w:val="18"/>
      <w:szCs w:val="18"/>
    </w:rPr>
  </w:style>
  <w:style w:type="character" w:customStyle="1" w:styleId="47">
    <w:name w:val="标题 2 字符"/>
    <w:basedOn w:val="35"/>
    <w:link w:val="3"/>
    <w:qFormat/>
    <w:uiPriority w:val="0"/>
    <w:rPr>
      <w:rFonts w:eastAsia="宋体" w:asciiTheme="majorHAnsi" w:hAnsiTheme="majorHAnsi" w:cstheme="majorBidi"/>
      <w:b/>
      <w:bCs/>
      <w:sz w:val="32"/>
      <w:szCs w:val="32"/>
    </w:rPr>
  </w:style>
  <w:style w:type="character" w:customStyle="1" w:styleId="48">
    <w:name w:val="批注文字 字符"/>
    <w:basedOn w:val="35"/>
    <w:link w:val="11"/>
    <w:qFormat/>
    <w:uiPriority w:val="0"/>
    <w:rPr>
      <w:szCs w:val="24"/>
    </w:rPr>
  </w:style>
  <w:style w:type="paragraph" w:customStyle="1" w:styleId="49">
    <w:name w:val="Char1 Char Char Char"/>
    <w:basedOn w:val="1"/>
    <w:qFormat/>
    <w:uiPriority w:val="0"/>
    <w:pPr>
      <w:adjustRightInd w:val="0"/>
      <w:jc w:val="both"/>
    </w:pPr>
    <w:rPr>
      <w:rFonts w:ascii="Times New Roman" w:hAnsi="Times New Roman" w:cs="Times New Roman"/>
      <w:kern w:val="0"/>
      <w:szCs w:val="20"/>
    </w:rPr>
  </w:style>
  <w:style w:type="character" w:customStyle="1" w:styleId="50">
    <w:name w:val="标题 3 字符"/>
    <w:basedOn w:val="35"/>
    <w:link w:val="4"/>
    <w:qFormat/>
    <w:uiPriority w:val="9"/>
    <w:rPr>
      <w:rFonts w:eastAsia="宋体"/>
      <w:b/>
      <w:bCs/>
      <w:sz w:val="30"/>
      <w:szCs w:val="32"/>
    </w:rPr>
  </w:style>
  <w:style w:type="character" w:customStyle="1" w:styleId="51">
    <w:name w:val="标题 4 字符"/>
    <w:basedOn w:val="35"/>
    <w:link w:val="5"/>
    <w:qFormat/>
    <w:uiPriority w:val="9"/>
    <w:rPr>
      <w:rFonts w:eastAsia="宋体" w:asciiTheme="majorHAnsi" w:hAnsiTheme="majorHAnsi" w:cstheme="majorBidi"/>
      <w:b/>
      <w:bCs/>
      <w:sz w:val="28"/>
      <w:szCs w:val="28"/>
    </w:rPr>
  </w:style>
  <w:style w:type="character" w:customStyle="1" w:styleId="52">
    <w:name w:val="正文文本 字符"/>
    <w:basedOn w:val="35"/>
    <w:link w:val="12"/>
    <w:qFormat/>
    <w:uiPriority w:val="99"/>
    <w:rPr>
      <w:szCs w:val="24"/>
    </w:rPr>
  </w:style>
  <w:style w:type="paragraph" w:customStyle="1" w:styleId="53">
    <w:name w:val="样式"/>
    <w:basedOn w:val="1"/>
    <w:qFormat/>
    <w:uiPriority w:val="0"/>
    <w:pPr>
      <w:autoSpaceDE w:val="0"/>
      <w:autoSpaceDN w:val="0"/>
      <w:snapToGrid w:val="0"/>
      <w:spacing w:before="120" w:after="120"/>
      <w:jc w:val="both"/>
    </w:pPr>
    <w:rPr>
      <w:rFonts w:hAnsi="Times New Roman" w:cs="Times New Roman"/>
      <w:kern w:val="0"/>
      <w:szCs w:val="20"/>
    </w:rPr>
  </w:style>
  <w:style w:type="paragraph" w:styleId="54">
    <w:name w:val="No Spacing"/>
    <w:qFormat/>
    <w:uiPriority w:val="1"/>
    <w:pPr>
      <w:widowControl w:val="0"/>
    </w:pPr>
    <w:rPr>
      <w:rFonts w:ascii="宋体" w:hAnsi="宋体" w:eastAsia="宋体" w:cstheme="minorBidi"/>
      <w:kern w:val="2"/>
      <w:sz w:val="24"/>
      <w:szCs w:val="22"/>
      <w:lang w:val="en-US" w:eastAsia="zh-CN" w:bidi="ar-SA"/>
    </w:rPr>
  </w:style>
  <w:style w:type="character" w:customStyle="1" w:styleId="55">
    <w:name w:val="未处理的提及1"/>
    <w:basedOn w:val="35"/>
    <w:semiHidden/>
    <w:unhideWhenUsed/>
    <w:qFormat/>
    <w:uiPriority w:val="99"/>
    <w:rPr>
      <w:color w:val="605E5C"/>
      <w:shd w:val="clear" w:color="auto" w:fill="E1DFDD"/>
    </w:rPr>
  </w:style>
  <w:style w:type="character" w:customStyle="1" w:styleId="56">
    <w:name w:val="批注主题 字符"/>
    <w:basedOn w:val="48"/>
    <w:link w:val="32"/>
    <w:semiHidden/>
    <w:qFormat/>
    <w:uiPriority w:val="99"/>
    <w:rPr>
      <w:rFonts w:ascii="宋体" w:hAnsi="宋体" w:cstheme="minorBidi"/>
      <w:b/>
      <w:bCs/>
      <w:kern w:val="2"/>
      <w:sz w:val="24"/>
      <w:szCs w:val="22"/>
    </w:rPr>
  </w:style>
  <w:style w:type="character" w:customStyle="1" w:styleId="57">
    <w:name w:val="未处理的提及2"/>
    <w:basedOn w:val="35"/>
    <w:semiHidden/>
    <w:unhideWhenUsed/>
    <w:qFormat/>
    <w:uiPriority w:val="99"/>
    <w:rPr>
      <w:color w:val="605E5C"/>
      <w:shd w:val="clear" w:color="auto" w:fill="E1DFDD"/>
    </w:rPr>
  </w:style>
  <w:style w:type="paragraph" w:customStyle="1" w:styleId="58">
    <w:name w:val="标题 21"/>
    <w:basedOn w:val="1"/>
    <w:qFormat/>
    <w:uiPriority w:val="0"/>
    <w:pPr>
      <w:keepNext/>
      <w:keepLines/>
      <w:spacing w:line="600" w:lineRule="exact"/>
      <w:jc w:val="center"/>
      <w:outlineLvl w:val="1"/>
    </w:pPr>
    <w:rPr>
      <w:rFonts w:ascii="Cambria" w:hAnsi="Cambria"/>
      <w:b/>
      <w:bCs/>
      <w:sz w:val="32"/>
      <w:szCs w:val="32"/>
    </w:rPr>
  </w:style>
  <w:style w:type="paragraph" w:customStyle="1" w:styleId="59">
    <w:name w:val="标准中文版式_正文"/>
    <w:basedOn w:val="1"/>
    <w:qFormat/>
    <w:uiPriority w:val="0"/>
    <w:pPr>
      <w:spacing w:before="30"/>
      <w:ind w:firstLine="200" w:firstLineChars="200"/>
    </w:pPr>
    <w:rPr>
      <w:rFonts w:ascii="Arial" w:hAnsi="Arial"/>
    </w:rPr>
  </w:style>
  <w:style w:type="paragraph" w:customStyle="1" w:styleId="60">
    <w:name w:val="正文首行缩进 21"/>
    <w:basedOn w:val="14"/>
    <w:qFormat/>
    <w:uiPriority w:val="0"/>
    <w:pPr>
      <w:ind w:firstLine="420" w:firstLineChars="200"/>
    </w:pPr>
  </w:style>
  <w:style w:type="paragraph" w:customStyle="1" w:styleId="61">
    <w:name w:val="纯文本11"/>
    <w:basedOn w:val="1"/>
    <w:qFormat/>
    <w:uiPriority w:val="0"/>
    <w:rPr>
      <w:rFonts w:hAnsi="Courier New"/>
      <w:color w:val="000000"/>
      <w:szCs w:val="20"/>
    </w:rPr>
  </w:style>
  <w:style w:type="character" w:customStyle="1" w:styleId="62">
    <w:name w:val="font51"/>
    <w:basedOn w:val="35"/>
    <w:qFormat/>
    <w:uiPriority w:val="0"/>
    <w:rPr>
      <w:rFonts w:hint="eastAsia" w:ascii="宋体" w:hAnsi="宋体" w:eastAsia="宋体" w:cs="宋体"/>
      <w:color w:val="auto"/>
      <w:sz w:val="18"/>
      <w:szCs w:val="18"/>
      <w:u w:val="none"/>
    </w:rPr>
  </w:style>
  <w:style w:type="character" w:customStyle="1" w:styleId="63">
    <w:name w:val="font61"/>
    <w:basedOn w:val="35"/>
    <w:qFormat/>
    <w:uiPriority w:val="0"/>
    <w:rPr>
      <w:rFonts w:hint="eastAsia" w:ascii="宋体" w:hAnsi="宋体" w:eastAsia="宋体" w:cs="宋体"/>
      <w:color w:val="auto"/>
      <w:sz w:val="18"/>
      <w:szCs w:val="18"/>
      <w:u w:val="none"/>
    </w:rPr>
  </w:style>
  <w:style w:type="paragraph" w:customStyle="1" w:styleId="64">
    <w:name w:val="null3"/>
    <w:hidden/>
    <w:qFormat/>
    <w:uiPriority w:val="0"/>
    <w:rPr>
      <w:rFonts w:hint="eastAsia" w:asciiTheme="minorHAnsi" w:hAnsiTheme="minorHAnsi" w:eastAsiaTheme="minorEastAsia" w:cstheme="minorBidi"/>
      <w:lang w:val="en-US" w:eastAsia="zh-Hans" w:bidi="ar-SA"/>
    </w:rPr>
  </w:style>
  <w:style w:type="paragraph" w:customStyle="1" w:styleId="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szCs w:val="20"/>
    </w:rPr>
  </w:style>
  <w:style w:type="paragraph" w:customStyle="1" w:styleId="66">
    <w:name w:val="Revision"/>
    <w:hidden/>
    <w:unhideWhenUsed/>
    <w:qFormat/>
    <w:uiPriority w:val="99"/>
    <w:rPr>
      <w:rFonts w:ascii="宋体" w:hAnsi="宋体" w:eastAsia="宋体" w:cstheme="minorBidi"/>
      <w:kern w:val="2"/>
      <w:sz w:val="24"/>
      <w:szCs w:val="22"/>
      <w:lang w:val="en-US" w:eastAsia="zh-CN" w:bidi="ar-SA"/>
    </w:rPr>
  </w:style>
  <w:style w:type="paragraph" w:customStyle="1" w:styleId="67">
    <w:name w:val="Normal_0_3"/>
    <w:qFormat/>
    <w:uiPriority w:val="0"/>
    <w:rPr>
      <w:rFonts w:hint="default" w:ascii="Calibri" w:hAnsi="Calibri" w:eastAsia="Times New Roman" w:cs="Times New Roman"/>
      <w:sz w:val="24"/>
      <w:szCs w:val="24"/>
    </w:rPr>
  </w:style>
  <w:style w:type="character" w:customStyle="1" w:styleId="68">
    <w:name w:val="默认段落字体11"/>
    <w:semiHidden/>
    <w:qFormat/>
    <w:uiPriority w:val="0"/>
    <w:rPr>
      <w:rFonts w:ascii="Times New Roman" w:hAnsi="Times New Roman" w:eastAsia="宋体"/>
      <w:kern w:val="2"/>
      <w:sz w:val="24"/>
      <w:lang w:val="en-US" w:eastAsia="zh-CN" w:bidi="ar-SA"/>
    </w:rPr>
  </w:style>
  <w:style w:type="table" w:customStyle="1" w:styleId="69">
    <w:name w:val="网格型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0">
    <w:name w:val="2"/>
    <w:basedOn w:val="2"/>
    <w:qFormat/>
    <w:uiPriority w:val="0"/>
    <w:pPr>
      <w:keepNext w:val="0"/>
      <w:keepLines w:val="0"/>
      <w:spacing w:before="240" w:after="60" w:line="480" w:lineRule="auto"/>
    </w:pPr>
    <w:rPr>
      <w:rFonts w:ascii="Cambria" w:hAnsi="Cambria"/>
      <w:kern w:val="2"/>
      <w:szCs w:val="28"/>
    </w:rPr>
  </w:style>
  <w:style w:type="paragraph" w:customStyle="1" w:styleId="71">
    <w:name w:val="首行缩进"/>
    <w:basedOn w:val="1"/>
    <w:next w:val="1"/>
    <w:qFormat/>
    <w:uiPriority w:val="99"/>
    <w:pPr>
      <w:ind w:firstLine="480"/>
    </w:pPr>
    <w:rPr>
      <w:szCs w:val="20"/>
      <w:lang w:val="zh-CN"/>
    </w:rPr>
  </w:style>
  <w:style w:type="paragraph" w:customStyle="1" w:styleId="72">
    <w:name w:val="*正文"/>
    <w:basedOn w:val="1"/>
    <w:qFormat/>
    <w:uiPriority w:val="0"/>
    <w:pPr>
      <w:spacing w:line="360" w:lineRule="auto"/>
      <w:ind w:firstLine="480" w:firstLineChars="200"/>
    </w:pPr>
    <w:rPr>
      <w:rFonts w:hAnsi="宋体"/>
      <w:sz w:val="24"/>
      <w:szCs w:val="24"/>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Table Paragraph"/>
    <w:basedOn w:val="1"/>
    <w:qFormat/>
    <w:uiPriority w:val="1"/>
    <w:rPr>
      <w:rFonts w:ascii="宋体" w:hAnsi="宋体" w:cs="宋体"/>
      <w:lang w:val="zh-CN" w:bidi="zh-CN"/>
    </w:rPr>
  </w:style>
  <w:style w:type="paragraph" w:customStyle="1" w:styleId="75">
    <w:name w:val="UserStyle_0"/>
    <w:basedOn w:val="1"/>
    <w:qFormat/>
    <w:uiPriority w:val="0"/>
    <w:pPr>
      <w:snapToGrid w:val="0"/>
      <w:spacing w:line="480" w:lineRule="auto"/>
      <w:ind w:firstLine="200" w:firstLineChars="200"/>
      <w:jc w:val="left"/>
      <w:textAlignment w:val="baseline"/>
    </w:pPr>
    <w:rPr>
      <w:rFonts w:ascii="Times New Roman" w:hAnsi="Times New Roman" w:eastAsia="黑体" w:cs="Times New Roman"/>
      <w:sz w:val="32"/>
    </w:rPr>
  </w:style>
  <w:style w:type="table" w:customStyle="1" w:styleId="7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229D71-619A-49B8-A7C1-3174082E72C1}">
  <ds:schemaRefs/>
</ds:datastoreItem>
</file>

<file path=docProps/app.xml><?xml version="1.0" encoding="utf-8"?>
<Properties xmlns="http://schemas.openxmlformats.org/officeDocument/2006/extended-properties" xmlns:vt="http://schemas.openxmlformats.org/officeDocument/2006/docPropsVTypes">
  <Template>Normal</Template>
  <Pages>95</Pages>
  <Words>16976</Words>
  <Characters>18491</Characters>
  <Lines>311</Lines>
  <Paragraphs>87</Paragraphs>
  <TotalTime>50</TotalTime>
  <ScaleCrop>false</ScaleCrop>
  <LinksUpToDate>false</LinksUpToDate>
  <CharactersWithSpaces>18946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2024-01-02T05:57:00Z</dcterms:created>
  <dc:creator>admin</dc:creator>
  <cp:lastModifiedBy>李小洁</cp:lastModifiedBy>
  <cp:lastPrinted>2026-06-24T01:44:07Z</cp:lastPrinted>
  <dcterms:modified xsi:type="dcterms:W3CDTF">2026-06-24T01:49:55Z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D864831FF61B41318227F23FCEFB5FBA_13</vt:lpwstr>
  </property>
  <property fmtid="{D5CDD505-2E9C-101B-9397-08002B2CF9AE}" pid="4" name="KSOTemplateDocerSaveRecord">
    <vt:lpwstr>eyJoZGlkIjoiMGUzYmFiODdhN2NmZDMxNTJiOGU1MDg1NmRiNjM1YzgiLCJ1c2VySWQiOiI1MzMzODg2MTcifQ==</vt:lpwstr>
  </property>
</Properties>
</file>