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A3D8E">
      <w:pPr>
        <w:keepNext w:val="0"/>
        <w:keepLines w:val="0"/>
        <w:pageBreakBefore w:val="0"/>
        <w:widowControl w:val="0"/>
        <w:kinsoku/>
        <w:wordWrap/>
        <w:overflowPunct/>
        <w:topLinePunct w:val="0"/>
        <w:autoSpaceDE w:val="0"/>
        <w:autoSpaceDN w:val="0"/>
        <w:bidi w:val="0"/>
        <w:adjustRightInd w:val="0"/>
        <w:snapToGrid/>
        <w:spacing w:line="900" w:lineRule="exact"/>
        <w:ind w:left="0" w:leftChars="0" w:firstLine="0" w:firstLineChars="0"/>
        <w:jc w:val="center"/>
        <w:textAlignment w:val="auto"/>
        <w:rPr>
          <w:rFonts w:hint="eastAsia" w:ascii="黑体" w:hAnsi="黑体" w:eastAsia="黑体" w:cs="黑体"/>
          <w:b/>
          <w:bCs w:val="0"/>
          <w:sz w:val="84"/>
          <w:szCs w:val="84"/>
          <w:lang w:val="zh-CN"/>
        </w:rPr>
      </w:pPr>
    </w:p>
    <w:p w14:paraId="67EE3D1A">
      <w:pPr>
        <w:keepNext w:val="0"/>
        <w:keepLines w:val="0"/>
        <w:pageBreakBefore w:val="0"/>
        <w:widowControl w:val="0"/>
        <w:kinsoku/>
        <w:wordWrap/>
        <w:overflowPunct/>
        <w:topLinePunct w:val="0"/>
        <w:autoSpaceDE w:val="0"/>
        <w:autoSpaceDN w:val="0"/>
        <w:bidi w:val="0"/>
        <w:adjustRightInd w:val="0"/>
        <w:snapToGrid/>
        <w:spacing w:line="900" w:lineRule="exact"/>
        <w:ind w:left="0" w:leftChars="0" w:firstLine="0" w:firstLineChars="0"/>
        <w:jc w:val="center"/>
        <w:textAlignment w:val="auto"/>
        <w:rPr>
          <w:rFonts w:hint="eastAsia" w:ascii="黑体" w:hAnsi="黑体" w:eastAsia="黑体" w:cs="黑体"/>
          <w:b/>
          <w:bCs w:val="0"/>
          <w:sz w:val="84"/>
          <w:szCs w:val="84"/>
          <w:lang w:val="zh-CN"/>
        </w:rPr>
      </w:pPr>
    </w:p>
    <w:p w14:paraId="411C7236">
      <w:pPr>
        <w:keepNext w:val="0"/>
        <w:keepLines w:val="0"/>
        <w:pageBreakBefore w:val="0"/>
        <w:widowControl w:val="0"/>
        <w:kinsoku/>
        <w:wordWrap/>
        <w:overflowPunct/>
        <w:topLinePunct w:val="0"/>
        <w:autoSpaceDE w:val="0"/>
        <w:autoSpaceDN w:val="0"/>
        <w:bidi w:val="0"/>
        <w:adjustRightInd w:val="0"/>
        <w:snapToGrid/>
        <w:spacing w:line="900" w:lineRule="exact"/>
        <w:ind w:left="0" w:leftChars="0" w:firstLine="0" w:firstLineChars="0"/>
        <w:jc w:val="center"/>
        <w:textAlignment w:val="auto"/>
        <w:rPr>
          <w:rFonts w:hint="eastAsia" w:ascii="方正小标宋简体" w:hAnsi="方正小标宋简体" w:eastAsia="方正小标宋简体" w:cs="方正小标宋简体"/>
          <w:b/>
          <w:bCs w:val="0"/>
          <w:sz w:val="72"/>
          <w:szCs w:val="72"/>
          <w:lang w:val="zh-CN"/>
        </w:rPr>
      </w:pPr>
      <w:r>
        <w:rPr>
          <w:rFonts w:hint="eastAsia" w:ascii="方正小标宋简体" w:hAnsi="方正小标宋简体" w:eastAsia="方正小标宋简体" w:cs="方正小标宋简体"/>
          <w:b/>
          <w:bCs w:val="0"/>
          <w:sz w:val="72"/>
          <w:szCs w:val="72"/>
          <w:lang w:val="zh-CN" w:eastAsia="zh-CN"/>
        </w:rPr>
        <w:t>海东市</w:t>
      </w:r>
      <w:r>
        <w:rPr>
          <w:rFonts w:hint="eastAsia" w:ascii="方正小标宋简体" w:hAnsi="方正小标宋简体" w:eastAsia="方正小标宋简体" w:cs="方正小标宋简体"/>
          <w:b/>
          <w:bCs w:val="0"/>
          <w:sz w:val="72"/>
          <w:szCs w:val="72"/>
          <w:lang w:val="zh-CN"/>
        </w:rPr>
        <w:t>化隆县政府采购</w:t>
      </w:r>
    </w:p>
    <w:p w14:paraId="34A89301">
      <w:pPr>
        <w:keepNext w:val="0"/>
        <w:keepLines w:val="0"/>
        <w:pageBreakBefore w:val="0"/>
        <w:widowControl w:val="0"/>
        <w:kinsoku/>
        <w:wordWrap/>
        <w:overflowPunct/>
        <w:topLinePunct w:val="0"/>
        <w:autoSpaceDE w:val="0"/>
        <w:autoSpaceDN w:val="0"/>
        <w:bidi w:val="0"/>
        <w:adjustRightInd w:val="0"/>
        <w:snapToGrid/>
        <w:spacing w:line="900" w:lineRule="exact"/>
        <w:ind w:left="0" w:leftChars="0" w:firstLine="0" w:firstLineChars="0"/>
        <w:jc w:val="center"/>
        <w:textAlignment w:val="auto"/>
        <w:rPr>
          <w:rFonts w:hint="eastAsia" w:ascii="方正小标宋简体" w:hAnsi="方正小标宋简体" w:eastAsia="方正小标宋简体" w:cs="方正小标宋简体"/>
          <w:b/>
          <w:bCs w:val="0"/>
          <w:sz w:val="72"/>
          <w:szCs w:val="72"/>
        </w:rPr>
      </w:pPr>
      <w:r>
        <w:rPr>
          <w:rFonts w:hint="eastAsia" w:ascii="方正小标宋简体" w:hAnsi="方正小标宋简体" w:eastAsia="方正小标宋简体" w:cs="方正小标宋简体"/>
          <w:b/>
          <w:bCs w:val="0"/>
          <w:sz w:val="72"/>
          <w:szCs w:val="72"/>
          <w:lang w:val="zh-CN"/>
        </w:rPr>
        <w:t>公开招标文件</w:t>
      </w:r>
    </w:p>
    <w:p w14:paraId="1312FC44">
      <w:pPr>
        <w:pStyle w:val="5"/>
        <w:keepNext w:val="0"/>
        <w:keepLines w:val="0"/>
        <w:pageBreakBefore w:val="0"/>
        <w:widowControl w:val="0"/>
        <w:kinsoku/>
        <w:wordWrap/>
        <w:overflowPunct/>
        <w:topLinePunct w:val="0"/>
        <w:bidi w:val="0"/>
        <w:snapToGrid/>
        <w:spacing w:after="0" w:afterLines="0" w:line="600" w:lineRule="exact"/>
        <w:jc w:val="right"/>
        <w:rPr>
          <w:rFonts w:hint="eastAsia"/>
        </w:rPr>
      </w:pPr>
    </w:p>
    <w:p w14:paraId="06C2FB65">
      <w:pPr>
        <w:keepNext w:val="0"/>
        <w:keepLines w:val="0"/>
        <w:pageBreakBefore w:val="0"/>
        <w:widowControl w:val="0"/>
        <w:kinsoku/>
        <w:wordWrap/>
        <w:overflowPunct/>
        <w:topLinePunct w:val="0"/>
        <w:bidi w:val="0"/>
        <w:adjustRightInd w:val="0"/>
        <w:snapToGrid/>
        <w:spacing w:line="600" w:lineRule="exact"/>
        <w:ind w:firstLine="0" w:firstLineChars="0"/>
        <w:textAlignment w:val="baseline"/>
        <w:rPr>
          <w:rFonts w:hint="eastAsia" w:ascii="宋体" w:hAnsi="宋体"/>
          <w:b/>
          <w:sz w:val="36"/>
          <w:szCs w:val="36"/>
        </w:rPr>
      </w:pPr>
    </w:p>
    <w:p w14:paraId="545FF5AD">
      <w:pPr>
        <w:pStyle w:val="5"/>
        <w:keepNext w:val="0"/>
        <w:keepLines w:val="0"/>
        <w:pageBreakBefore w:val="0"/>
        <w:widowControl w:val="0"/>
        <w:kinsoku/>
        <w:wordWrap/>
        <w:overflowPunct/>
        <w:topLinePunct w:val="0"/>
        <w:bidi w:val="0"/>
        <w:snapToGrid/>
        <w:spacing w:after="0" w:afterLines="0" w:line="600" w:lineRule="exact"/>
        <w:rPr>
          <w:rFonts w:hint="eastAsia" w:ascii="宋体" w:hAnsi="宋体"/>
          <w:b/>
          <w:sz w:val="36"/>
          <w:szCs w:val="36"/>
        </w:rPr>
      </w:pPr>
    </w:p>
    <w:p w14:paraId="451B6047">
      <w:pPr>
        <w:pStyle w:val="6"/>
        <w:keepNext w:val="0"/>
        <w:keepLines w:val="0"/>
        <w:pageBreakBefore w:val="0"/>
        <w:widowControl w:val="0"/>
        <w:kinsoku/>
        <w:wordWrap/>
        <w:overflowPunct/>
        <w:topLinePunct w:val="0"/>
        <w:bidi w:val="0"/>
        <w:snapToGrid/>
        <w:spacing w:line="600" w:lineRule="exact"/>
        <w:rPr>
          <w:rFonts w:hint="eastAsia" w:ascii="宋体" w:hAnsi="宋体"/>
          <w:b/>
          <w:sz w:val="36"/>
          <w:szCs w:val="36"/>
        </w:rPr>
      </w:pPr>
    </w:p>
    <w:p w14:paraId="0C3E0820">
      <w:pPr>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baseline"/>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采购项目编号：化公服公招（货物）2026-0</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号</w:t>
      </w:r>
    </w:p>
    <w:p w14:paraId="7CE6923B">
      <w:pPr>
        <w:keepNext w:val="0"/>
        <w:keepLines w:val="0"/>
        <w:pageBreakBefore w:val="0"/>
        <w:widowControl w:val="0"/>
        <w:kinsoku/>
        <w:wordWrap/>
        <w:overflowPunct/>
        <w:topLinePunct w:val="0"/>
        <w:autoSpaceDE/>
        <w:autoSpaceDN/>
        <w:bidi w:val="0"/>
        <w:adjustRightInd w:val="0"/>
        <w:snapToGrid/>
        <w:spacing w:line="560" w:lineRule="exact"/>
        <w:textAlignment w:val="baseline"/>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采购项目名称：化隆县提前下达</w:t>
      </w:r>
      <w:r>
        <w:rPr>
          <w:rFonts w:hint="eastAsia" w:ascii="仿宋_GB2312" w:hAnsi="仿宋_GB2312" w:eastAsia="仿宋_GB2312" w:cs="仿宋_GB2312"/>
          <w:b w:val="0"/>
          <w:bCs/>
          <w:sz w:val="32"/>
          <w:szCs w:val="32"/>
          <w:lang w:val="en-US" w:eastAsia="zh-CN"/>
        </w:rPr>
        <w:t>2026年基础教育发展补助资金特殊教育教育装备及信息化设备采购项目</w:t>
      </w:r>
    </w:p>
    <w:p w14:paraId="5FABF322">
      <w:pPr>
        <w:keepNext w:val="0"/>
        <w:keepLines w:val="0"/>
        <w:pageBreakBefore w:val="0"/>
        <w:widowControl w:val="0"/>
        <w:kinsoku/>
        <w:wordWrap/>
        <w:overflowPunct/>
        <w:topLinePunct w:val="0"/>
        <w:autoSpaceDE/>
        <w:autoSpaceDN/>
        <w:bidi w:val="0"/>
        <w:adjustRightInd w:val="0"/>
        <w:snapToGrid/>
        <w:spacing w:line="560" w:lineRule="exact"/>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采</w:t>
      </w: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lang w:eastAsia="zh-CN"/>
        </w:rPr>
        <w:t>购</w:t>
      </w: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lang w:eastAsia="zh-CN"/>
        </w:rPr>
        <w:t>单</w:t>
      </w: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sz w:val="32"/>
          <w:szCs w:val="32"/>
          <w:lang w:eastAsia="zh-CN"/>
        </w:rPr>
        <w:t>位：</w:t>
      </w:r>
      <w:r>
        <w:rPr>
          <w:rFonts w:hint="eastAsia" w:ascii="仿宋_GB2312" w:hAnsi="仿宋_GB2312" w:eastAsia="仿宋_GB2312" w:cs="仿宋_GB2312"/>
          <w:b w:val="0"/>
          <w:bCs/>
          <w:sz w:val="32"/>
          <w:szCs w:val="32"/>
          <w:lang w:val="en-US" w:eastAsia="zh-CN"/>
        </w:rPr>
        <w:t>化隆回族自治县教育局</w:t>
      </w:r>
    </w:p>
    <w:p w14:paraId="06B0A42D">
      <w:pPr>
        <w:keepNext w:val="0"/>
        <w:keepLines w:val="0"/>
        <w:pageBreakBefore w:val="0"/>
        <w:widowControl w:val="0"/>
        <w:kinsoku/>
        <w:wordWrap/>
        <w:overflowPunct/>
        <w:topLinePunct w:val="0"/>
        <w:bidi w:val="0"/>
        <w:adjustRightInd w:val="0"/>
        <w:snapToGrid/>
        <w:spacing w:line="600" w:lineRule="exact"/>
        <w:ind w:firstLine="0" w:firstLineChars="0"/>
        <w:textAlignment w:val="baseline"/>
        <w:rPr>
          <w:rFonts w:hint="eastAsia" w:ascii="仿宋_GB2312" w:hAnsi="仿宋_GB2312" w:eastAsia="仿宋_GB2312" w:cs="仿宋_GB2312"/>
          <w:b w:val="0"/>
          <w:bCs/>
          <w:sz w:val="32"/>
          <w:szCs w:val="32"/>
        </w:rPr>
      </w:pPr>
    </w:p>
    <w:p w14:paraId="7F381306">
      <w:pPr>
        <w:pStyle w:val="6"/>
        <w:keepNext w:val="0"/>
        <w:keepLines w:val="0"/>
        <w:pageBreakBefore w:val="0"/>
        <w:widowControl w:val="0"/>
        <w:kinsoku/>
        <w:wordWrap/>
        <w:overflowPunct/>
        <w:topLinePunct w:val="0"/>
        <w:bidi w:val="0"/>
        <w:snapToGrid/>
        <w:spacing w:line="600" w:lineRule="exact"/>
        <w:ind w:left="0" w:leftChars="0" w:firstLine="0" w:firstLineChars="0"/>
        <w:rPr>
          <w:rFonts w:hint="eastAsia" w:ascii="仿宋_GB2312" w:hAnsi="仿宋_GB2312" w:eastAsia="仿宋_GB2312" w:cs="仿宋_GB2312"/>
          <w:b w:val="0"/>
          <w:bCs/>
          <w:sz w:val="32"/>
          <w:szCs w:val="32"/>
        </w:rPr>
      </w:pPr>
    </w:p>
    <w:p w14:paraId="01E8FE6F">
      <w:pPr>
        <w:pStyle w:val="6"/>
        <w:keepNext w:val="0"/>
        <w:keepLines w:val="0"/>
        <w:pageBreakBefore w:val="0"/>
        <w:widowControl w:val="0"/>
        <w:kinsoku/>
        <w:wordWrap/>
        <w:overflowPunct/>
        <w:topLinePunct w:val="0"/>
        <w:bidi w:val="0"/>
        <w:snapToGrid/>
        <w:spacing w:line="600" w:lineRule="exact"/>
        <w:ind w:left="0" w:leftChars="0" w:firstLine="0" w:firstLineChars="0"/>
        <w:rPr>
          <w:rFonts w:hint="eastAsia" w:ascii="仿宋_GB2312" w:hAnsi="仿宋_GB2312" w:eastAsia="仿宋_GB2312" w:cs="仿宋_GB2312"/>
          <w:b w:val="0"/>
          <w:bCs/>
          <w:sz w:val="32"/>
          <w:szCs w:val="32"/>
        </w:rPr>
      </w:pPr>
    </w:p>
    <w:p w14:paraId="1567F893">
      <w:pPr>
        <w:keepNext w:val="0"/>
        <w:keepLines w:val="0"/>
        <w:pageBreakBefore w:val="0"/>
        <w:widowControl w:val="0"/>
        <w:kinsoku/>
        <w:wordWrap/>
        <w:overflowPunct/>
        <w:topLinePunct w:val="0"/>
        <w:bidi w:val="0"/>
        <w:adjustRightInd w:val="0"/>
        <w:snapToGrid/>
        <w:spacing w:line="600" w:lineRule="exact"/>
        <w:ind w:firstLine="0" w:firstLineChars="0"/>
        <w:textAlignment w:val="baseline"/>
        <w:rPr>
          <w:rFonts w:hint="eastAsia" w:ascii="仿宋_GB2312" w:hAnsi="仿宋_GB2312" w:eastAsia="仿宋_GB2312" w:cs="仿宋_GB2312"/>
          <w:b w:val="0"/>
          <w:bCs/>
          <w:sz w:val="32"/>
          <w:szCs w:val="32"/>
        </w:rPr>
      </w:pPr>
    </w:p>
    <w:p w14:paraId="0DC35F10">
      <w:pPr>
        <w:keepNext w:val="0"/>
        <w:keepLines w:val="0"/>
        <w:pageBreakBefore w:val="0"/>
        <w:widowControl w:val="0"/>
        <w:kinsoku/>
        <w:wordWrap/>
        <w:overflowPunct/>
        <w:topLinePunct w:val="0"/>
        <w:bidi w:val="0"/>
        <w:adjustRightInd w:val="0"/>
        <w:snapToGrid/>
        <w:spacing w:line="600" w:lineRule="exact"/>
        <w:ind w:firstLine="0" w:firstLineChars="0"/>
        <w:jc w:val="center"/>
        <w:textAlignment w:val="baseline"/>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海东市化隆县公共资源交易受理服务部</w:t>
      </w:r>
    </w:p>
    <w:p w14:paraId="1E1E63E3">
      <w:pPr>
        <w:keepNext w:val="0"/>
        <w:keepLines w:val="0"/>
        <w:pageBreakBefore w:val="0"/>
        <w:widowControl w:val="0"/>
        <w:kinsoku/>
        <w:wordWrap/>
        <w:overflowPunct/>
        <w:topLinePunct w:val="0"/>
        <w:bidi w:val="0"/>
        <w:snapToGrid/>
        <w:spacing w:line="60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auto"/>
          <w:sz w:val="32"/>
          <w:szCs w:val="32"/>
          <w:lang w:eastAsia="zh-CN"/>
        </w:rPr>
        <w:t>202</w:t>
      </w: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eastAsia="zh-CN"/>
        </w:rPr>
        <w:t>年</w:t>
      </w: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eastAsia="zh-CN"/>
        </w:rPr>
        <w:t>月</w:t>
      </w:r>
    </w:p>
    <w:p w14:paraId="441102B5">
      <w:pPr>
        <w:keepNext w:val="0"/>
        <w:keepLines w:val="0"/>
        <w:pageBreakBefore w:val="0"/>
        <w:widowControl w:val="0"/>
        <w:kinsoku/>
        <w:wordWrap/>
        <w:overflowPunct/>
        <w:topLinePunct w:val="0"/>
        <w:bidi w:val="0"/>
        <w:snapToGrid/>
        <w:spacing w:line="600" w:lineRule="exact"/>
        <w:rPr>
          <w:rFonts w:hint="eastAsia" w:ascii="仿宋_GB2312" w:hAnsi="仿宋_GB2312" w:eastAsia="仿宋_GB2312" w:cs="仿宋_GB2312"/>
          <w:b w:val="0"/>
          <w:bCs/>
          <w:kern w:val="2"/>
          <w:sz w:val="32"/>
          <w:szCs w:val="32"/>
          <w:lang w:val="en-US" w:eastAsia="zh-CN" w:bidi="ar-SA"/>
        </w:rPr>
      </w:pPr>
    </w:p>
    <w:p w14:paraId="357B8B57">
      <w:pPr>
        <w:bidi w:val="0"/>
        <w:rPr>
          <w:lang w:val="en-US" w:eastAsia="zh-CN"/>
        </w:rPr>
      </w:pPr>
    </w:p>
    <w:p w14:paraId="20C506F4">
      <w:pPr>
        <w:spacing w:line="240" w:lineRule="auto"/>
        <w:ind w:left="0" w:leftChars="0" w:firstLine="0" w:firstLineChars="0"/>
        <w:jc w:val="both"/>
        <w:rPr>
          <w:rFonts w:hint="eastAsia" w:ascii="仿宋_GB2312" w:hAnsi="仿宋_GB2312" w:eastAsia="仿宋_GB2312" w:cs="仿宋_GB2312"/>
          <w:b/>
          <w:kern w:val="28"/>
          <w:sz w:val="28"/>
          <w:szCs w:val="28"/>
        </w:rPr>
      </w:pPr>
    </w:p>
    <w:p w14:paraId="283C5016">
      <w:pPr>
        <w:spacing w:line="240" w:lineRule="auto"/>
        <w:ind w:left="0" w:leftChars="0" w:firstLine="0" w:firstLineChars="0"/>
        <w:jc w:val="both"/>
        <w:rPr>
          <w:rFonts w:hint="eastAsia" w:ascii="仿宋_GB2312" w:hAnsi="仿宋_GB2312" w:eastAsia="仿宋_GB2312" w:cs="仿宋_GB2312"/>
          <w:b/>
          <w:kern w:val="28"/>
          <w:sz w:val="28"/>
          <w:szCs w:val="28"/>
        </w:rPr>
      </w:pPr>
    </w:p>
    <w:sdt>
      <w:sdtPr>
        <w:rPr>
          <w:rFonts w:hint="eastAsia" w:ascii="仿宋_GB2312" w:hAnsi="仿宋_GB2312" w:eastAsia="仿宋_GB2312" w:cs="仿宋_GB2312"/>
          <w:kern w:val="2"/>
          <w:sz w:val="28"/>
          <w:szCs w:val="28"/>
          <w:lang w:val="en-US" w:eastAsia="zh-CN" w:bidi="ar-SA"/>
        </w:rPr>
        <w:id w:val="147475549"/>
        <w15:color w:val="DBDBDB"/>
        <w:docPartObj>
          <w:docPartGallery w:val="Table of Contents"/>
          <w:docPartUnique/>
        </w:docPartObj>
      </w:sdtPr>
      <w:sdtEndPr>
        <w:rPr>
          <w:rFonts w:hint="eastAsia" w:ascii="仿宋_GB2312" w:hAnsi="仿宋_GB2312" w:eastAsia="仿宋_GB2312" w:cs="仿宋_GB2312"/>
          <w:kern w:val="28"/>
          <w:sz w:val="28"/>
          <w:szCs w:val="28"/>
          <w:lang w:val="en-US" w:eastAsia="zh-CN" w:bidi="ar-SA"/>
        </w:rPr>
      </w:sdtEndPr>
      <w:sdtContent>
        <w:p w14:paraId="274DECF3">
          <w:pPr>
            <w:spacing w:before="0" w:beforeLines="0" w:after="0" w:afterLines="0"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录</w:t>
          </w:r>
        </w:p>
        <w:p w14:paraId="76012B81">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TOC \o "1-3" \h \u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_Toc28452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val="0"/>
              <w:sz w:val="28"/>
              <w:szCs w:val="28"/>
            </w:rPr>
            <w:t>第一部分 投标人须知前附表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_Toc28452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7041A6D">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_Toc16974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val="0"/>
              <w:sz w:val="28"/>
              <w:szCs w:val="28"/>
            </w:rPr>
            <w:t>第二部分  投标人须知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_Toc16974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63FBD8EA">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_Toc31677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一、说  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_Toc31677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2661837">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_Toc5535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1.适用范围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_Toc5535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D4BA35B">
          <w:pPr>
            <w:pStyle w:val="7"/>
            <w:tabs>
              <w:tab w:val="right" w:leader="dot" w:pos="8306"/>
            </w:tabs>
            <w:ind w:left="0" w:leftChars="0" w:firstLine="0" w:firstLineChars="0"/>
            <w:jc w:val="both"/>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_Toc6298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2.招标方式、合格的投标人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_Toc6298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B358CA3">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_Toc28806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3.投标费用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_Toc28806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EEB8E22">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_Toc22571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二、招标文件说明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_Toc22571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74FE632">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_Toc11649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4.招标文件的构成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_Toc11649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53D7CB7">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_Toc25112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5.招标文件的质疑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_Toc25112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0F5EF70">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_Toc23096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6.招标文件的修改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_Toc23096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60715FE">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_Toc21787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三、投标文件的编制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_Toc21787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895AC0F">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_Toc3035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7.投标文件的语言及度量衡单位</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04C73D0">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_Toc15825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8.投标报价及币种</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0954ED2">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_Toc32763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9.响应文件的编制原则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_Toc32763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FFAC4D0">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_Toc24907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10.投标有效期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_Toc24907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1306B30">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_Toc30241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11.投标文件构成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_Toc30241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16794BC">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_Toc15552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12. 投标文件的格式及编制要求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_Toc15552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C2133F5">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_Toc2863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四、网上投标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EF7346F">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_Toc25578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13.网上投标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_Toc25578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4B88EB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_Toc19671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val="0"/>
              <w:sz w:val="28"/>
              <w:szCs w:val="28"/>
            </w:rPr>
            <w:t>1</w:t>
          </w:r>
          <w:r>
            <w:rPr>
              <w:rFonts w:hint="eastAsia" w:ascii="仿宋_GB2312" w:hAnsi="仿宋_GB2312" w:eastAsia="仿宋_GB2312" w:cs="仿宋_GB2312"/>
              <w:bCs w:val="0"/>
              <w:sz w:val="28"/>
              <w:szCs w:val="28"/>
              <w:lang w:val="en-US" w:eastAsia="zh-CN"/>
            </w:rPr>
            <w:t>4</w:t>
          </w:r>
          <w:r>
            <w:rPr>
              <w:rFonts w:hint="eastAsia" w:ascii="仿宋_GB2312" w:hAnsi="仿宋_GB2312" w:eastAsia="仿宋_GB2312" w:cs="仿宋_GB2312"/>
              <w:bCs w:val="0"/>
              <w:sz w:val="28"/>
              <w:szCs w:val="28"/>
            </w:rPr>
            <w:t>.</w:t>
          </w:r>
          <w:r>
            <w:rPr>
              <w:rFonts w:hint="eastAsia" w:ascii="仿宋_GB2312" w:hAnsi="仿宋_GB2312" w:eastAsia="仿宋_GB2312" w:cs="仿宋_GB2312"/>
              <w:bCs w:val="0"/>
              <w:sz w:val="28"/>
              <w:szCs w:val="28"/>
              <w:lang w:val="zh-CN"/>
            </w:rPr>
            <w:t>投标响应文件上传的时间、地点、方式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9816B3D">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_Toc15143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.投标截止日期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_Toc15143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C97848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_Toc11682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.投标文件的撤回</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_Toc11682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BC051BE">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_Toc13275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五、开标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_Toc13275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E01701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_Toc1634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.开标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_Toc1634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D6B71BC">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_Toc9381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六、 资格审查程序及方法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_Toc9381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99112E4">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_Toc30726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资格审查程序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_Toc30726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6930010">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_Toc25691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.资格审查不通过的情形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_Toc25691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433302A">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_Toc22814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七、评标程序及方法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_Toc22814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D30C12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_Toc17916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.评标委员会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_Toc17916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4E641F2">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_Toc29858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.评标工作程序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_Toc29858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E8BBEFD">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_Toc17637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.答疑的方式和情形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_Toc17637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7F21AF4">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_Toc19372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.评标办法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_Toc19372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0B4651F">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_Toc23111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八、定 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2C50687">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_Toc6226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.推荐并确定中标供应商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_Toc6226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FAA6277">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_Toc8073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.中标通知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_Toc8073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459424B">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_Toc29771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九、授予合同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_Toc29771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6B9BD04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_Toc27526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.签订合同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_Toc27526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49F2C53">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_Toc18245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十、串通投标的认定及处理办法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_Toc18245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33DD5B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_Toc18917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.串通投标的情形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_Toc18917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61311EC">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_Toc12765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十一、废标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_Toc12765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7730B7C">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_Toc22048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废标情形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_Toc22048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A20237D">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_Toc4550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十二、处罚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C9F0CFA">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_Toc28338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.处罚情形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_Toc28338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5FA64BF">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_Toc19652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十三、其他</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_Toc19652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C7BDD16">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_Toc9918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val="0"/>
              <w:sz w:val="28"/>
              <w:szCs w:val="28"/>
            </w:rPr>
            <w:t xml:space="preserve">第三部分 </w:t>
          </w:r>
          <w:r>
            <w:rPr>
              <w:rFonts w:hint="eastAsia" w:ascii="仿宋_GB2312" w:hAnsi="仿宋_GB2312" w:eastAsia="仿宋_GB2312" w:cs="仿宋_GB2312"/>
              <w:bCs w:val="0"/>
              <w:sz w:val="28"/>
              <w:szCs w:val="28"/>
              <w:lang w:eastAsia="zh-CN"/>
            </w:rPr>
            <w:t>化隆</w:t>
          </w:r>
          <w:r>
            <w:rPr>
              <w:rFonts w:hint="eastAsia" w:ascii="仿宋_GB2312" w:hAnsi="仿宋_GB2312" w:eastAsia="仿宋_GB2312" w:cs="仿宋_GB2312"/>
              <w:bCs w:val="0"/>
              <w:sz w:val="28"/>
              <w:szCs w:val="28"/>
            </w:rPr>
            <w:t>政府采购项目合同书范本（货物类）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_Toc9918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C0C48EC">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_Toc1069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第四部分  投标文件格式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32FF16E">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_Toc4603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kern w:val="28"/>
              <w:sz w:val="28"/>
              <w:szCs w:val="28"/>
            </w:rPr>
            <w:t>投标文件的组成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_Toc4603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4E02562">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_Toc32177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附件1：投标函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E02D7FB">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_Toc9442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附件2：法定代表人证明书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_Toc9442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07D2589">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_Toc13122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附件3：法定代表人授权书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_Toc13122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6B56FD0B">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_Toc29559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附件4：投标人承诺函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_Toc29559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D4D37F1">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_Toc19277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附件5：供应商诚信承诺书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_Toc19277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7A7BD75">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_Toc11038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附件6：投标人资格证明文件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_Toc11038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1C24C9E">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_Toc930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附件7：财务状况、缴纳税收和社会保障资金证明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9BD53D0">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_Toc18526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附件8：无重大违法记录声明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_Toc18526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59288D1">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_Toc11457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lang w:val="zh-CN" w:eastAsia="zh-CN"/>
            </w:rPr>
            <w:t>附件</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lang w:val="zh-CN" w:eastAsia="zh-CN"/>
            </w:rPr>
            <w:t>：评分对照表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_Toc11457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1569BF7">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_Toc20356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w:t>
          </w:r>
          <w:r>
            <w:rPr>
              <w:rFonts w:hint="eastAsia" w:ascii="仿宋_GB2312" w:hAnsi="仿宋_GB2312" w:eastAsia="仿宋_GB2312" w:cs="仿宋_GB2312"/>
              <w:bCs/>
              <w:sz w:val="28"/>
              <w:szCs w:val="28"/>
              <w:lang w:val="en-US" w:eastAsia="zh-CN"/>
            </w:rPr>
            <w:t>10</w:t>
          </w:r>
          <w:r>
            <w:rPr>
              <w:rFonts w:hint="eastAsia" w:ascii="仿宋_GB2312" w:hAnsi="仿宋_GB2312" w:eastAsia="仿宋_GB2312" w:cs="仿宋_GB2312"/>
              <w:bCs/>
              <w:sz w:val="28"/>
              <w:szCs w:val="28"/>
            </w:rPr>
            <w:t>：报价一览表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_Toc20356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7377F38">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_Toc101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：分项报价表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70099535">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_Toc18299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：技术规格响应表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_Toc18299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55453E2">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_Toc13692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：其他资格证明材料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D344B2A">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_Toc28765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：投标产品相关资料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_Toc28765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4630374">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_Toc1277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：投标人类似业绩证明材料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F7A9EA1">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_Toc15235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rPr>
            <w:t>：中小企业声明函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_Toc15235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0B95CC5">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_Toc11824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rPr>
            <w:t>：残疾人福利性单位声明函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_Toc11824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0A9FAFE">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_Toc31006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rPr>
            <w:t>：关于符合本国产品标准的声明函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_Toc31006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3E5332E">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_Toc15969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：项目管理实施方案及售后服务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_Toc15969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E2314C3">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_Toc4005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sz w:val="28"/>
              <w:szCs w:val="28"/>
            </w:rPr>
            <w:t>附件</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：投标人认为在其他方面有必要说明的事项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B2AEECC">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_Toc16158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val="0"/>
              <w:sz w:val="28"/>
              <w:szCs w:val="28"/>
            </w:rPr>
            <w:t>第五部分  采购项目要求及技术参数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_Toc16158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1824882">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_Toc29591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一、投标要求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_Toc29591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67AAB19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_Toc18284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1.投标说明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_Toc18284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618970C6">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_Toc2658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2.报价说明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E4EE34D">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_Toc3988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3.重要指标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5116430F">
          <w:pPr>
            <w:pStyle w:val="11"/>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_Toc14702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sz w:val="28"/>
              <w:szCs w:val="28"/>
            </w:rPr>
            <w:t>二、项目概况及技术参数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_Toc14702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4AB8799F">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_Toc25727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1.项目概况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33DD6169">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_Toc10911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2.产品交付说明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7C357E9">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_Toc32436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3.产品验收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_Toc32436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A28BAE6">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_Toc22988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4.安装、调试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_Toc22988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2AD4DF69">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_Toc8814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5.维护服务和技术支持</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_Toc8814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10258EEE">
          <w:pPr>
            <w:pStyle w:val="7"/>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_Toc23288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bCs/>
              <w:kern w:val="0"/>
              <w:sz w:val="28"/>
              <w:szCs w:val="28"/>
            </w:rPr>
            <w:t>6.其他要求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0368CAE">
          <w:pPr>
            <w:pStyle w:val="10"/>
            <w:tabs>
              <w:tab w:val="right" w:leader="dot" w:pos="8306"/>
            </w:tabs>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kern w:val="28"/>
              <w:sz w:val="28"/>
              <w:szCs w:val="28"/>
              <w:lang w:val="en-US" w:eastAsia="zh-CN" w:bidi="ar-SA"/>
            </w:rPr>
            <w:fldChar w:fldCharType="begin"/>
          </w:r>
          <w:r>
            <w:rPr>
              <w:rFonts w:hint="eastAsia" w:ascii="仿宋_GB2312" w:hAnsi="仿宋_GB2312" w:eastAsia="仿宋_GB2312" w:cs="仿宋_GB2312"/>
              <w:kern w:val="28"/>
              <w:sz w:val="28"/>
              <w:szCs w:val="28"/>
              <w:lang w:val="en-US" w:eastAsia="zh-CN" w:bidi="ar-SA"/>
            </w:rPr>
            <w:instrText xml:space="preserve"> HYPERLINK \l _Toc22902 </w:instrText>
          </w:r>
          <w:r>
            <w:rPr>
              <w:rFonts w:hint="eastAsia" w:ascii="仿宋_GB2312" w:hAnsi="仿宋_GB2312" w:eastAsia="仿宋_GB2312" w:cs="仿宋_GB2312"/>
              <w:kern w:val="28"/>
              <w:sz w:val="28"/>
              <w:szCs w:val="28"/>
              <w:lang w:val="en-US" w:eastAsia="zh-CN" w:bidi="ar-SA"/>
            </w:rPr>
            <w:fldChar w:fldCharType="separate"/>
          </w:r>
          <w:r>
            <w:rPr>
              <w:rFonts w:hint="eastAsia" w:ascii="仿宋_GB2312" w:hAnsi="仿宋_GB2312" w:eastAsia="仿宋_GB2312" w:cs="仿宋_GB2312"/>
              <w:kern w:val="0"/>
              <w:sz w:val="28"/>
              <w:szCs w:val="28"/>
              <w:lang w:bidi="ar"/>
            </w:rPr>
            <w:t>采购一览表及技术参</w:t>
          </w:r>
          <w:r>
            <w:rPr>
              <w:rFonts w:hint="eastAsia" w:ascii="仿宋_GB2312" w:hAnsi="仿宋_GB2312" w:eastAsia="仿宋_GB2312" w:cs="仿宋_GB2312"/>
              <w:kern w:val="0"/>
              <w:sz w:val="28"/>
              <w:szCs w:val="28"/>
              <w:lang w:eastAsia="zh-CN" w:bidi="ar"/>
            </w:rPr>
            <w:t>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_Toc22902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kern w:val="28"/>
              <w:sz w:val="28"/>
              <w:szCs w:val="28"/>
              <w:lang w:val="en-US" w:eastAsia="zh-CN" w:bidi="ar-SA"/>
            </w:rPr>
            <w:fldChar w:fldCharType="end"/>
          </w:r>
        </w:p>
        <w:p w14:paraId="063D4967">
          <w:pPr>
            <w:spacing w:line="240" w:lineRule="auto"/>
            <w:ind w:left="0" w:leftChars="0" w:firstLine="0" w:firstLineChars="0"/>
            <w:jc w:val="both"/>
            <w:rPr>
              <w:rFonts w:hint="eastAsia" w:ascii="仿宋_GB2312" w:hAnsi="仿宋_GB2312" w:eastAsia="仿宋_GB2312" w:cs="仿宋_GB2312"/>
              <w:kern w:val="28"/>
              <w:sz w:val="28"/>
              <w:szCs w:val="28"/>
              <w:lang w:val="en-US" w:eastAsia="zh-CN" w:bidi="ar-SA"/>
            </w:rPr>
          </w:pPr>
          <w:r>
            <w:rPr>
              <w:rFonts w:hint="eastAsia" w:ascii="仿宋_GB2312" w:hAnsi="仿宋_GB2312" w:eastAsia="仿宋_GB2312" w:cs="仿宋_GB2312"/>
              <w:kern w:val="28"/>
              <w:sz w:val="28"/>
              <w:szCs w:val="28"/>
              <w:lang w:val="en-US" w:eastAsia="zh-CN" w:bidi="ar-SA"/>
            </w:rPr>
            <w:fldChar w:fldCharType="end"/>
          </w:r>
        </w:p>
      </w:sdtContent>
    </w:sdt>
    <w:p w14:paraId="158C44F2">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2211BE0B">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536B5C43">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73EEF240">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083F0097">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4127C7F0">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59F4611D">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31B17AC7">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31D6C3B5">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46D9B01A">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028F6BC5">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7453EF7F">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7EF28BFF">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3B180500">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790B717D">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72A76912">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56B28677">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71853AF0">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05FB8F4B">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699CE0CA">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6713E68D">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3622FEF2">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6F680993">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19B52692">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6A86A2AA">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42F2BFD2">
      <w:pPr>
        <w:spacing w:line="240" w:lineRule="auto"/>
        <w:ind w:left="0" w:leftChars="0" w:firstLine="0" w:firstLineChars="0"/>
        <w:jc w:val="both"/>
        <w:rPr>
          <w:rFonts w:hint="eastAsia" w:ascii="仿宋_GB2312" w:hAnsi="仿宋_GB2312" w:eastAsia="仿宋_GB2312" w:cs="仿宋_GB2312"/>
          <w:kern w:val="28"/>
          <w:sz w:val="24"/>
          <w:szCs w:val="28"/>
          <w:lang w:val="en-US" w:eastAsia="zh-CN" w:bidi="ar-SA"/>
        </w:rPr>
      </w:pPr>
    </w:p>
    <w:p w14:paraId="18C03623">
      <w:pPr>
        <w:pStyle w:val="2"/>
        <w:pageBreakBefore w:val="0"/>
        <w:numPr>
          <w:ilvl w:val="0"/>
          <w:numId w:val="1"/>
        </w:numPr>
        <w:kinsoku/>
        <w:wordWrap/>
        <w:overflowPunct/>
        <w:topLinePunct w:val="0"/>
        <w:autoSpaceDE/>
        <w:autoSpaceDN/>
        <w:bidi w:val="0"/>
        <w:spacing w:line="360" w:lineRule="exact"/>
        <w:rPr>
          <w:rFonts w:hint="eastAsia" w:ascii="方正小标宋简体" w:hAnsi="方正小标宋简体" w:eastAsia="方正小标宋简体" w:cs="方正小标宋简体"/>
          <w:b/>
          <w:bCs w:val="0"/>
          <w:sz w:val="32"/>
          <w:szCs w:val="32"/>
        </w:rPr>
      </w:pPr>
      <w:r>
        <w:rPr>
          <w:rFonts w:hint="eastAsia" w:ascii="方正小标宋简体" w:hAnsi="方正小标宋简体" w:eastAsia="方正小标宋简体" w:cs="方正小标宋简体"/>
          <w:b/>
          <w:bCs w:val="0"/>
          <w:sz w:val="32"/>
          <w:szCs w:val="32"/>
        </w:rPr>
        <w:t xml:space="preserve"> </w:t>
      </w:r>
      <w:bookmarkStart w:id="0" w:name="_Toc6300"/>
      <w:bookmarkStart w:id="1" w:name="_Toc28452"/>
      <w:r>
        <w:rPr>
          <w:rFonts w:hint="eastAsia" w:ascii="方正小标宋简体" w:hAnsi="方正小标宋简体" w:eastAsia="方正小标宋简体" w:cs="方正小标宋简体"/>
          <w:b/>
          <w:bCs w:val="0"/>
          <w:sz w:val="32"/>
          <w:szCs w:val="32"/>
        </w:rPr>
        <w:t>投标人须知前附表</w:t>
      </w:r>
      <w:bookmarkEnd w:id="0"/>
      <w:bookmarkEnd w:id="1"/>
    </w:p>
    <w:p w14:paraId="25F8D3A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bl>
      <w:tblPr>
        <w:tblStyle w:val="15"/>
        <w:tblW w:w="9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0"/>
        <w:gridCol w:w="2150"/>
        <w:gridCol w:w="6755"/>
      </w:tblGrid>
      <w:tr w14:paraId="7FC1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25F804F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w:t>
            </w:r>
          </w:p>
        </w:tc>
        <w:tc>
          <w:tcPr>
            <w:tcW w:w="8905" w:type="dxa"/>
            <w:gridSpan w:val="2"/>
            <w:tcBorders>
              <w:top w:val="outset" w:color="auto" w:sz="6" w:space="0"/>
              <w:left w:val="outset" w:color="auto" w:sz="6" w:space="0"/>
              <w:bottom w:val="outset" w:color="auto" w:sz="6" w:space="0"/>
              <w:right w:val="outset" w:color="auto" w:sz="6" w:space="0"/>
            </w:tcBorders>
            <w:noWrap w:val="0"/>
            <w:vAlign w:val="center"/>
          </w:tcPr>
          <w:p w14:paraId="1768D0C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内容</w:t>
            </w:r>
          </w:p>
        </w:tc>
      </w:tr>
      <w:tr w14:paraId="0137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28AB17B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0E50FCB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采购项目名称</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1C21FC2">
            <w:pPr>
              <w:keepNext w:val="0"/>
              <w:keepLines w:val="0"/>
              <w:pageBreakBefore w:val="0"/>
              <w:widowControl w:val="0"/>
              <w:kinsoku/>
              <w:wordWrap/>
              <w:overflowPunct/>
              <w:topLinePunct w:val="0"/>
              <w:autoSpaceDE/>
              <w:autoSpaceDN/>
              <w:bidi w:val="0"/>
              <w:adjustRightInd w:val="0"/>
              <w:snapToGrid/>
              <w:spacing w:line="360" w:lineRule="exact"/>
              <w:ind w:left="0" w:leftChars="0" w:firstLine="0" w:firstLineChars="0"/>
              <w:textAlignment w:val="baseline"/>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eastAsia="zh-CN"/>
              </w:rPr>
              <w:t>化隆县提前下达</w:t>
            </w:r>
            <w:r>
              <w:rPr>
                <w:rFonts w:hint="eastAsia" w:ascii="仿宋_GB2312" w:hAnsi="仿宋_GB2312" w:eastAsia="仿宋_GB2312" w:cs="仿宋_GB2312"/>
                <w:b w:val="0"/>
                <w:bCs/>
                <w:sz w:val="28"/>
                <w:szCs w:val="28"/>
                <w:lang w:val="en-US" w:eastAsia="zh-CN"/>
              </w:rPr>
              <w:t>2026年基础教育发展补助资金特殊教育教育装备及信息化设备采购项目</w:t>
            </w:r>
          </w:p>
          <w:p w14:paraId="440BF48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p>
        </w:tc>
      </w:tr>
      <w:tr w14:paraId="0DA6C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183E941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5BB8783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采购项目编号</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1B3D64D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化公服公招（货物）2026-01号</w:t>
            </w:r>
          </w:p>
        </w:tc>
      </w:tr>
      <w:tr w14:paraId="09685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2E2C461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7FA4B5E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采购人</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07CB951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化隆回族自治县教育局</w:t>
            </w:r>
          </w:p>
        </w:tc>
      </w:tr>
      <w:tr w14:paraId="31DD6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F0EF82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4A2DC6D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集采机构</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0C1CAEA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海东市化隆公共资源交易受理服务部</w:t>
            </w:r>
          </w:p>
        </w:tc>
      </w:tr>
      <w:tr w14:paraId="11936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21D25B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50D2713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789CF3B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公开招标</w:t>
            </w:r>
          </w:p>
        </w:tc>
      </w:tr>
      <w:tr w14:paraId="3FFC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7DCD18E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23A11BE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评分办法</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6A9ED2B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综合评分法</w:t>
            </w:r>
          </w:p>
        </w:tc>
      </w:tr>
      <w:tr w14:paraId="71A22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53A7EA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5B02DFC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采购预算控制额度</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D8E19D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122万元</w:t>
            </w:r>
          </w:p>
        </w:tc>
      </w:tr>
      <w:tr w14:paraId="5CEC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2A2BA46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38824F2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交货期</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63BADF8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合同签订后30个日历日</w:t>
            </w:r>
          </w:p>
        </w:tc>
      </w:tr>
      <w:tr w14:paraId="1D5B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15F65C3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0D4E1A6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项目分包个数</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241A406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1个包</w:t>
            </w:r>
          </w:p>
        </w:tc>
      </w:tr>
      <w:tr w14:paraId="42E1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2CC3567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3524E6E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要求</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2E965E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招标内容</w:t>
            </w:r>
            <w:r>
              <w:rPr>
                <w:rFonts w:hint="eastAsia" w:ascii="仿宋_GB2312" w:hAnsi="仿宋_GB2312" w:eastAsia="仿宋_GB2312" w:cs="仿宋_GB2312"/>
                <w:sz w:val="28"/>
                <w:szCs w:val="28"/>
                <w:lang w:val="en-US" w:eastAsia="zh-CN"/>
              </w:rPr>
              <w:t>:具体内容详见</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招标文件</w:t>
            </w:r>
            <w:r>
              <w:rPr>
                <w:rFonts w:hint="eastAsia" w:ascii="仿宋_GB2312" w:hAnsi="仿宋_GB2312" w:eastAsia="仿宋_GB2312" w:cs="仿宋_GB2312"/>
                <w:sz w:val="28"/>
                <w:szCs w:val="28"/>
              </w:rPr>
              <w:t>》</w:t>
            </w:r>
          </w:p>
        </w:tc>
      </w:tr>
      <w:tr w14:paraId="663C1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3674764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42B8EB7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供应商资格条件</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7679C5A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应具备《政府采购法》第22条所规</w:t>
            </w:r>
            <w:r>
              <w:rPr>
                <w:rFonts w:hint="eastAsia" w:ascii="仿宋_GB2312" w:hAnsi="仿宋_GB2312" w:eastAsia="仿宋_GB2312" w:cs="仿宋_GB2312"/>
                <w:sz w:val="28"/>
                <w:szCs w:val="28"/>
                <w:lang w:eastAsia="zh-CN"/>
              </w:rPr>
              <w:t>定</w:t>
            </w:r>
            <w:r>
              <w:rPr>
                <w:rFonts w:hint="eastAsia" w:ascii="仿宋_GB2312" w:hAnsi="仿宋_GB2312" w:eastAsia="仿宋_GB2312" w:cs="仿宋_GB2312"/>
                <w:sz w:val="28"/>
                <w:szCs w:val="28"/>
              </w:rPr>
              <w:t>的条件：</w:t>
            </w:r>
          </w:p>
          <w:p w14:paraId="487739C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(1）投标人的营业执照等证明文件，自然人的身份证明；</w:t>
            </w:r>
          </w:p>
          <w:p w14:paraId="68F5EF9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(2）财务状况报告和依法缴纳税收和社会保障资金的相关材料；</w:t>
            </w:r>
          </w:p>
          <w:p w14:paraId="0D9EEAA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(3）具备履行合同所必须的设备和专业技术能力的证明材料；</w:t>
            </w:r>
          </w:p>
          <w:p w14:paraId="5792D09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(4）参加政府采购活动前3年内在经营活动中没有重大违法记录的书面声明；</w:t>
            </w:r>
          </w:p>
          <w:p w14:paraId="7EC93F6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(5）具备法律、行政法规规定的其他条件的证明材料。</w:t>
            </w:r>
          </w:p>
          <w:p w14:paraId="7D22298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经信用中国（www.creditchina.gov.cn）、中国政府采购网（www.ccgp.gov.cn）等渠道查询后，列入失信被执行人、重大税收违法案件当事人名单、政府采购严重违法失信行为记录名单的，取消投标资格。（实际以现场查验为准）</w:t>
            </w:r>
          </w:p>
          <w:p w14:paraId="7446B0F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单位负责人为同一人或者存在直接控股、管理关系的不同供应商，不得参加同一合同项下的政府采购活动。否则，皆取消投标资格。</w:t>
            </w:r>
          </w:p>
          <w:p w14:paraId="65D1713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为本采购项目提供整体设计、规范编制或者项目管理、监理、检测等服务的供应商，不得再参加该采购项目的其他采购活动。</w:t>
            </w:r>
          </w:p>
          <w:p w14:paraId="149896B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不具备独立承担民事责任的分公司不能以分公司名义参与政府采购活动（除银行、保险、石油石化、电力、通信等特殊行业外）。分公司参与本项目政府采购活动须提供总公司针对本项目的授权</w:t>
            </w:r>
          </w:p>
          <w:p w14:paraId="676A69F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本项目不接受供应商以联合体方式进行投标。</w:t>
            </w:r>
          </w:p>
          <w:p w14:paraId="1EF5A8A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中规定的其他资质条件。</w:t>
            </w:r>
          </w:p>
        </w:tc>
      </w:tr>
      <w:tr w14:paraId="1C3D2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1724F7C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7D8A330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投标保证金</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39725CB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不收取投标保证金</w:t>
            </w:r>
          </w:p>
        </w:tc>
      </w:tr>
      <w:tr w14:paraId="627A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7208EAA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4ACF22D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公告发布时间</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3225CB9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2026年6月16</w:t>
            </w:r>
            <w:r>
              <w:rPr>
                <w:rFonts w:hint="eastAsia" w:ascii="仿宋_GB2312" w:hAnsi="仿宋_GB2312" w:eastAsia="仿宋_GB2312" w:cs="仿宋_GB2312"/>
                <w:sz w:val="28"/>
                <w:szCs w:val="28"/>
              </w:rPr>
              <w:t>日</w:t>
            </w:r>
          </w:p>
        </w:tc>
      </w:tr>
      <w:tr w14:paraId="1FCC2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18DA8B8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2DE6D501">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采购文件获取时间</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4A14CDE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2026年6月17</w:t>
            </w:r>
            <w:r>
              <w:rPr>
                <w:rFonts w:hint="eastAsia" w:ascii="仿宋_GB2312" w:hAnsi="仿宋_GB2312" w:eastAsia="仿宋_GB2312" w:cs="仿宋_GB2312"/>
                <w:sz w:val="28"/>
                <w:szCs w:val="28"/>
                <w:lang w:val="zh-CN"/>
              </w:rPr>
              <w:t>日至</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lang w:val="zh-CN"/>
              </w:rPr>
              <w:t>日（节假日除外）。</w:t>
            </w:r>
          </w:p>
        </w:tc>
      </w:tr>
      <w:tr w14:paraId="54D7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4"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A9B929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0990ACA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供应商获取采购文件方式</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7C837C9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线上报名，供应商登录政采云平台https://www.zcygov.cn/在线申请获取采购文件（进入“项目采购”应用，在获取采购文件菜单中选择项目，申请获取采购文件）具体方式请咨询线上电子化交易系统：咨询电话：</w:t>
            </w:r>
            <w:r>
              <w:rPr>
                <w:rFonts w:hint="eastAsia" w:ascii="仿宋_GB2312" w:hAnsi="仿宋_GB2312" w:eastAsia="仿宋_GB2312" w:cs="仿宋_GB2312"/>
                <w:sz w:val="28"/>
                <w:szCs w:val="28"/>
                <w:lang w:val="en-US" w:eastAsia="zh-CN"/>
              </w:rPr>
              <w:t>17797113425  王老师</w:t>
            </w:r>
          </w:p>
          <w:p w14:paraId="1DF2FB0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（提示：请潜在供应商报名前务必完成网上企业注册等手续；具体操作</w:t>
            </w:r>
            <w:r>
              <w:rPr>
                <w:rFonts w:hint="eastAsia" w:ascii="仿宋_GB2312" w:hAnsi="仿宋_GB2312" w:eastAsia="仿宋_GB2312" w:cs="仿宋_GB2312"/>
                <w:sz w:val="28"/>
                <w:szCs w:val="28"/>
                <w:lang w:eastAsia="zh-CN"/>
              </w:rPr>
              <w:t>咨询电话</w:t>
            </w:r>
            <w:r>
              <w:rPr>
                <w:rFonts w:hint="eastAsia" w:ascii="仿宋_GB2312" w:hAnsi="仿宋_GB2312" w:eastAsia="仿宋_GB2312" w:cs="仿宋_GB2312"/>
                <w:sz w:val="28"/>
                <w:szCs w:val="28"/>
                <w:lang w:val="en-US" w:eastAsia="zh-CN"/>
              </w:rPr>
              <w:t>:  17797113425  王老师</w:t>
            </w:r>
            <w:r>
              <w:rPr>
                <w:rFonts w:hint="eastAsia" w:ascii="仿宋_GB2312" w:hAnsi="仿宋_GB2312" w:eastAsia="仿宋_GB2312" w:cs="仿宋_GB2312"/>
                <w:sz w:val="28"/>
                <w:szCs w:val="28"/>
              </w:rPr>
              <w:t>）</w:t>
            </w:r>
          </w:p>
        </w:tc>
      </w:tr>
      <w:tr w14:paraId="760AB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A2E3A8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40519F3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电子签到时间</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BAA73B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2026年7月8</w:t>
            </w:r>
            <w:r>
              <w:rPr>
                <w:rFonts w:hint="eastAsia" w:ascii="仿宋_GB2312" w:hAnsi="仿宋_GB2312" w:eastAsia="仿宋_GB2312" w:cs="仿宋_GB2312"/>
                <w:sz w:val="28"/>
                <w:szCs w:val="28"/>
              </w:rPr>
              <w:t>日 上午</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0（北京时间）</w:t>
            </w:r>
            <w:r>
              <w:rPr>
                <w:rFonts w:hint="eastAsia" w:ascii="仿宋_GB2312" w:hAnsi="仿宋_GB2312" w:eastAsia="仿宋_GB2312" w:cs="仿宋_GB2312"/>
                <w:sz w:val="28"/>
                <w:szCs w:val="28"/>
                <w:lang w:eastAsia="zh-CN"/>
              </w:rPr>
              <w:t>之前</w:t>
            </w:r>
          </w:p>
        </w:tc>
      </w:tr>
      <w:tr w14:paraId="7378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3AC811F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741B325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电子签到截止时间</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5C7572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2026年7月8</w:t>
            </w:r>
            <w:r>
              <w:rPr>
                <w:rFonts w:hint="eastAsia" w:ascii="仿宋_GB2312" w:hAnsi="仿宋_GB2312" w:eastAsia="仿宋_GB2312" w:cs="仿宋_GB2312"/>
                <w:sz w:val="28"/>
                <w:szCs w:val="28"/>
              </w:rPr>
              <w:t>日 上午</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0（北京时间）</w:t>
            </w:r>
          </w:p>
        </w:tc>
      </w:tr>
      <w:tr w14:paraId="5A20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04355A9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2BA0419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开标（解密）时间</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3597AA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2026年7月8</w:t>
            </w:r>
            <w:r>
              <w:rPr>
                <w:rFonts w:hint="eastAsia" w:ascii="仿宋_GB2312" w:hAnsi="仿宋_GB2312" w:eastAsia="仿宋_GB2312" w:cs="仿宋_GB2312"/>
                <w:sz w:val="28"/>
                <w:szCs w:val="28"/>
              </w:rPr>
              <w:t>日 上午</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0（北京时间）</w:t>
            </w:r>
          </w:p>
        </w:tc>
      </w:tr>
      <w:tr w14:paraId="65BD7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6FE8F83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0400B2A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开标</w:t>
            </w:r>
            <w:r>
              <w:rPr>
                <w:rFonts w:hint="eastAsia" w:ascii="仿宋_GB2312" w:hAnsi="仿宋_GB2312" w:eastAsia="仿宋_GB2312" w:cs="仿宋_GB2312"/>
                <w:sz w:val="28"/>
                <w:szCs w:val="28"/>
              </w:rPr>
              <w:t>地点</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5BFE198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政采云平台（www.zcygov.cn）</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 xml:space="preserve"> 如非系统原因造成无法解密的或非系统原因加密文件上传不成功的或没办理CA锁而造成加密文件无法解密、加密文件无法上传的视为无效投标。 </w:t>
            </w:r>
          </w:p>
        </w:tc>
      </w:tr>
      <w:tr w14:paraId="0C09D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62C3CF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6402F39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投标</w:t>
            </w:r>
            <w:r>
              <w:rPr>
                <w:rFonts w:hint="eastAsia" w:ascii="仿宋_GB2312" w:hAnsi="仿宋_GB2312" w:eastAsia="仿宋_GB2312" w:cs="仿宋_GB2312"/>
                <w:sz w:val="28"/>
                <w:szCs w:val="28"/>
              </w:rPr>
              <w:t>响应文件格式及编制要求</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2E4B752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按照“投标人须知”第1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项“</w:t>
            </w:r>
            <w:r>
              <w:rPr>
                <w:rFonts w:hint="eastAsia" w:ascii="仿宋_GB2312" w:hAnsi="仿宋_GB2312" w:eastAsia="仿宋_GB2312" w:cs="仿宋_GB2312"/>
                <w:sz w:val="28"/>
                <w:szCs w:val="28"/>
                <w:lang w:eastAsia="zh-CN"/>
              </w:rPr>
              <w:t>投标响应文件</w:t>
            </w:r>
            <w:r>
              <w:rPr>
                <w:rFonts w:hint="eastAsia" w:ascii="仿宋_GB2312" w:hAnsi="仿宋_GB2312" w:eastAsia="仿宋_GB2312" w:cs="仿宋_GB2312"/>
                <w:sz w:val="28"/>
                <w:szCs w:val="28"/>
              </w:rPr>
              <w:t>构成”的要求，</w:t>
            </w:r>
            <w:r>
              <w:rPr>
                <w:rFonts w:hint="eastAsia" w:ascii="仿宋_GB2312" w:hAnsi="仿宋_GB2312" w:eastAsia="仿宋_GB2312" w:cs="仿宋_GB2312"/>
                <w:sz w:val="28"/>
                <w:szCs w:val="28"/>
                <w:lang w:eastAsia="zh-CN"/>
              </w:rPr>
              <w:t>投标响应文件</w:t>
            </w:r>
            <w:r>
              <w:rPr>
                <w:rFonts w:hint="eastAsia" w:ascii="仿宋_GB2312" w:hAnsi="仿宋_GB2312" w:eastAsia="仿宋_GB2312" w:cs="仿宋_GB2312"/>
                <w:sz w:val="28"/>
                <w:szCs w:val="28"/>
              </w:rPr>
              <w:t>须按以下要求分册编制。分别为：</w:t>
            </w:r>
          </w:p>
          <w:p w14:paraId="08D42C0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资格性审查文件，包括1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）至（</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）的内容；</w:t>
            </w:r>
          </w:p>
          <w:p w14:paraId="729B15E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符合性审查文件，包括1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）至（</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）的内容。</w:t>
            </w:r>
          </w:p>
          <w:p w14:paraId="7BA94D9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投标</w:t>
            </w:r>
            <w:r>
              <w:rPr>
                <w:rFonts w:hint="eastAsia" w:ascii="仿宋_GB2312" w:hAnsi="仿宋_GB2312" w:eastAsia="仿宋_GB2312" w:cs="仿宋_GB2312"/>
                <w:sz w:val="28"/>
                <w:szCs w:val="28"/>
              </w:rPr>
              <w:t>响应文件由供应商的法定代表人或委托代理人按要求签字、盖章。</w:t>
            </w:r>
          </w:p>
          <w:p w14:paraId="521BBCC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投标</w:t>
            </w:r>
            <w:r>
              <w:rPr>
                <w:rFonts w:hint="eastAsia" w:ascii="仿宋_GB2312" w:hAnsi="仿宋_GB2312" w:eastAsia="仿宋_GB2312" w:cs="仿宋_GB2312"/>
                <w:sz w:val="28"/>
                <w:szCs w:val="28"/>
              </w:rPr>
              <w:t>响应文件须编制目录、页码，文件中不得行间插字、涂改或增删，如有修改错漏处，须由供应商法定代表人或其委托代理人签字和盖章。</w:t>
            </w:r>
          </w:p>
        </w:tc>
      </w:tr>
      <w:tr w14:paraId="768DD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0"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19AA02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58B663C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投标</w:t>
            </w:r>
            <w:r>
              <w:rPr>
                <w:rFonts w:hint="eastAsia" w:ascii="仿宋_GB2312" w:hAnsi="仿宋_GB2312" w:eastAsia="仿宋_GB2312" w:cs="仿宋_GB2312"/>
                <w:sz w:val="28"/>
                <w:szCs w:val="28"/>
              </w:rPr>
              <w:t>响应文件</w:t>
            </w:r>
            <w:r>
              <w:rPr>
                <w:rFonts w:hint="eastAsia" w:ascii="仿宋_GB2312" w:hAnsi="仿宋_GB2312" w:eastAsia="仿宋_GB2312" w:cs="仿宋_GB2312"/>
                <w:sz w:val="28"/>
                <w:szCs w:val="28"/>
                <w:lang w:eastAsia="zh-CN"/>
              </w:rPr>
              <w:t>开启</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74707E0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政采云平台（www.zcygov.cn） 如非系统原因造成无法解密的或非系统原因加密文件上传不成功的或没办理CA锁而造成加密文件无法解密、加密文件无法上传的视为无效投标。 </w:t>
            </w:r>
          </w:p>
        </w:tc>
      </w:tr>
      <w:tr w14:paraId="1CE5B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0"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6B34F77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3911D3B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采购单位及联系人电话</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1572CD0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采购单位：</w:t>
            </w:r>
            <w:r>
              <w:rPr>
                <w:rFonts w:hint="eastAsia" w:ascii="仿宋_GB2312" w:hAnsi="仿宋_GB2312" w:eastAsia="仿宋_GB2312" w:cs="仿宋_GB2312"/>
                <w:sz w:val="28"/>
                <w:szCs w:val="28"/>
                <w:lang w:eastAsia="zh-CN"/>
              </w:rPr>
              <w:t>化隆县教育局</w:t>
            </w:r>
          </w:p>
          <w:p w14:paraId="76B3362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系</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lang w:eastAsia="zh-CN"/>
              </w:rPr>
              <w:t>：徐老师</w:t>
            </w:r>
          </w:p>
          <w:p w14:paraId="1283630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0972-8712120</w:t>
            </w:r>
          </w:p>
          <w:p w14:paraId="35B37EC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联系地址：</w:t>
            </w:r>
            <w:r>
              <w:rPr>
                <w:rFonts w:hint="eastAsia" w:ascii="仿宋_GB2312" w:hAnsi="仿宋_GB2312" w:eastAsia="仿宋_GB2312" w:cs="仿宋_GB2312"/>
                <w:sz w:val="28"/>
                <w:szCs w:val="28"/>
                <w:lang w:val="zh-CN" w:eastAsia="zh-CN"/>
              </w:rPr>
              <w:t>化隆县群科新区学苑路教育局办公楼</w:t>
            </w:r>
          </w:p>
        </w:tc>
      </w:tr>
      <w:tr w14:paraId="2891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220B27F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5B09BBD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集采机构</w:t>
            </w:r>
            <w:r>
              <w:rPr>
                <w:rFonts w:hint="eastAsia" w:ascii="仿宋_GB2312" w:hAnsi="仿宋_GB2312" w:eastAsia="仿宋_GB2312" w:cs="仿宋_GB2312"/>
                <w:sz w:val="28"/>
                <w:szCs w:val="28"/>
              </w:rPr>
              <w:t>及联系人电话</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2233615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集采机构</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海东市化隆公共资源交易受理服务部</w:t>
            </w:r>
          </w:p>
          <w:p w14:paraId="57584B9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系</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lang w:val="en-US" w:eastAsia="zh-CN"/>
              </w:rPr>
              <w:t>: 田</w:t>
            </w:r>
            <w:r>
              <w:rPr>
                <w:rFonts w:hint="eastAsia" w:ascii="仿宋_GB2312" w:hAnsi="仿宋_GB2312" w:eastAsia="仿宋_GB2312" w:cs="仿宋_GB2312"/>
                <w:sz w:val="28"/>
                <w:szCs w:val="28"/>
                <w:lang w:eastAsia="zh-CN"/>
              </w:rPr>
              <w:t>老师</w:t>
            </w:r>
          </w:p>
          <w:p w14:paraId="684F09C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val="en-US" w:eastAsia="zh-CN"/>
              </w:rPr>
              <w:t>18997027917</w:t>
            </w:r>
          </w:p>
          <w:p w14:paraId="0C15162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联系地址：</w:t>
            </w:r>
            <w:r>
              <w:rPr>
                <w:rFonts w:hint="eastAsia" w:ascii="仿宋_GB2312" w:hAnsi="仿宋_GB2312" w:eastAsia="仿宋_GB2312" w:cs="仿宋_GB2312"/>
                <w:sz w:val="28"/>
                <w:szCs w:val="28"/>
                <w:lang w:val="zh-CN"/>
              </w:rPr>
              <w:t>化隆县群科新区综合大楼东侧政务服务中心一楼</w:t>
            </w:r>
          </w:p>
        </w:tc>
      </w:tr>
      <w:tr w14:paraId="727B5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7554823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4C0798A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答疑方式</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3F4AFF2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在政采云平台（www.zcygov.cn），由</w:t>
            </w:r>
            <w:r>
              <w:rPr>
                <w:rFonts w:hint="eastAsia" w:ascii="仿宋_GB2312" w:hAnsi="仿宋_GB2312" w:eastAsia="仿宋_GB2312" w:cs="仿宋_GB2312"/>
                <w:sz w:val="28"/>
                <w:szCs w:val="28"/>
              </w:rPr>
              <w:t>供应商法定代表人或委托代理人在规定的时间等候答疑</w:t>
            </w:r>
          </w:p>
        </w:tc>
      </w:tr>
      <w:tr w14:paraId="76DA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7655059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7F79B71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其他事项</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4CF1E02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本次项目招标采用线上进行，</w:t>
            </w:r>
            <w:r>
              <w:rPr>
                <w:rFonts w:hint="eastAsia" w:ascii="仿宋_GB2312" w:hAnsi="仿宋_GB2312" w:eastAsia="仿宋_GB2312" w:cs="仿宋_GB2312"/>
                <w:sz w:val="28"/>
                <w:szCs w:val="28"/>
                <w:lang w:eastAsia="zh-CN"/>
              </w:rPr>
              <w:t>供应商无需到达现场开标，</w:t>
            </w:r>
            <w:r>
              <w:rPr>
                <w:rFonts w:hint="eastAsia" w:ascii="仿宋_GB2312" w:hAnsi="仿宋_GB2312" w:eastAsia="仿宋_GB2312" w:cs="仿宋_GB2312"/>
                <w:sz w:val="28"/>
                <w:szCs w:val="28"/>
              </w:rPr>
              <w:t>如非系统原因造成无法解密的或非系统原因加密文件上传不成功的或没办理CA锁而造成加密文件无法解密、加密文件无法上传的视为无效投标，线上电子加密响应文件必须在响应文件递交截止时间前上传至电子开评标系统</w:t>
            </w:r>
            <w:r>
              <w:rPr>
                <w:rFonts w:hint="eastAsia" w:ascii="仿宋_GB2312" w:hAnsi="仿宋_GB2312" w:eastAsia="仿宋_GB2312" w:cs="仿宋_GB2312"/>
                <w:sz w:val="28"/>
                <w:szCs w:val="28"/>
                <w:lang w:val="en-US" w:eastAsia="zh-CN"/>
              </w:rPr>
              <w:t>.</w:t>
            </w:r>
          </w:p>
          <w:p w14:paraId="72169EF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线上电子化开评标系统操作及办理CA锁等相关事宜请咨询政采云：咨询电话：</w:t>
            </w:r>
            <w:r>
              <w:rPr>
                <w:rFonts w:hint="eastAsia" w:ascii="仿宋_GB2312" w:hAnsi="仿宋_GB2312" w:eastAsia="仿宋_GB2312" w:cs="仿宋_GB2312"/>
                <w:sz w:val="28"/>
                <w:szCs w:val="28"/>
                <w:lang w:val="en-US" w:eastAsia="zh-CN"/>
              </w:rPr>
              <w:t>17797113425  王老师</w:t>
            </w:r>
          </w:p>
          <w:p w14:paraId="1EDE2E2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线上CA：PC咨询网址（可及时反馈问题截图，让客服快速定位问题）:http://tseal.cn/k.html，咨询电话：</w:t>
            </w:r>
            <w:r>
              <w:rPr>
                <w:rFonts w:hint="eastAsia" w:ascii="仿宋_GB2312" w:hAnsi="仿宋_GB2312" w:eastAsia="仿宋_GB2312" w:cs="仿宋_GB2312"/>
                <w:sz w:val="28"/>
                <w:szCs w:val="28"/>
                <w:lang w:val="en-US" w:eastAsia="zh-CN"/>
              </w:rPr>
              <w:t xml:space="preserve">17797113425王老师  </w:t>
            </w:r>
          </w:p>
          <w:p w14:paraId="07431AF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注：投标供应商务必在开标当天</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0</w:t>
            </w:r>
            <w:r>
              <w:rPr>
                <w:rFonts w:hint="eastAsia" w:ascii="仿宋_GB2312" w:hAnsi="仿宋_GB2312" w:eastAsia="仿宋_GB2312" w:cs="仿宋_GB2312"/>
                <w:sz w:val="28"/>
                <w:szCs w:val="28"/>
                <w:lang w:eastAsia="zh-CN"/>
              </w:rPr>
              <w:t>时</w:t>
            </w:r>
            <w:r>
              <w:rPr>
                <w:rFonts w:hint="eastAsia" w:ascii="仿宋_GB2312" w:hAnsi="仿宋_GB2312" w:eastAsia="仿宋_GB2312" w:cs="仿宋_GB2312"/>
                <w:sz w:val="28"/>
                <w:szCs w:val="28"/>
              </w:rPr>
              <w:t>之前进入电子开标系统完成电子签到，如未签到无法解密的视为自动放弃。</w:t>
            </w:r>
          </w:p>
          <w:p w14:paraId="4239D16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5.本公告及变更信息以青海省政府采购网发布的公告信息为准。</w:t>
            </w:r>
          </w:p>
        </w:tc>
      </w:tr>
      <w:tr w14:paraId="09671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jc w:val="center"/>
        </w:trPr>
        <w:tc>
          <w:tcPr>
            <w:tcW w:w="600" w:type="dxa"/>
            <w:tcBorders>
              <w:top w:val="outset" w:color="auto" w:sz="6" w:space="0"/>
              <w:left w:val="outset" w:color="auto" w:sz="6" w:space="0"/>
              <w:bottom w:val="outset" w:color="auto" w:sz="6" w:space="0"/>
              <w:right w:val="outset" w:color="auto" w:sz="6" w:space="0"/>
            </w:tcBorders>
            <w:noWrap w:val="0"/>
            <w:vAlign w:val="center"/>
          </w:tcPr>
          <w:p w14:paraId="5CB5567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w:t>
            </w:r>
          </w:p>
        </w:tc>
        <w:tc>
          <w:tcPr>
            <w:tcW w:w="2150" w:type="dxa"/>
            <w:tcBorders>
              <w:top w:val="outset" w:color="auto" w:sz="6" w:space="0"/>
              <w:left w:val="outset" w:color="auto" w:sz="6" w:space="0"/>
              <w:bottom w:val="outset" w:color="auto" w:sz="6" w:space="0"/>
              <w:right w:val="outset" w:color="auto" w:sz="6" w:space="0"/>
            </w:tcBorders>
            <w:noWrap w:val="0"/>
            <w:vAlign w:val="center"/>
          </w:tcPr>
          <w:p w14:paraId="6C7D654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财政部门监督电话</w:t>
            </w:r>
          </w:p>
        </w:tc>
        <w:tc>
          <w:tcPr>
            <w:tcW w:w="6755" w:type="dxa"/>
            <w:tcBorders>
              <w:top w:val="outset" w:color="auto" w:sz="6" w:space="0"/>
              <w:left w:val="outset" w:color="auto" w:sz="6" w:space="0"/>
              <w:bottom w:val="outset" w:color="auto" w:sz="6" w:space="0"/>
              <w:right w:val="outset" w:color="auto" w:sz="6" w:space="0"/>
            </w:tcBorders>
            <w:noWrap w:val="0"/>
            <w:vAlign w:val="center"/>
          </w:tcPr>
          <w:p w14:paraId="78E0F5C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财政监督部门：</w:t>
            </w:r>
            <w:r>
              <w:rPr>
                <w:rFonts w:hint="eastAsia" w:ascii="仿宋_GB2312" w:hAnsi="仿宋_GB2312" w:eastAsia="仿宋_GB2312" w:cs="仿宋_GB2312"/>
                <w:sz w:val="28"/>
                <w:szCs w:val="28"/>
                <w:lang w:eastAsia="zh-CN"/>
              </w:rPr>
              <w:t>化隆</w:t>
            </w:r>
            <w:r>
              <w:rPr>
                <w:rFonts w:hint="eastAsia" w:ascii="仿宋_GB2312" w:hAnsi="仿宋_GB2312" w:eastAsia="仿宋_GB2312" w:cs="仿宋_GB2312"/>
                <w:sz w:val="28"/>
                <w:szCs w:val="28"/>
              </w:rPr>
              <w:t>财政局</w:t>
            </w:r>
          </w:p>
          <w:p w14:paraId="0ACA4BD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sz w:val="28"/>
                <w:szCs w:val="28"/>
                <w:lang w:val="en-US" w:eastAsia="zh-CN"/>
              </w:rPr>
              <w:t>0972-8715192</w:t>
            </w:r>
          </w:p>
        </w:tc>
      </w:tr>
    </w:tbl>
    <w:p w14:paraId="585B29B2">
      <w:pPr>
        <w:pageBreakBefore w:val="0"/>
        <w:kinsoku/>
        <w:wordWrap/>
        <w:overflowPunct/>
        <w:topLinePunct w:val="0"/>
        <w:autoSpaceDE/>
        <w:autoSpaceDN/>
        <w:bidi w:val="0"/>
        <w:spacing w:line="360" w:lineRule="exact"/>
        <w:rPr>
          <w:rFonts w:hint="eastAsia" w:ascii="仿宋_GB2312" w:hAnsi="仿宋_GB2312" w:eastAsia="仿宋_GB2312" w:cs="仿宋_GB2312"/>
          <w:sz w:val="28"/>
          <w:szCs w:val="28"/>
        </w:rPr>
      </w:pPr>
    </w:p>
    <w:p w14:paraId="72393486">
      <w:pPr>
        <w:pageBreakBefore w:val="0"/>
        <w:kinsoku/>
        <w:wordWrap/>
        <w:overflowPunct/>
        <w:topLinePunct w:val="0"/>
        <w:autoSpaceDE/>
        <w:autoSpaceDN/>
        <w:bidi w:val="0"/>
        <w:spacing w:line="360" w:lineRule="exact"/>
        <w:ind w:left="0" w:leftChars="0" w:firstLine="0" w:firstLineChars="0"/>
        <w:rPr>
          <w:rFonts w:hint="eastAsia" w:ascii="仿宋_GB2312" w:hAnsi="仿宋_GB2312" w:eastAsia="仿宋_GB2312" w:cs="仿宋_GB2312"/>
          <w:sz w:val="28"/>
          <w:szCs w:val="28"/>
        </w:rPr>
      </w:pPr>
    </w:p>
    <w:p w14:paraId="2786E560">
      <w:pPr>
        <w:pStyle w:val="2"/>
        <w:bidi w:val="0"/>
        <w:jc w:val="center"/>
        <w:rPr>
          <w:rFonts w:hint="eastAsia" w:ascii="方正小标宋简体" w:hAnsi="方正小标宋简体" w:eastAsia="方正小标宋简体" w:cs="方正小标宋简体"/>
          <w:b/>
          <w:bCs w:val="0"/>
          <w:sz w:val="32"/>
          <w:szCs w:val="32"/>
        </w:rPr>
      </w:pPr>
      <w:bookmarkStart w:id="2" w:name="_Toc3296"/>
      <w:bookmarkStart w:id="3" w:name="_Toc130971833"/>
      <w:bookmarkStart w:id="4" w:name="_Toc16974"/>
      <w:r>
        <w:rPr>
          <w:rFonts w:hint="eastAsia" w:ascii="方正小标宋简体" w:hAnsi="方正小标宋简体" w:eastAsia="方正小标宋简体" w:cs="方正小标宋简体"/>
          <w:b/>
          <w:bCs w:val="0"/>
          <w:sz w:val="32"/>
          <w:szCs w:val="32"/>
        </w:rPr>
        <w:t>第二部分  投标人须知</w:t>
      </w:r>
      <w:bookmarkEnd w:id="2"/>
      <w:bookmarkEnd w:id="3"/>
      <w:bookmarkEnd w:id="4"/>
      <w:bookmarkStart w:id="5" w:name="_Toc325725997"/>
    </w:p>
    <w:p w14:paraId="22714FFF">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6" w:name="_Toc16730"/>
      <w:bookmarkStart w:id="7" w:name="_Toc376936728"/>
      <w:bookmarkStart w:id="8" w:name="_Toc130971834"/>
      <w:bookmarkStart w:id="9" w:name="_Toc31677"/>
      <w:r>
        <w:rPr>
          <w:rFonts w:hint="eastAsia" w:ascii="仿宋_GB2312" w:hAnsi="仿宋_GB2312" w:eastAsia="仿宋_GB2312" w:cs="仿宋_GB2312"/>
          <w:sz w:val="28"/>
          <w:szCs w:val="28"/>
        </w:rPr>
        <w:t>一、说  明</w:t>
      </w:r>
      <w:bookmarkEnd w:id="5"/>
      <w:bookmarkEnd w:id="6"/>
      <w:bookmarkEnd w:id="7"/>
      <w:bookmarkEnd w:id="8"/>
      <w:bookmarkEnd w:id="9"/>
    </w:p>
    <w:p w14:paraId="34372773">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0" w:name="_Toc376936729"/>
      <w:bookmarkStart w:id="11" w:name="_Toc325725998"/>
      <w:bookmarkStart w:id="12" w:name="_Toc26126"/>
      <w:bookmarkStart w:id="13" w:name="_Toc130971835"/>
      <w:bookmarkStart w:id="14" w:name="_Toc5535"/>
      <w:r>
        <w:rPr>
          <w:rFonts w:hint="eastAsia" w:ascii="仿宋_GB2312" w:hAnsi="仿宋_GB2312" w:eastAsia="仿宋_GB2312" w:cs="仿宋_GB2312"/>
          <w:sz w:val="28"/>
          <w:szCs w:val="28"/>
        </w:rPr>
        <w:t>1.适用范围</w:t>
      </w:r>
      <w:bookmarkEnd w:id="10"/>
      <w:bookmarkEnd w:id="11"/>
      <w:bookmarkEnd w:id="12"/>
      <w:bookmarkEnd w:id="13"/>
      <w:bookmarkEnd w:id="14"/>
    </w:p>
    <w:p w14:paraId="1568AA7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本次招标依据</w:t>
      </w:r>
      <w:r>
        <w:rPr>
          <w:rFonts w:hint="eastAsia" w:ascii="仿宋_GB2312" w:hAnsi="仿宋_GB2312" w:eastAsia="仿宋_GB2312" w:cs="仿宋_GB2312"/>
          <w:sz w:val="28"/>
          <w:szCs w:val="28"/>
          <w:lang w:eastAsia="zh-CN"/>
        </w:rPr>
        <w:t>采购人</w:t>
      </w:r>
      <w:r>
        <w:rPr>
          <w:rFonts w:hint="eastAsia" w:ascii="仿宋_GB2312" w:hAnsi="仿宋_GB2312" w:eastAsia="仿宋_GB2312" w:cs="仿宋_GB2312"/>
          <w:sz w:val="28"/>
          <w:szCs w:val="28"/>
        </w:rPr>
        <w:t>的采购计划，仅适用于本招标文件中所叙述的项目。</w:t>
      </w:r>
    </w:p>
    <w:p w14:paraId="2E5A7251">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5" w:name="_Toc130971836"/>
      <w:bookmarkStart w:id="16" w:name="_Toc325725999"/>
      <w:bookmarkStart w:id="17" w:name="_Toc4026"/>
      <w:bookmarkStart w:id="18" w:name="_Toc376936730"/>
      <w:bookmarkStart w:id="19" w:name="_Toc6298"/>
      <w:r>
        <w:rPr>
          <w:rFonts w:hint="eastAsia" w:ascii="仿宋_GB2312" w:hAnsi="仿宋_GB2312" w:eastAsia="仿宋_GB2312" w:cs="仿宋_GB2312"/>
          <w:sz w:val="28"/>
          <w:szCs w:val="28"/>
        </w:rPr>
        <w:t>2.招标方式、合格的投标人</w:t>
      </w:r>
      <w:bookmarkEnd w:id="15"/>
      <w:bookmarkEnd w:id="16"/>
      <w:bookmarkEnd w:id="17"/>
      <w:bookmarkEnd w:id="18"/>
      <w:bookmarkEnd w:id="19"/>
    </w:p>
    <w:p w14:paraId="785FAFC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2.1本次招标采取公开招标方式。</w:t>
      </w:r>
    </w:p>
    <w:p w14:paraId="7AB01CA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2.2合格的投标人：详见第一部分投标人须知前附表“供应商资格条件”。</w:t>
      </w:r>
    </w:p>
    <w:p w14:paraId="30A93F09">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20" w:name="_Toc28870"/>
      <w:bookmarkStart w:id="21" w:name="_Toc325726000"/>
      <w:bookmarkStart w:id="22" w:name="_Toc376936731"/>
      <w:bookmarkStart w:id="23" w:name="_Toc130971837"/>
      <w:bookmarkStart w:id="24" w:name="_Toc28806"/>
      <w:r>
        <w:rPr>
          <w:rFonts w:hint="eastAsia" w:ascii="仿宋_GB2312" w:hAnsi="仿宋_GB2312" w:eastAsia="仿宋_GB2312" w:cs="仿宋_GB2312"/>
          <w:sz w:val="28"/>
          <w:szCs w:val="28"/>
        </w:rPr>
        <w:t>3.投标费用</w:t>
      </w:r>
      <w:bookmarkEnd w:id="20"/>
      <w:bookmarkEnd w:id="21"/>
      <w:bookmarkEnd w:id="22"/>
      <w:bookmarkEnd w:id="23"/>
      <w:bookmarkEnd w:id="24"/>
    </w:p>
    <w:p w14:paraId="449AD7F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投标人应承担准备和参加本次投标有关的所有费用。集中采购机构对投标人发生的费用均不承担任何责任。</w:t>
      </w:r>
    </w:p>
    <w:p w14:paraId="3916CAF2">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25" w:name="_Toc802"/>
      <w:bookmarkStart w:id="26" w:name="_Toc376936732"/>
      <w:bookmarkStart w:id="27" w:name="_Toc130971838"/>
      <w:bookmarkStart w:id="28" w:name="_Toc325726001"/>
      <w:bookmarkStart w:id="29" w:name="_Toc22571"/>
      <w:r>
        <w:rPr>
          <w:rFonts w:hint="eastAsia" w:ascii="仿宋_GB2312" w:hAnsi="仿宋_GB2312" w:eastAsia="仿宋_GB2312" w:cs="仿宋_GB2312"/>
          <w:sz w:val="28"/>
          <w:szCs w:val="28"/>
        </w:rPr>
        <w:t>二、招标文件说明</w:t>
      </w:r>
      <w:bookmarkEnd w:id="25"/>
      <w:bookmarkEnd w:id="26"/>
      <w:bookmarkEnd w:id="27"/>
      <w:bookmarkEnd w:id="28"/>
      <w:bookmarkEnd w:id="29"/>
    </w:p>
    <w:p w14:paraId="085B85BA">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30" w:name="_Toc376936733"/>
      <w:bookmarkStart w:id="31" w:name="_Toc325726002"/>
      <w:bookmarkStart w:id="32" w:name="_Toc130971839"/>
      <w:bookmarkStart w:id="33" w:name="_Toc31873"/>
      <w:bookmarkStart w:id="34" w:name="_Toc11649"/>
      <w:r>
        <w:rPr>
          <w:rFonts w:hint="eastAsia" w:ascii="仿宋_GB2312" w:hAnsi="仿宋_GB2312" w:eastAsia="仿宋_GB2312" w:cs="仿宋_GB2312"/>
          <w:sz w:val="28"/>
          <w:szCs w:val="28"/>
        </w:rPr>
        <w:t>4.招标文件的构成</w:t>
      </w:r>
      <w:bookmarkEnd w:id="30"/>
      <w:bookmarkEnd w:id="31"/>
      <w:bookmarkEnd w:id="32"/>
      <w:bookmarkEnd w:id="33"/>
      <w:bookmarkEnd w:id="34"/>
    </w:p>
    <w:p w14:paraId="0D60E4B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4.1招标文件包括：</w:t>
      </w:r>
    </w:p>
    <w:p w14:paraId="48F9FAD4">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（1）投标人须知前附表</w:t>
      </w:r>
    </w:p>
    <w:p w14:paraId="22C7063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（2）投标人须知</w:t>
      </w:r>
    </w:p>
    <w:p w14:paraId="54967F5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（3）政府采购项目合同书范本</w:t>
      </w:r>
    </w:p>
    <w:p w14:paraId="26CC890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（4）投标文件格式（相关附件）</w:t>
      </w:r>
    </w:p>
    <w:p w14:paraId="335B5A2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（5）采购项目要求及技术参数</w:t>
      </w:r>
    </w:p>
    <w:p w14:paraId="13BA719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（6）采购过程中发生的澄清、变更和补充文件</w:t>
      </w:r>
    </w:p>
    <w:p w14:paraId="1DCF9DB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投标人应当按照招标文件的要求编制投标文件。投标文件应当对招标文件提出的要求和条件作出明确响应。</w:t>
      </w:r>
    </w:p>
    <w:p w14:paraId="44B22ABD">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35" w:name="_Toc325726003"/>
      <w:bookmarkStart w:id="36" w:name="_Toc376936734"/>
      <w:bookmarkStart w:id="37" w:name="_Toc130971840"/>
      <w:bookmarkStart w:id="38" w:name="_Toc19519"/>
      <w:bookmarkStart w:id="39" w:name="_Toc25112"/>
      <w:r>
        <w:rPr>
          <w:rFonts w:hint="eastAsia" w:ascii="仿宋_GB2312" w:hAnsi="仿宋_GB2312" w:eastAsia="仿宋_GB2312" w:cs="仿宋_GB2312"/>
          <w:sz w:val="28"/>
          <w:szCs w:val="28"/>
        </w:rPr>
        <w:t>5.招标文件的</w:t>
      </w:r>
      <w:bookmarkEnd w:id="35"/>
      <w:bookmarkEnd w:id="36"/>
      <w:r>
        <w:rPr>
          <w:rFonts w:hint="eastAsia" w:ascii="仿宋_GB2312" w:hAnsi="仿宋_GB2312" w:eastAsia="仿宋_GB2312" w:cs="仿宋_GB2312"/>
          <w:sz w:val="28"/>
          <w:szCs w:val="28"/>
        </w:rPr>
        <w:t>质疑</w:t>
      </w:r>
      <w:bookmarkEnd w:id="37"/>
      <w:bookmarkEnd w:id="38"/>
      <w:bookmarkEnd w:id="39"/>
    </w:p>
    <w:p w14:paraId="2EA3CEB9">
      <w:pPr>
        <w:ind w:firstLine="480"/>
        <w:rPr>
          <w:rFonts w:hint="eastAsia" w:ascii="仿宋_GB2312" w:hAnsi="仿宋_GB2312" w:eastAsia="仿宋_GB2312" w:cs="仿宋_GB2312"/>
          <w:color w:val="auto"/>
          <w:sz w:val="28"/>
          <w:szCs w:val="28"/>
          <w:highlight w:val="none"/>
          <w:lang w:val="en-US" w:eastAsia="zh-CN"/>
        </w:rPr>
      </w:pPr>
      <w:bookmarkStart w:id="40" w:name="_Toc325726004"/>
      <w:bookmarkStart w:id="41" w:name="_Toc376936735"/>
      <w:r>
        <w:rPr>
          <w:rFonts w:hint="eastAsia" w:ascii="仿宋_GB2312" w:hAnsi="仿宋_GB2312" w:eastAsia="仿宋_GB2312" w:cs="仿宋_GB2312"/>
          <w:color w:val="auto"/>
          <w:sz w:val="28"/>
          <w:szCs w:val="28"/>
          <w:highlight w:val="none"/>
          <w:lang w:val="zh-CN" w:eastAsia="zh-CN"/>
        </w:rPr>
        <w:t>供应商认为采购文件、采购过程、中标或者成交结果使自己的权益受到损害的，可以在知道或者应知其权益受到损害之日起7个工作日内，以书面形式（</w:t>
      </w:r>
      <w:r>
        <w:rPr>
          <w:rFonts w:hint="eastAsia" w:ascii="仿宋_GB2312" w:hAnsi="仿宋_GB2312" w:eastAsia="仿宋_GB2312" w:cs="仿宋_GB2312"/>
          <w:color w:val="auto"/>
          <w:sz w:val="28"/>
          <w:szCs w:val="28"/>
          <w:highlight w:val="none"/>
          <w:lang w:val="en-US" w:eastAsia="zh-CN"/>
        </w:rPr>
        <w:t>线上或线下</w:t>
      </w:r>
      <w:r>
        <w:rPr>
          <w:rFonts w:hint="eastAsia" w:ascii="仿宋_GB2312" w:hAnsi="仿宋_GB2312" w:eastAsia="仿宋_GB2312" w:cs="仿宋_GB2312"/>
          <w:color w:val="auto"/>
          <w:sz w:val="28"/>
          <w:szCs w:val="28"/>
          <w:highlight w:val="none"/>
          <w:lang w:val="zh-CN" w:eastAsia="zh-CN"/>
        </w:rPr>
        <w:t>）向采购人</w:t>
      </w:r>
      <w:r>
        <w:rPr>
          <w:rFonts w:hint="eastAsia" w:ascii="仿宋_GB2312" w:hAnsi="仿宋_GB2312" w:eastAsia="仿宋_GB2312" w:cs="仿宋_GB2312"/>
          <w:color w:val="auto"/>
          <w:sz w:val="28"/>
          <w:szCs w:val="28"/>
          <w:highlight w:val="none"/>
          <w:lang w:val="en-US" w:eastAsia="zh-CN"/>
        </w:rPr>
        <w:t>依法</w:t>
      </w:r>
      <w:r>
        <w:rPr>
          <w:rFonts w:hint="eastAsia" w:ascii="仿宋_GB2312" w:hAnsi="仿宋_GB2312" w:eastAsia="仿宋_GB2312" w:cs="仿宋_GB2312"/>
          <w:color w:val="auto"/>
          <w:sz w:val="28"/>
          <w:szCs w:val="28"/>
          <w:highlight w:val="none"/>
          <w:lang w:val="zh-CN" w:eastAsia="zh-CN"/>
        </w:rPr>
        <w:t>提出质疑</w:t>
      </w:r>
      <w:r>
        <w:rPr>
          <w:rFonts w:hint="eastAsia" w:ascii="仿宋_GB2312" w:hAnsi="仿宋_GB2312" w:eastAsia="仿宋_GB2312" w:cs="仿宋_GB2312"/>
          <w:color w:val="auto"/>
          <w:sz w:val="28"/>
          <w:szCs w:val="28"/>
          <w:highlight w:val="none"/>
          <w:lang w:val="en-US" w:eastAsia="zh-CN"/>
        </w:rPr>
        <w:t>，不接受匿名质疑。</w:t>
      </w:r>
      <w:r>
        <w:rPr>
          <w:rFonts w:hint="eastAsia" w:ascii="仿宋_GB2312" w:hAnsi="仿宋_GB2312" w:eastAsia="仿宋_GB2312" w:cs="仿宋_GB2312"/>
          <w:color w:val="auto"/>
          <w:sz w:val="28"/>
          <w:szCs w:val="28"/>
          <w:highlight w:val="none"/>
          <w:lang w:val="zh-CN" w:eastAsia="zh-CN"/>
        </w:rPr>
        <w:t>供应商</w:t>
      </w:r>
      <w:r>
        <w:rPr>
          <w:rFonts w:hint="eastAsia" w:ascii="仿宋_GB2312" w:hAnsi="仿宋_GB2312" w:eastAsia="仿宋_GB2312" w:cs="仿宋_GB2312"/>
          <w:color w:val="auto"/>
          <w:sz w:val="28"/>
          <w:szCs w:val="28"/>
          <w:highlight w:val="none"/>
          <w:lang w:val="en-US" w:eastAsia="zh-CN"/>
        </w:rPr>
        <w:t>须</w:t>
      </w:r>
      <w:r>
        <w:rPr>
          <w:rFonts w:hint="eastAsia" w:ascii="仿宋_GB2312" w:hAnsi="仿宋_GB2312" w:eastAsia="仿宋_GB2312" w:cs="仿宋_GB2312"/>
          <w:color w:val="auto"/>
          <w:sz w:val="28"/>
          <w:szCs w:val="28"/>
          <w:highlight w:val="none"/>
          <w:lang w:val="zh-CN" w:eastAsia="zh-CN"/>
        </w:rPr>
        <w:t>在法定质疑期内一次性提出针对同一采购程序环节的质疑。</w:t>
      </w:r>
      <w:r>
        <w:rPr>
          <w:rFonts w:hint="eastAsia" w:ascii="仿宋_GB2312" w:hAnsi="仿宋_GB2312" w:eastAsia="仿宋_GB2312" w:cs="仿宋_GB2312"/>
          <w:color w:val="auto"/>
          <w:sz w:val="28"/>
          <w:szCs w:val="28"/>
          <w:highlight w:val="none"/>
          <w:lang w:val="en-US" w:eastAsia="zh-CN"/>
        </w:rPr>
        <w:t>采购人在收到供应商的书面质疑后依法予以答复。</w:t>
      </w:r>
    </w:p>
    <w:p w14:paraId="67090A2C">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42" w:name="_Toc483"/>
      <w:bookmarkStart w:id="43" w:name="_Toc130971841"/>
      <w:bookmarkStart w:id="44" w:name="_Toc23096"/>
      <w:r>
        <w:rPr>
          <w:rFonts w:hint="eastAsia" w:ascii="仿宋_GB2312" w:hAnsi="仿宋_GB2312" w:eastAsia="仿宋_GB2312" w:cs="仿宋_GB2312"/>
          <w:sz w:val="28"/>
          <w:szCs w:val="28"/>
        </w:rPr>
        <w:t>6.招标文件的修改</w:t>
      </w:r>
      <w:bookmarkEnd w:id="40"/>
      <w:bookmarkEnd w:id="41"/>
      <w:bookmarkEnd w:id="42"/>
      <w:bookmarkEnd w:id="43"/>
      <w:bookmarkEnd w:id="44"/>
    </w:p>
    <w:p w14:paraId="35A7A21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在投标截止期前，采购人、集中采购机构可以对招标文件进行必要的修改或者澄清。</w:t>
      </w:r>
    </w:p>
    <w:p w14:paraId="4EBC315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采购人、集中采购机构对已发出招标文件进行必要的澄清或者修改的，在招标文件要求提交投标文件截止时间15日前，在青海政府采购信息网上发布公告；不足15日的，顺延提交投标文件的截止时间。该澄清或者修改的内容为招标文件的组成部分。</w:t>
      </w:r>
    </w:p>
    <w:p w14:paraId="3ED9E1C4">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 在投标截止时间前，采购人、集中采购机构可以视采购具体情况，延长投标截止时间和开标时间，并在招标文件中要求的投标截止时间和开标时间的3日前，将变更公告发布在青海省政府采购信息网上。</w:t>
      </w:r>
    </w:p>
    <w:p w14:paraId="07EF2594">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45" w:name="_Toc130971842"/>
      <w:bookmarkStart w:id="46" w:name="_Toc325726005"/>
      <w:bookmarkStart w:id="47" w:name="_Toc376936736"/>
      <w:bookmarkStart w:id="48" w:name="_Toc10509"/>
      <w:bookmarkStart w:id="49" w:name="_Toc21787"/>
      <w:r>
        <w:rPr>
          <w:rFonts w:hint="eastAsia" w:ascii="仿宋_GB2312" w:hAnsi="仿宋_GB2312" w:eastAsia="仿宋_GB2312" w:cs="仿宋_GB2312"/>
          <w:sz w:val="28"/>
          <w:szCs w:val="28"/>
        </w:rPr>
        <w:t>三、投标文件的编制</w:t>
      </w:r>
      <w:bookmarkEnd w:id="45"/>
      <w:bookmarkEnd w:id="46"/>
      <w:bookmarkEnd w:id="47"/>
      <w:bookmarkEnd w:id="48"/>
      <w:bookmarkEnd w:id="49"/>
    </w:p>
    <w:p w14:paraId="2C3C2B93">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50" w:name="_Toc376936737"/>
      <w:bookmarkStart w:id="51" w:name="_Toc325726006"/>
      <w:bookmarkStart w:id="52" w:name="_Toc130971843"/>
      <w:bookmarkStart w:id="53" w:name="_Toc30525"/>
      <w:bookmarkStart w:id="54" w:name="_Toc3035"/>
      <w:r>
        <w:rPr>
          <w:rFonts w:hint="eastAsia" w:ascii="仿宋_GB2312" w:hAnsi="仿宋_GB2312" w:eastAsia="仿宋_GB2312" w:cs="仿宋_GB2312"/>
          <w:sz w:val="28"/>
          <w:szCs w:val="28"/>
        </w:rPr>
        <w:t>7.投标文件的语言及度量衡单位</w:t>
      </w:r>
      <w:bookmarkEnd w:id="50"/>
      <w:bookmarkEnd w:id="51"/>
      <w:bookmarkEnd w:id="52"/>
      <w:bookmarkEnd w:id="53"/>
      <w:bookmarkEnd w:id="54"/>
    </w:p>
    <w:p w14:paraId="76F51B4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7.1投标人提交的投标文件以及投标人与集中采购机构就此投标发生的所有来往函电均应使用简体中文。除签名、盖章、专用名称等特殊情形外，以中文汉语以外的文字表述的投标文件视同未提供。</w:t>
      </w:r>
    </w:p>
    <w:p w14:paraId="21E2189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 除招标文件中另有规定外，投标文件所使用的度量衡单位，均须采用国家法定计量单位。</w:t>
      </w:r>
    </w:p>
    <w:p w14:paraId="66D8A75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附有外文资料的，须翻译成中文并加盖投标人公章，如果翻译的中文资料与外文资料存在差异和矛盾时，以中文资料为准。其准确性由投标人负责。</w:t>
      </w:r>
    </w:p>
    <w:p w14:paraId="515989A2">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55" w:name="_Toc130971844"/>
      <w:bookmarkStart w:id="56" w:name="_Toc11732"/>
      <w:bookmarkStart w:id="57" w:name="_Toc376936738"/>
      <w:bookmarkStart w:id="58" w:name="_Toc325726007"/>
      <w:bookmarkStart w:id="59" w:name="_Toc15825"/>
      <w:r>
        <w:rPr>
          <w:rFonts w:hint="eastAsia" w:ascii="仿宋_GB2312" w:hAnsi="仿宋_GB2312" w:eastAsia="仿宋_GB2312" w:cs="仿宋_GB2312"/>
          <w:sz w:val="28"/>
          <w:szCs w:val="28"/>
        </w:rPr>
        <w:t>8.投标报价及币种</w:t>
      </w:r>
      <w:bookmarkEnd w:id="55"/>
      <w:bookmarkEnd w:id="56"/>
      <w:bookmarkEnd w:id="57"/>
      <w:bookmarkEnd w:id="58"/>
      <w:bookmarkEnd w:id="59"/>
    </w:p>
    <w:p w14:paraId="02A08DE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l投标总报价必须包括：产品费、检验费、手续费、包装费、运输费、保险费、安装调试费、税金及不可预见费等全部费用。投标人须按“投标报价一览表”格式填写投标总报价，不得出现两个或两个以上的报价方案。</w:t>
      </w:r>
    </w:p>
    <w:p w14:paraId="3E78B34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8.2投标函中应注明投标有效期。</w:t>
      </w:r>
    </w:p>
    <w:p w14:paraId="0196DCB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8.3投标人应根据招标文件规定的格式完整填写所有内容，并保证所提供的全部资料真实可信，自愿承担相应责任。</w:t>
      </w:r>
    </w:p>
    <w:p w14:paraId="4AEAC12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8.4投标报价为闭口价，即中标后在合同有效期内价格不变。</w:t>
      </w:r>
    </w:p>
    <w:p w14:paraId="3CF7F42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8.5投标币种为人民币。</w:t>
      </w:r>
    </w:p>
    <w:p w14:paraId="701AA7D9">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60" w:name="_Toc325726012"/>
      <w:bookmarkStart w:id="61" w:name="_Toc376936743"/>
      <w:bookmarkStart w:id="62" w:name="_Toc26040"/>
      <w:bookmarkStart w:id="63" w:name="_Toc8712"/>
      <w:bookmarkStart w:id="64" w:name="_Toc130971845"/>
      <w:bookmarkStart w:id="65" w:name="_Toc32763"/>
      <w:bookmarkStart w:id="66" w:name="_Toc376936744"/>
      <w:bookmarkStart w:id="67" w:name="_Toc325726013"/>
      <w:r>
        <w:rPr>
          <w:rFonts w:hint="eastAsia" w:ascii="仿宋_GB2312" w:hAnsi="仿宋_GB2312" w:eastAsia="仿宋_GB2312" w:cs="仿宋_GB2312"/>
          <w:sz w:val="28"/>
          <w:szCs w:val="28"/>
        </w:rPr>
        <w:t>9.</w:t>
      </w:r>
      <w:bookmarkEnd w:id="60"/>
      <w:bookmarkEnd w:id="61"/>
      <w:r>
        <w:rPr>
          <w:rFonts w:hint="eastAsia" w:ascii="仿宋_GB2312" w:hAnsi="仿宋_GB2312" w:eastAsia="仿宋_GB2312" w:cs="仿宋_GB2312"/>
          <w:sz w:val="28"/>
          <w:szCs w:val="28"/>
        </w:rPr>
        <w:t>响应文件的编制原则</w:t>
      </w:r>
      <w:bookmarkEnd w:id="62"/>
      <w:bookmarkEnd w:id="63"/>
      <w:bookmarkEnd w:id="64"/>
      <w:bookmarkEnd w:id="65"/>
    </w:p>
    <w:p w14:paraId="725F45D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w:t>
      </w:r>
      <w:r>
        <w:rPr>
          <w:rFonts w:hint="eastAsia" w:ascii="仿宋_GB2312" w:hAnsi="仿宋_GB2312" w:eastAsia="仿宋_GB2312" w:cs="仿宋_GB2312"/>
          <w:sz w:val="28"/>
          <w:szCs w:val="28"/>
          <w:lang w:eastAsia="zh-CN"/>
        </w:rPr>
        <w:t>投标人</w:t>
      </w:r>
      <w:r>
        <w:rPr>
          <w:rFonts w:hint="eastAsia" w:ascii="仿宋_GB2312" w:hAnsi="仿宋_GB2312" w:eastAsia="仿宋_GB2312" w:cs="仿宋_GB2312"/>
          <w:sz w:val="28"/>
          <w:szCs w:val="28"/>
        </w:rPr>
        <w:t>必须按照招标文件的要求编制投标文件。投标文件必须对招标文件提出的要求和条件作出明确响应。</w:t>
      </w:r>
    </w:p>
    <w:p w14:paraId="28C61B9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9.2</w:t>
      </w:r>
      <w:r>
        <w:rPr>
          <w:rFonts w:hint="eastAsia" w:ascii="仿宋_GB2312" w:hAnsi="仿宋_GB2312" w:eastAsia="仿宋_GB2312" w:cs="仿宋_GB2312"/>
          <w:sz w:val="28"/>
          <w:szCs w:val="28"/>
          <w:lang w:val="zh-CN"/>
        </w:rPr>
        <w:t>投标人应对投标文件中所提供资料的真实性负责，若有虚假，将依法承担相应责任。投标人应自觉接受集中采购机构对其中任何资料进一步核实的要求。</w:t>
      </w:r>
    </w:p>
    <w:p w14:paraId="65CCA60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9.3</w:t>
      </w:r>
      <w:r>
        <w:rPr>
          <w:rFonts w:hint="eastAsia" w:ascii="仿宋_GB2312" w:hAnsi="仿宋_GB2312" w:eastAsia="仿宋_GB2312" w:cs="仿宋_GB2312"/>
          <w:sz w:val="28"/>
          <w:szCs w:val="28"/>
          <w:lang w:val="zh-CN"/>
        </w:rPr>
        <w:t>因投标人投标文件填报的内容不详，或没有提供招标文件中所要求的全部资料及数据等，由此产生的后果及责任由投标人自行承担。</w:t>
      </w:r>
    </w:p>
    <w:p w14:paraId="18DF4EE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p>
    <w:p w14:paraId="3C064BEF">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68" w:name="_Toc130971846"/>
      <w:bookmarkStart w:id="69" w:name="_Toc19252"/>
      <w:bookmarkStart w:id="70" w:name="_Toc24907"/>
      <w:r>
        <w:rPr>
          <w:rFonts w:hint="eastAsia" w:ascii="仿宋_GB2312" w:hAnsi="仿宋_GB2312" w:eastAsia="仿宋_GB2312" w:cs="仿宋_GB2312"/>
          <w:sz w:val="28"/>
          <w:szCs w:val="28"/>
        </w:rPr>
        <w:t>10.投标有效期</w:t>
      </w:r>
      <w:bookmarkEnd w:id="66"/>
      <w:bookmarkEnd w:id="67"/>
      <w:bookmarkEnd w:id="68"/>
      <w:bookmarkEnd w:id="69"/>
      <w:bookmarkEnd w:id="70"/>
    </w:p>
    <w:p w14:paraId="222B3F7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投标有效期为自开标之日起60天。</w:t>
      </w:r>
    </w:p>
    <w:p w14:paraId="0ED512F5">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71" w:name="_Toc376936739"/>
      <w:bookmarkStart w:id="72" w:name="_Toc5447"/>
      <w:bookmarkStart w:id="73" w:name="_Toc325726008"/>
      <w:bookmarkStart w:id="74" w:name="_Toc130971847"/>
      <w:bookmarkStart w:id="75" w:name="_Toc30241"/>
      <w:r>
        <w:rPr>
          <w:rFonts w:hint="eastAsia" w:ascii="仿宋_GB2312" w:hAnsi="仿宋_GB2312" w:eastAsia="仿宋_GB2312" w:cs="仿宋_GB2312"/>
          <w:sz w:val="28"/>
          <w:szCs w:val="28"/>
        </w:rPr>
        <w:t>11.投标文件构成</w:t>
      </w:r>
      <w:bookmarkEnd w:id="71"/>
      <w:bookmarkEnd w:id="72"/>
      <w:bookmarkEnd w:id="73"/>
      <w:bookmarkEnd w:id="74"/>
      <w:bookmarkEnd w:id="75"/>
    </w:p>
    <w:p w14:paraId="6F31CB5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11.1</w:t>
      </w:r>
      <w:r>
        <w:rPr>
          <w:rFonts w:hint="eastAsia" w:ascii="仿宋_GB2312" w:hAnsi="仿宋_GB2312" w:eastAsia="仿宋_GB2312" w:cs="仿宋_GB2312"/>
          <w:sz w:val="28"/>
          <w:szCs w:val="28"/>
        </w:rPr>
        <w:t>投标人应提交相关证明材料，作为其参加投标和中标后有能力履行合同的证明。编写的投标文件须包括以下内容（格式详见招标文件第四部分内容）：</w:t>
      </w:r>
    </w:p>
    <w:p w14:paraId="535A9AC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11.1.1资格审查部分</w:t>
      </w:r>
    </w:p>
    <w:p w14:paraId="126D19F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（1）投标函</w:t>
      </w:r>
    </w:p>
    <w:p w14:paraId="226735CA">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（2）法定代表人证明书</w:t>
      </w:r>
    </w:p>
    <w:p w14:paraId="2A387AD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（3）法定代表人授权书</w:t>
      </w:r>
    </w:p>
    <w:p w14:paraId="1C14BDF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（4）投标人承诺函</w:t>
      </w:r>
    </w:p>
    <w:p w14:paraId="49393AB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（5）供应商诚信承诺书</w:t>
      </w:r>
    </w:p>
    <w:p w14:paraId="76736CC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（6）投标人资格证明文件</w:t>
      </w:r>
    </w:p>
    <w:p w14:paraId="7CB7115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（7）财务状况、缴纳税收和社会保障资金证明</w:t>
      </w:r>
    </w:p>
    <w:p w14:paraId="5ADC845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（8）无重大违法记录声明</w:t>
      </w:r>
    </w:p>
    <w:p w14:paraId="587DAA8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11.1.2符合性审查部分</w:t>
      </w:r>
    </w:p>
    <w:p w14:paraId="2381CEC2">
      <w:pPr>
        <w:pageBreakBefore w:val="0"/>
        <w:widowControl w:val="0"/>
        <w:numPr>
          <w:ilvl w:val="0"/>
          <w:numId w:val="2"/>
        </w:numPr>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评分对照表</w:t>
      </w:r>
    </w:p>
    <w:p w14:paraId="5FAAA7A1">
      <w:pPr>
        <w:pageBreakBefore w:val="0"/>
        <w:widowControl w:val="0"/>
        <w:kinsoku/>
        <w:wordWrap/>
        <w:overflowPunct/>
        <w:topLinePunct w:val="0"/>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）投标报价一览表</w:t>
      </w:r>
    </w:p>
    <w:p w14:paraId="77B9C6B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）分项报价表</w:t>
      </w:r>
    </w:p>
    <w:p w14:paraId="3C1E4D1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）技术规格响应表</w:t>
      </w:r>
    </w:p>
    <w:p w14:paraId="0E2851D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）其他资格证明材料</w:t>
      </w:r>
    </w:p>
    <w:p w14:paraId="2F331644">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）投标产品相关资料</w:t>
      </w:r>
    </w:p>
    <w:p w14:paraId="1E6FA92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）投标人类似业绩证明材料</w:t>
      </w:r>
    </w:p>
    <w:p w14:paraId="6B3A840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）中小企业声明函</w:t>
      </w:r>
    </w:p>
    <w:p w14:paraId="241E061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）残疾人福利性单位声明函</w:t>
      </w:r>
    </w:p>
    <w:p w14:paraId="2CAD419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w:t>
      </w:r>
      <w:r>
        <w:rPr>
          <w:rFonts w:hint="eastAsia" w:ascii="仿宋_GB2312" w:hAnsi="仿宋_GB2312" w:eastAsia="仿宋_GB2312" w:cs="仿宋_GB2312"/>
          <w:b w:val="0"/>
          <w:bCs/>
          <w:sz w:val="28"/>
          <w:szCs w:val="28"/>
        </w:rPr>
        <w:t>关于符合本国产品标准的声明函</w:t>
      </w:r>
    </w:p>
    <w:p w14:paraId="742B158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）项目管理实施方案及售后服务</w:t>
      </w:r>
    </w:p>
    <w:p w14:paraId="23E75C1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）投标人在其他方面有必要说明的事项</w:t>
      </w:r>
    </w:p>
    <w:p w14:paraId="3AA0CC33">
      <w:pPr>
        <w:pageBreakBefore w:val="0"/>
        <w:widowControl w:val="0"/>
        <w:kinsoku/>
        <w:wordWrap/>
        <w:overflowPunct/>
        <w:topLinePunct w:val="0"/>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注：</w:t>
      </w:r>
      <w:r>
        <w:rPr>
          <w:rFonts w:hint="eastAsia" w:ascii="仿宋_GB2312" w:hAnsi="仿宋_GB2312" w:eastAsia="仿宋_GB2312" w:cs="仿宋_GB2312"/>
          <w:sz w:val="28"/>
          <w:szCs w:val="28"/>
          <w:lang w:val="zh-CN"/>
        </w:rPr>
        <w:t>投标文件要求签字、盖章的地方必须由供应商的法定代表人本人或委托代理人本人按要求签字、盖章；投标人提供的扫描（或复印）件均需加盖公章。供应商须按上述内容、顺序和格式编制投标响应文件，并按要求编制目录、页码，否则投标无效。</w:t>
      </w:r>
    </w:p>
    <w:p w14:paraId="48057F50">
      <w:pPr>
        <w:pStyle w:val="4"/>
        <w:pageBreakBefore w:val="0"/>
        <w:widowControl w:val="0"/>
        <w:kinsoku/>
        <w:wordWrap/>
        <w:overflowPunct/>
        <w:topLinePunct w:val="0"/>
        <w:bidi w:val="0"/>
        <w:adjustRightInd/>
        <w:snapToGrid/>
        <w:spacing w:before="0" w:beforeLines="0" w:after="0" w:afterLines="0" w:line="360" w:lineRule="exact"/>
        <w:ind w:left="0" w:leftChars="0" w:firstLine="562" w:firstLineChars="200"/>
        <w:textAlignment w:val="auto"/>
        <w:rPr>
          <w:rFonts w:hint="eastAsia" w:ascii="仿宋_GB2312" w:hAnsi="仿宋_GB2312" w:eastAsia="仿宋_GB2312" w:cs="仿宋_GB2312"/>
          <w:sz w:val="28"/>
          <w:szCs w:val="28"/>
        </w:rPr>
      </w:pPr>
      <w:bookmarkStart w:id="76" w:name="_Toc325726014"/>
      <w:bookmarkStart w:id="77" w:name="_Toc8575"/>
      <w:bookmarkStart w:id="78" w:name="_Toc376936745"/>
      <w:bookmarkStart w:id="79" w:name="_Toc130971848"/>
      <w:bookmarkStart w:id="80" w:name="_Toc15552"/>
      <w:r>
        <w:rPr>
          <w:rFonts w:hint="eastAsia" w:ascii="仿宋_GB2312" w:hAnsi="仿宋_GB2312" w:eastAsia="仿宋_GB2312" w:cs="仿宋_GB2312"/>
          <w:sz w:val="28"/>
          <w:szCs w:val="28"/>
        </w:rPr>
        <w:t>12.</w:t>
      </w:r>
      <w:bookmarkEnd w:id="76"/>
      <w:bookmarkStart w:id="81" w:name="_Toc325726015"/>
      <w:r>
        <w:rPr>
          <w:rFonts w:hint="eastAsia" w:ascii="仿宋_GB2312" w:hAnsi="仿宋_GB2312" w:eastAsia="仿宋_GB2312" w:cs="仿宋_GB2312"/>
          <w:sz w:val="28"/>
          <w:szCs w:val="28"/>
        </w:rPr>
        <w:t xml:space="preserve"> 投标文件的格式及编制要求</w:t>
      </w:r>
      <w:bookmarkEnd w:id="77"/>
      <w:bookmarkEnd w:id="78"/>
      <w:bookmarkEnd w:id="79"/>
      <w:bookmarkEnd w:id="80"/>
    </w:p>
    <w:p w14:paraId="7BD3A19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12.1</w:t>
      </w:r>
      <w:r>
        <w:rPr>
          <w:rFonts w:hint="eastAsia" w:ascii="仿宋_GB2312" w:hAnsi="仿宋_GB2312" w:eastAsia="仿宋_GB2312" w:cs="仿宋_GB2312"/>
          <w:sz w:val="28"/>
          <w:szCs w:val="28"/>
        </w:rPr>
        <w:t>投标文件格式及编制要求：详见第一部分投标人须知前附表“投标文件格式及编制要求”。</w:t>
      </w:r>
    </w:p>
    <w:p w14:paraId="052764F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rPr>
        <w:t>投标人须在 “法定代表人授权书”中提供被授权人（委托代理人）准确的联系方式（手机或固定电话）</w:t>
      </w:r>
      <w:r>
        <w:rPr>
          <w:rFonts w:hint="eastAsia" w:ascii="仿宋_GB2312" w:hAnsi="仿宋_GB2312" w:eastAsia="仿宋_GB2312" w:cs="仿宋_GB2312"/>
          <w:sz w:val="28"/>
          <w:szCs w:val="28"/>
        </w:rPr>
        <w:t>。</w:t>
      </w:r>
    </w:p>
    <w:bookmarkEnd w:id="81"/>
    <w:p w14:paraId="0576434D">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82" w:name="_Toc376936746"/>
      <w:bookmarkStart w:id="83" w:name="_Toc371090027"/>
      <w:bookmarkStart w:id="84" w:name="_Toc130971849"/>
      <w:bookmarkStart w:id="85" w:name="_Toc19443"/>
      <w:bookmarkStart w:id="86" w:name="_Toc2863"/>
      <w:r>
        <w:rPr>
          <w:rFonts w:hint="eastAsia" w:ascii="仿宋_GB2312" w:hAnsi="仿宋_GB2312" w:eastAsia="仿宋_GB2312" w:cs="仿宋_GB2312"/>
          <w:sz w:val="28"/>
          <w:szCs w:val="28"/>
        </w:rPr>
        <w:t>四、网上投标</w:t>
      </w:r>
      <w:bookmarkEnd w:id="82"/>
      <w:bookmarkEnd w:id="83"/>
      <w:bookmarkEnd w:id="84"/>
      <w:bookmarkEnd w:id="85"/>
      <w:bookmarkEnd w:id="86"/>
    </w:p>
    <w:p w14:paraId="0620C47F">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87" w:name="_Toc371090028"/>
      <w:bookmarkStart w:id="88" w:name="_Toc130971850"/>
      <w:bookmarkStart w:id="89" w:name="_Toc376936747"/>
      <w:bookmarkStart w:id="90" w:name="_Toc29678"/>
      <w:bookmarkStart w:id="91" w:name="_Toc25578"/>
      <w:r>
        <w:rPr>
          <w:rFonts w:hint="eastAsia" w:ascii="仿宋_GB2312" w:hAnsi="仿宋_GB2312" w:eastAsia="仿宋_GB2312" w:cs="仿宋_GB2312"/>
          <w:sz w:val="28"/>
          <w:szCs w:val="28"/>
        </w:rPr>
        <w:t>13.网上投标</w:t>
      </w:r>
      <w:bookmarkEnd w:id="87"/>
      <w:bookmarkEnd w:id="88"/>
      <w:bookmarkEnd w:id="89"/>
      <w:bookmarkEnd w:id="90"/>
      <w:bookmarkEnd w:id="91"/>
    </w:p>
    <w:p w14:paraId="39AB8B2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投标人应</w:t>
      </w:r>
      <w:r>
        <w:rPr>
          <w:rFonts w:hint="eastAsia" w:ascii="仿宋_GB2312" w:hAnsi="仿宋_GB2312" w:eastAsia="仿宋_GB2312" w:cs="仿宋_GB2312"/>
          <w:sz w:val="28"/>
          <w:szCs w:val="28"/>
          <w:lang w:val="zh-CN"/>
        </w:rPr>
        <w:t>按照招标文件及电子评标系统要求</w:t>
      </w:r>
      <w:r>
        <w:rPr>
          <w:rFonts w:hint="eastAsia" w:ascii="仿宋_GB2312" w:hAnsi="仿宋_GB2312" w:eastAsia="仿宋_GB2312" w:cs="仿宋_GB2312"/>
          <w:sz w:val="28"/>
          <w:szCs w:val="28"/>
        </w:rPr>
        <w:t>上传电子投标文件</w:t>
      </w:r>
      <w:r>
        <w:rPr>
          <w:rFonts w:hint="eastAsia" w:ascii="仿宋_GB2312" w:hAnsi="仿宋_GB2312" w:eastAsia="仿宋_GB2312" w:cs="仿宋_GB2312"/>
          <w:sz w:val="28"/>
          <w:szCs w:val="28"/>
          <w:lang w:val="en-US" w:eastAsia="zh-CN"/>
        </w:rPr>
        <w:t>。</w:t>
      </w:r>
    </w:p>
    <w:p w14:paraId="2D26D2F3">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b/>
          <w:bCs w:val="0"/>
          <w:sz w:val="28"/>
          <w:szCs w:val="28"/>
        </w:rPr>
      </w:pPr>
      <w:bookmarkStart w:id="92" w:name="_Toc2242"/>
      <w:bookmarkStart w:id="93" w:name="_Toc2021"/>
      <w:bookmarkStart w:id="94" w:name="_Toc19671"/>
      <w:bookmarkStart w:id="95" w:name="_Toc130971851"/>
      <w:bookmarkStart w:id="96" w:name="_Toc376936748"/>
      <w:bookmarkStart w:id="97" w:name="_Toc371090029"/>
      <w:r>
        <w:rPr>
          <w:rFonts w:hint="eastAsia" w:ascii="仿宋_GB2312" w:hAnsi="仿宋_GB2312" w:eastAsia="仿宋_GB2312" w:cs="仿宋_GB2312"/>
          <w:b/>
          <w:bCs w:val="0"/>
          <w:sz w:val="28"/>
          <w:szCs w:val="28"/>
        </w:rPr>
        <w:t>1</w:t>
      </w:r>
      <w:r>
        <w:rPr>
          <w:rFonts w:hint="eastAsia" w:ascii="仿宋_GB2312" w:hAnsi="仿宋_GB2312" w:eastAsia="仿宋_GB2312" w:cs="仿宋_GB2312"/>
          <w:b/>
          <w:bCs w:val="0"/>
          <w:sz w:val="28"/>
          <w:szCs w:val="28"/>
          <w:lang w:val="en-US" w:eastAsia="zh-CN"/>
        </w:rPr>
        <w:t>4</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zh-CN"/>
        </w:rPr>
        <w:t>投标响应文件上传的时间、地点、方式</w:t>
      </w:r>
      <w:bookmarkEnd w:id="92"/>
      <w:bookmarkEnd w:id="93"/>
      <w:bookmarkEnd w:id="94"/>
    </w:p>
    <w:p w14:paraId="0933BA7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b/>
          <w:bCs w:val="0"/>
          <w:sz w:val="28"/>
          <w:szCs w:val="28"/>
          <w:lang w:val="zh-CN"/>
        </w:rPr>
      </w:pPr>
      <w:r>
        <w:rPr>
          <w:rFonts w:hint="eastAsia" w:ascii="仿宋_GB2312" w:hAnsi="仿宋_GB2312" w:eastAsia="仿宋_GB2312" w:cs="仿宋_GB2312"/>
          <w:b w:val="0"/>
          <w:bCs/>
          <w:sz w:val="28"/>
          <w:szCs w:val="28"/>
          <w:lang w:val="zh-CN"/>
        </w:rPr>
        <w:t>投标人在招标文件要求开标截止时间前，按要求上传加密电子投标文件至评标系统，并在解密时间段内进行解密。</w:t>
      </w:r>
    </w:p>
    <w:p w14:paraId="231A9390">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98" w:name="_Toc25207"/>
      <w:bookmarkStart w:id="99" w:name="_Toc15143"/>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.投标截止日期</w:t>
      </w:r>
      <w:bookmarkEnd w:id="95"/>
      <w:bookmarkEnd w:id="96"/>
      <w:bookmarkEnd w:id="97"/>
      <w:bookmarkEnd w:id="98"/>
      <w:bookmarkEnd w:id="99"/>
    </w:p>
    <w:p w14:paraId="5CC3062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.1若采购人、集中采购机构推迟投标截止期，采购人、集中采购机构和投标人受投标截止期约束的所有权利和义务均延长至新的投标截止期。</w:t>
      </w:r>
    </w:p>
    <w:p w14:paraId="0289370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.2采购人、集中采购机构按照“投标人须知”第6条规定，通过修改招标文件延长投标截止日期，在此情况下，采购人、集中采购机构、投标人受投标截止时间制约的所有权利和义务均延长至新的截止日期。</w:t>
      </w:r>
    </w:p>
    <w:p w14:paraId="366B9CDB">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00" w:name="_Toc8400"/>
      <w:bookmarkStart w:id="101" w:name="_Toc371090030"/>
      <w:bookmarkStart w:id="102" w:name="_Toc130971852"/>
      <w:bookmarkStart w:id="103" w:name="_Toc376936749"/>
      <w:bookmarkStart w:id="104" w:name="_Toc11682"/>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.投标文件的撤回</w:t>
      </w:r>
      <w:bookmarkEnd w:id="100"/>
      <w:bookmarkEnd w:id="101"/>
      <w:bookmarkEnd w:id="102"/>
      <w:bookmarkEnd w:id="103"/>
      <w:bookmarkEnd w:id="104"/>
    </w:p>
    <w:p w14:paraId="3D4D769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允许投标人在投标截止时间前声明撤回投标文件（须以书面形式通知集中采购机构），但投标截止时间后不得撤回其投标，否则</w:t>
      </w:r>
      <w:r>
        <w:rPr>
          <w:rFonts w:hint="eastAsia" w:ascii="仿宋_GB2312" w:hAnsi="仿宋_GB2312" w:eastAsia="仿宋_GB2312" w:cs="仿宋_GB2312"/>
          <w:sz w:val="28"/>
          <w:szCs w:val="28"/>
          <w:lang w:val="zh-CN"/>
        </w:rPr>
        <w:t>由此产生的后果及责任由投标人自行承担。</w:t>
      </w:r>
    </w:p>
    <w:p w14:paraId="6A3F89B8">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05" w:name="_Toc325726019"/>
      <w:bookmarkStart w:id="106" w:name="_Toc130971853"/>
      <w:bookmarkStart w:id="107" w:name="_Toc376936750"/>
      <w:bookmarkStart w:id="108" w:name="_Toc1863"/>
      <w:bookmarkStart w:id="109" w:name="_Toc13275"/>
      <w:r>
        <w:rPr>
          <w:rFonts w:hint="eastAsia" w:ascii="仿宋_GB2312" w:hAnsi="仿宋_GB2312" w:eastAsia="仿宋_GB2312" w:cs="仿宋_GB2312"/>
          <w:sz w:val="28"/>
          <w:szCs w:val="28"/>
        </w:rPr>
        <w:t>五、开标</w:t>
      </w:r>
      <w:bookmarkEnd w:id="105"/>
      <w:bookmarkEnd w:id="106"/>
      <w:bookmarkEnd w:id="107"/>
      <w:bookmarkEnd w:id="108"/>
      <w:bookmarkEnd w:id="109"/>
    </w:p>
    <w:p w14:paraId="59D1E374">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10" w:name="_Toc325726020"/>
      <w:bookmarkStart w:id="111" w:name="_Toc376936751"/>
      <w:bookmarkStart w:id="112" w:name="_Toc130971854"/>
      <w:bookmarkStart w:id="113" w:name="_Toc3147"/>
      <w:bookmarkStart w:id="114" w:name="_Toc1634"/>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.开标</w:t>
      </w:r>
      <w:bookmarkEnd w:id="110"/>
      <w:bookmarkEnd w:id="111"/>
      <w:bookmarkEnd w:id="112"/>
      <w:bookmarkEnd w:id="113"/>
      <w:bookmarkEnd w:id="114"/>
    </w:p>
    <w:p w14:paraId="35BACBE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.1采购人、集中采购机构在青海省政府采购</w:t>
      </w:r>
      <w:r>
        <w:rPr>
          <w:rFonts w:hint="eastAsia" w:ascii="仿宋_GB2312" w:hAnsi="仿宋_GB2312" w:eastAsia="仿宋_GB2312" w:cs="仿宋_GB2312"/>
          <w:sz w:val="28"/>
          <w:szCs w:val="28"/>
          <w:lang w:eastAsia="zh-CN"/>
        </w:rPr>
        <w:t>云平台（政采云）</w:t>
      </w:r>
      <w:r>
        <w:rPr>
          <w:rFonts w:hint="eastAsia" w:ascii="仿宋_GB2312" w:hAnsi="仿宋_GB2312" w:eastAsia="仿宋_GB2312" w:cs="仿宋_GB2312"/>
          <w:sz w:val="28"/>
          <w:szCs w:val="28"/>
        </w:rPr>
        <w:t>上组织开标、评标活动，时间和地点以本招标文件中确定的为准。</w:t>
      </w:r>
    </w:p>
    <w:p w14:paraId="7C55F8B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.2 投标截止时间投标人不足三家的，不得开标。</w:t>
      </w:r>
    </w:p>
    <w:p w14:paraId="15B8216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.3开标时，潜在投标人未在</w:t>
      </w:r>
      <w:r>
        <w:rPr>
          <w:rFonts w:hint="eastAsia" w:ascii="仿宋_GB2312" w:hAnsi="仿宋_GB2312" w:eastAsia="仿宋_GB2312" w:cs="仿宋_GB2312"/>
          <w:sz w:val="28"/>
          <w:szCs w:val="28"/>
          <w:lang w:eastAsia="zh-CN"/>
        </w:rPr>
        <w:t>政采云平台</w:t>
      </w:r>
      <w:r>
        <w:rPr>
          <w:rFonts w:hint="eastAsia" w:ascii="仿宋_GB2312" w:hAnsi="仿宋_GB2312" w:eastAsia="仿宋_GB2312" w:cs="仿宋_GB2312"/>
          <w:sz w:val="28"/>
          <w:szCs w:val="28"/>
        </w:rPr>
        <w:t>上报价的，视同未参与投标。</w:t>
      </w:r>
    </w:p>
    <w:p w14:paraId="4D9FB02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4开标后，投标人在青海省政府采购电子化平台上报价与投标文件内容不一致的，以网上报价为准。若拒绝接受，其投标无效。若出现投标文件中“投标报价一览表”内容与“分项报价表”内容不一致的，以“投标报价一览表”为准；投标文件中大写金额与小写金额不一致的，以大写金额为准；单价金额小数点或百分比有明显错位的，以“投标报价一览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投标人确认后产生约束力。投标人不确认的，其投标无效。</w:t>
      </w:r>
    </w:p>
    <w:p w14:paraId="3BACC7A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.5开标工作由集中采购机构组织，采购人、采购管理、纪检监察等有关方面代表可根据采购项目的具体情况列席，并对开标过程签字确认。评标委员会成员不得参加开标活动。</w:t>
      </w:r>
    </w:p>
    <w:p w14:paraId="08889446">
      <w:pPr>
        <w:ind w:firstLine="480"/>
        <w:rPr>
          <w:rFonts w:hint="eastAsia" w:ascii="仿宋_GB2312" w:hAnsi="仿宋_GB2312" w:eastAsia="仿宋_GB2312" w:cs="仿宋_GB2312"/>
          <w:color w:val="auto"/>
          <w:sz w:val="28"/>
          <w:szCs w:val="28"/>
          <w:highlight w:val="none"/>
        </w:rPr>
      </w:pPr>
      <w:bookmarkStart w:id="115" w:name="_Toc15671"/>
      <w:bookmarkStart w:id="116" w:name="_Toc130971855"/>
      <w:bookmarkStart w:id="117" w:name="_Toc376936752"/>
      <w:bookmarkStart w:id="118" w:name="_Toc325726021"/>
      <w:r>
        <w:rPr>
          <w:rFonts w:hint="eastAsia" w:ascii="仿宋_GB2312" w:hAnsi="仿宋_GB2312" w:eastAsia="仿宋_GB2312" w:cs="仿宋_GB2312"/>
          <w:color w:val="auto"/>
          <w:sz w:val="28"/>
          <w:szCs w:val="28"/>
          <w:highlight w:val="none"/>
          <w:lang w:val="en-US" w:eastAsia="zh-CN"/>
        </w:rPr>
        <w:t>17.6</w:t>
      </w:r>
      <w:r>
        <w:rPr>
          <w:rFonts w:hint="eastAsia" w:ascii="仿宋_GB2312" w:hAnsi="仿宋_GB2312" w:eastAsia="仿宋_GB2312" w:cs="仿宋_GB2312"/>
          <w:color w:val="auto"/>
          <w:sz w:val="28"/>
          <w:szCs w:val="28"/>
          <w:highlight w:val="none"/>
        </w:rPr>
        <w:t>开标后投标人必须在规定的时间内解密文件，因投标人输入密码错误（10次输入机会）、未能按时完成解密、盖章不规范等原因导致系统无法解析、或上传的投标文件损坏无法正常打开的，将会被视为无效投标。</w:t>
      </w:r>
    </w:p>
    <w:p w14:paraId="23EF90DC">
      <w:pPr>
        <w:pStyle w:val="3"/>
        <w:pageBreakBefore w:val="0"/>
        <w:widowControl w:val="0"/>
        <w:numPr>
          <w:ilvl w:val="0"/>
          <w:numId w:val="3"/>
        </w:numPr>
        <w:kinsoku/>
        <w:wordWrap/>
        <w:overflowPunct/>
        <w:topLinePunct w:val="0"/>
        <w:autoSpaceDE/>
        <w:autoSpaceDN/>
        <w:bidi w:val="0"/>
        <w:adjustRightInd/>
        <w:snapToGrid/>
        <w:spacing w:before="0" w:beforeLines="0" w:after="0" w:afterLines="0" w:line="360" w:lineRule="exact"/>
        <w:ind w:left="0" w:leftChars="0" w:firstLine="562" w:firstLineChars="200"/>
        <w:textAlignment w:val="auto"/>
        <w:rPr>
          <w:rFonts w:hint="eastAsia" w:ascii="仿宋_GB2312" w:hAnsi="仿宋_GB2312" w:eastAsia="仿宋_GB2312" w:cs="仿宋_GB2312"/>
          <w:sz w:val="28"/>
          <w:szCs w:val="28"/>
        </w:rPr>
      </w:pPr>
      <w:bookmarkStart w:id="119" w:name="_Toc9381"/>
      <w:r>
        <w:rPr>
          <w:rFonts w:hint="eastAsia" w:ascii="仿宋_GB2312" w:hAnsi="仿宋_GB2312" w:eastAsia="仿宋_GB2312" w:cs="仿宋_GB2312"/>
          <w:sz w:val="28"/>
          <w:szCs w:val="28"/>
        </w:rPr>
        <w:t>资格审查程序及方法</w:t>
      </w:r>
      <w:bookmarkEnd w:id="115"/>
      <w:bookmarkEnd w:id="116"/>
      <w:bookmarkEnd w:id="119"/>
      <w:bookmarkStart w:id="120" w:name="_Toc130971856"/>
    </w:p>
    <w:p w14:paraId="79F0722E">
      <w:pPr>
        <w:pStyle w:val="3"/>
        <w:pageBreakBefore w:val="0"/>
        <w:widowControl w:val="0"/>
        <w:numPr>
          <w:numId w:val="0"/>
        </w:numPr>
        <w:kinsoku/>
        <w:wordWrap/>
        <w:overflowPunct/>
        <w:topLinePunct w:val="0"/>
        <w:autoSpaceDE/>
        <w:autoSpaceDN/>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21" w:name="_Toc30726"/>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资格审查程序</w:t>
      </w:r>
      <w:bookmarkEnd w:id="120"/>
      <w:bookmarkEnd w:id="121"/>
    </w:p>
    <w:p w14:paraId="2FCFF333">
      <w:pPr>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.1 开标结束后，由采购人、集中采购机构依法对投标人的资格进行审查。</w:t>
      </w:r>
    </w:p>
    <w:p w14:paraId="7581079D">
      <w:pPr>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.2 合格投标人不足3家的，不得评标。</w:t>
      </w:r>
    </w:p>
    <w:p w14:paraId="6A50B266">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22" w:name="_Toc130971857"/>
      <w:bookmarkStart w:id="123" w:name="_Toc28416"/>
      <w:bookmarkStart w:id="124" w:name="_Toc25691"/>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.资格审查不通过的情形</w:t>
      </w:r>
      <w:bookmarkEnd w:id="122"/>
      <w:bookmarkEnd w:id="123"/>
      <w:bookmarkEnd w:id="124"/>
    </w:p>
    <w:p w14:paraId="122D21F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资格审查时，投标人存在下列情况之一的，按无效投标处理：</w:t>
      </w:r>
    </w:p>
    <w:p w14:paraId="20AD18F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.1 不符合招标文件第一部分投标人须知前附表“供应商资格条件”的；</w:t>
      </w:r>
    </w:p>
    <w:p w14:paraId="0939BE3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.2 未按第11.1.1款（1）-（8）要求提供相关资料的；</w:t>
      </w:r>
    </w:p>
    <w:p w14:paraId="649EF15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.3 资格性审查部分没有按招标文件规定和要求签字、盖章的；</w:t>
      </w:r>
    </w:p>
    <w:p w14:paraId="7182E17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擅自修改招标文件规定的投标文件格式以及编制要求的</w:t>
      </w:r>
      <w:r>
        <w:rPr>
          <w:rFonts w:hint="eastAsia" w:ascii="仿宋_GB2312" w:hAnsi="仿宋_GB2312" w:eastAsia="仿宋_GB2312" w:cs="仿宋_GB2312"/>
          <w:sz w:val="28"/>
          <w:szCs w:val="28"/>
          <w:lang w:eastAsia="zh-CN"/>
        </w:rPr>
        <w:t>；</w:t>
      </w:r>
    </w:p>
    <w:p w14:paraId="28BF76E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lang w:val="en-US" w:eastAsia="zh-CN"/>
        </w:rPr>
      </w:pPr>
      <w:bookmarkStart w:id="125" w:name="_Toc130971858"/>
      <w:r>
        <w:rPr>
          <w:rFonts w:hint="eastAsia" w:ascii="仿宋_GB2312" w:hAnsi="仿宋_GB2312" w:eastAsia="仿宋_GB2312" w:cs="仿宋_GB2312"/>
          <w:sz w:val="28"/>
          <w:szCs w:val="28"/>
          <w:lang w:val="en-US" w:eastAsia="zh-CN"/>
        </w:rPr>
        <w:t xml:space="preserve">19.5 </w:t>
      </w:r>
      <w:r>
        <w:rPr>
          <w:rFonts w:hint="eastAsia" w:ascii="仿宋_GB2312" w:hAnsi="仿宋_GB2312" w:eastAsia="仿宋_GB2312" w:cs="仿宋_GB2312"/>
          <w:sz w:val="28"/>
          <w:szCs w:val="28"/>
          <w:lang w:val="zh-CN"/>
        </w:rPr>
        <w:t>招标文件中出现的其他无效投标情形。</w:t>
      </w:r>
    </w:p>
    <w:p w14:paraId="30FEA024">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26" w:name="_Toc16046"/>
      <w:bookmarkStart w:id="127" w:name="_Toc22814"/>
      <w:r>
        <w:rPr>
          <w:rFonts w:hint="eastAsia" w:ascii="仿宋_GB2312" w:hAnsi="仿宋_GB2312" w:eastAsia="仿宋_GB2312" w:cs="仿宋_GB2312"/>
          <w:sz w:val="28"/>
          <w:szCs w:val="28"/>
        </w:rPr>
        <w:t>七、评标程序及方法</w:t>
      </w:r>
      <w:bookmarkEnd w:id="117"/>
      <w:bookmarkEnd w:id="118"/>
      <w:bookmarkEnd w:id="125"/>
      <w:bookmarkEnd w:id="126"/>
      <w:bookmarkEnd w:id="127"/>
    </w:p>
    <w:p w14:paraId="7B4822FF">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28" w:name="_Toc130971859"/>
      <w:bookmarkStart w:id="129" w:name="_Toc376936753"/>
      <w:bookmarkStart w:id="130" w:name="_Toc325726022"/>
      <w:bookmarkStart w:id="131" w:name="_Toc18550"/>
      <w:bookmarkStart w:id="132" w:name="_Toc17916"/>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.评标委员会</w:t>
      </w:r>
      <w:bookmarkEnd w:id="128"/>
      <w:bookmarkEnd w:id="129"/>
      <w:bookmarkEnd w:id="130"/>
      <w:bookmarkEnd w:id="131"/>
      <w:bookmarkEnd w:id="132"/>
    </w:p>
    <w:p w14:paraId="6536C9E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.1 采购人、集中采购机构将根据采购项目的特点依法组建评标委员会，其成员由具有一定专业水平的技术、经济等方面的专家和采购人代表等五人以上单数组成。其中技术、经济等方面的专家不少于成员总数的三分之二。</w:t>
      </w:r>
    </w:p>
    <w:p w14:paraId="31B5DF6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.2评标由采购人、集中采购机构负责组织，具体评标事务由依法组建的评标委员会负责，并独立履行下列职责：</w:t>
      </w:r>
    </w:p>
    <w:p w14:paraId="7008CE4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（1）审查、评价投标文件是否符合招标文件的商务、技术等实质性要求；</w:t>
      </w:r>
    </w:p>
    <w:p w14:paraId="4DEC031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（2）要求投标人对投标文件有关事项作出澄清或者说明；</w:t>
      </w:r>
    </w:p>
    <w:p w14:paraId="246E0D0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（3）对投标文件进行比较和评价；</w:t>
      </w:r>
    </w:p>
    <w:p w14:paraId="35D8613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（4）确定中标候选人名单，以及根据采购人委托直接确定中标人；</w:t>
      </w:r>
    </w:p>
    <w:p w14:paraId="0702B07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（5）向采购人、集中采购机构或者有关部门报告评标中发现的违法行为。</w:t>
      </w:r>
    </w:p>
    <w:p w14:paraId="3747F90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.3评标委员会应遵守并履行下列义务：</w:t>
      </w:r>
    </w:p>
    <w:p w14:paraId="2F2FDD54">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（1）遵纪守法，客观、公正、廉洁地履行职责；</w:t>
      </w:r>
    </w:p>
    <w:p w14:paraId="3C5F429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（2）按照招标文件规定的评标方法和评标标准进行评审，对评审意见承担评标委员会成员责任；</w:t>
      </w:r>
    </w:p>
    <w:p w14:paraId="6940271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（3）对评标文件、评标情况和评标中获悉的商业秘密保密；</w:t>
      </w:r>
    </w:p>
    <w:p w14:paraId="255B9BC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（4）参与评标报告的起草；</w:t>
      </w:r>
    </w:p>
    <w:p w14:paraId="20ECF86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（5）解答投标供应商及有关方面的质疑；</w:t>
      </w:r>
    </w:p>
    <w:p w14:paraId="5E0E6A9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（6）配合监管部门进行投诉处理工作。</w:t>
      </w:r>
    </w:p>
    <w:p w14:paraId="31878D34">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.4评标工作在有关部门的监督下依法开展，任何单位和个人不得非法干预、影响评标工作和评标结果。</w:t>
      </w:r>
    </w:p>
    <w:p w14:paraId="5FAD3A6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.5 评标委员会应依据招标文件规定的评标方法和评标标准对其他因素进行客观评审。评标委员会成员对需要共同认定的事项存在争议的，应当按照少数服从多数的原则作出结论。持不同意见的评标委员会成员，应当在评标报告上签署不同意见及理由，否则视为同意评标报告。</w:t>
      </w:r>
    </w:p>
    <w:p w14:paraId="45729C8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.6 评标委员会发现招标文件存在歧义、重大缺陷导致评标工作无法进行，或者招标文件内容违反国家有关强制性规定的，应当停止评标工作，与采购人、集中采购机构沟通并作书面记录。采购人、集中采购机构确认后，应当修改招标文件，重新组织采购活动。</w:t>
      </w:r>
    </w:p>
    <w:p w14:paraId="6236C527">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33" w:name="_Toc130971860"/>
      <w:bookmarkStart w:id="134" w:name="_Toc376936754"/>
      <w:bookmarkStart w:id="135" w:name="_Toc325726023"/>
      <w:bookmarkStart w:id="136" w:name="_Toc2257"/>
      <w:bookmarkStart w:id="137" w:name="_Toc29858"/>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.评标工作程序</w:t>
      </w:r>
      <w:bookmarkEnd w:id="133"/>
      <w:bookmarkEnd w:id="134"/>
      <w:bookmarkEnd w:id="135"/>
      <w:bookmarkEnd w:id="136"/>
      <w:bookmarkEnd w:id="137"/>
    </w:p>
    <w:p w14:paraId="76D4036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.1进入符合性评标阶段后，由评标委员会独立开展评标工作，负责审议资格性审查通过的所有投标文件，并对投标文件进行评审、评分。</w:t>
      </w:r>
    </w:p>
    <w:p w14:paraId="3BF5808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.2 符合性审查时，存在下列情况之一的，按无效投标处理：</w:t>
      </w:r>
    </w:p>
    <w:p w14:paraId="0F5B63D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未按第11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CN"/>
        </w:rPr>
        <w:t>1.2款（</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rPr>
        <w:t>）要求提供相关资料的；</w:t>
      </w:r>
    </w:p>
    <w:p w14:paraId="47294DE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（2）符合性审查部分没有按招标文件规定和要求签字、盖章的；</w:t>
      </w:r>
    </w:p>
    <w:p w14:paraId="35C9856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（3）投标人网上报价与投标文件报价不一致且不接受网上报价的；或出现两个或两个以上报价方案的；</w:t>
      </w:r>
    </w:p>
    <w:p w14:paraId="46CF324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（4）产品交货期、质保期、投标有效期不能满足招标文件要求的；</w:t>
      </w:r>
    </w:p>
    <w:p w14:paraId="3D4198C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（5）投标总报价超过招标文件规定的采购预算或者最高限价的；</w:t>
      </w:r>
    </w:p>
    <w:p w14:paraId="6C50983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（6）投标产品的技术规格、技术标准明显不符合采购项目要求的；</w:t>
      </w:r>
    </w:p>
    <w:p w14:paraId="74DA7DF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（7）投标产品未完全满足招标文件确定的重要技术指标、参数的；</w:t>
      </w:r>
    </w:p>
    <w:p w14:paraId="433B2D2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（8）投标文件含有采购人不能接受的附加条件的；</w:t>
      </w:r>
    </w:p>
    <w:p w14:paraId="62D4637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（9）评标委员会认为应按无效投标处理的其他情况；</w:t>
      </w:r>
    </w:p>
    <w:p w14:paraId="14F4227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（10）法律、法规规定的其他情形。</w:t>
      </w:r>
    </w:p>
    <w:p w14:paraId="7490E33F">
      <w:pPr>
        <w:autoSpaceDE w:val="0"/>
        <w:autoSpaceDN w:val="0"/>
        <w:adjustRightInd w:val="0"/>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 xml:space="preserve">.3 </w:t>
      </w:r>
      <w:r>
        <w:rPr>
          <w:rFonts w:hint="eastAsia" w:ascii="仿宋_GB2312" w:hAnsi="仿宋_GB2312" w:eastAsia="仿宋_GB2312" w:cs="仿宋_GB2312"/>
          <w:color w:val="auto"/>
          <w:sz w:val="28"/>
          <w:szCs w:val="28"/>
          <w:highlight w:val="none"/>
        </w:rPr>
        <w:t>按《关于推动解决政府采购异常低价问题的通知》</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财库〔</w:t>
      </w:r>
      <w:r>
        <w:rPr>
          <w:rFonts w:hint="eastAsia" w:ascii="仿宋_GB2312" w:hAnsi="仿宋_GB2312" w:eastAsia="仿宋_GB2312" w:cs="仿宋_GB2312"/>
          <w:color w:val="auto"/>
          <w:sz w:val="28"/>
          <w:szCs w:val="28"/>
          <w:highlight w:val="none"/>
        </w:rPr>
        <w:t>20</w:t>
      </w:r>
      <w:r>
        <w:rPr>
          <w:rFonts w:hint="eastAsia" w:ascii="仿宋_GB2312" w:hAnsi="仿宋_GB2312" w:eastAsia="仿宋_GB2312" w:cs="仿宋_GB2312"/>
          <w:color w:val="auto"/>
          <w:sz w:val="28"/>
          <w:szCs w:val="28"/>
          <w:highlight w:val="none"/>
          <w:lang w:val="en-US" w:eastAsia="zh-CN"/>
        </w:rPr>
        <w:t>26〕2</w:t>
      </w:r>
      <w:r>
        <w:rPr>
          <w:rFonts w:hint="eastAsia" w:ascii="仿宋_GB2312" w:hAnsi="仿宋_GB2312" w:eastAsia="仿宋_GB2312" w:cs="仿宋_GB2312"/>
          <w:color w:val="auto"/>
          <w:sz w:val="28"/>
          <w:szCs w:val="28"/>
          <w:highlight w:val="none"/>
        </w:rPr>
        <w:t>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要求，政府采购评审中出现下列情形之一的，评审委员会应当启动异常低价投标（响应）审查程序：</w:t>
      </w:r>
    </w:p>
    <w:p w14:paraId="79B314D2">
      <w:pPr>
        <w:ind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（1）投标（响应）报价低于全部通过符合性审查供应商投标（响应）报价平均值</w:t>
      </w:r>
      <w:r>
        <w:rPr>
          <w:rFonts w:hint="eastAsia" w:ascii="仿宋_GB2312" w:hAnsi="仿宋_GB2312" w:eastAsia="仿宋_GB2312" w:cs="仿宋_GB2312"/>
          <w:color w:val="auto"/>
          <w:sz w:val="28"/>
          <w:szCs w:val="28"/>
          <w:highlight w:val="none"/>
          <w:lang w:val="en-US" w:eastAsia="zh-CN"/>
        </w:rPr>
        <w:t>50</w:t>
      </w:r>
      <w:r>
        <w:rPr>
          <w:rFonts w:hint="eastAsia" w:ascii="仿宋_GB2312" w:hAnsi="仿宋_GB2312" w:eastAsia="仿宋_GB2312" w:cs="仿宋_GB2312"/>
          <w:color w:val="auto"/>
          <w:sz w:val="28"/>
          <w:szCs w:val="28"/>
          <w:highlight w:val="none"/>
        </w:rPr>
        <w:t>%的，即投标（响应）报价&lt;全部通过符合性审查供应商投标（响应）报价平均值×</w:t>
      </w:r>
      <w:r>
        <w:rPr>
          <w:rFonts w:hint="eastAsia" w:ascii="仿宋_GB2312" w:hAnsi="仿宋_GB2312" w:eastAsia="仿宋_GB2312" w:cs="仿宋_GB2312"/>
          <w:color w:val="auto"/>
          <w:sz w:val="28"/>
          <w:szCs w:val="28"/>
          <w:highlight w:val="none"/>
          <w:lang w:val="en-US" w:eastAsia="zh-CN"/>
        </w:rPr>
        <w:t>50</w:t>
      </w:r>
      <w:r>
        <w:rPr>
          <w:rFonts w:hint="eastAsia" w:ascii="仿宋_GB2312" w:hAnsi="仿宋_GB2312" w:eastAsia="仿宋_GB2312" w:cs="仿宋_GB2312"/>
          <w:color w:val="auto"/>
          <w:sz w:val="28"/>
          <w:szCs w:val="28"/>
          <w:highlight w:val="none"/>
        </w:rPr>
        <w:t>%；</w:t>
      </w:r>
    </w:p>
    <w:p w14:paraId="4B75CA4F">
      <w:pPr>
        <w:ind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（2）投标（响应）报价低于通过符合性审查的次低报价供应商投标（响应）报价</w:t>
      </w:r>
      <w:r>
        <w:rPr>
          <w:rFonts w:hint="eastAsia" w:ascii="仿宋_GB2312" w:hAnsi="仿宋_GB2312" w:eastAsia="仿宋_GB2312" w:cs="仿宋_GB2312"/>
          <w:color w:val="auto"/>
          <w:sz w:val="28"/>
          <w:szCs w:val="28"/>
          <w:highlight w:val="none"/>
          <w:lang w:val="en-US" w:eastAsia="zh-CN"/>
        </w:rPr>
        <w:t>50</w:t>
      </w:r>
      <w:r>
        <w:rPr>
          <w:rFonts w:hint="eastAsia" w:ascii="仿宋_GB2312" w:hAnsi="仿宋_GB2312" w:eastAsia="仿宋_GB2312" w:cs="仿宋_GB2312"/>
          <w:color w:val="auto"/>
          <w:sz w:val="28"/>
          <w:szCs w:val="28"/>
          <w:highlight w:val="none"/>
        </w:rPr>
        <w:t>%的，即投标（响应）报价&lt;通过符合性审查的次低报价供应商投标（响应）报价×</w:t>
      </w:r>
      <w:r>
        <w:rPr>
          <w:rFonts w:hint="eastAsia" w:ascii="仿宋_GB2312" w:hAnsi="仿宋_GB2312" w:eastAsia="仿宋_GB2312" w:cs="仿宋_GB2312"/>
          <w:color w:val="auto"/>
          <w:sz w:val="28"/>
          <w:szCs w:val="28"/>
          <w:highlight w:val="none"/>
          <w:lang w:val="en-US" w:eastAsia="zh-CN"/>
        </w:rPr>
        <w:t>50</w:t>
      </w:r>
      <w:r>
        <w:rPr>
          <w:rFonts w:hint="eastAsia" w:ascii="仿宋_GB2312" w:hAnsi="仿宋_GB2312" w:eastAsia="仿宋_GB2312" w:cs="仿宋_GB2312"/>
          <w:color w:val="auto"/>
          <w:sz w:val="28"/>
          <w:szCs w:val="28"/>
          <w:highlight w:val="none"/>
        </w:rPr>
        <w:t>%；</w:t>
      </w:r>
    </w:p>
    <w:p w14:paraId="68F65E48">
      <w:pPr>
        <w:ind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（3）投标（响应）报价低于采购项目最高限价</w:t>
      </w:r>
      <w:r>
        <w:rPr>
          <w:rFonts w:hint="eastAsia" w:ascii="仿宋_GB2312" w:hAnsi="仿宋_GB2312" w:eastAsia="仿宋_GB2312" w:cs="仿宋_GB2312"/>
          <w:color w:val="auto"/>
          <w:sz w:val="28"/>
          <w:szCs w:val="28"/>
          <w:highlight w:val="none"/>
          <w:lang w:val="en-US" w:eastAsia="zh-CN"/>
        </w:rPr>
        <w:t>45</w:t>
      </w:r>
      <w:r>
        <w:rPr>
          <w:rFonts w:hint="eastAsia" w:ascii="仿宋_GB2312" w:hAnsi="仿宋_GB2312" w:eastAsia="仿宋_GB2312" w:cs="仿宋_GB2312"/>
          <w:color w:val="auto"/>
          <w:sz w:val="28"/>
          <w:szCs w:val="28"/>
          <w:highlight w:val="none"/>
        </w:rPr>
        <w:t>%的，即投标（响应）报价&lt;采购项目最高限价×</w:t>
      </w:r>
      <w:r>
        <w:rPr>
          <w:rFonts w:hint="eastAsia" w:ascii="仿宋_GB2312" w:hAnsi="仿宋_GB2312" w:eastAsia="仿宋_GB2312" w:cs="仿宋_GB2312"/>
          <w:color w:val="auto"/>
          <w:sz w:val="28"/>
          <w:szCs w:val="28"/>
          <w:highlight w:val="none"/>
          <w:lang w:val="en-US" w:eastAsia="zh-CN"/>
        </w:rPr>
        <w:t>45</w:t>
      </w:r>
      <w:r>
        <w:rPr>
          <w:rFonts w:hint="eastAsia" w:ascii="仿宋_GB2312" w:hAnsi="仿宋_GB2312" w:eastAsia="仿宋_GB2312" w:cs="仿宋_GB2312"/>
          <w:color w:val="auto"/>
          <w:sz w:val="28"/>
          <w:szCs w:val="28"/>
          <w:highlight w:val="none"/>
        </w:rPr>
        <w:t>%；</w:t>
      </w:r>
    </w:p>
    <w:p w14:paraId="41CF548B">
      <w:pPr>
        <w:ind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（4）评审委员会基于专业判断，认为供应商报价过低，有可能影响产品质量或者不能诚信履约的其他情形。</w:t>
      </w:r>
    </w:p>
    <w:p w14:paraId="0AF82CC3">
      <w:pPr>
        <w:ind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供应商不能证明其报价合理性的，评审委员会应当将其作为无效投标（响应）处理。</w:t>
      </w:r>
    </w:p>
    <w:p w14:paraId="7ED74C2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.4 在项目评标时，单一产品采购项目，提供相同品牌产品且通过资格审查、符合性审查的不同投标人参加同一合同项(或同一包)下投标的，按一家投标人计算，评审后得分最高的同品牌投标人获得中标人推荐资格；评审得分相同的，采取评标委员会随机抽取或推荐的方式确定，其他同品牌投标人不作为中标候选人。</w:t>
      </w:r>
    </w:p>
    <w:p w14:paraId="5BB46D6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非单一产品采购项目，采购人根据采购项目技术构成、产品价格比重等合理确定核心产品（具体内容详见“采购一览表及技术参数”中规定的核心产品），提供核心产品品牌相同且通过资格审查、符合性审查的不同投标人参加同一合同项(或同一包)下投标的，按一家投标人计算 ，评审后得分最高的同核心产品投标人获得中标人推荐资格；评审得分相同的，采取评标委员会随机抽取或推荐的方式确定，其他核心产品品牌相同的投标人不作为中标候选人。</w:t>
      </w:r>
    </w:p>
    <w:p w14:paraId="78C90096">
      <w:pPr>
        <w:pStyle w:val="4"/>
        <w:pageBreakBefore w:val="0"/>
        <w:widowControl w:val="0"/>
        <w:kinsoku/>
        <w:wordWrap/>
        <w:overflowPunct/>
        <w:topLinePunct w:val="0"/>
        <w:bidi w:val="0"/>
        <w:adjustRightInd/>
        <w:snapToGrid/>
        <w:spacing w:before="0" w:beforeLines="0" w:after="0" w:afterLines="0" w:line="360" w:lineRule="exact"/>
        <w:ind w:left="0" w:leftChars="0" w:firstLine="562" w:firstLineChars="200"/>
        <w:textAlignment w:val="auto"/>
        <w:rPr>
          <w:rFonts w:hint="eastAsia" w:ascii="仿宋_GB2312" w:hAnsi="仿宋_GB2312" w:eastAsia="仿宋_GB2312" w:cs="仿宋_GB2312"/>
          <w:sz w:val="28"/>
          <w:szCs w:val="28"/>
        </w:rPr>
      </w:pPr>
      <w:bookmarkStart w:id="138" w:name="_Toc5656"/>
      <w:bookmarkStart w:id="139" w:name="_Toc130971861"/>
      <w:bookmarkStart w:id="140" w:name="_Toc17637"/>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.答疑的方式和情形</w:t>
      </w:r>
      <w:bookmarkEnd w:id="138"/>
      <w:bookmarkEnd w:id="139"/>
      <w:bookmarkEnd w:id="140"/>
    </w:p>
    <w:p w14:paraId="1E3DAD7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.1 答疑方式：详见第一部分投标人须知前附表“答疑方式”。</w:t>
      </w:r>
    </w:p>
    <w:p w14:paraId="631BAF3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.2 对于投标文件中含义不明确、同类问题表述不一致或者有明显文字和计算错误的内容，评标委员会应当要求投标人作出必要的澄清、说明或者补正。投标人的澄清、说明或者补正不得超出投标文件的范围或者改变投标文件的实质性内容，并作为投标文件的组成部分。</w:t>
      </w:r>
    </w:p>
    <w:p w14:paraId="59FD585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.3 答疑期间，投标人存在以下情况的，澄清、说明的内容将不予接受，评标委员会将按照招标文件的要求对现有的投标资料做出评审意见：</w:t>
      </w:r>
    </w:p>
    <w:p w14:paraId="4AC9D52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（1）拒绝或在规定的时间内未做出澄清、说明；</w:t>
      </w:r>
    </w:p>
    <w:p w14:paraId="3AF5595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（2）投标人的澄清、说明或者补正超出投标文件的范围或者改变投标文件的实质性内容；</w:t>
      </w:r>
    </w:p>
    <w:p w14:paraId="2116D72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（3）澄清、说明的内容仍不能说明问题的；</w:t>
      </w:r>
    </w:p>
    <w:p w14:paraId="755063A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（4）投标人主动提出的澄清、说明的内容；</w:t>
      </w:r>
    </w:p>
    <w:p w14:paraId="097F701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（5）评标委员会认为应不予接受的其他情况。</w:t>
      </w:r>
    </w:p>
    <w:p w14:paraId="6F6D7DF3">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41" w:name="_Toc130971862"/>
      <w:bookmarkStart w:id="142" w:name="_Toc376936755"/>
      <w:bookmarkStart w:id="143" w:name="_Toc325726024"/>
      <w:bookmarkStart w:id="144" w:name="_Toc3310"/>
      <w:bookmarkStart w:id="145" w:name="_Toc19372"/>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.评标办法</w:t>
      </w:r>
      <w:bookmarkEnd w:id="141"/>
      <w:bookmarkEnd w:id="142"/>
      <w:bookmarkEnd w:id="143"/>
      <w:bookmarkEnd w:id="144"/>
      <w:bookmarkEnd w:id="145"/>
    </w:p>
    <w:p w14:paraId="64F3CDE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.1依照《中华人民共和国政府采购法》、《中华人民共和国政府采购法实施条例》、财政部《政府采购货物和服务招标投标管理办法》的规定，结合该项目的特点制定本评标办法，本次评标采用综合评分法。</w:t>
      </w:r>
    </w:p>
    <w:p w14:paraId="09E65319">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本次综合评分的主要因素是：投标报价、技术水平、履约及售后服务能力等。评标过程中，在同等条件下，优先采购具有环境标志、节能、自主创新的产品。</w:t>
      </w:r>
    </w:p>
    <w:p w14:paraId="2C0F763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政府采购促进中小企业发展管理办法》，属中小企业制造的货物（产品），投标人须提供《中小企业声明函》（详见附件15），其划型标准严格按照国家工信部、国家统计局、国家发改委、财政部出台的《中小企业划型标准规定》（工信部联企业[2011]300号）执行。投标人提供的《中小企业声明函》资料必须真实，如有虚假，将依法承担相应责任。</w:t>
      </w:r>
    </w:p>
    <w:p w14:paraId="0D6DED6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财政部、民政部、中国残疾人联合会出台的《关于促进残疾人就业政府采购政策的通知》（财库[2017]141号），属残疾人福利性单位的，投标人须提供《残疾人福利性单位声明函》（详见附件16），并由投标人加盖公章，残疾人福利性单位视同小微型企业，享受预留份额、评标中价格扣除等促进中小企业发展的政府采购政策。向残疾人福利性单位采购的金额，计入面向中小企业采购的统计数据。投标人提供的《残疾人福利性单位声明函》资料必须真实，如有虚假，将依法承担相应责任。</w:t>
      </w:r>
    </w:p>
    <w:p w14:paraId="36FE542A">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本项目是否为本国产品标准的适用范围：是☑ 否□ </w:t>
      </w:r>
    </w:p>
    <w:p w14:paraId="1586B737">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根据《国务院办公厅关于在政府采购中实施本国产品标准及相关政策的通知》（国办发〔2025〕34 号）（以下简称《通知》）的规定，供应商提供的产品符合本国产品标准的，须提供《关于符合本国产品标准的声明函》（以下简称《声明函》）或财 </w:t>
      </w:r>
    </w:p>
    <w:p w14:paraId="3F6114A5">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政部会同有关部门规定的有关证明文件。提供符合要求的《声明函》或有关证明文件的，该产品视为本国产品。供应商提供虚假《声明函》、虚假证明文件谋取成交的，依照《中华人民共和国政府采购法》等法律法规规定追究相应责任。 </w:t>
      </w:r>
    </w:p>
    <w:p w14:paraId="666C9E48">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评标委员会应对《声明函》的完整性、准确性进行审查，评审中发现《声明函》 内容含义不明确、同类事项与响应文件表述不一致或者有明显文字错误等情况的，应当以书面形式（通过电子交易系统交换数据电文）要求供应商作出必要的澄清、说明或者补正。给予供应商提交澄清说明或补正的时间为 60 分钟，供应商已经明确表示 </w:t>
      </w:r>
    </w:p>
    <w:p w14:paraId="68F7EC64">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澄清说明或补正完毕的除外。未在规定时间内进行澄清补正，视同默认原文相关内容。经澄清、说明或者补正的《声明函》仍然不符合《通知》规定要求的，供应商提供的相关产品视为不符合本国产品标准。 </w:t>
      </w:r>
    </w:p>
    <w:p w14:paraId="6F199037">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本国产品标准</w:t>
      </w:r>
    </w:p>
    <w:p w14:paraId="4AF629E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本国产品应当符合以下条件： </w:t>
      </w:r>
    </w:p>
    <w:p w14:paraId="00FCC914">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（一）在中国境内生产 </w:t>
      </w:r>
    </w:p>
    <w:p w14:paraId="101A2ECA">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产品应当在中国境内生产（在国内保税区、综合保税区等海关特殊监管区域生产的产品，属于在中国境内生产的产品；对医疗器械产品，取得药品监督管理部门授予的准字号医疗器械注册证的，属于在中国境内生产的产品；其他产品，根据实际情况 判断是否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 </w:t>
      </w:r>
    </w:p>
    <w:p w14:paraId="0F11D39D">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1.为确保产品在运输或者储存期间保持某种状态而进行的操作； </w:t>
      </w:r>
    </w:p>
    <w:p w14:paraId="277043C2">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2.为产品运输或者销售进行的包装或者展示； </w:t>
      </w:r>
    </w:p>
    <w:p w14:paraId="0F78FF1E">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3.在产品或者其包装上粘贴或者印刷品牌、标志、标识以及其他用于区别的标记； </w:t>
      </w:r>
    </w:p>
    <w:p w14:paraId="6A7D398F">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4.简单的上漆、磨光和分装； </w:t>
      </w:r>
    </w:p>
    <w:p w14:paraId="6AB1639B">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5.其他不属于属性改变的情形。 </w:t>
      </w:r>
    </w:p>
    <w:p w14:paraId="6672206E">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（二）在中国境内生产的组件成本占比达到规定比例 </w:t>
      </w:r>
    </w:p>
    <w:p w14:paraId="583D37A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color w:val="auto"/>
          <w:sz w:val="28"/>
          <w:szCs w:val="28"/>
        </w:rPr>
        <w:t>产品在中国境内生产的组件成本占比应当达到规定比例</w:t>
      </w:r>
      <w:r>
        <w:rPr>
          <w:rFonts w:hint="eastAsia" w:ascii="仿宋_GB2312" w:hAnsi="仿宋_GB2312" w:eastAsia="仿宋_GB2312" w:cs="仿宋_GB2312"/>
          <w:color w:val="auto"/>
          <w:sz w:val="28"/>
          <w:szCs w:val="28"/>
        </w:rPr>
        <w:t>，计算公式为：</w:t>
      </w:r>
    </w:p>
    <w:p w14:paraId="54BA20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rPr>
      </w:pPr>
      <w:r>
        <w:rPr>
          <w:rFonts w:hint="eastAsia" w:ascii="宋体" w:hAnsi="宋体" w:eastAsia="宋体" w:cs="宋体"/>
          <w:color w:val="auto"/>
        </w:rPr>
        <w:drawing>
          <wp:inline distT="0" distB="0" distL="114300" distR="114300">
            <wp:extent cx="4829175" cy="762000"/>
            <wp:effectExtent l="0" t="0" r="9525"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tretch>
                      <a:fillRect/>
                    </a:stretch>
                  </pic:blipFill>
                  <pic:spPr>
                    <a:xfrm>
                      <a:off x="0" y="0"/>
                      <a:ext cx="4829175" cy="762000"/>
                    </a:xfrm>
                    <a:prstGeom prst="rect">
                      <a:avLst/>
                    </a:prstGeom>
                    <a:noFill/>
                    <a:ln>
                      <a:noFill/>
                    </a:ln>
                  </pic:spPr>
                </pic:pic>
              </a:graphicData>
            </a:graphic>
          </wp:inline>
        </w:drawing>
      </w:r>
    </w:p>
    <w:p w14:paraId="2051049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本项目</w:t>
      </w:r>
      <w:r>
        <w:rPr>
          <w:rFonts w:hint="eastAsia" w:ascii="仿宋_GB2312" w:hAnsi="仿宋_GB2312" w:eastAsia="仿宋_GB2312" w:cs="仿宋_GB2312"/>
          <w:b w:val="0"/>
          <w:bCs w:val="0"/>
          <w:color w:val="auto"/>
          <w:sz w:val="28"/>
          <w:szCs w:val="28"/>
        </w:rPr>
        <w:t>产品在中国境内生产的组件成本占比</w:t>
      </w:r>
      <w:r>
        <w:rPr>
          <w:rFonts w:hint="eastAsia" w:ascii="仿宋_GB2312" w:hAnsi="仿宋_GB2312" w:eastAsia="仿宋_GB2312" w:cs="仿宋_GB2312"/>
          <w:b w:val="0"/>
          <w:bCs w:val="0"/>
          <w:color w:val="auto"/>
          <w:sz w:val="28"/>
          <w:szCs w:val="28"/>
          <w:lang w:val="en-US" w:eastAsia="zh-CN"/>
        </w:rPr>
        <w:t>为：</w:t>
      </w:r>
      <w:r>
        <w:rPr>
          <w:rFonts w:hint="eastAsia" w:ascii="仿宋_GB2312" w:hAnsi="仿宋_GB2312" w:eastAsia="仿宋_GB2312" w:cs="仿宋_GB2312"/>
          <w:b w:val="0"/>
          <w:bCs w:val="0"/>
          <w:color w:val="auto"/>
          <w:sz w:val="28"/>
          <w:szCs w:val="28"/>
          <w:u w:val="single"/>
          <w:lang w:val="en-US" w:eastAsia="zh-CN"/>
        </w:rPr>
        <w:t xml:space="preserve"> / </w:t>
      </w:r>
      <w:r>
        <w:rPr>
          <w:rFonts w:hint="eastAsia" w:ascii="仿宋_GB2312" w:hAnsi="仿宋_GB2312" w:eastAsia="仿宋_GB2312" w:cs="仿宋_GB2312"/>
          <w:b w:val="0"/>
          <w:bCs w:val="0"/>
          <w:color w:val="auto"/>
          <w:sz w:val="28"/>
          <w:szCs w:val="28"/>
          <w:lang w:val="en-US" w:eastAsia="zh-CN"/>
        </w:rPr>
        <w:t>%</w:t>
      </w:r>
    </w:p>
    <w:p w14:paraId="3D165905">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财政部会同有关行业主管部门，分产品确定在中国境内生产的组件成本占比应当达到的规定比例。在分产品的中国境内生产的组件成本占比相关要求实施前，符合上述第一条第（一）项条件的产品在政府采购活动中视同本国产品。 </w:t>
      </w:r>
    </w:p>
    <w:p w14:paraId="050B0EB6">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（三）特定产品的关键组件、关键工序符合相关要求 </w:t>
      </w:r>
    </w:p>
    <w:p w14:paraId="5E475D61">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对特定产品，在符合上述第一条第（一）项和第（二）项条件的基础上，应当符合财政部会同有关行业主管部门确定的其关键组件、关键工序在中国境内生产、完成等要求。 </w:t>
      </w:r>
    </w:p>
    <w:p w14:paraId="276B360B">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财政部会同有关行业主管部门自本通知施行之日起 5 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 3—5 年过渡期，逐步建立政府采购中本国产品标准体系和动态调整机制。 </w:t>
      </w:r>
    </w:p>
    <w:p w14:paraId="2BA62072">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二、本国产品标准的适用范围 </w:t>
      </w:r>
    </w:p>
    <w:p w14:paraId="6DAFEBE1">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1E19E428">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三、对本国产品的支持政策 </w:t>
      </w:r>
    </w:p>
    <w:p w14:paraId="4656F79B">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政府采购活动中既有本国产品又有非本国产品参与竞争的，依法对本国产品给予价格评审优惠，对本国产品的报价给予20%的价格扣除，用扣除后的价格参与评审。 </w:t>
      </w:r>
    </w:p>
    <w:p w14:paraId="24B7D51A">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 </w:t>
      </w:r>
    </w:p>
    <w:p w14:paraId="40E6E982">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四、政策执行要求 </w:t>
      </w:r>
    </w:p>
    <w:p w14:paraId="4203402A">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bidi="ar"/>
        </w:rPr>
        <w:t xml:space="preserve">（一）产品在中国境内生产的组件成本核算规则。产品在中国境内生产的组件成本，按照《中国境内生产的组件成本核算基本规则》计算。 </w:t>
      </w:r>
    </w:p>
    <w:p w14:paraId="53ED36D6">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（二）中华人民共和国缔结或者共同参加的国际条约、协定对政府采购中本国产品政策另有规定的，按照有关条约、协定执行。</w:t>
      </w:r>
    </w:p>
    <w:p w14:paraId="7302364D">
      <w:pPr>
        <w:pageBreakBefore w:val="0"/>
        <w:widowControl w:val="0"/>
        <w:kinsoku/>
        <w:wordWrap/>
        <w:overflowPunct/>
        <w:topLinePunct w:val="0"/>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.2 比较与评价：评标委员会将按招标文件中规定的评标办法和标准，对符合性审查合格的投标文件进行综合比较与评价。即在最大限度地满足招标文件实质性要求的前提下，按照招标文件中规定的各项因素进行综合评审，以评标总得分由高到低排序推荐预中标候选人。若得分相同时，按投标报价由低到高顺序排列；得分相同且报价相同的，按技术指标优劣顺序排列。</w:t>
      </w:r>
    </w:p>
    <w:p w14:paraId="019BA2E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48CDCA3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评标标准和分值分配：</w:t>
      </w:r>
    </w:p>
    <w:p w14:paraId="77DA6BD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bl>
      <w:tblPr>
        <w:tblStyle w:val="15"/>
        <w:tblW w:w="91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6"/>
        <w:gridCol w:w="1485"/>
        <w:gridCol w:w="990"/>
        <w:gridCol w:w="5731"/>
      </w:tblGrid>
      <w:tr w14:paraId="673FF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986" w:type="dxa"/>
            <w:tcBorders>
              <w:top w:val="single" w:color="auto" w:sz="4" w:space="0"/>
              <w:left w:val="single" w:color="auto" w:sz="4" w:space="0"/>
              <w:bottom w:val="single" w:color="auto" w:sz="4" w:space="0"/>
              <w:right w:val="single" w:color="auto" w:sz="4" w:space="0"/>
            </w:tcBorders>
            <w:noWrap w:val="0"/>
            <w:vAlign w:val="center"/>
          </w:tcPr>
          <w:p w14:paraId="2782806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类别</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9A10FA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D1C7BD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分 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值</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55DE529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评标标准</w:t>
            </w:r>
          </w:p>
        </w:tc>
      </w:tr>
      <w:tr w14:paraId="3CE68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986" w:type="dxa"/>
            <w:tcBorders>
              <w:top w:val="single" w:color="auto" w:sz="4" w:space="0"/>
              <w:left w:val="single" w:color="auto" w:sz="4" w:space="0"/>
              <w:bottom w:val="single" w:color="auto" w:sz="4" w:space="0"/>
              <w:right w:val="single" w:color="auto" w:sz="4" w:space="0"/>
            </w:tcBorders>
            <w:noWrap w:val="0"/>
            <w:vAlign w:val="center"/>
          </w:tcPr>
          <w:p w14:paraId="26F01CD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投标报价3</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分</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3673BA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报价分</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BEA7C1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0</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30D1CD60">
            <w:pPr>
              <w:keepNext w:val="0"/>
              <w:keepLines w:val="0"/>
              <w:suppressLineNumbers w:val="0"/>
              <w:spacing w:before="0" w:beforeAutospacing="0" w:after="0" w:afterAutospacing="0"/>
              <w:ind w:left="0" w:leftChars="0" w:right="0" w:firstLine="0" w:firstLineChars="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在所有的有效投标报价中，以最低投标报价为基准价，其价格分为满分。其他投标人的报价分统一按下列公式计算：投标报价得分=(评标基准价／投标报价)×价格权值（3</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%）×100（四舍五入后保留小数点后两位）。</w:t>
            </w:r>
          </w:p>
          <w:p w14:paraId="3BA25F5A">
            <w:pPr>
              <w:keepNext w:val="0"/>
              <w:keepLines w:val="0"/>
              <w:suppressLineNumbers w:val="0"/>
              <w:spacing w:before="0" w:beforeAutospacing="0" w:after="0" w:afterAutospacing="0"/>
              <w:ind w:left="0" w:leftChars="0" w:right="0" w:firstLine="0" w:firstLineChars="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根据《政府采购促进中小企业发展暂行办法》、《关于促进残疾人就业政府采购政策的通知》的相关规定，对残疾人福利性单位、小型和微型企业制造（生产）产品的价格给予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%的扣除，用扣除后的价格参与评标。</w:t>
            </w:r>
          </w:p>
          <w:p w14:paraId="77D0F1DE">
            <w:pPr>
              <w:pStyle w:val="13"/>
              <w:widowControl/>
              <w:spacing w:before="0" w:beforeAutospacing="0" w:after="0" w:afterAutospacing="0"/>
              <w:ind w:left="0" w:leftChars="0" w:firstLine="0" w:firstLineChars="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对符合《国务院办公厅关于在政府采购中实施本国产品标准及相关政策的通知》规定的本国产品的报价给予20%的扣除，用扣除后的价格计算投标报价得分，须提供《关于符合本国产品标准的声明函》或财政部会同有关部门规定的有关证明文件</w:t>
            </w:r>
            <w:r>
              <w:rPr>
                <w:rFonts w:hint="eastAsia" w:ascii="仿宋_GB2312" w:hAnsi="仿宋_GB2312" w:eastAsia="仿宋_GB2312" w:cs="仿宋_GB2312"/>
                <w:color w:val="auto"/>
                <w:sz w:val="28"/>
                <w:szCs w:val="28"/>
                <w:lang w:val="en-US" w:eastAsia="zh-CN"/>
              </w:rPr>
              <w:t>和</w:t>
            </w:r>
            <w:r>
              <w:rPr>
                <w:rFonts w:hint="eastAsia" w:ascii="仿宋_GB2312" w:hAnsi="仿宋_GB2312" w:eastAsia="仿宋_GB2312" w:cs="仿宋_GB2312"/>
                <w:b w:val="0"/>
                <w:bCs w:val="0"/>
                <w:color w:val="auto"/>
                <w:sz w:val="28"/>
                <w:szCs w:val="28"/>
              </w:rPr>
              <w:t>符合本国产品标准的产品成本之和占全部产品成本之和的比例</w:t>
            </w:r>
            <w:r>
              <w:rPr>
                <w:rFonts w:hint="eastAsia" w:ascii="仿宋_GB2312" w:hAnsi="仿宋_GB2312" w:eastAsia="仿宋_GB2312" w:cs="仿宋_GB2312"/>
                <w:b w:val="0"/>
                <w:bCs w:val="0"/>
                <w:color w:val="auto"/>
                <w:sz w:val="28"/>
                <w:szCs w:val="28"/>
                <w:lang w:val="en-US" w:eastAsia="zh-CN"/>
              </w:rPr>
              <w:t>达到80%以上（含80%）的承诺函（格式自拟）</w:t>
            </w:r>
            <w:r>
              <w:rPr>
                <w:rFonts w:hint="eastAsia" w:ascii="仿宋_GB2312" w:hAnsi="仿宋_GB2312" w:eastAsia="仿宋_GB2312" w:cs="仿宋_GB2312"/>
                <w:b w:val="0"/>
                <w:bCs w:val="0"/>
                <w:color w:val="auto"/>
                <w:sz w:val="28"/>
                <w:szCs w:val="28"/>
              </w:rPr>
              <w:t>。</w:t>
            </w:r>
          </w:p>
          <w:p w14:paraId="4DF19724">
            <w:pPr>
              <w:pStyle w:val="13"/>
              <w:widowControl/>
              <w:spacing w:before="0" w:beforeAutospacing="0" w:after="0" w:afterAutospacing="0"/>
              <w:ind w:left="0" w:leftChars="0" w:firstLine="0" w:firstLineChars="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.同时满足上述条款的，价格评审优惠叠加计算。</w:t>
            </w:r>
          </w:p>
          <w:p w14:paraId="33276AF1">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残疾人福利性单位属于小型、微型企业的，不重复享受政策。</w:t>
            </w:r>
          </w:p>
        </w:tc>
      </w:tr>
      <w:tr w14:paraId="7B9CD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986" w:type="dxa"/>
            <w:vMerge w:val="restart"/>
            <w:tcBorders>
              <w:top w:val="single" w:color="auto" w:sz="4" w:space="0"/>
              <w:left w:val="single" w:color="auto" w:sz="4" w:space="0"/>
              <w:right w:val="single" w:color="auto" w:sz="4" w:space="0"/>
            </w:tcBorders>
            <w:noWrap w:val="0"/>
            <w:vAlign w:val="center"/>
          </w:tcPr>
          <w:p w14:paraId="2DBF520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技术水平50分</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B003F7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技术参数</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016DB5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0D92A7E8">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firstLine="0" w:firstLineChars="0"/>
              <w:jc w:val="both"/>
              <w:textAlignment w:val="auto"/>
              <w:rPr>
                <w:rFonts w:hint="eastAsia" w:ascii="仿宋_GB2312" w:hAnsi="仿宋_GB2312" w:eastAsia="仿宋_GB2312" w:cs="仿宋_GB2312"/>
                <w:sz w:val="28"/>
                <w:szCs w:val="28"/>
              </w:rPr>
            </w:pPr>
            <w:bookmarkStart w:id="146" w:name="_Toc1222"/>
            <w:bookmarkStart w:id="147" w:name="_Toc29992"/>
            <w:bookmarkStart w:id="148" w:name="_Toc27671"/>
            <w:r>
              <w:rPr>
                <w:rFonts w:hint="eastAsia" w:ascii="仿宋_GB2312" w:hAnsi="仿宋_GB2312" w:eastAsia="仿宋_GB2312" w:cs="仿宋_GB2312"/>
                <w:b w:val="0"/>
                <w:bCs w:val="0"/>
                <w:color w:val="auto"/>
                <w:sz w:val="28"/>
                <w:szCs w:val="28"/>
              </w:rPr>
              <w:t>投标产品技术参数和配置完全满足或高于招标文件要求的，得</w:t>
            </w:r>
            <w:r>
              <w:rPr>
                <w:rFonts w:hint="eastAsia" w:ascii="仿宋_GB2312" w:hAnsi="仿宋_GB2312" w:eastAsia="仿宋_GB2312" w:cs="仿宋_GB2312"/>
                <w:b w:val="0"/>
                <w:bCs w:val="0"/>
                <w:color w:val="auto"/>
                <w:sz w:val="28"/>
                <w:szCs w:val="28"/>
                <w:lang w:val="en-US" w:eastAsia="zh-CN"/>
              </w:rPr>
              <w:t>45</w:t>
            </w:r>
            <w:r>
              <w:rPr>
                <w:rFonts w:hint="eastAsia" w:ascii="仿宋_GB2312" w:hAnsi="仿宋_GB2312" w:eastAsia="仿宋_GB2312" w:cs="仿宋_GB2312"/>
                <w:b w:val="0"/>
                <w:bCs w:val="0"/>
                <w:color w:val="auto"/>
                <w:sz w:val="28"/>
                <w:szCs w:val="28"/>
              </w:rPr>
              <w:t>分；</w:t>
            </w:r>
            <w:r>
              <w:rPr>
                <w:rFonts w:hint="eastAsia" w:ascii="仿宋_GB2312" w:hAnsi="仿宋_GB2312" w:eastAsia="仿宋_GB2312" w:cs="仿宋_GB2312"/>
                <w:b w:val="0"/>
                <w:bCs w:val="0"/>
                <w:color w:val="000000"/>
                <w:sz w:val="28"/>
                <w:szCs w:val="28"/>
              </w:rPr>
              <w:t>所投产品技术参数每有一处负偏离扣 1.5分；扣完该项得分为止。</w:t>
            </w:r>
            <w:bookmarkEnd w:id="146"/>
            <w:bookmarkEnd w:id="147"/>
            <w:bookmarkEnd w:id="148"/>
          </w:p>
        </w:tc>
      </w:tr>
      <w:tr w14:paraId="5586BF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986" w:type="dxa"/>
            <w:vMerge w:val="continue"/>
            <w:tcBorders>
              <w:left w:val="single" w:color="auto" w:sz="4" w:space="0"/>
              <w:right w:val="single" w:color="auto" w:sz="4" w:space="0"/>
            </w:tcBorders>
            <w:noWrap w:val="0"/>
            <w:vAlign w:val="center"/>
          </w:tcPr>
          <w:p w14:paraId="4A988FA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BC5E68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节能和环保</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64B505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4283F1A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highlight w:val="none"/>
                <w:u w:val="none"/>
              </w:rPr>
              <w:t>投标产品</w:t>
            </w:r>
            <w:r>
              <w:rPr>
                <w:rFonts w:hint="eastAsia" w:ascii="仿宋_GB2312" w:hAnsi="仿宋_GB2312" w:eastAsia="仿宋_GB2312" w:cs="仿宋_GB2312"/>
                <w:color w:val="auto"/>
                <w:sz w:val="28"/>
                <w:szCs w:val="28"/>
                <w:highlight w:val="none"/>
                <w:u w:val="none"/>
                <w:lang w:val="en-US" w:eastAsia="zh-CN"/>
              </w:rPr>
              <w:t>中包含</w:t>
            </w:r>
            <w:r>
              <w:rPr>
                <w:rFonts w:hint="eastAsia" w:ascii="仿宋_GB2312" w:hAnsi="仿宋_GB2312" w:eastAsia="仿宋_GB2312" w:cs="仿宋_GB2312"/>
                <w:color w:val="auto"/>
                <w:sz w:val="28"/>
                <w:szCs w:val="28"/>
                <w:highlight w:val="none"/>
                <w:u w:val="none"/>
              </w:rPr>
              <w:t>节能产品得1.5分；投标产品</w:t>
            </w:r>
            <w:r>
              <w:rPr>
                <w:rFonts w:hint="eastAsia" w:ascii="仿宋_GB2312" w:hAnsi="仿宋_GB2312" w:eastAsia="仿宋_GB2312" w:cs="仿宋_GB2312"/>
                <w:color w:val="auto"/>
                <w:sz w:val="28"/>
                <w:szCs w:val="28"/>
                <w:highlight w:val="none"/>
                <w:u w:val="none"/>
                <w:lang w:val="en-US" w:eastAsia="zh-CN"/>
              </w:rPr>
              <w:t>中包含环境标志</w:t>
            </w:r>
            <w:r>
              <w:rPr>
                <w:rFonts w:hint="eastAsia" w:ascii="仿宋_GB2312" w:hAnsi="仿宋_GB2312" w:eastAsia="仿宋_GB2312" w:cs="仿宋_GB2312"/>
                <w:color w:val="auto"/>
                <w:sz w:val="28"/>
                <w:szCs w:val="28"/>
                <w:highlight w:val="none"/>
                <w:u w:val="none"/>
              </w:rPr>
              <w:t>产品得1.5分；未提供不得分。该项得分的认定以参与实施政府采购节能（环境标志）产品认证机构出具的认证证书或证书发布平台的投标产品认证证书查询截图为准。</w:t>
            </w:r>
            <w:r>
              <w:rPr>
                <w:rFonts w:hint="eastAsia" w:ascii="仿宋_GB2312" w:hAnsi="仿宋_GB2312" w:eastAsia="仿宋_GB2312" w:cs="仿宋_GB2312"/>
                <w:color w:val="auto"/>
                <w:sz w:val="28"/>
                <w:szCs w:val="28"/>
                <w:highlight w:val="none"/>
                <w:u w:val="none"/>
                <w:lang w:eastAsia="zh-CN"/>
              </w:rPr>
              <w:t>（政府强制采购节能产品品目</w:t>
            </w:r>
            <w:r>
              <w:rPr>
                <w:rFonts w:hint="eastAsia" w:ascii="仿宋_GB2312" w:hAnsi="仿宋_GB2312" w:eastAsia="仿宋_GB2312" w:cs="仿宋_GB2312"/>
                <w:color w:val="auto"/>
                <w:sz w:val="28"/>
                <w:szCs w:val="28"/>
                <w:highlight w:val="none"/>
                <w:u w:val="none"/>
                <w:lang w:val="en-US" w:eastAsia="zh-CN"/>
              </w:rPr>
              <w:t>除外</w:t>
            </w:r>
            <w:r>
              <w:rPr>
                <w:rFonts w:hint="eastAsia" w:ascii="仿宋_GB2312" w:hAnsi="仿宋_GB2312" w:eastAsia="仿宋_GB2312" w:cs="仿宋_GB2312"/>
                <w:color w:val="auto"/>
                <w:sz w:val="28"/>
                <w:szCs w:val="28"/>
                <w:highlight w:val="none"/>
                <w:u w:val="none"/>
                <w:lang w:eastAsia="zh-CN"/>
              </w:rPr>
              <w:t>）</w:t>
            </w:r>
          </w:p>
        </w:tc>
      </w:tr>
      <w:tr w14:paraId="0C4639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986" w:type="dxa"/>
            <w:vMerge w:val="continue"/>
            <w:tcBorders>
              <w:left w:val="single" w:color="auto" w:sz="4" w:space="0"/>
              <w:bottom w:val="single" w:color="auto" w:sz="4" w:space="0"/>
              <w:right w:val="single" w:color="auto" w:sz="4" w:space="0"/>
            </w:tcBorders>
            <w:noWrap w:val="0"/>
            <w:vAlign w:val="center"/>
          </w:tcPr>
          <w:p w14:paraId="2B18602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17ECDB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自主创新产品</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D4D68F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0EF28DE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投标产品属自主知识产权的，得2分；反之不得分。</w:t>
            </w:r>
          </w:p>
        </w:tc>
      </w:tr>
      <w:tr w14:paraId="157E4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986" w:type="dxa"/>
            <w:vMerge w:val="restart"/>
            <w:tcBorders>
              <w:top w:val="single" w:color="auto" w:sz="4" w:space="0"/>
              <w:left w:val="single" w:color="auto" w:sz="4" w:space="0"/>
              <w:bottom w:val="single" w:color="auto" w:sz="4" w:space="0"/>
              <w:right w:val="single" w:color="auto" w:sz="4" w:space="0"/>
            </w:tcBorders>
            <w:noWrap w:val="0"/>
            <w:vAlign w:val="center"/>
          </w:tcPr>
          <w:p w14:paraId="7FAC422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履约及售后服务能力</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分</w:t>
            </w: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EF6334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类似业绩情况</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4A02EA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56DC20F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highlight w:val="none"/>
              </w:rPr>
              <w:t>提供自202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年以来的类似业绩证明材料。提供5项以上（含5项）的，得5分；提供5项以下的，每提供1项得1分；不提供不得分。</w:t>
            </w:r>
          </w:p>
        </w:tc>
      </w:tr>
      <w:tr w14:paraId="01A0D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986" w:type="dxa"/>
            <w:vMerge w:val="continue"/>
            <w:tcBorders>
              <w:top w:val="single" w:color="auto" w:sz="4" w:space="0"/>
              <w:left w:val="single" w:color="auto" w:sz="4" w:space="0"/>
              <w:bottom w:val="single" w:color="auto" w:sz="4" w:space="0"/>
              <w:right w:val="single" w:color="auto" w:sz="4" w:space="0"/>
            </w:tcBorders>
            <w:noWrap w:val="0"/>
            <w:vAlign w:val="center"/>
          </w:tcPr>
          <w:p w14:paraId="1927E76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9C902A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项目管理及实施方案</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8B78FD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24EC2D7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设置了项目管理机构，并且有科学、具体的项目管理措施。包含：①实施计划②实施团队③实施进度④质量控制措施⑤安全保障措施。</w:t>
            </w:r>
            <w:r>
              <w:rPr>
                <w:rFonts w:hint="eastAsia" w:ascii="仿宋_GB2312" w:hAnsi="仿宋_GB2312" w:eastAsia="仿宋_GB2312" w:cs="仿宋_GB2312"/>
                <w:sz w:val="28"/>
                <w:szCs w:val="28"/>
                <w:lang w:val="en-US" w:eastAsia="zh-CN"/>
              </w:rPr>
              <w:t>以上内容提供完整的，每项与实际项目贴合的得2分，满分10分，每缺少一项内容扣2分，</w:t>
            </w:r>
            <w:r>
              <w:rPr>
                <w:rFonts w:hint="eastAsia" w:ascii="仿宋_GB2312" w:hAnsi="仿宋_GB2312" w:eastAsia="仿宋_GB2312" w:cs="仿宋_GB2312"/>
                <w:sz w:val="28"/>
                <w:szCs w:val="28"/>
                <w:lang w:val="zh-CN" w:eastAsia="zh-CN"/>
              </w:rPr>
              <w:t>每一项存在缺陷</w:t>
            </w:r>
            <w:r>
              <w:rPr>
                <w:rFonts w:hint="eastAsia" w:ascii="仿宋_GB2312" w:hAnsi="仿宋_GB2312" w:eastAsia="仿宋_GB2312" w:cs="仿宋_GB2312"/>
                <w:sz w:val="28"/>
                <w:szCs w:val="28"/>
                <w:lang w:val="en-US" w:eastAsia="zh-CN"/>
              </w:rPr>
              <w:t>或不足扣1分，</w:t>
            </w:r>
            <w:r>
              <w:rPr>
                <w:rFonts w:hint="eastAsia" w:ascii="仿宋_GB2312" w:hAnsi="仿宋_GB2312" w:eastAsia="仿宋_GB2312" w:cs="仿宋_GB2312"/>
                <w:sz w:val="28"/>
                <w:szCs w:val="28"/>
                <w:lang w:val="zh-CN" w:eastAsia="zh-CN"/>
              </w:rPr>
              <w:t>每项</w:t>
            </w:r>
            <w:r>
              <w:rPr>
                <w:rFonts w:hint="eastAsia" w:ascii="仿宋_GB2312" w:hAnsi="仿宋_GB2312" w:eastAsia="仿宋_GB2312" w:cs="仿宋_GB2312"/>
                <w:sz w:val="28"/>
                <w:szCs w:val="28"/>
                <w:lang w:val="en-US" w:eastAsia="zh-CN"/>
              </w:rPr>
              <w:t>最多</w:t>
            </w:r>
            <w:r>
              <w:rPr>
                <w:rFonts w:hint="eastAsia" w:ascii="仿宋_GB2312" w:hAnsi="仿宋_GB2312" w:eastAsia="仿宋_GB2312" w:cs="仿宋_GB2312"/>
                <w:sz w:val="28"/>
                <w:szCs w:val="28"/>
                <w:lang w:val="zh-CN" w:eastAsia="zh-CN"/>
              </w:rPr>
              <w:t>扣</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eastAsia="zh-CN"/>
              </w:rPr>
              <w:t>分。</w:t>
            </w:r>
          </w:p>
        </w:tc>
      </w:tr>
      <w:tr w14:paraId="5EC50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986" w:type="dxa"/>
            <w:vMerge w:val="continue"/>
            <w:tcBorders>
              <w:top w:val="single" w:color="auto" w:sz="4" w:space="0"/>
              <w:left w:val="single" w:color="auto" w:sz="4" w:space="0"/>
              <w:bottom w:val="single" w:color="auto" w:sz="4" w:space="0"/>
              <w:right w:val="single" w:color="auto" w:sz="4" w:space="0"/>
            </w:tcBorders>
            <w:noWrap w:val="0"/>
            <w:vAlign w:val="center"/>
          </w:tcPr>
          <w:p w14:paraId="7695BB4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407264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售后服务及相关承诺</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EDA6BD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731" w:type="dxa"/>
            <w:tcBorders>
              <w:top w:val="single" w:color="auto" w:sz="4" w:space="0"/>
              <w:left w:val="single" w:color="auto" w:sz="4" w:space="0"/>
              <w:bottom w:val="single" w:color="auto" w:sz="4" w:space="0"/>
              <w:right w:val="single" w:color="auto" w:sz="4" w:space="0"/>
            </w:tcBorders>
            <w:noWrap w:val="0"/>
            <w:vAlign w:val="center"/>
          </w:tcPr>
          <w:p w14:paraId="68076F8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针对该项目须有完善的售后服务体系。包含：①售后服务机构和人员②售后服务内容和流程③售后服务响应时间和质量④售后服务方式和特色。</w:t>
            </w:r>
            <w:r>
              <w:rPr>
                <w:rFonts w:hint="eastAsia" w:ascii="仿宋_GB2312" w:hAnsi="仿宋_GB2312" w:eastAsia="仿宋_GB2312" w:cs="仿宋_GB2312"/>
                <w:sz w:val="28"/>
                <w:szCs w:val="28"/>
                <w:lang w:val="zh-CN" w:eastAsia="zh-CN"/>
              </w:rPr>
              <w:t>对以上内容进行评审，满分</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eastAsia="zh-CN"/>
              </w:rPr>
              <w:t>分，每缺少一项内容扣</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分；所提供的每项内容中每存在一处缺陷</w:t>
            </w:r>
            <w:r>
              <w:rPr>
                <w:rFonts w:hint="eastAsia" w:ascii="仿宋_GB2312" w:hAnsi="仿宋_GB2312" w:eastAsia="仿宋_GB2312" w:cs="仿宋_GB2312"/>
                <w:sz w:val="28"/>
                <w:szCs w:val="28"/>
                <w:lang w:val="en-US" w:eastAsia="zh-CN"/>
              </w:rPr>
              <w:t>或不足的</w:t>
            </w:r>
            <w:r>
              <w:rPr>
                <w:rFonts w:hint="eastAsia" w:ascii="仿宋_GB2312" w:hAnsi="仿宋_GB2312" w:eastAsia="仿宋_GB2312" w:cs="仿宋_GB2312"/>
                <w:sz w:val="28"/>
                <w:szCs w:val="28"/>
                <w:lang w:val="zh-CN" w:eastAsia="zh-CN"/>
              </w:rPr>
              <w:t>扣</w:t>
            </w:r>
            <w:r>
              <w:rPr>
                <w:rFonts w:hint="eastAsia" w:ascii="仿宋_GB2312" w:hAnsi="仿宋_GB2312" w:eastAsia="仿宋_GB2312" w:cs="仿宋_GB2312"/>
                <w:sz w:val="28"/>
                <w:szCs w:val="28"/>
                <w:lang w:val="en-US" w:eastAsia="zh-CN"/>
              </w:rPr>
              <w:t>0.5</w:t>
            </w:r>
            <w:r>
              <w:rPr>
                <w:rFonts w:hint="eastAsia" w:ascii="仿宋_GB2312" w:hAnsi="仿宋_GB2312" w:eastAsia="仿宋_GB2312" w:cs="仿宋_GB2312"/>
                <w:sz w:val="28"/>
                <w:szCs w:val="28"/>
                <w:lang w:val="zh-CN" w:eastAsia="zh-CN"/>
              </w:rPr>
              <w:t>分，每项</w:t>
            </w:r>
            <w:r>
              <w:rPr>
                <w:rFonts w:hint="eastAsia" w:ascii="仿宋_GB2312" w:hAnsi="仿宋_GB2312" w:eastAsia="仿宋_GB2312" w:cs="仿宋_GB2312"/>
                <w:sz w:val="28"/>
                <w:szCs w:val="28"/>
                <w:lang w:val="en-US" w:eastAsia="zh-CN"/>
              </w:rPr>
              <w:t>最多</w:t>
            </w:r>
            <w:r>
              <w:rPr>
                <w:rFonts w:hint="eastAsia" w:ascii="仿宋_GB2312" w:hAnsi="仿宋_GB2312" w:eastAsia="仿宋_GB2312" w:cs="仿宋_GB2312"/>
                <w:sz w:val="28"/>
                <w:szCs w:val="28"/>
                <w:lang w:val="zh-CN" w:eastAsia="zh-CN"/>
              </w:rPr>
              <w:t>扣</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分。</w:t>
            </w:r>
          </w:p>
          <w:p w14:paraId="5275BBA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提供售后服务相关承诺的，得1分；未提供不得分。</w:t>
            </w:r>
          </w:p>
        </w:tc>
      </w:tr>
      <w:tr w14:paraId="7E86C9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9192" w:type="dxa"/>
            <w:gridSpan w:val="4"/>
            <w:tcBorders>
              <w:left w:val="single" w:color="auto" w:sz="4" w:space="0"/>
              <w:right w:val="single" w:color="auto" w:sz="4" w:space="0"/>
            </w:tcBorders>
            <w:noWrap w:val="0"/>
            <w:vAlign w:val="center"/>
          </w:tcPr>
          <w:p w14:paraId="3A28D45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bookmarkStart w:id="149" w:name="_Toc325726025"/>
            <w:bookmarkStart w:id="150" w:name="_Toc376936756"/>
            <w:bookmarkStart w:id="151" w:name="_Toc130971863"/>
            <w:r>
              <w:rPr>
                <w:rFonts w:hint="eastAsia" w:ascii="仿宋_GB2312" w:hAnsi="仿宋_GB2312" w:eastAsia="仿宋_GB2312" w:cs="仿宋_GB2312"/>
                <w:sz w:val="28"/>
                <w:szCs w:val="28"/>
                <w:lang w:val="en-US" w:eastAsia="zh-CN"/>
              </w:rPr>
              <w:t>缺陷或不足是指：内容所阐述的项目信息与本项目实际需求信息不一致、内容照抄照搬招标文件且只有方案框架无实质性内容、内容不完整、套用其他项目方案、地点区域错误、内容前后矛盾、涉及的规范及标准错误、不可能实现的情形等任意一种情形。</w:t>
            </w:r>
          </w:p>
        </w:tc>
      </w:tr>
    </w:tbl>
    <w:p w14:paraId="49017E14">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52" w:name="_Toc28505"/>
      <w:bookmarkStart w:id="153" w:name="_Toc23111"/>
      <w:r>
        <w:rPr>
          <w:rFonts w:hint="eastAsia" w:ascii="仿宋_GB2312" w:hAnsi="仿宋_GB2312" w:eastAsia="仿宋_GB2312" w:cs="仿宋_GB2312"/>
          <w:sz w:val="28"/>
          <w:szCs w:val="28"/>
        </w:rPr>
        <w:t>八、定 标</w:t>
      </w:r>
      <w:bookmarkEnd w:id="149"/>
      <w:bookmarkEnd w:id="150"/>
      <w:bookmarkEnd w:id="151"/>
      <w:bookmarkEnd w:id="152"/>
      <w:bookmarkEnd w:id="153"/>
    </w:p>
    <w:p w14:paraId="1C3AE3A8">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54" w:name="_Toc376936757"/>
      <w:bookmarkStart w:id="155" w:name="_Toc325726026"/>
      <w:bookmarkStart w:id="156" w:name="_Toc19077"/>
      <w:bookmarkStart w:id="157" w:name="_Toc130971864"/>
      <w:bookmarkStart w:id="158" w:name="_Toc6226"/>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.推荐并确定中标</w:t>
      </w:r>
      <w:bookmarkEnd w:id="154"/>
      <w:bookmarkEnd w:id="155"/>
      <w:r>
        <w:rPr>
          <w:rFonts w:hint="eastAsia" w:ascii="仿宋_GB2312" w:hAnsi="仿宋_GB2312" w:eastAsia="仿宋_GB2312" w:cs="仿宋_GB2312"/>
          <w:sz w:val="28"/>
          <w:szCs w:val="28"/>
        </w:rPr>
        <w:t>供应商</w:t>
      </w:r>
      <w:bookmarkEnd w:id="156"/>
      <w:bookmarkEnd w:id="157"/>
      <w:bookmarkEnd w:id="158"/>
    </w:p>
    <w:p w14:paraId="0BE0BE9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.1评标委员会根据综合评分情况，按照评审后得分由高到低顺序确定中标候人名单，并编写评标报告。采购人从评标报告确定的中标候选人名单中按顺序确定中标人，也可以书面委托评标委员会直接确定中标人。</w:t>
      </w:r>
    </w:p>
    <w:p w14:paraId="4E78D1C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.2中标供应商因不可抗力或自身原因不能履行合同时，采购人可以按照评审报告推荐的预中标候选人名单排序，确定下一候选人为中标供应商，也可重新开展政府采购活动。</w:t>
      </w:r>
      <w:bookmarkStart w:id="159" w:name="_Toc325726027"/>
    </w:p>
    <w:p w14:paraId="30D5208B">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60" w:name="_Toc130971865"/>
      <w:bookmarkStart w:id="161" w:name="_Toc27693"/>
      <w:bookmarkStart w:id="162" w:name="_Toc376936759"/>
      <w:bookmarkStart w:id="163" w:name="_Toc325726028"/>
      <w:bookmarkStart w:id="164" w:name="_Toc8073"/>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.中标通知</w:t>
      </w:r>
      <w:bookmarkEnd w:id="160"/>
      <w:bookmarkEnd w:id="161"/>
      <w:bookmarkEnd w:id="162"/>
      <w:bookmarkEnd w:id="163"/>
      <w:bookmarkEnd w:id="164"/>
    </w:p>
    <w:p w14:paraId="79E8679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 xml:space="preserve">.1集中采购机构自中标供应商确定之日起2个工作日内，在青海政府采购信息网上公告中标结果，公告期限为1个工作日。在公告中标结果的同时，集中采购机构应当向中标人发出中标通知书；对未通过资格审查的供应商，告知其未通过的原因；采用综合评分法的，评审结束后，供应商可自行在青海省政府采购电子化平台上查询本人的评审得分与排序。     </w:t>
      </w:r>
    </w:p>
    <w:p w14:paraId="6FE0556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.2《中标通知书》发出后，采购人改变中标结果的，或者中标供应商无正当理由放弃中标项目的，依法承担法律责任。</w:t>
      </w:r>
    </w:p>
    <w:p w14:paraId="06DDEF92">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65" w:name="_Toc32352"/>
      <w:bookmarkStart w:id="166" w:name="_Toc376936758"/>
      <w:bookmarkStart w:id="167" w:name="_Toc130971866"/>
      <w:bookmarkStart w:id="168" w:name="_Toc29771"/>
      <w:r>
        <w:rPr>
          <w:rFonts w:hint="eastAsia" w:ascii="仿宋_GB2312" w:hAnsi="仿宋_GB2312" w:eastAsia="仿宋_GB2312" w:cs="仿宋_GB2312"/>
          <w:sz w:val="28"/>
          <w:szCs w:val="28"/>
        </w:rPr>
        <w:t>九、授予合同</w:t>
      </w:r>
      <w:bookmarkEnd w:id="159"/>
      <w:bookmarkEnd w:id="165"/>
      <w:bookmarkEnd w:id="166"/>
      <w:bookmarkEnd w:id="167"/>
      <w:bookmarkEnd w:id="168"/>
    </w:p>
    <w:p w14:paraId="02EED61A">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69" w:name="_Toc28727"/>
      <w:bookmarkStart w:id="170" w:name="_Toc325726029"/>
      <w:bookmarkStart w:id="171" w:name="_Toc376936760"/>
      <w:bookmarkStart w:id="172" w:name="_Toc130971867"/>
      <w:bookmarkStart w:id="173" w:name="_Toc27526"/>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.签订合同</w:t>
      </w:r>
      <w:bookmarkEnd w:id="169"/>
      <w:bookmarkEnd w:id="170"/>
      <w:bookmarkEnd w:id="171"/>
      <w:bookmarkEnd w:id="172"/>
      <w:bookmarkEnd w:id="173"/>
    </w:p>
    <w:p w14:paraId="6F8D8B78">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.1采购人与中标供应商双方应当自《中标通知书》发出之日起30日内，按照招标文件确定的合同文本以及采购标的、规格型号、采购金额、采购数量、技术和服务要求等事项签订采购合同。</w:t>
      </w:r>
    </w:p>
    <w:p w14:paraId="5584FAAF">
      <w:pPr>
        <w:pageBreakBefore w:val="0"/>
        <w:widowControl w:val="0"/>
        <w:kinsoku/>
        <w:wordWrap/>
        <w:overflowPunct/>
        <w:topLinePunct w:val="0"/>
        <w:bidi w:val="0"/>
        <w:adjustRightInd/>
        <w:snapToGrid/>
        <w:spacing w:beforeAutospacing="0" w:afterAutospacing="0" w:line="36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2签订合同时，采购人若要求中标供应商提交履约保证金的，中标供应商可自主选择以支票、汇票、本票、保函等非现金形式向采购人提交履约保证金（履约保证金的数额由采购人与中标供应商商定，但数额不得超出采购合同总金额的10%）。</w:t>
      </w:r>
    </w:p>
    <w:p w14:paraId="099BE385">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.3中标供应商在法定期限内无正当理由拒签合同的，按违约处理。同时，集中采购机构和采购人可依评标排序重新确定中标供应商，并协调双方签订采购合同。</w:t>
      </w:r>
    </w:p>
    <w:p w14:paraId="4F266798">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.4采购人不得向中标供应商提出任何不合理的要求作为订立合同的条件，采购人和中标供应商不得私下订立背离合同实质性内容的协议。</w:t>
      </w:r>
    </w:p>
    <w:p w14:paraId="7A4ED12F">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.5招标文件、中标供应商的投标文件、《中标通知书》及其澄清、说明文件等，均为签订采购合同的依据。</w:t>
      </w:r>
      <w:bookmarkStart w:id="174" w:name="_Toc325726030"/>
      <w:bookmarkStart w:id="175" w:name="_Toc376936761"/>
    </w:p>
    <w:p w14:paraId="1A6A48FB">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.6采购人应当自采购合同签订之日起2个工作日内，将采购合同在青海政府采购信息网上公告，但政府采购合同中涉及国家秘密、商业秘密的内容除外。</w:t>
      </w:r>
    </w:p>
    <w:p w14:paraId="78938FDE">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.7采购人与中标人应当根据合同的约定依法履行合同义务。政府采购合同的履行、违约责任和解决争议的方法等适用《中华人民共和国民法典》。</w:t>
      </w:r>
    </w:p>
    <w:p w14:paraId="5083CC6E">
      <w:pPr>
        <w:pageBreakBefore w:val="0"/>
        <w:widowControl w:val="0"/>
        <w:kinsoku/>
        <w:wordWrap/>
        <w:overflowPunct/>
        <w:topLinePunct w:val="0"/>
        <w:bidi w:val="0"/>
        <w:adjustRightInd/>
        <w:snapToGrid/>
        <w:spacing w:beforeAutospacing="0" w:afterAutospacing="0" w:line="360" w:lineRule="exact"/>
        <w:ind w:left="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.8 采购人应当按照政府采购合同规定的技术、服务、安全标准组织对供应商履约情况进行验收，并出具验收书。验收书应当包括每一项技术、服务、安全标准的履约情况。</w:t>
      </w:r>
    </w:p>
    <w:p w14:paraId="069A5CF9">
      <w:pPr>
        <w:pageBreakBefore w:val="0"/>
        <w:widowControl w:val="0"/>
        <w:kinsoku/>
        <w:wordWrap/>
        <w:overflowPunct/>
        <w:topLinePunct w:val="0"/>
        <w:autoSpaceDE w:val="0"/>
        <w:autoSpaceDN w:val="0"/>
        <w:bidi w:val="0"/>
        <w:adjustRightInd/>
        <w:snapToGrid/>
        <w:spacing w:beforeAutospacing="0" w:afterAutospacing="0" w:line="360" w:lineRule="exact"/>
        <w:ind w:lef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.9 采购人应当加强对中标人的履约管理，并按照采购合同约定，及时向中标人支付采购资金。对于中标人违反采购合同约定的行为，采购人应当及时处理，依法追究其违约责任。</w:t>
      </w:r>
    </w:p>
    <w:p w14:paraId="25AD02B0">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76" w:name="_Toc14226"/>
      <w:bookmarkStart w:id="177" w:name="_Toc130971868"/>
      <w:bookmarkStart w:id="178" w:name="_Toc18245"/>
      <w:r>
        <w:rPr>
          <w:rFonts w:hint="eastAsia" w:ascii="仿宋_GB2312" w:hAnsi="仿宋_GB2312" w:eastAsia="仿宋_GB2312" w:cs="仿宋_GB2312"/>
          <w:sz w:val="28"/>
          <w:szCs w:val="28"/>
        </w:rPr>
        <w:t>十、串通投标的认定及处理办法</w:t>
      </w:r>
      <w:bookmarkEnd w:id="176"/>
      <w:bookmarkEnd w:id="177"/>
      <w:bookmarkEnd w:id="178"/>
    </w:p>
    <w:p w14:paraId="738464C6">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79" w:name="_Toc130971869"/>
      <w:bookmarkStart w:id="180" w:name="_Toc2127"/>
      <w:bookmarkStart w:id="181" w:name="_Toc18917"/>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.串通投标的情形</w:t>
      </w:r>
      <w:bookmarkEnd w:id="179"/>
      <w:bookmarkEnd w:id="180"/>
      <w:bookmarkEnd w:id="181"/>
    </w:p>
    <w:p w14:paraId="7A3E764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.1投标人应当遵循公平竞争的原则，不得恶意串通，不得妨碍其他投标人的竞争行为，不得损害采购人或者其他投标人的合法权益。</w:t>
      </w:r>
    </w:p>
    <w:p w14:paraId="138353C2">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.2 有下列情形之一的，视为投标人串通投标，其投标无效：</w:t>
      </w:r>
    </w:p>
    <w:p w14:paraId="30DE331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（1）不同投标人的投标文件由同一单位或者个人编制；</w:t>
      </w:r>
    </w:p>
    <w:p w14:paraId="06C7DEED">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（2）不同投标人委托同一单位或者个人办理投标事宜；</w:t>
      </w:r>
    </w:p>
    <w:p w14:paraId="635D2B7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（3）不同投标人的投标文件载明的项目管理成员或者联系人员为同一人；</w:t>
      </w:r>
    </w:p>
    <w:p w14:paraId="2207BD1A">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（4）不同投标人的投标文件异常一致或者投标报价呈规律性差异；</w:t>
      </w:r>
    </w:p>
    <w:p w14:paraId="2737549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（5）不同投标人的投标文件相互混装。</w:t>
      </w:r>
    </w:p>
    <w:p w14:paraId="269A9533">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82" w:name="_Toc26974"/>
      <w:bookmarkStart w:id="183" w:name="_Toc130971870"/>
      <w:bookmarkStart w:id="184" w:name="_Toc12765"/>
      <w:r>
        <w:rPr>
          <w:rFonts w:hint="eastAsia" w:ascii="仿宋_GB2312" w:hAnsi="仿宋_GB2312" w:eastAsia="仿宋_GB2312" w:cs="仿宋_GB2312"/>
          <w:sz w:val="28"/>
          <w:szCs w:val="28"/>
        </w:rPr>
        <w:t>十一、废标</w:t>
      </w:r>
      <w:bookmarkEnd w:id="174"/>
      <w:bookmarkEnd w:id="175"/>
      <w:bookmarkEnd w:id="182"/>
      <w:bookmarkEnd w:id="183"/>
      <w:bookmarkEnd w:id="184"/>
    </w:p>
    <w:p w14:paraId="1F0C1834">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85" w:name="_Toc13648"/>
      <w:bookmarkStart w:id="186" w:name="_Toc130971871"/>
      <w:bookmarkStart w:id="187" w:name="_Toc22048"/>
      <w:bookmarkStart w:id="188" w:name="_Toc376936762"/>
      <w:bookmarkStart w:id="189" w:name="_Toc325726031"/>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废标情形</w:t>
      </w:r>
      <w:bookmarkEnd w:id="185"/>
      <w:bookmarkEnd w:id="186"/>
      <w:bookmarkEnd w:id="187"/>
    </w:p>
    <w:p w14:paraId="3E03C9BA">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.1在招标采购中，出现下列情形之一的，应予废标：</w:t>
      </w:r>
      <w:bookmarkEnd w:id="188"/>
      <w:bookmarkEnd w:id="189"/>
    </w:p>
    <w:p w14:paraId="449D1060">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（1）符合投标条件的供应商或者对招标文件作实质响应的供应商不足三家的；</w:t>
      </w:r>
    </w:p>
    <w:p w14:paraId="409992F8">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（2）出现影响采购活动正常推进的违法、违规行为的；</w:t>
      </w:r>
    </w:p>
    <w:p w14:paraId="145EC6B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（3）投标人的报价均超出采购预算，采购人不能支付的；</w:t>
      </w:r>
    </w:p>
    <w:p w14:paraId="78E180A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（4）因重大变故，采购任务取消的。</w:t>
      </w:r>
    </w:p>
    <w:p w14:paraId="0C2AD31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.2废标后，由集中采购机构发布废标公告。</w:t>
      </w:r>
      <w:bookmarkStart w:id="190" w:name="_Toc325726032"/>
    </w:p>
    <w:p w14:paraId="4693A695">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91" w:name="_Toc376936763"/>
      <w:bookmarkStart w:id="192" w:name="_Toc130971872"/>
      <w:bookmarkStart w:id="193" w:name="_Toc2380"/>
      <w:bookmarkStart w:id="194" w:name="_Toc4550"/>
      <w:r>
        <w:rPr>
          <w:rFonts w:hint="eastAsia" w:ascii="仿宋_GB2312" w:hAnsi="仿宋_GB2312" w:eastAsia="仿宋_GB2312" w:cs="仿宋_GB2312"/>
          <w:sz w:val="28"/>
          <w:szCs w:val="28"/>
        </w:rPr>
        <w:t>十二、处罚</w:t>
      </w:r>
      <w:bookmarkEnd w:id="190"/>
      <w:bookmarkEnd w:id="191"/>
      <w:bookmarkEnd w:id="192"/>
      <w:bookmarkEnd w:id="193"/>
      <w:bookmarkEnd w:id="194"/>
    </w:p>
    <w:p w14:paraId="4CC78FE4">
      <w:pPr>
        <w:pStyle w:val="4"/>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195" w:name="_Toc376936764"/>
      <w:bookmarkStart w:id="196" w:name="_Toc5715"/>
      <w:bookmarkStart w:id="197" w:name="_Toc130971873"/>
      <w:bookmarkStart w:id="198" w:name="_Toc325726033"/>
      <w:bookmarkStart w:id="199" w:name="_Toc28338"/>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.处罚情形</w:t>
      </w:r>
      <w:bookmarkEnd w:id="195"/>
      <w:bookmarkEnd w:id="196"/>
      <w:bookmarkEnd w:id="197"/>
      <w:bookmarkEnd w:id="198"/>
      <w:bookmarkEnd w:id="199"/>
    </w:p>
    <w:p w14:paraId="38C23B5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有下列情形之一的，中标供应商的中标结果无效，履约保证金不予退还。</w:t>
      </w:r>
    </w:p>
    <w:p w14:paraId="05D09F6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（1）投标人在投标截止期后撤回其投标的；</w:t>
      </w:r>
    </w:p>
    <w:p w14:paraId="749BDB91">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（2）提供虚假材料谋取中标的；</w:t>
      </w:r>
    </w:p>
    <w:p w14:paraId="5A89118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（3）采取不正当手段诋毁、排挤其他供应商的；</w:t>
      </w:r>
    </w:p>
    <w:p w14:paraId="5827B99B">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（4）有恶意串通等不正当竞争行为的；</w:t>
      </w:r>
    </w:p>
    <w:p w14:paraId="39E8D4CE">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（5）中标后无正当理由拒不与采购人签订采购合同的；</w:t>
      </w:r>
    </w:p>
    <w:p w14:paraId="7802530A">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（6）未按照招、投标文件确定的事项签订采购合同的；</w:t>
      </w:r>
    </w:p>
    <w:p w14:paraId="6A6B141C">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（7）将采购合同转包的；</w:t>
      </w:r>
    </w:p>
    <w:p w14:paraId="19523EDA">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（8）提供假冒伪劣产品的；</w:t>
      </w:r>
    </w:p>
    <w:p w14:paraId="40705527">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（9）擅自变更、中止或者终止政府采购合同的；</w:t>
      </w:r>
    </w:p>
    <w:p w14:paraId="3C5E6643">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（10）中标供应商签订合同后，因种种原因不能履约或无故拖延履约期的；</w:t>
      </w:r>
    </w:p>
    <w:p w14:paraId="7A862155">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（11）法律、法规规定的其他情形的。</w:t>
      </w:r>
    </w:p>
    <w:p w14:paraId="13CFC404">
      <w:pPr>
        <w:pStyle w:val="3"/>
        <w:pageBreakBefore w:val="0"/>
        <w:widowControl w:val="0"/>
        <w:kinsoku/>
        <w:wordWrap/>
        <w:overflowPunct/>
        <w:topLinePunct w:val="0"/>
        <w:bidi w:val="0"/>
        <w:adjustRightInd/>
        <w:snapToGrid/>
        <w:spacing w:before="0" w:beforeLines="0" w:after="0" w:afterLines="0" w:line="360" w:lineRule="exact"/>
        <w:ind w:firstLine="562" w:firstLineChars="200"/>
        <w:textAlignment w:val="auto"/>
        <w:rPr>
          <w:rFonts w:hint="eastAsia" w:ascii="仿宋_GB2312" w:hAnsi="仿宋_GB2312" w:eastAsia="仿宋_GB2312" w:cs="仿宋_GB2312"/>
          <w:sz w:val="28"/>
          <w:szCs w:val="28"/>
        </w:rPr>
      </w:pPr>
      <w:bookmarkStart w:id="200" w:name="_Toc376936765"/>
      <w:bookmarkStart w:id="201" w:name="_Toc130971874"/>
      <w:bookmarkStart w:id="202" w:name="_Toc762"/>
      <w:bookmarkStart w:id="203" w:name="_Toc325726034"/>
      <w:bookmarkStart w:id="204" w:name="_Toc19652"/>
      <w:r>
        <w:rPr>
          <w:rFonts w:hint="eastAsia" w:ascii="仿宋_GB2312" w:hAnsi="仿宋_GB2312" w:eastAsia="仿宋_GB2312" w:cs="仿宋_GB2312"/>
          <w:sz w:val="28"/>
          <w:szCs w:val="28"/>
        </w:rPr>
        <w:t>十三、其他</w:t>
      </w:r>
      <w:bookmarkEnd w:id="200"/>
      <w:bookmarkEnd w:id="201"/>
      <w:bookmarkEnd w:id="202"/>
      <w:bookmarkEnd w:id="203"/>
      <w:bookmarkEnd w:id="204"/>
    </w:p>
    <w:p w14:paraId="44B3550F">
      <w:pPr>
        <w:pageBreakBefore w:val="0"/>
        <w:widowControl w:val="0"/>
        <w:kinsoku/>
        <w:wordWrap/>
        <w:overflowPunct/>
        <w:topLinePunct w:val="0"/>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未尽事宜，按照《中华人民共和国政府采购法》、《中华人民共和国民法典》、《中华人民共和国政府采购法实施条例》等法律法规及中华人民共和国财政部《政府采购货物和服务招标投标管理办法》的有关条款执行。</w:t>
      </w:r>
    </w:p>
    <w:p w14:paraId="5222A191">
      <w:pPr>
        <w:pStyle w:val="2"/>
        <w:bidi w:val="0"/>
        <w:rPr>
          <w:rFonts w:hint="eastAsia" w:ascii="方正小标宋简体" w:hAnsi="方正小标宋简体" w:eastAsia="方正小标宋简体" w:cs="方正小标宋简体"/>
          <w:b/>
          <w:bCs w:val="0"/>
        </w:rPr>
      </w:pPr>
      <w:bookmarkStart w:id="205" w:name="_Toc376936766"/>
      <w:r>
        <w:rPr>
          <w:rFonts w:hint="eastAsia" w:ascii="仿宋_GB2312" w:hAnsi="仿宋_GB2312" w:eastAsia="仿宋_GB2312" w:cs="仿宋_GB2312"/>
          <w:b w:val="0"/>
          <w:szCs w:val="28"/>
        </w:rPr>
        <w:br w:type="page"/>
      </w:r>
      <w:bookmarkStart w:id="206" w:name="_Toc130971875"/>
      <w:bookmarkStart w:id="207" w:name="_Toc13759"/>
      <w:bookmarkStart w:id="208" w:name="_Toc9918"/>
      <w:r>
        <w:rPr>
          <w:rFonts w:hint="eastAsia" w:ascii="方正小标宋简体" w:hAnsi="方正小标宋简体" w:eastAsia="方正小标宋简体" w:cs="方正小标宋简体"/>
          <w:b/>
          <w:bCs w:val="0"/>
        </w:rPr>
        <w:t xml:space="preserve">第三部分 </w:t>
      </w:r>
      <w:bookmarkEnd w:id="205"/>
      <w:r>
        <w:rPr>
          <w:rFonts w:hint="eastAsia" w:ascii="方正小标宋简体" w:hAnsi="方正小标宋简体" w:eastAsia="方正小标宋简体" w:cs="方正小标宋简体"/>
          <w:b/>
          <w:bCs w:val="0"/>
          <w:lang w:eastAsia="zh-CN"/>
        </w:rPr>
        <w:t>化隆</w:t>
      </w:r>
      <w:r>
        <w:rPr>
          <w:rFonts w:hint="eastAsia" w:ascii="方正小标宋简体" w:hAnsi="方正小标宋简体" w:eastAsia="方正小标宋简体" w:cs="方正小标宋简体"/>
          <w:b/>
          <w:bCs w:val="0"/>
        </w:rPr>
        <w:t>政府采购项目合同书范本（货物类）</w:t>
      </w:r>
      <w:bookmarkEnd w:id="206"/>
      <w:bookmarkEnd w:id="207"/>
      <w:bookmarkEnd w:id="208"/>
    </w:p>
    <w:p w14:paraId="413210B1">
      <w:pPr>
        <w:pageBreakBefore w:val="0"/>
        <w:kinsoku/>
        <w:wordWrap/>
        <w:overflowPunct/>
        <w:topLinePunct w:val="0"/>
        <w:bidi w:val="0"/>
        <w:spacing w:beforeAutospacing="0" w:afterAutospacing="0" w:line="360" w:lineRule="exact"/>
        <w:ind w:left="0" w:firstLine="560" w:firstLineChars="200"/>
        <w:textAlignment w:val="auto"/>
        <w:rPr>
          <w:rFonts w:hint="eastAsia" w:ascii="仿宋_GB2312" w:hAnsi="仿宋_GB2312" w:eastAsia="仿宋_GB2312" w:cs="仿宋_GB2312"/>
          <w:sz w:val="28"/>
          <w:szCs w:val="28"/>
        </w:rPr>
      </w:pPr>
      <w:bookmarkStart w:id="209" w:name="_Toc375576842"/>
      <w:bookmarkStart w:id="210" w:name="_Toc373936315"/>
      <w:bookmarkStart w:id="211" w:name="_Toc373954603"/>
    </w:p>
    <w:p w14:paraId="61BEC7E8">
      <w:pPr>
        <w:pStyle w:val="2"/>
        <w:pageBreakBefore w:val="0"/>
        <w:kinsoku/>
        <w:wordWrap/>
        <w:overflowPunct/>
        <w:topLinePunct w:val="0"/>
        <w:bidi w:val="0"/>
        <w:spacing w:beforeAutospacing="0" w:afterAutospacing="0" w:line="360" w:lineRule="exact"/>
        <w:ind w:left="0" w:firstLine="560" w:firstLineChars="200"/>
        <w:jc w:val="both"/>
        <w:textAlignment w:val="auto"/>
        <w:rPr>
          <w:rFonts w:hint="eastAsia" w:ascii="仿宋_GB2312" w:hAnsi="仿宋_GB2312" w:eastAsia="仿宋_GB2312" w:cs="仿宋_GB2312"/>
          <w:b w:val="0"/>
          <w:kern w:val="2"/>
          <w:sz w:val="28"/>
          <w:szCs w:val="28"/>
        </w:rPr>
      </w:pPr>
    </w:p>
    <w:p w14:paraId="7C21D9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87A60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60FAA6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623365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32ECF5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09BF2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4D1DDF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b/>
          <w:bCs/>
          <w:sz w:val="36"/>
          <w:szCs w:val="36"/>
        </w:rPr>
      </w:pPr>
      <w:bookmarkStart w:id="212" w:name="_Toc130971876"/>
      <w:r>
        <w:rPr>
          <w:rFonts w:hint="eastAsia" w:ascii="方正小标宋简体" w:hAnsi="方正小标宋简体" w:eastAsia="方正小标宋简体" w:cs="方正小标宋简体"/>
          <w:b/>
          <w:bCs/>
          <w:sz w:val="36"/>
          <w:szCs w:val="36"/>
          <w:lang w:eastAsia="zh-CN"/>
        </w:rPr>
        <w:t>化隆县</w:t>
      </w:r>
      <w:r>
        <w:rPr>
          <w:rFonts w:hint="eastAsia" w:ascii="方正小标宋简体" w:hAnsi="方正小标宋简体" w:eastAsia="方正小标宋简体" w:cs="方正小标宋简体"/>
          <w:b/>
          <w:bCs/>
          <w:sz w:val="36"/>
          <w:szCs w:val="36"/>
        </w:rPr>
        <w:t>政府采购项目合同</w:t>
      </w:r>
      <w:bookmarkEnd w:id="209"/>
      <w:bookmarkEnd w:id="210"/>
      <w:bookmarkEnd w:id="211"/>
      <w:r>
        <w:rPr>
          <w:rFonts w:hint="eastAsia" w:ascii="方正小标宋简体" w:hAnsi="方正小标宋简体" w:eastAsia="方正小标宋简体" w:cs="方正小标宋简体"/>
          <w:b/>
          <w:bCs/>
          <w:sz w:val="36"/>
          <w:szCs w:val="36"/>
        </w:rPr>
        <w:t>书</w:t>
      </w:r>
      <w:bookmarkEnd w:id="212"/>
    </w:p>
    <w:p w14:paraId="0264B44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AFA482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EE602D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04692B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14:paraId="4088DDB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采购项目名称</w:t>
      </w:r>
      <w:r>
        <w:rPr>
          <w:rFonts w:hint="eastAsia" w:ascii="仿宋_GB2312" w:hAnsi="仿宋_GB2312" w:eastAsia="仿宋_GB2312" w:cs="仿宋_GB2312"/>
          <w:sz w:val="32"/>
          <w:szCs w:val="32"/>
          <w:u w:val="single"/>
        </w:rPr>
        <w:t xml:space="preserve">：                             </w:t>
      </w:r>
    </w:p>
    <w:p w14:paraId="46873C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60DFEC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采购合同编号：</w:t>
      </w:r>
      <w:r>
        <w:rPr>
          <w:rFonts w:hint="eastAsia" w:ascii="仿宋_GB2312" w:hAnsi="仿宋_GB2312" w:eastAsia="仿宋_GB2312" w:cs="仿宋_GB2312"/>
          <w:bCs/>
          <w:color w:val="auto"/>
          <w:sz w:val="28"/>
          <w:szCs w:val="28"/>
          <w:highlight w:val="none"/>
          <w:u w:val="single"/>
          <w:lang w:val="en-US" w:eastAsia="zh-CN"/>
        </w:rPr>
        <w:t xml:space="preserve"> HLGF2026-（货物）- 01号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14:paraId="63972A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合同金额（人民币）：                             </w:t>
      </w:r>
    </w:p>
    <w:p w14:paraId="48B54B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采购单位（甲方）：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（盖章）</w:t>
      </w:r>
    </w:p>
    <w:p w14:paraId="65F682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中标供应商（乙方）：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（盖章）</w:t>
      </w:r>
    </w:p>
    <w:p w14:paraId="7D0C03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开标</w:t>
      </w:r>
      <w:r>
        <w:rPr>
          <w:rFonts w:hint="eastAsia" w:ascii="仿宋_GB2312" w:hAnsi="仿宋_GB2312" w:eastAsia="仿宋_GB2312" w:cs="仿宋_GB2312"/>
          <w:sz w:val="32"/>
          <w:szCs w:val="32"/>
        </w:rPr>
        <w:t xml:space="preserve">日期：                                      </w:t>
      </w:r>
    </w:p>
    <w:p w14:paraId="7C881B0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14:paraId="744968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18BE4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53874E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B3F82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F9C3C1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45CBF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7F4D64F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26A71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546C62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2D4DC5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359610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5BC47E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6A086FF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 购 人（以下简称甲方）：</w:t>
      </w:r>
    </w:p>
    <w:p w14:paraId="4AC5575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 应 商（以下简称乙方）：</w:t>
      </w:r>
    </w:p>
    <w:p w14:paraId="600DD35D">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甲、乙双方根据</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zh-CN"/>
        </w:rPr>
        <w:t>日（采购项目名称）采购项目（采购项目编号：</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val="zh-CN"/>
        </w:rPr>
        <w:t>）的招标文件要求和集采机构出具的《中标通知书》，并经双方协商一致，签订本合同。</w:t>
      </w:r>
    </w:p>
    <w:p w14:paraId="12D4D13F">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一、签订本政府采购合同的依据</w:t>
      </w:r>
    </w:p>
    <w:p w14:paraId="6BA1D038">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本政府采购合同所附下列文件是构成本政府采购合同不可分割的部分：</w:t>
      </w:r>
    </w:p>
    <w:p w14:paraId="7F390676">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1.招标文件；</w:t>
      </w:r>
    </w:p>
    <w:p w14:paraId="0962FA60">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2.招标文件的澄清、变更公告；</w:t>
      </w:r>
    </w:p>
    <w:p w14:paraId="45626EFE">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3.中标人提交的投标文件；</w:t>
      </w:r>
    </w:p>
    <w:p w14:paraId="1BB18A35">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4.招标文件中规定的政府采购合同通用条款；</w:t>
      </w:r>
    </w:p>
    <w:p w14:paraId="3795BA22">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5.中标通知书；</w:t>
      </w:r>
    </w:p>
    <w:p w14:paraId="1DD00732">
      <w:pPr>
        <w:keepNext w:val="0"/>
        <w:keepLines w:val="0"/>
        <w:pageBreakBefore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6.履约保证金缴费证明。</w:t>
      </w:r>
    </w:p>
    <w:p w14:paraId="49DCCD6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color w:val="000000"/>
          <w:kern w:val="0"/>
          <w:sz w:val="28"/>
          <w:szCs w:val="28"/>
          <w:lang w:val="en-US" w:eastAsia="zh-CN" w:bidi="ar"/>
        </w:rPr>
        <w:t>7.县级预算单位政府采购计划备案表。</w:t>
      </w:r>
    </w:p>
    <w:p w14:paraId="033A501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二、合同标的及金额                              单位：元</w:t>
      </w:r>
    </w:p>
    <w:tbl>
      <w:tblPr>
        <w:tblStyle w:val="15"/>
        <w:tblW w:w="891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58"/>
        <w:gridCol w:w="1704"/>
        <w:gridCol w:w="927"/>
        <w:gridCol w:w="910"/>
        <w:gridCol w:w="1356"/>
        <w:gridCol w:w="953"/>
        <w:gridCol w:w="710"/>
        <w:gridCol w:w="851"/>
        <w:gridCol w:w="850"/>
      </w:tblGrid>
      <w:tr w14:paraId="16432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2F4B492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704" w:type="dxa"/>
            <w:noWrap w:val="0"/>
            <w:vAlign w:val="center"/>
          </w:tcPr>
          <w:p w14:paraId="3D63CD5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产品名称</w:t>
            </w:r>
          </w:p>
        </w:tc>
        <w:tc>
          <w:tcPr>
            <w:tcW w:w="927" w:type="dxa"/>
            <w:noWrap w:val="0"/>
            <w:vAlign w:val="center"/>
          </w:tcPr>
          <w:p w14:paraId="146998C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910" w:type="dxa"/>
            <w:noWrap w:val="0"/>
            <w:vAlign w:val="center"/>
          </w:tcPr>
          <w:p w14:paraId="223DAA8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规格或型号</w:t>
            </w:r>
          </w:p>
        </w:tc>
        <w:tc>
          <w:tcPr>
            <w:tcW w:w="1356" w:type="dxa"/>
            <w:noWrap w:val="0"/>
            <w:vAlign w:val="center"/>
          </w:tcPr>
          <w:p w14:paraId="1EDE494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生产厂家</w:t>
            </w:r>
          </w:p>
        </w:tc>
        <w:tc>
          <w:tcPr>
            <w:tcW w:w="953" w:type="dxa"/>
            <w:noWrap w:val="0"/>
            <w:vAlign w:val="center"/>
          </w:tcPr>
          <w:p w14:paraId="4760850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数量及单位</w:t>
            </w:r>
          </w:p>
        </w:tc>
        <w:tc>
          <w:tcPr>
            <w:tcW w:w="710" w:type="dxa"/>
            <w:noWrap w:val="0"/>
            <w:vAlign w:val="center"/>
          </w:tcPr>
          <w:p w14:paraId="244D962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w:t>
            </w:r>
          </w:p>
        </w:tc>
        <w:tc>
          <w:tcPr>
            <w:tcW w:w="851" w:type="dxa"/>
            <w:noWrap w:val="0"/>
            <w:vAlign w:val="center"/>
          </w:tcPr>
          <w:p w14:paraId="033B969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总价</w:t>
            </w:r>
          </w:p>
        </w:tc>
        <w:tc>
          <w:tcPr>
            <w:tcW w:w="850" w:type="dxa"/>
            <w:noWrap w:val="0"/>
            <w:vAlign w:val="center"/>
          </w:tcPr>
          <w:p w14:paraId="41FB0FA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4A058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5689F53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704" w:type="dxa"/>
            <w:noWrap w:val="0"/>
            <w:vAlign w:val="center"/>
          </w:tcPr>
          <w:p w14:paraId="0C98C47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27" w:type="dxa"/>
            <w:noWrap w:val="0"/>
            <w:vAlign w:val="center"/>
          </w:tcPr>
          <w:p w14:paraId="5E13CEA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5B3541C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0567B8E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1E77295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27D3A36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2C904B9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340EE58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262AA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0556DE2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704" w:type="dxa"/>
            <w:noWrap w:val="0"/>
            <w:vAlign w:val="center"/>
          </w:tcPr>
          <w:p w14:paraId="3FFA740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27" w:type="dxa"/>
            <w:noWrap w:val="0"/>
            <w:vAlign w:val="center"/>
          </w:tcPr>
          <w:p w14:paraId="0B6ACF2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343F6AD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290528C1">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1259DFD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2435291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077919A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442BA4E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28A5E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30F9D6E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04" w:type="dxa"/>
            <w:noWrap w:val="0"/>
            <w:vAlign w:val="center"/>
          </w:tcPr>
          <w:p w14:paraId="68739F9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27" w:type="dxa"/>
            <w:noWrap w:val="0"/>
            <w:vAlign w:val="center"/>
          </w:tcPr>
          <w:p w14:paraId="2230715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66FDF07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2A5FF5E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40034A8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3F329D6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2AE5128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44D84BB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bl>
    <w:p w14:paraId="1F275393">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根据上述政府采购合同文件要求，本合同的总金额为人民币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none"/>
          <w:lang w:eastAsia="zh-CN"/>
        </w:rPr>
        <w:t>元</w:t>
      </w:r>
      <w:r>
        <w:rPr>
          <w:rFonts w:hint="eastAsia" w:ascii="仿宋_GB2312" w:hAnsi="仿宋_GB2312" w:eastAsia="仿宋_GB2312" w:cs="仿宋_GB2312"/>
          <w:sz w:val="28"/>
          <w:szCs w:val="28"/>
          <w:lang w:val="zh-CN"/>
        </w:rPr>
        <w:t>（大写）</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lang w:val="zh-CN"/>
        </w:rPr>
        <w:t>元。</w:t>
      </w:r>
    </w:p>
    <w:p w14:paraId="0B34A42D">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本合同以人民币进行结算，合同总价包括：产品费、验收费、手续费、包装费、运输费、保险费、安装费、调试费、培训费、售前、售中、售后服务费、税金及不可预见费等全部费用。</w:t>
      </w:r>
    </w:p>
    <w:p w14:paraId="58CA09BB">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三、交付时间、地点和要求</w:t>
      </w:r>
    </w:p>
    <w:p w14:paraId="3CB60383">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交货时间：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lang w:val="zh-CN"/>
        </w:rPr>
        <w:t>；</w:t>
      </w:r>
    </w:p>
    <w:p w14:paraId="4FB1008C">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交货地点：</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lang w:val="zh-CN"/>
        </w:rPr>
        <w:t>；</w:t>
      </w:r>
    </w:p>
    <w:p w14:paraId="54254D44">
      <w:pPr>
        <w:keepNext w:val="0"/>
        <w:keepLines w:val="0"/>
        <w:pageBreakBefore w:val="0"/>
        <w:widowControl w:val="0"/>
        <w:kinsoku/>
        <w:wordWrap/>
        <w:overflowPunct/>
        <w:topLinePunct w:val="0"/>
        <w:bidi w:val="0"/>
        <w:snapToGrid/>
        <w:spacing w:line="3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质保期：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lang w:val="zh-CN"/>
        </w:rPr>
        <w:t>。</w:t>
      </w:r>
    </w:p>
    <w:p w14:paraId="19C05CBC">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zh-CN"/>
        </w:rPr>
        <w:t>乙方提供不符合招投标文件和本合同规定的产品，甲方有权拒绝接受。</w:t>
      </w:r>
    </w:p>
    <w:p w14:paraId="6271E4BB">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zh-CN"/>
        </w:rPr>
        <w:t>乙方应将提供产品的装箱清单、用户手册、原厂保修卡、随机资料、工具和备品、备件等交付给甲方，如有缺失应及时补齐，否则视为逾期交货。</w:t>
      </w:r>
    </w:p>
    <w:p w14:paraId="2EFFEC40">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zh-CN"/>
        </w:rPr>
        <w:t>甲方应当在到货（安装、调试完）后</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个工作日内进行验收，逾期不验收的，乙方可视为验收合格。验收合格后，由甲乙双方签署产品验收单并加盖采购人公章，甲乙双方各执一份。</w:t>
      </w:r>
    </w:p>
    <w:p w14:paraId="4C78004B">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zh-CN"/>
        </w:rPr>
        <w:t>甲方应提供该项目验收报告交同级财政监管部门，由财政部门按规定程序抽验后办理资金拨付。</w:t>
      </w:r>
    </w:p>
    <w:p w14:paraId="5E956381">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zh-CN"/>
        </w:rPr>
        <w:t>甲方在验收过程中发现乙方有违约问题，可按招、投标文件的规定要求乙方及时予以解决。</w:t>
      </w:r>
    </w:p>
    <w:p w14:paraId="1E0724CE">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zh-CN"/>
        </w:rPr>
        <w:t>乙方向甲方提供产品相关完税销售发票。</w:t>
      </w:r>
    </w:p>
    <w:p w14:paraId="488D8256">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四、付款方式</w:t>
      </w:r>
    </w:p>
    <w:p w14:paraId="6EC5A589">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根据双方约定付款。</w:t>
      </w:r>
    </w:p>
    <w:p w14:paraId="682A2C08">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五、合同的变更、终止与转让</w:t>
      </w:r>
    </w:p>
    <w:p w14:paraId="137532CE">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zh-CN"/>
        </w:rPr>
        <w:t>除《中华人民共和国政府采购法》第</w:t>
      </w:r>
      <w:r>
        <w:rPr>
          <w:rFonts w:hint="eastAsia" w:ascii="仿宋_GB2312" w:hAnsi="仿宋_GB2312" w:eastAsia="仿宋_GB2312" w:cs="仿宋_GB2312"/>
          <w:color w:val="auto"/>
          <w:sz w:val="28"/>
          <w:szCs w:val="28"/>
        </w:rPr>
        <w:t>50</w:t>
      </w:r>
      <w:r>
        <w:rPr>
          <w:rFonts w:hint="eastAsia" w:ascii="仿宋_GB2312" w:hAnsi="仿宋_GB2312" w:eastAsia="仿宋_GB2312" w:cs="仿宋_GB2312"/>
          <w:color w:val="auto"/>
          <w:sz w:val="28"/>
          <w:szCs w:val="28"/>
          <w:lang w:val="zh-CN"/>
        </w:rPr>
        <w:t>条规定的情形外，本合同一经签订，甲乙双方不得擅自变更、中止或终止。</w:t>
      </w:r>
    </w:p>
    <w:p w14:paraId="50A754D0">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zh-CN"/>
        </w:rPr>
        <w:t>乙方不得擅自转让其应履行的合同义务。</w:t>
      </w:r>
    </w:p>
    <w:p w14:paraId="65DF0F12">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六、违约责任</w:t>
      </w:r>
    </w:p>
    <w:p w14:paraId="31220122">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 xml:space="preserve">1.甲方无故延期接受货物或乙方逾期交货的，每天应向对方偿付未交货物的货款3‰的违约金，但违约金累计不得超过违约货款的10%，超过 15 天对方有权解除合同，违约方承担因此给对方造成的经济损失。 </w:t>
      </w:r>
    </w:p>
    <w:p w14:paraId="774F6E05">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 xml:space="preserve">2.乙方所提供的产品规格、技术标准、材料等质量不合格的，应及时更换；更换不及时的，按逾期交货承担违约金；因质量问题乙方更换甲方不同意接收的，质保金全额扣除，并承担需要更换货物的相关所有费用。 </w:t>
      </w:r>
    </w:p>
    <w:p w14:paraId="43D29665">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 xml:space="preserve">3.乙方提供的货物如侵犯了第三方权益而引发纠纷或诉讼的，均由乙方负责交涉并承担全部责任。 </w:t>
      </w:r>
    </w:p>
    <w:p w14:paraId="2DF37A4C">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 xml:space="preserve">4.因包装、运输引起的货物损坏，按质量不合格承担违约金。 </w:t>
      </w:r>
    </w:p>
    <w:p w14:paraId="6B486DB5">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 xml:space="preserve">5.乙方未按本合同和投标文件中规定的服务承诺提供售后服务的，乙方应按本合同总金额的5%向甲方支付违约金，如产生产品维修费用由乙方承担。 </w:t>
      </w:r>
    </w:p>
    <w:p w14:paraId="3F292D5E">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 xml:space="preserve">6.乙方提供的货物在质量保证期内，因设计、工艺或材料的缺陷和其它质量原因造成的问题，由乙方维修和更换，费用先从履约保证金中扣除，不足另补。 </w:t>
      </w:r>
    </w:p>
    <w:p w14:paraId="26011A99">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eastAsia="zh-CN"/>
        </w:rPr>
        <w:t>7.除以上列举的条款以外，本合同以上各项条款双方应严格遵守，任何一方违约，应向守约方支付本合同总价款 10％的违约金；如果因违约给对方造成经济损失时，违约金不足以承担损失，不足的部分由乙方补足。</w:t>
      </w:r>
    </w:p>
    <w:p w14:paraId="5A027E56">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七、不可抗力</w:t>
      </w:r>
    </w:p>
    <w:p w14:paraId="1E9C37E3">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1.不可抗力使合同的某些内容有变更必要的，双方应通过协商在</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zh-CN"/>
        </w:rPr>
        <w:t>天内达成进一步履行合同的协议，因不可抗力致使合同不能履行的，合同终止。</w:t>
      </w:r>
    </w:p>
    <w:p w14:paraId="365BA08B">
      <w:pPr>
        <w:keepNext w:val="0"/>
        <w:keepLines w:val="0"/>
        <w:pageBreakBefore w:val="0"/>
        <w:widowControl w:val="0"/>
        <w:kinsoku/>
        <w:wordWrap/>
        <w:overflowPunct/>
        <w:topLinePunct w:val="0"/>
        <w:autoSpaceDE w:val="0"/>
        <w:autoSpaceDN w:val="0"/>
        <w:bidi w:val="0"/>
        <w:adjustRightInd w:val="0"/>
        <w:snapToGrid/>
        <w:spacing w:line="360" w:lineRule="exact"/>
        <w:ind w:firstLine="480"/>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2.除法律、法规规定的不可抗力情形外，双方约定出现</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lang w:val="zh-CN"/>
        </w:rPr>
        <w:t>情况亦视为不可抗力。</w:t>
      </w:r>
      <w:r>
        <w:rPr>
          <w:rFonts w:hint="eastAsia" w:ascii="仿宋_GB2312" w:hAnsi="仿宋_GB2312" w:eastAsia="仿宋_GB2312" w:cs="仿宋_GB2312"/>
          <w:sz w:val="28"/>
          <w:szCs w:val="28"/>
          <w:lang w:val="zh-CN" w:eastAsia="zh-CN"/>
        </w:rPr>
        <w:t>如自然灾害、政府禁令等。</w:t>
      </w:r>
    </w:p>
    <w:p w14:paraId="5C37B394">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八、知识产权：详见合同通用条款</w:t>
      </w:r>
    </w:p>
    <w:p w14:paraId="4D666462">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九、其他约定：</w:t>
      </w:r>
    </w:p>
    <w:p w14:paraId="3AD447E4">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十、合同争议解决</w:t>
      </w:r>
    </w:p>
    <w:p w14:paraId="521A155C">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因产品质量问题发生争议的，应邀请国家认可的质量检测机构进行鉴定。产品符合标准的，鉴定费由甲方承担；产品不符合标准的，鉴定费由乙方承担。</w:t>
      </w:r>
    </w:p>
    <w:p w14:paraId="45FD1092">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zh-CN"/>
        </w:rPr>
        <w:t>因履行本合同引起的或与本合同有关的争议，甲乙双方应首先通过友好协商解决，如果协商不能解决，可向甲方所在地仲裁委员会申请仲裁或向甲方所在地人民法院提起诉讼。</w:t>
      </w:r>
    </w:p>
    <w:p w14:paraId="7BBB15A4">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zh-CN"/>
        </w:rPr>
        <w:t>诉讼期间，本合同继续履行。</w:t>
      </w:r>
    </w:p>
    <w:p w14:paraId="794115CB">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十一、合同生效及其它</w:t>
      </w:r>
      <w:r>
        <w:rPr>
          <w:rFonts w:hint="eastAsia" w:ascii="仿宋_GB2312" w:hAnsi="仿宋_GB2312" w:eastAsia="仿宋_GB2312" w:cs="仿宋_GB2312"/>
          <w:sz w:val="28"/>
          <w:szCs w:val="28"/>
        </w:rPr>
        <w:t>：</w:t>
      </w:r>
    </w:p>
    <w:p w14:paraId="2CF38823">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本合同一式六份，经双方签字，并加盖公章即为生效。</w:t>
      </w:r>
    </w:p>
    <w:p w14:paraId="141B9AD9">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zh-CN"/>
        </w:rPr>
        <w:t>本合同未尽事宜，按《</w:t>
      </w:r>
      <w:r>
        <w:rPr>
          <w:rFonts w:hint="eastAsia" w:ascii="仿宋_GB2312" w:hAnsi="仿宋_GB2312" w:eastAsia="仿宋_GB2312" w:cs="仿宋_GB2312"/>
          <w:sz w:val="28"/>
          <w:szCs w:val="28"/>
          <w:lang w:val="zh-CN" w:eastAsia="zh-CN"/>
        </w:rPr>
        <w:t>中华人民共和国民法典</w:t>
      </w:r>
      <w:r>
        <w:rPr>
          <w:rFonts w:hint="eastAsia" w:ascii="仿宋_GB2312" w:hAnsi="仿宋_GB2312" w:eastAsia="仿宋_GB2312" w:cs="仿宋_GB2312"/>
          <w:sz w:val="28"/>
          <w:szCs w:val="28"/>
          <w:lang w:val="zh-CN"/>
        </w:rPr>
        <w:t>》有关规定处理。</w:t>
      </w:r>
    </w:p>
    <w:p w14:paraId="4AACACA3">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zh-CN"/>
        </w:rPr>
        <w:t>本合同的组成包含《合同通用条款》。</w:t>
      </w:r>
    </w:p>
    <w:p w14:paraId="3C82DF5A">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p>
    <w:p w14:paraId="7C8C157A">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p>
    <w:p w14:paraId="3A3CCD38">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甲方（盖章）：</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乙方（盖章）：</w:t>
      </w:r>
    </w:p>
    <w:p w14:paraId="5DAC7579">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法定代表人或委托代理人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法定代表人或委托代理人</w:t>
      </w:r>
      <w:r>
        <w:rPr>
          <w:rFonts w:hint="eastAsia" w:ascii="仿宋_GB2312" w:hAnsi="仿宋_GB2312" w:eastAsia="仿宋_GB2312" w:cs="仿宋_GB2312"/>
          <w:sz w:val="28"/>
          <w:szCs w:val="28"/>
        </w:rPr>
        <w:t>：</w:t>
      </w:r>
    </w:p>
    <w:p w14:paraId="79F5BBB6">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开户银行：</w:t>
      </w:r>
    </w:p>
    <w:p w14:paraId="7D4B8562">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账号：</w:t>
      </w:r>
    </w:p>
    <w:p w14:paraId="3702AA1D">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地址：</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地址：</w:t>
      </w:r>
    </w:p>
    <w:p w14:paraId="4D5C6631">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联系电话：</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联系电话：</w:t>
      </w:r>
    </w:p>
    <w:p w14:paraId="734582A0">
      <w:pPr>
        <w:keepNext w:val="0"/>
        <w:keepLines w:val="0"/>
        <w:pageBreakBefore w:val="0"/>
        <w:widowControl w:val="0"/>
        <w:kinsoku/>
        <w:wordWrap/>
        <w:overflowPunct/>
        <w:topLinePunct w:val="0"/>
        <w:bidi w:val="0"/>
        <w:snapToGrid/>
        <w:spacing w:line="360" w:lineRule="exact"/>
        <w:ind w:firstLine="2240" w:firstLineChars="800"/>
        <w:jc w:val="left"/>
        <w:textAlignment w:val="auto"/>
        <w:rPr>
          <w:rFonts w:hint="eastAsia" w:ascii="仿宋_GB2312" w:hAnsi="仿宋_GB2312" w:eastAsia="仿宋_GB2312" w:cs="仿宋_GB2312"/>
          <w:sz w:val="28"/>
          <w:szCs w:val="28"/>
          <w:lang w:val="zh-CN"/>
        </w:rPr>
      </w:pPr>
    </w:p>
    <w:p w14:paraId="0D3BF6F6">
      <w:pPr>
        <w:keepNext w:val="0"/>
        <w:keepLines w:val="0"/>
        <w:pageBreakBefore w:val="0"/>
        <w:widowControl w:val="0"/>
        <w:kinsoku/>
        <w:wordWrap/>
        <w:overflowPunct/>
        <w:topLinePunct w:val="0"/>
        <w:bidi w:val="0"/>
        <w:snapToGrid/>
        <w:spacing w:line="360" w:lineRule="exact"/>
        <w:ind w:firstLine="2240" w:firstLineChars="8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签约时间：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日</w:t>
      </w:r>
    </w:p>
    <w:p w14:paraId="32C95353">
      <w:pPr>
        <w:keepNext w:val="0"/>
        <w:keepLines w:val="0"/>
        <w:pageBreakBefore w:val="0"/>
        <w:widowControl w:val="0"/>
        <w:kinsoku/>
        <w:wordWrap/>
        <w:overflowPunct/>
        <w:topLinePunct w:val="0"/>
        <w:bidi w:val="0"/>
        <w:snapToGrid/>
        <w:spacing w:line="360" w:lineRule="exact"/>
        <w:ind w:left="0" w:leftChars="0" w:firstLine="0" w:firstLineChars="0"/>
        <w:jc w:val="left"/>
        <w:textAlignment w:val="auto"/>
        <w:rPr>
          <w:rFonts w:hint="eastAsia" w:ascii="仿宋_GB2312" w:hAnsi="仿宋_GB2312" w:eastAsia="仿宋_GB2312" w:cs="仿宋_GB2312"/>
          <w:sz w:val="28"/>
          <w:szCs w:val="28"/>
          <w:lang w:val="zh-CN"/>
        </w:rPr>
      </w:pPr>
    </w:p>
    <w:p w14:paraId="47C1F53C">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p>
    <w:p w14:paraId="3F0A917E">
      <w:pPr>
        <w:pStyle w:val="5"/>
        <w:keepNext w:val="0"/>
        <w:keepLines w:val="0"/>
        <w:pageBreakBefore w:val="0"/>
        <w:widowControl w:val="0"/>
        <w:kinsoku/>
        <w:wordWrap/>
        <w:overflowPunct/>
        <w:topLinePunct w:val="0"/>
        <w:bidi w:val="0"/>
        <w:snapToGrid/>
        <w:spacing w:after="0" w:afterLines="0" w:line="360" w:lineRule="exact"/>
        <w:textAlignment w:val="auto"/>
        <w:rPr>
          <w:rFonts w:hint="eastAsia" w:ascii="仿宋_GB2312" w:hAnsi="仿宋_GB2312" w:eastAsia="仿宋_GB2312" w:cs="仿宋_GB2312"/>
          <w:sz w:val="28"/>
          <w:szCs w:val="28"/>
          <w:lang w:val="zh-CN"/>
        </w:rPr>
      </w:pPr>
    </w:p>
    <w:p w14:paraId="2BFE4C57">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p>
    <w:p w14:paraId="56984681">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合同备案部门：海东市化隆县公共资源交易受理服务部</w:t>
      </w:r>
    </w:p>
    <w:p w14:paraId="11901DC9">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 xml:space="preserve">项目负责人： </w:t>
      </w:r>
    </w:p>
    <w:p w14:paraId="1EE2257B">
      <w:pPr>
        <w:keepNext w:val="0"/>
        <w:keepLines w:val="0"/>
        <w:pageBreakBefore w:val="0"/>
        <w:widowControl w:val="0"/>
        <w:kinsoku/>
        <w:wordWrap/>
        <w:overflowPunct/>
        <w:topLinePunct w:val="0"/>
        <w:bidi w:val="0"/>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合同备案时间：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日</w:t>
      </w:r>
    </w:p>
    <w:p w14:paraId="5B8818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41E21A6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合同通用条款</w:t>
      </w:r>
    </w:p>
    <w:p w14:paraId="5A4AF2B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6F40B1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根据《中华人民共和国民法典》、《中华人民共和国政府采购法》的规定，合同双方经协商达成一致，自愿订立本合同，遵循公平原则明确双方的权利、义务，确保双方诚实守信地履行合同。</w:t>
      </w:r>
    </w:p>
    <w:p w14:paraId="1204F82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1.定义</w:t>
      </w:r>
    </w:p>
    <w:p w14:paraId="1775FC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本合同中的下列术语应解释为：</w:t>
      </w:r>
    </w:p>
    <w:p w14:paraId="3F8698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“合同”指甲乙双方签署的、载明的甲乙双方权利义务的协议，包括所有的附件、附录和上述文件所提到的构成合同的所有文件。</w:t>
      </w:r>
    </w:p>
    <w:p w14:paraId="32571B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“合同金额”指根据合同规定，乙方在正确地完全履行合同义务后甲方应付给乙方的价款。</w:t>
      </w:r>
    </w:p>
    <w:p w14:paraId="49606D6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“合同条款”指本合同条款。</w:t>
      </w:r>
    </w:p>
    <w:p w14:paraId="54AB32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“货物”指乙方根据合同约定须向甲方提供的一切产品、设备、机械、仪表、备件等，包括辅助工具、使用手册等相关资料。</w:t>
      </w:r>
    </w:p>
    <w:p w14:paraId="4A96F5C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 “服务”指根据本合同规定乙方承担与供货有关的辅助服务，如运输、保险及安装、调试、提供技术援助、培训和合同中规定乙方应承担的其它义务。</w:t>
      </w:r>
    </w:p>
    <w:p w14:paraId="7502DA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 “甲方”指购买货物和服务的单位。</w:t>
      </w:r>
    </w:p>
    <w:p w14:paraId="55F410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 “乙方”指提供本合同条款下货物和服务的公司或其他实体。</w:t>
      </w:r>
    </w:p>
    <w:p w14:paraId="7CBE25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 “现场”指合同规定货物将要运至和安装的地点。</w:t>
      </w:r>
    </w:p>
    <w:p w14:paraId="63DF48C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 “验收”指合同双方依据强制性的国家技术质量规范和合同约定，确认合同条款下的货物符合合同规定的活动。</w:t>
      </w:r>
    </w:p>
    <w:p w14:paraId="3DBF31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1.10原厂商：产品制造商或其在中国境内设立的办事或技术服务机构。除另有说明外，本合同文件所述的制造商、产品制造商、制造厂家、产品制造厂家均为原厂商。</w:t>
      </w:r>
    </w:p>
    <w:p w14:paraId="702EB6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 原产地：指产品的生产地，或提供服务的来源地。</w:t>
      </w:r>
    </w:p>
    <w:p w14:paraId="65ABEF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 “工作日”指国家法定工作日，“天”指日历天数。</w:t>
      </w:r>
    </w:p>
    <w:p w14:paraId="696A36C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2.技术规格要求</w:t>
      </w:r>
    </w:p>
    <w:p w14:paraId="4B1517D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本合同条款下提交货物的技术规格要求应等于或优于招投标文件技术规格要求。若技术规格要求中无相应规定，则应符合相应的国家有关部门最新颁布的相应正式标准。</w:t>
      </w:r>
    </w:p>
    <w:p w14:paraId="39B706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乙方应向甲方提供货物及服务有关的标准的中文文本。</w:t>
      </w:r>
    </w:p>
    <w:p w14:paraId="1052BE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除非技术规范中另有规定，计量单位均采用中华人民共和国法定计量单位。</w:t>
      </w:r>
    </w:p>
    <w:p w14:paraId="02F08EF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3.合同范围</w:t>
      </w:r>
    </w:p>
    <w:p w14:paraId="103829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甲方同意从乙方处购买且乙方同意向甲方提供的设备及其附属设备，消耗性材料、专用工具等，包括各项技术服务、技术培训及满足合同设备组装、检验、培训、技术服务、安装调试指导、性能测试、正常运行及维修所必需的技术文件。</w:t>
      </w:r>
    </w:p>
    <w:p w14:paraId="1D98CE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乙方应负责培训甲方的技术人员。</w:t>
      </w:r>
    </w:p>
    <w:p w14:paraId="37F930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6599C4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4.合同文件和资料</w:t>
      </w:r>
    </w:p>
    <w:p w14:paraId="78A600F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4.1乙方在提供仪器设备时应同时提供中文版相关的技术资料，如目录索引、图纸、操作手册、使用指南、维修指南、服务手册等。</w:t>
      </w:r>
    </w:p>
    <w:p w14:paraId="728796A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20FCB5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5.知识产权</w:t>
      </w:r>
    </w:p>
    <w:p w14:paraId="01974D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5.1乙方应保证甲方在使用该货物或其任何一部分时不受第三方提出的侵犯专利权、 著作权、商标权和工业设计权等的起诉。</w:t>
      </w:r>
    </w:p>
    <w:p w14:paraId="63BAE20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5.2任何第三方提出侵权指控，乙方须与第三方交涉并承担由此产生的一切责任、费用和经济赔偿。</w:t>
      </w:r>
    </w:p>
    <w:p w14:paraId="3D61D4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5.3双方应共同遵守国家有关版权、专利、商标等知识产权方面的法律规定，相互尊重对方的知识产权，对本合同内容、对方的技术秘密和商业秘密负有保密责任。如有违反，违约方负相关法律责任。</w:t>
      </w:r>
    </w:p>
    <w:p w14:paraId="598EC94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5.4在本合同生效时已经存在并为各方合法拥有或使用的所有技术、资料和信息的知识产权，仍应属于其各自的原权利人所有或享有，另有约定的除外。</w:t>
      </w:r>
    </w:p>
    <w:p w14:paraId="757CAC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乙方保证拥有由其提供给甲方的所有软件的合法使用权，并且已获得进行许可的正当授权及其有权将软件许可及其相关材料授权或转让给甲方。甲方可独立对本合同条款下软件产品进行后续开发，不受版权限制。乙方承诺并保证甲方除本协议的付款义务外无需支付任何其它的许可使用费，以非独家的、永久的、全球的、不可撤销的方式使用本合同条款下软件产品。</w:t>
      </w:r>
    </w:p>
    <w:p w14:paraId="43BA60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6.保密</w:t>
      </w:r>
    </w:p>
    <w:p w14:paraId="4EC069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60B60C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6.2保密信息指任何一方因履行本合同所知悉的任何以口头、书面、图表或电子形式存在的对方信息，具体包括：</w:t>
      </w:r>
    </w:p>
    <w:p w14:paraId="78D681D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6.2.1任何涉及对方过去、现在或将来的商业计划、规章制度、操作规程、处理手段、财务信息；</w:t>
      </w:r>
    </w:p>
    <w:p w14:paraId="136B97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6.2.2任何对方的技术措施、技术方案、软件应用及开发，硬件设备的品种、质量、数量、品牌等；</w:t>
      </w:r>
    </w:p>
    <w:p w14:paraId="7DB8B6E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6.2.3任何对方的技术秘密或专有知识、文件 、报告、数据、客户软件、流程图、数据库、发明、知识、贸易秘密。</w:t>
      </w:r>
    </w:p>
    <w:p w14:paraId="108183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6.3乙方应根据甲方的要求签署相应的保密协议，保密协议与本条款存在不一致的，以保密协议为准。</w:t>
      </w:r>
    </w:p>
    <w:p w14:paraId="1E06C70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 质量保证</w:t>
      </w:r>
    </w:p>
    <w:p w14:paraId="1F6CBD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7.1货物质量保证</w:t>
      </w:r>
    </w:p>
    <w:p w14:paraId="0D15E7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7.1.1乙方必须保证货物是全新、未使用过的，并完全符合强制性的国家技术质量规范和合同规定的质量、规格、性能和技术规范等的要求。</w:t>
      </w:r>
    </w:p>
    <w:p w14:paraId="2EA957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7.1.2乙方须保证所提供的货物经正确安装、正常运转和保养，在其使用寿命期内须具有符合质量要求和产品说明书的性能。在货物质量保证期之内，乙方须对由于设计、工艺或材料的缺陷而发生的任何不足或故障负责，并免费予以改进或更换。</w:t>
      </w:r>
    </w:p>
    <w:p w14:paraId="3BF66E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7.1.3根据乙方按检验标准自己检验结果或委托有资质的相关质检机构的检验结果，发现货物的数量、质量、规格与合同不符；或者在质量保证期内，证实货物存在缺陷，包括潜在的缺陷或使用不符合要求的材料等，甲方应书面通知乙方。接到上述通知后，乙方应及时免费更换或修理破损货物。乙方在甲方发出质量异议通知后，未作答复，甲方在通知书中所提出的要求应视为已被乙方接受。</w:t>
      </w:r>
    </w:p>
    <w:p w14:paraId="3E0A704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7.1.4乙方在收到通知后虽答复，但没有弥补缺陷，甲方可采取必要的补救措施，但由此引发的风险和费用将由乙方承担。甲方可从合同款或乙方提交的履约保证金中扣款，不足部分，甲方有权要求乙方赔偿。甲方根据合同规定对卖方行使的其他权力不受影响。</w:t>
      </w:r>
    </w:p>
    <w:p w14:paraId="78D237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7.1.5 合同条款下货物的质量保证期自货物通过最终验收起算，合同另行规定除外。</w:t>
      </w:r>
    </w:p>
    <w:p w14:paraId="4844FD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7.2辅助服务质量保证</w:t>
      </w:r>
    </w:p>
    <w:p w14:paraId="4F5278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7.2.1乙方保证免费提供合同条款下的软件产品原厂商至少一年软件全部功能及其换代产品的升级与技术支持服务（包含任何版本升级、产品换代、更新及在原有产品基础上的拆解、完善、合并所产生的新产品，提供升级产品介质及授权，要求原厂商承诺，并加盖原厂商公章），不得出现因货物停售、转产而无法提供上述支持服务。</w:t>
      </w:r>
    </w:p>
    <w:p w14:paraId="4AC3C9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7.2.2乙方应保证合同条款下所提供的服务包括培训、安装指导、单机调试、系统联调和试验等，按合同规定方式进行，并保证不存在因乙方工作人员的过失、错误或疏忽而产生的缺陷。</w:t>
      </w:r>
    </w:p>
    <w:p w14:paraId="03F6C9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8.包装要求</w:t>
      </w:r>
    </w:p>
    <w:p w14:paraId="79CB27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 除合同另有约定外，乙方提供的全部货物，均应采用本行业通用的方式进行包装，且该包装应符合国家有关包装的法律、法规的规定。</w:t>
      </w:r>
    </w:p>
    <w:p w14:paraId="01E6BA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 包装应适应于远距离运输，并有良好的防潮、防震、防锈和防粗暴装卸等保护措施，以确保货物安全运抵现场。由于包装不善所引起的货物锈蚀、损坏和损失均由乙方承担。</w:t>
      </w:r>
    </w:p>
    <w:p w14:paraId="070852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乙方应提供货物运至合同规定的最终目的地所需要的包装，以防止货物在转运中损坏或变质。</w:t>
      </w:r>
    </w:p>
    <w:p w14:paraId="127868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 乙方所提供的货物包装均为出厂时原包装。</w:t>
      </w:r>
    </w:p>
    <w:p w14:paraId="4134B9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 乙方所提供货物必须附有质量合格证，装箱清单，主机、附件、各种零部件和消耗品，有清楚的与装箱单相对应的名称和编号。</w:t>
      </w:r>
    </w:p>
    <w:p w14:paraId="49DABC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8.5 货物运输中的运输费用和保险费用均由乙方承担。运输过程中的一切损失、损坏均由乙方负责。</w:t>
      </w:r>
    </w:p>
    <w:p w14:paraId="4F056B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 价格</w:t>
      </w:r>
    </w:p>
    <w:p w14:paraId="48D129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 乙方履行合同所必须的所有费用，包括但不限于货物及部件的设计、检测与试验、制造、运输、装卸、保险、单机调试、安装调试指导、技术资料、培训、交通、人员、差旅、质量保证期服务费、其他管理费用、所有的检验、测试、调试、验收、试运行费用等均已包括在合同价格中。</w:t>
      </w:r>
    </w:p>
    <w:p w14:paraId="02315A9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 本合同价格为固定价格，包括了乙方履行合同全过程产生的所有成本和费用以及乙方应承担的一切税费。</w:t>
      </w:r>
    </w:p>
    <w:p w14:paraId="2B345C7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9.3检验费用 </w:t>
      </w:r>
    </w:p>
    <w:p w14:paraId="04F014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9.3.1 乙方必须负担本条款下属于乙方负责的检验、测试、调试、试运行和验收的所有费用，并负责乙方派往买方组织的检验、测试和验收人员的所有费用。</w:t>
      </w:r>
    </w:p>
    <w:p w14:paraId="26A7BD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9.3.2 甲方按合同计划参加在乙方工厂所在地检验、测试和验收的费用全部由乙方负责并已包含在合同总价中。</w:t>
      </w:r>
    </w:p>
    <w:p w14:paraId="2CB8C0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9.3.3甲方检验人员已到卖方所在地，测试无法依照合同进行， 而引起甲方人员延长逗留时间，所有由此产生的包括甲方人员在内的直接费用及成本由乙方承担。 </w:t>
      </w:r>
    </w:p>
    <w:p w14:paraId="0C32096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10.交货方式及交货日期</w:t>
      </w:r>
    </w:p>
    <w:p w14:paraId="08EB4E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交货方式：现场交货，乙方负责办理运输和保险，将货物运抵现场。</w:t>
      </w:r>
    </w:p>
    <w:p w14:paraId="56C3CA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交货日期：所有货物运抵现场并经双方开箱验收合格之日。</w:t>
      </w:r>
    </w:p>
    <w:p w14:paraId="67A551A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11.检验和验收</w:t>
      </w:r>
    </w:p>
    <w:p w14:paraId="76E8575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11.1开箱验收</w:t>
      </w:r>
    </w:p>
    <w:p w14:paraId="015B29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11.1.1货物运抵现场后，双方应及时开箱验收，并制作验收记录，以确认与本合同约定的数量、型号等是否一致。</w:t>
      </w:r>
    </w:p>
    <w:p w14:paraId="2B41AE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11.1.2 乙方应在交货前对货物的质量、规格、数量等进行详细而全面的检验，并出具证明货物符合合同规定的文件。该文件将作为申请付款单据的一部分，但有关质量、规格、数量的检验不应视为最终检验。</w:t>
      </w:r>
    </w:p>
    <w:p w14:paraId="3B5E09A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11.1.3 开箱验收中如发现货物的数量、规格与合同约定不符，甲方有权拒收货物，乙方应及时按甲方要求免费对拒收货物采取更换或其他必要的补救措施，直至开箱验收合格，方视为乙方完成交货。</w:t>
      </w:r>
    </w:p>
    <w:p w14:paraId="35E7BD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  检验验收</w:t>
      </w:r>
    </w:p>
    <w:p w14:paraId="728503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11.2.1 交货完成后，乙方应及时组装、调试、试运行，按照合同专用条款规定的试运行完成后，双方及时组织对货物检验验收。合同双方均须派人参加合同要求双方参加的试验、检验。</w:t>
      </w:r>
    </w:p>
    <w:p w14:paraId="606335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11.2.2 在具体实施合同规定的检验验收之前，乙方需提前提交相应的测试计划（包括测试程序、测试内容和检验标准、试验时间安排等）供甲方确认。</w:t>
      </w:r>
    </w:p>
    <w:p w14:paraId="40DF18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11.2.3  除需甲方确认的试验验收外，乙方还应对所有检验验收测试的结果、步骤、原始数据等作妥善记录。如甲方要求，乙方应提供这些记录给买方。</w:t>
      </w:r>
    </w:p>
    <w:p w14:paraId="2651F4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11.2.4  检验测试出现全部或部分未达到本合同所约定的技术指标，甲方有权选择下列任一处理方式：</w:t>
      </w:r>
    </w:p>
    <w:p w14:paraId="16145C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a.重新测试直至合格为止；</w:t>
      </w:r>
    </w:p>
    <w:p w14:paraId="281EC5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b.要求乙方对货物进行免费更换，然后重新测试直至合格为止；</w:t>
      </w:r>
    </w:p>
    <w:p w14:paraId="510272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无论选择何种方式，甲方因此而发生的因卖方原因引起的所有费用均由乙方负担。</w:t>
      </w:r>
    </w:p>
    <w:p w14:paraId="5C08EB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  使用过程检验</w:t>
      </w:r>
    </w:p>
    <w:p w14:paraId="190FB3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5E2E3F4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11.3.2如果合同双方对乙方提供的上述试验结果报告的解释有分歧，双方须于出现分歧后10天内给对方声明，以陈述己方的观点。声明须附有关证据。分歧应通过协商解决。</w:t>
      </w:r>
    </w:p>
    <w:p w14:paraId="0B9004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12.付款条件</w:t>
      </w:r>
    </w:p>
    <w:p w14:paraId="2F8259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本合同条款下的付款方法和条件在“合同专用条款”中具体规定。</w:t>
      </w:r>
    </w:p>
    <w:p w14:paraId="134F03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13.履约保证金</w:t>
      </w:r>
    </w:p>
    <w:p w14:paraId="6C176A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13.1乙方应在合同签订后，按合同专用条款的约定提交履约保证金。</w:t>
      </w:r>
    </w:p>
    <w:p w14:paraId="038E94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13.2履约保证金用于补偿甲方因卖方不能履行其合同义务而蒙受的损失。</w:t>
      </w:r>
    </w:p>
    <w:p w14:paraId="20891D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13.3履约保证金应使用本合同货币，按下述方式之一提交（招标文件中另有约定的除外）：</w:t>
      </w:r>
    </w:p>
    <w:p w14:paraId="7BD604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13.3.1甲方可接受的在中华人民共和国注册和营业的银行出具的履约保函； </w:t>
      </w:r>
    </w:p>
    <w:p w14:paraId="5245AC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13.3.2 支票、汇票。</w:t>
      </w:r>
    </w:p>
    <w:p w14:paraId="7359CB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13.4乙方未能按合同规定履行其义务，甲方有权从履约保证金中取得补偿。货物验收合格后，甲方将履约保证金退还乙方。</w:t>
      </w:r>
    </w:p>
    <w:p w14:paraId="0A38815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14.索赔</w:t>
      </w:r>
    </w:p>
    <w:p w14:paraId="59FC1FB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货物的质量、规格、数量、性能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1376E9B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14.2在履约保证期和检验期内，乙方对甲方提出的索赔负有责任，乙方应按照甲方同意的下列一种或多种方式解决索赔事宜：</w:t>
      </w:r>
    </w:p>
    <w:p w14:paraId="59FF91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388A57F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14.2.2根据货物低劣程度、损坏程度以及甲方所遭受损失的数额，经甲乙双方商定降低货物的价格，或由有资质的中介机构评估，以降低后的价格或评估价格为准。</w:t>
      </w:r>
    </w:p>
    <w:p w14:paraId="77BDA1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2F1C93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14.3乙方收到甲方发出的索赔通知之日起5个工作日内未作答复的，甲方可从合同款或履约保证金中扣回索赔金额，如金额不足以补偿索赔金额，乙方应补足差额部分。</w:t>
      </w:r>
    </w:p>
    <w:p w14:paraId="3620F0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15.迟延交货</w:t>
      </w:r>
    </w:p>
    <w:p w14:paraId="141317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 乙方应按照合同约定的时间交货和提供服务。</w:t>
      </w:r>
    </w:p>
    <w:p w14:paraId="050672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15.2 除不可抗力因素外，乙方迟延交货，甲方有权提出违约损失赔偿或解除合同。</w:t>
      </w:r>
    </w:p>
    <w:p w14:paraId="1A07E8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15.3在履行合同过程中，乙方遇到不能按时交货和提供服务的情况，应及时以书面形式将不能按时交货的理由、预期延误时间通知甲方。甲方收到乙方通知后，认为其理由正当的，可酌情延长交货时间。</w:t>
      </w:r>
    </w:p>
    <w:p w14:paraId="24F8F4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16.违约赔偿</w:t>
      </w:r>
    </w:p>
    <w:p w14:paraId="4A3017F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除不可抗力因素外，乙方没有按照合同规定的时间交货和提供服务，甲方可要求乙方支付违约金。违约金每日按合同总价款的千分之五计收。</w:t>
      </w:r>
    </w:p>
    <w:p w14:paraId="07C2BF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17.不可抗力</w:t>
      </w:r>
    </w:p>
    <w:p w14:paraId="107B08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17.1.双方中任何一方遭遇法律规定的不可抗力，致使合同履行受阻时，履行合同的期限应予延长，延长的期限应相当于不可抗力所影响的时间。</w:t>
      </w:r>
    </w:p>
    <w:p w14:paraId="0FBB2B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17.2受事故影响的一方应在不可抗力的事故发生后以书面形式通知另一方。</w:t>
      </w:r>
    </w:p>
    <w:p w14:paraId="224620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17.3不可抗力使合同的某些内容有变更必要的， 双方应通过协商达成进一步履行合同的协议，因不可抗力致使合同不能履行的，合同终止。</w:t>
      </w:r>
    </w:p>
    <w:p w14:paraId="10D315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18.税费</w:t>
      </w:r>
    </w:p>
    <w:p w14:paraId="1EE902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与本合同有关的一切税费均由乙方承担。</w:t>
      </w:r>
    </w:p>
    <w:p w14:paraId="359A69D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19.合同争议的解决</w:t>
      </w:r>
    </w:p>
    <w:p w14:paraId="138AD3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19.1甲方和乙方由于本合同的履行而发生任何争议时，双方可先通过协商解决。</w:t>
      </w:r>
    </w:p>
    <w:p w14:paraId="36BEBA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19.2任何一方不愿通过协商或通过协商仍不能解决争议，则双方中任何一方均应向甲方所在地人民法院起诉。</w:t>
      </w:r>
    </w:p>
    <w:p w14:paraId="4760F2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20.违约解除合同</w:t>
      </w:r>
    </w:p>
    <w:p w14:paraId="4C9B94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20.1出现下列情形之一的，视为乙方违约。甲方可向乙方发出书面通知，部分或全部终止合同，同时保留向乙方索赔的权利。</w:t>
      </w:r>
    </w:p>
    <w:p w14:paraId="5298804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20.1.1乙方未能在合同规定的限期或甲方同意延长的限期内，提供全部或部分货物的； </w:t>
      </w:r>
    </w:p>
    <w:p w14:paraId="6D5E9B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20.1.2乙方未能履行合同规定的其它主要义务的；</w:t>
      </w:r>
    </w:p>
    <w:p w14:paraId="66D40FF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20.1.3乙方在本合同履行过程中有欺诈行为的。</w:t>
      </w:r>
    </w:p>
    <w:p w14:paraId="586A94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甲方全部或部分解除合同之后，应当遵循诚实信用原则购买与未交付的货物类似的货物或服务，乙方应承担买方购买类似货物或服务而产生的额外支出。部分解除合同的，乙方应继续履行合同中未解除的部分。</w:t>
      </w:r>
    </w:p>
    <w:p w14:paraId="372E148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21.破产终止合同</w:t>
      </w:r>
    </w:p>
    <w:p w14:paraId="11C17C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乙方破产而无法完全履行本合同义务时，甲方可以书面方式通知乙方终止合同而不给予乙方补偿。该合同的终止将不损害或不影响甲方已经采取或将要采取任何行动或补救措施的权利。</w:t>
      </w:r>
    </w:p>
    <w:p w14:paraId="596CCA0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22.转让和分包</w:t>
      </w:r>
    </w:p>
    <w:p w14:paraId="447DDC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22.1政府采购合同不能转让。</w:t>
      </w:r>
    </w:p>
    <w:p w14:paraId="56C5F2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经甲方书面同意乙方可以将合同条款下非主体、非关键性工作分包给他人完成。接受分包的人应当具备相应的资格条件，并不得再次分包。分包后不能解除卖方履行本合同的责任和义务，接受分包的人与乙方共同对甲方连带承担合同的责任和义务。</w:t>
      </w:r>
    </w:p>
    <w:p w14:paraId="3EDD9F5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23.合同修改</w:t>
      </w:r>
    </w:p>
    <w:p w14:paraId="14358C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甲方和乙方都不得擅自变更本合同，但合同继续履行将损害国家和社会公共利益的除外。如必须对合同条款进行改动时，当事人双方须共同签署书面文件，做为合同的补充。</w:t>
      </w:r>
    </w:p>
    <w:p w14:paraId="368508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24.通知</w:t>
      </w:r>
    </w:p>
    <w:p w14:paraId="013E8C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本合同任何一方给另一方的通知，都应以书面形式发送，而另一方也应以书面形式确认并发送到对方明确的地址。</w:t>
      </w:r>
    </w:p>
    <w:p w14:paraId="52AB69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25.计量单位</w:t>
      </w:r>
    </w:p>
    <w:p w14:paraId="6F8B3C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除技术规范中另有规定外，计量单位均使用国家法定计量单位。</w:t>
      </w:r>
    </w:p>
    <w:p w14:paraId="009506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26.适用法律</w:t>
      </w:r>
    </w:p>
    <w:p w14:paraId="69D582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本合同按照中华人民共和国的相关法律进行解释。</w:t>
      </w:r>
    </w:p>
    <w:p w14:paraId="3D85F0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bookmarkStart w:id="213" w:name="_Toc325726036"/>
      <w:bookmarkStart w:id="214" w:name="_Toc376936767"/>
      <w:r>
        <w:rPr>
          <w:rFonts w:hint="eastAsia" w:ascii="仿宋_GB2312" w:hAnsi="仿宋_GB2312" w:eastAsia="仿宋_GB2312" w:cs="仿宋_GB2312"/>
          <w:sz w:val="28"/>
          <w:szCs w:val="28"/>
        </w:rPr>
        <w:br w:type="page"/>
      </w:r>
    </w:p>
    <w:p w14:paraId="014A5436">
      <w:pPr>
        <w:pStyle w:val="2"/>
        <w:bidi w:val="0"/>
        <w:rPr>
          <w:rFonts w:hint="eastAsia" w:ascii="方正小标宋简体" w:hAnsi="方正小标宋简体" w:eastAsia="方正小标宋简体" w:cs="方正小标宋简体"/>
          <w:sz w:val="32"/>
          <w:szCs w:val="32"/>
        </w:rPr>
      </w:pPr>
      <w:bookmarkStart w:id="215" w:name="_Toc130971877"/>
      <w:bookmarkStart w:id="216" w:name="_Toc22383"/>
      <w:bookmarkStart w:id="217" w:name="_Toc1069"/>
      <w:r>
        <w:rPr>
          <w:rFonts w:hint="eastAsia" w:ascii="方正小标宋简体" w:hAnsi="方正小标宋简体" w:eastAsia="方正小标宋简体" w:cs="方正小标宋简体"/>
          <w:sz w:val="32"/>
          <w:szCs w:val="32"/>
        </w:rPr>
        <w:t xml:space="preserve">第四部分  </w:t>
      </w:r>
      <w:bookmarkEnd w:id="213"/>
      <w:bookmarkEnd w:id="214"/>
      <w:r>
        <w:rPr>
          <w:rFonts w:hint="eastAsia" w:ascii="方正小标宋简体" w:hAnsi="方正小标宋简体" w:eastAsia="方正小标宋简体" w:cs="方正小标宋简体"/>
          <w:sz w:val="32"/>
          <w:szCs w:val="32"/>
        </w:rPr>
        <w:t>投标文件格式</w:t>
      </w:r>
      <w:bookmarkEnd w:id="215"/>
      <w:bookmarkEnd w:id="216"/>
      <w:bookmarkEnd w:id="217"/>
    </w:p>
    <w:p w14:paraId="19B9FD9C">
      <w:pPr>
        <w:keepNext/>
        <w:keepLines/>
        <w:widowControl/>
        <w:snapToGrid w:val="0"/>
        <w:spacing w:line="400" w:lineRule="atLeast"/>
        <w:ind w:firstLine="0" w:firstLineChars="0"/>
        <w:outlineLvl w:val="0"/>
        <w:rPr>
          <w:rFonts w:hint="eastAsia" w:ascii="仿宋_GB2312" w:hAnsi="仿宋_GB2312" w:eastAsia="仿宋_GB2312" w:cs="仿宋_GB2312"/>
          <w:b/>
          <w:kern w:val="28"/>
          <w:sz w:val="28"/>
          <w:szCs w:val="28"/>
        </w:rPr>
      </w:pPr>
    </w:p>
    <w:p w14:paraId="3FF4369B">
      <w:pPr>
        <w:keepNext/>
        <w:keepLines/>
        <w:pageBreakBefore w:val="0"/>
        <w:widowControl/>
        <w:kinsoku/>
        <w:wordWrap/>
        <w:overflowPunct/>
        <w:topLinePunct w:val="0"/>
        <w:autoSpaceDE/>
        <w:autoSpaceDN/>
        <w:bidi w:val="0"/>
        <w:adjustRightInd/>
        <w:snapToGrid w:val="0"/>
        <w:spacing w:line="360" w:lineRule="exact"/>
        <w:ind w:firstLine="0" w:firstLineChars="0"/>
        <w:jc w:val="center"/>
        <w:textAlignment w:val="auto"/>
        <w:outlineLvl w:val="0"/>
        <w:rPr>
          <w:rFonts w:hint="eastAsia" w:ascii="仿宋_GB2312" w:hAnsi="仿宋_GB2312" w:eastAsia="仿宋_GB2312" w:cs="仿宋_GB2312"/>
          <w:b/>
          <w:kern w:val="28"/>
          <w:sz w:val="32"/>
          <w:szCs w:val="32"/>
        </w:rPr>
      </w:pPr>
      <w:bookmarkStart w:id="218" w:name="_Toc6102"/>
      <w:bookmarkStart w:id="219" w:name="_Toc130971878"/>
      <w:bookmarkStart w:id="220" w:name="_Toc4603"/>
      <w:r>
        <w:rPr>
          <w:rFonts w:hint="eastAsia" w:ascii="仿宋_GB2312" w:hAnsi="仿宋_GB2312" w:eastAsia="仿宋_GB2312" w:cs="仿宋_GB2312"/>
          <w:b/>
          <w:kern w:val="28"/>
          <w:sz w:val="32"/>
          <w:szCs w:val="32"/>
        </w:rPr>
        <w:t>投标文件的组成</w:t>
      </w:r>
      <w:bookmarkEnd w:id="218"/>
      <w:bookmarkEnd w:id="219"/>
      <w:bookmarkEnd w:id="220"/>
    </w:p>
    <w:p w14:paraId="193FD113">
      <w:pPr>
        <w:pageBreakBefore w:val="0"/>
        <w:kinsoku/>
        <w:wordWrap/>
        <w:overflowPunct/>
        <w:topLinePunct w:val="0"/>
        <w:autoSpaceDE/>
        <w:autoSpaceDN/>
        <w:bidi w:val="0"/>
        <w:adjustRightInd/>
        <w:spacing w:line="360" w:lineRule="exact"/>
        <w:ind w:firstLine="0" w:firstLineChars="0"/>
        <w:textAlignment w:val="auto"/>
        <w:rPr>
          <w:rFonts w:hint="eastAsia" w:ascii="仿宋_GB2312" w:hAnsi="仿宋_GB2312" w:eastAsia="仿宋_GB2312" w:cs="仿宋_GB2312"/>
          <w:sz w:val="28"/>
          <w:szCs w:val="28"/>
        </w:rPr>
      </w:pPr>
    </w:p>
    <w:p w14:paraId="54ACF664">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（一）资格审查部分</w:t>
      </w:r>
    </w:p>
    <w:p w14:paraId="2D51DB9B">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1.投标函…………………………………………………………（附件1）</w:t>
      </w:r>
    </w:p>
    <w:p w14:paraId="516D0198">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2.法定代表人证明书……………………………………………（附件2）</w:t>
      </w:r>
    </w:p>
    <w:p w14:paraId="2C4943B4">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3.法定代表人授权书……………………………………………（附件3）</w:t>
      </w:r>
    </w:p>
    <w:p w14:paraId="29CAE46A">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4.投标人承诺函…………………………………………………（附件4）</w:t>
      </w:r>
    </w:p>
    <w:p w14:paraId="0A19088F">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5.供应商诚信承诺书……………………………………………（附件5）</w:t>
      </w:r>
    </w:p>
    <w:p w14:paraId="22CF4522">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6.投标人资格证明文件…………………………………………（附件6）</w:t>
      </w:r>
    </w:p>
    <w:p w14:paraId="40D0AA73">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7.财务状况、缴纳税收和社会保障资金证明…………………（附件7）</w:t>
      </w:r>
    </w:p>
    <w:p w14:paraId="5332E9A4">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8.无重大违法记录声明…………………………………………（附件8）</w:t>
      </w:r>
    </w:p>
    <w:p w14:paraId="0CBD6A3D">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（二）符合性审查部分</w:t>
      </w:r>
    </w:p>
    <w:p w14:paraId="6023B0CA">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val="zh-CN"/>
        </w:rPr>
        <w:t>评分对照表</w:t>
      </w: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w:t>
      </w:r>
    </w:p>
    <w:p w14:paraId="6076A6AC">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.投标报价一览表……………………………………………（附件</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w:t>
      </w:r>
    </w:p>
    <w:p w14:paraId="18A5E21B">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.分项报价表…………………………………………………（附件1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p>
    <w:p w14:paraId="7A409ACF">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.技术规格响应表……………………………………………（附件1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p>
    <w:p w14:paraId="4E00FE0F">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.其他资格证明材料…………………………………………（附件1</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p>
    <w:p w14:paraId="233B37C2">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14</w:t>
      </w:r>
      <w:r>
        <w:rPr>
          <w:rFonts w:hint="eastAsia" w:ascii="仿宋_GB2312" w:hAnsi="仿宋_GB2312" w:eastAsia="仿宋_GB2312" w:cs="仿宋_GB2312"/>
          <w:sz w:val="28"/>
          <w:szCs w:val="28"/>
        </w:rPr>
        <w:t>.投标产品相关资料…………………………………………（附件1</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p>
    <w:p w14:paraId="239EBBFC">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.投标人类似业绩证明材料…………………………………（附件1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w:t>
      </w:r>
    </w:p>
    <w:p w14:paraId="17657E80">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.中小企业声明函……………………………………………（附件1</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w:t>
      </w:r>
    </w:p>
    <w:p w14:paraId="5027BE05">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.残疾人福利性单位声明函…………………………………（附件1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w:t>
      </w:r>
    </w:p>
    <w:p w14:paraId="6EFB52FC">
      <w:pPr>
        <w:ind w:left="0" w:leftChars="0" w:firstLine="0" w:firstLineChars="0"/>
        <w:jc w:val="both"/>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lang w:val="en-US" w:eastAsia="zh-CN"/>
        </w:rPr>
        <w:t>18.</w:t>
      </w:r>
      <w:r>
        <w:rPr>
          <w:rFonts w:hint="eastAsia" w:ascii="仿宋_GB2312" w:hAnsi="仿宋_GB2312" w:eastAsia="仿宋_GB2312" w:cs="仿宋_GB2312"/>
          <w:b w:val="0"/>
          <w:bCs/>
          <w:sz w:val="28"/>
          <w:szCs w:val="28"/>
        </w:rPr>
        <w:t>关于符合本国产品标准的声明函</w:t>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w:t>
      </w:r>
    </w:p>
    <w:p w14:paraId="269AF1D4">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19</w:t>
      </w:r>
      <w:r>
        <w:rPr>
          <w:rFonts w:hint="eastAsia" w:ascii="仿宋_GB2312" w:hAnsi="仿宋_GB2312" w:eastAsia="仿宋_GB2312" w:cs="仿宋_GB2312"/>
          <w:sz w:val="28"/>
          <w:szCs w:val="28"/>
        </w:rPr>
        <w:t>.项目管理实施方案及售后服务……………………………（附件1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w:t>
      </w:r>
    </w:p>
    <w:p w14:paraId="4173167B">
      <w:pPr>
        <w:pageBreakBefore w:val="0"/>
        <w:kinsoku/>
        <w:wordWrap/>
        <w:overflowPunct/>
        <w:topLinePunct w:val="0"/>
        <w:autoSpaceDE/>
        <w:autoSpaceDN/>
        <w:bidi w:val="0"/>
        <w:adjustRightInd/>
        <w:spacing w:line="36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.投标人认为在其他方面有必要说明的事项</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w:t>
      </w:r>
    </w:p>
    <w:p w14:paraId="518D841D">
      <w:pPr>
        <w:bidi w:val="0"/>
        <w:ind w:left="0" w:leftChars="0" w:firstLine="0" w:firstLineChars="0"/>
        <w:rPr>
          <w:rFonts w:hint="eastAsia" w:ascii="方正小标宋简体" w:hAnsi="方正小标宋简体" w:eastAsia="方正小标宋简体" w:cs="方正小标宋简体"/>
          <w:sz w:val="32"/>
          <w:szCs w:val="32"/>
        </w:rPr>
      </w:pPr>
      <w:r>
        <w:rPr>
          <w:rFonts w:hint="eastAsia" w:ascii="仿宋_GB2312" w:hAnsi="仿宋_GB2312" w:eastAsia="仿宋_GB2312" w:cs="仿宋_GB2312"/>
          <w:b/>
          <w:szCs w:val="28"/>
        </w:rPr>
        <w:br w:type="page"/>
      </w:r>
      <w:bookmarkStart w:id="221" w:name="_Toc130971879"/>
      <w:r>
        <w:rPr>
          <w:rFonts w:hint="eastAsia" w:ascii="仿宋_GB2312" w:hAnsi="仿宋_GB2312" w:eastAsia="仿宋_GB2312" w:cs="仿宋_GB2312"/>
          <w:sz w:val="32"/>
          <w:szCs w:val="32"/>
        </w:rPr>
        <w:t>（投标文件封面）</w:t>
      </w:r>
      <w:bookmarkEnd w:id="221"/>
    </w:p>
    <w:p w14:paraId="4AF14999">
      <w:pPr>
        <w:bidi w:val="0"/>
        <w:rPr>
          <w:rFonts w:hint="eastAsia" w:ascii="方正小标宋简体" w:hAnsi="方正小标宋简体" w:eastAsia="方正小标宋简体" w:cs="方正小标宋简体"/>
          <w:sz w:val="32"/>
          <w:szCs w:val="32"/>
        </w:rPr>
      </w:pPr>
    </w:p>
    <w:p w14:paraId="2AFBC91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化隆县</w:t>
      </w:r>
      <w:r>
        <w:rPr>
          <w:rFonts w:hint="eastAsia" w:ascii="方正小标宋简体" w:hAnsi="方正小标宋简体" w:eastAsia="方正小标宋简体" w:cs="方正小标宋简体"/>
          <w:sz w:val="44"/>
          <w:szCs w:val="44"/>
        </w:rPr>
        <w:t>政府采购项目</w:t>
      </w:r>
    </w:p>
    <w:p w14:paraId="4895F7A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 标 文 件</w:t>
      </w:r>
    </w:p>
    <w:p w14:paraId="2F72A07C">
      <w:pPr>
        <w:bidi w:val="0"/>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（资格审查部分）</w:t>
      </w:r>
    </w:p>
    <w:p w14:paraId="61FA905E">
      <w:pPr>
        <w:bidi w:val="0"/>
        <w:rPr>
          <w:rFonts w:hint="eastAsia" w:ascii="仿宋_GB2312" w:hAnsi="仿宋_GB2312" w:eastAsia="仿宋_GB2312" w:cs="仿宋_GB2312"/>
          <w:sz w:val="32"/>
          <w:szCs w:val="32"/>
        </w:rPr>
      </w:pPr>
    </w:p>
    <w:p w14:paraId="56ED26CC">
      <w:pPr>
        <w:bidi w:val="0"/>
        <w:rPr>
          <w:rFonts w:hint="eastAsia" w:ascii="仿宋_GB2312" w:hAnsi="仿宋_GB2312" w:eastAsia="仿宋_GB2312" w:cs="仿宋_GB2312"/>
          <w:sz w:val="32"/>
          <w:szCs w:val="32"/>
        </w:rPr>
      </w:pPr>
    </w:p>
    <w:p w14:paraId="73FDB5A3">
      <w:pPr>
        <w:bidi w:val="0"/>
        <w:rPr>
          <w:rFonts w:hint="eastAsia" w:ascii="仿宋_GB2312" w:hAnsi="仿宋_GB2312" w:eastAsia="仿宋_GB2312" w:cs="仿宋_GB2312"/>
          <w:sz w:val="32"/>
          <w:szCs w:val="32"/>
        </w:rPr>
      </w:pPr>
    </w:p>
    <w:p w14:paraId="53B16F85">
      <w:pPr>
        <w:bidi w:val="0"/>
        <w:rPr>
          <w:rFonts w:hint="eastAsia" w:ascii="仿宋_GB2312" w:hAnsi="仿宋_GB2312" w:eastAsia="仿宋_GB2312" w:cs="仿宋_GB2312"/>
          <w:sz w:val="32"/>
          <w:szCs w:val="32"/>
        </w:rPr>
      </w:pPr>
    </w:p>
    <w:p w14:paraId="3C5D43DC">
      <w:pPr>
        <w:bidi w:val="0"/>
        <w:rPr>
          <w:rFonts w:hint="eastAsia" w:ascii="仿宋_GB2312" w:hAnsi="仿宋_GB2312" w:eastAsia="仿宋_GB2312" w:cs="仿宋_GB2312"/>
          <w:sz w:val="32"/>
          <w:szCs w:val="32"/>
        </w:rPr>
      </w:pPr>
    </w:p>
    <w:p w14:paraId="0E60769F">
      <w:pPr>
        <w:bidi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采购项目编号：</w:t>
      </w:r>
      <w:r>
        <w:rPr>
          <w:rFonts w:hint="eastAsia" w:ascii="仿宋_GB2312" w:hAnsi="仿宋_GB2312" w:eastAsia="仿宋_GB2312" w:cs="仿宋_GB2312"/>
          <w:sz w:val="32"/>
          <w:szCs w:val="32"/>
          <w:lang w:eastAsia="zh-CN"/>
        </w:rPr>
        <w:t>化公服公招（货物）202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号</w:t>
      </w:r>
    </w:p>
    <w:p w14:paraId="316032D1">
      <w:pPr>
        <w:keepNext w:val="0"/>
        <w:keepLines w:val="0"/>
        <w:pageBreakBefore w:val="0"/>
        <w:widowControl w:val="0"/>
        <w:kinsoku/>
        <w:wordWrap/>
        <w:overflowPunct/>
        <w:topLinePunct w:val="0"/>
        <w:autoSpaceDE/>
        <w:autoSpaceDN/>
        <w:bidi w:val="0"/>
        <w:adjustRightInd w:val="0"/>
        <w:snapToGrid/>
        <w:spacing w:line="560" w:lineRule="exact"/>
        <w:textAlignment w:val="baseline"/>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rPr>
        <w:t>采购项目名称：</w:t>
      </w:r>
      <w:r>
        <w:rPr>
          <w:rFonts w:hint="eastAsia" w:ascii="仿宋_GB2312" w:hAnsi="仿宋_GB2312" w:eastAsia="仿宋_GB2312" w:cs="仿宋_GB2312"/>
          <w:b w:val="0"/>
          <w:bCs/>
          <w:sz w:val="32"/>
          <w:szCs w:val="32"/>
          <w:lang w:eastAsia="zh-CN"/>
        </w:rPr>
        <w:t>化隆县提前下达</w:t>
      </w:r>
      <w:r>
        <w:rPr>
          <w:rFonts w:hint="eastAsia" w:ascii="仿宋_GB2312" w:hAnsi="仿宋_GB2312" w:eastAsia="仿宋_GB2312" w:cs="仿宋_GB2312"/>
          <w:b w:val="0"/>
          <w:bCs/>
          <w:sz w:val="32"/>
          <w:szCs w:val="32"/>
          <w:lang w:val="en-US" w:eastAsia="zh-CN"/>
        </w:rPr>
        <w:t>2026年基础教育发展补助资金特殊教育教育装备及信息化设备采购项目</w:t>
      </w:r>
    </w:p>
    <w:p w14:paraId="5653E099">
      <w:pPr>
        <w:bidi w:val="0"/>
        <w:rPr>
          <w:rFonts w:hint="eastAsia" w:ascii="仿宋_GB2312" w:hAnsi="仿宋_GB2312" w:eastAsia="仿宋_GB2312" w:cs="仿宋_GB2312"/>
          <w:b w:val="0"/>
          <w:bCs/>
          <w:sz w:val="32"/>
          <w:szCs w:val="32"/>
        </w:rPr>
      </w:pPr>
    </w:p>
    <w:p w14:paraId="79E96C64">
      <w:pPr>
        <w:bidi w:val="0"/>
        <w:rPr>
          <w:rFonts w:hint="eastAsia" w:ascii="仿宋_GB2312" w:hAnsi="仿宋_GB2312" w:eastAsia="仿宋_GB2312" w:cs="仿宋_GB2312"/>
          <w:sz w:val="32"/>
          <w:szCs w:val="32"/>
        </w:rPr>
      </w:pPr>
    </w:p>
    <w:p w14:paraId="34334F83">
      <w:pPr>
        <w:bidi w:val="0"/>
        <w:rPr>
          <w:rFonts w:hint="eastAsia" w:ascii="仿宋_GB2312" w:hAnsi="仿宋_GB2312" w:eastAsia="仿宋_GB2312" w:cs="仿宋_GB2312"/>
          <w:sz w:val="32"/>
          <w:szCs w:val="32"/>
        </w:rPr>
      </w:pPr>
    </w:p>
    <w:p w14:paraId="1D0ADA0E">
      <w:pPr>
        <w:bidi w:val="0"/>
        <w:rPr>
          <w:rFonts w:hint="eastAsia" w:ascii="仿宋_GB2312" w:hAnsi="仿宋_GB2312" w:eastAsia="仿宋_GB2312" w:cs="仿宋_GB2312"/>
          <w:sz w:val="32"/>
          <w:szCs w:val="32"/>
        </w:rPr>
      </w:pPr>
    </w:p>
    <w:p w14:paraId="3EB334F5">
      <w:pPr>
        <w:bidi w:val="0"/>
        <w:rPr>
          <w:rFonts w:hint="eastAsia" w:ascii="仿宋_GB2312" w:hAnsi="仿宋_GB2312" w:eastAsia="仿宋_GB2312" w:cs="仿宋_GB2312"/>
          <w:sz w:val="32"/>
          <w:szCs w:val="32"/>
        </w:rPr>
      </w:pPr>
    </w:p>
    <w:p w14:paraId="0DF08B01">
      <w:pPr>
        <w:bidi w:val="0"/>
        <w:rPr>
          <w:rFonts w:hint="eastAsia" w:ascii="仿宋_GB2312" w:hAnsi="仿宋_GB2312" w:eastAsia="仿宋_GB2312" w:cs="仿宋_GB2312"/>
          <w:sz w:val="32"/>
          <w:szCs w:val="32"/>
        </w:rPr>
      </w:pPr>
    </w:p>
    <w:p w14:paraId="05326BF0">
      <w:pPr>
        <w:bidi w:val="0"/>
        <w:rPr>
          <w:rFonts w:hint="eastAsia" w:ascii="仿宋_GB2312" w:hAnsi="仿宋_GB2312" w:eastAsia="仿宋_GB2312" w:cs="仿宋_GB2312"/>
          <w:sz w:val="32"/>
          <w:szCs w:val="32"/>
        </w:rPr>
      </w:pPr>
    </w:p>
    <w:p w14:paraId="2B2D340B">
      <w:pPr>
        <w:bidi w:val="0"/>
        <w:ind w:firstLine="1600" w:firstLineChars="5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投标单位：</w:t>
      </w:r>
    </w:p>
    <w:p w14:paraId="29D10FDC">
      <w:pPr>
        <w:bidi w:val="0"/>
        <w:jc w:val="center"/>
        <w:rPr>
          <w:rFonts w:hint="eastAsia" w:ascii="仿宋_GB2312" w:hAnsi="仿宋_GB2312" w:eastAsia="仿宋_GB2312" w:cs="仿宋_GB2312"/>
          <w:sz w:val="32"/>
          <w:szCs w:val="32"/>
        </w:rPr>
      </w:pPr>
    </w:p>
    <w:p w14:paraId="16377E7C">
      <w:pPr>
        <w:bidi w:val="0"/>
        <w:jc w:val="center"/>
        <w:rPr>
          <w:rFonts w:hint="eastAsia" w:ascii="仿宋_GB2312" w:hAnsi="仿宋_GB2312" w:eastAsia="仿宋_GB2312" w:cs="仿宋_GB2312"/>
          <w:sz w:val="32"/>
          <w:szCs w:val="32"/>
        </w:rPr>
      </w:pPr>
    </w:p>
    <w:p w14:paraId="6B96437E">
      <w:pPr>
        <w:bidi w:val="0"/>
        <w:ind w:left="0" w:leftChars="0" w:firstLine="3200" w:firstLineChars="10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31D85521">
      <w:pPr>
        <w:spacing w:line="360" w:lineRule="auto"/>
        <w:ind w:firstLine="3534" w:firstLineChars="1100"/>
        <w:rPr>
          <w:rFonts w:hint="eastAsia" w:ascii="仿宋_GB2312" w:hAnsi="仿宋_GB2312" w:eastAsia="仿宋_GB2312" w:cs="仿宋_GB2312"/>
          <w:b/>
          <w:sz w:val="32"/>
          <w:szCs w:val="32"/>
        </w:rPr>
      </w:pPr>
    </w:p>
    <w:p w14:paraId="665D05AF">
      <w:pPr>
        <w:pStyle w:val="3"/>
        <w:pageBreakBefore w:val="0"/>
        <w:kinsoku/>
        <w:wordWrap/>
        <w:overflowPunct/>
        <w:topLinePunct w:val="0"/>
        <w:bidi w:val="0"/>
        <w:spacing w:before="0" w:beforeLines="0" w:after="0" w:afterLines="0" w:line="360" w:lineRule="exact"/>
        <w:ind w:left="0" w:leftChars="0" w:firstLine="0" w:firstLineChars="0"/>
        <w:textAlignment w:val="auto"/>
        <w:rPr>
          <w:rFonts w:hint="eastAsia" w:ascii="仿宋_GB2312" w:hAnsi="仿宋_GB2312" w:eastAsia="仿宋_GB2312" w:cs="仿宋_GB2312"/>
          <w:b w:val="0"/>
          <w:bCs/>
        </w:rPr>
      </w:pPr>
      <w:r>
        <w:rPr>
          <w:rFonts w:hint="eastAsia" w:ascii="仿宋_GB2312" w:hAnsi="仿宋_GB2312" w:eastAsia="仿宋_GB2312" w:cs="仿宋_GB2312"/>
          <w:b/>
          <w:szCs w:val="32"/>
        </w:rPr>
        <w:br w:type="page"/>
      </w:r>
      <w:bookmarkStart w:id="222" w:name="_Toc11248"/>
      <w:bookmarkStart w:id="223" w:name="_Toc130971880"/>
      <w:bookmarkStart w:id="224" w:name="_Toc32177"/>
      <w:r>
        <w:rPr>
          <w:rFonts w:hint="eastAsia" w:ascii="仿宋_GB2312" w:hAnsi="仿宋_GB2312" w:eastAsia="仿宋_GB2312" w:cs="仿宋_GB2312"/>
          <w:b w:val="0"/>
          <w:bCs/>
        </w:rPr>
        <w:t>附件</w:t>
      </w:r>
      <w:bookmarkStart w:id="225" w:name="_Toc376936768"/>
      <w:bookmarkStart w:id="226" w:name="_Toc325726037"/>
      <w:r>
        <w:rPr>
          <w:rFonts w:hint="eastAsia" w:ascii="仿宋_GB2312" w:hAnsi="仿宋_GB2312" w:eastAsia="仿宋_GB2312" w:cs="仿宋_GB2312"/>
          <w:b w:val="0"/>
          <w:bCs/>
        </w:rPr>
        <w:t>1：投标函</w:t>
      </w:r>
      <w:bookmarkEnd w:id="222"/>
      <w:bookmarkEnd w:id="223"/>
      <w:bookmarkEnd w:id="224"/>
      <w:bookmarkEnd w:id="225"/>
      <w:bookmarkEnd w:id="226"/>
    </w:p>
    <w:p w14:paraId="6C5CCED7">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034AA33C">
      <w:pPr>
        <w:pageBreakBefore w:val="0"/>
        <w:kinsoku/>
        <w:wordWrap/>
        <w:overflowPunct/>
        <w:topLinePunct w:val="0"/>
        <w:bidi w:val="0"/>
        <w:spacing w:line="360" w:lineRule="exact"/>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投</w:t>
      </w:r>
      <w:r>
        <w:rPr>
          <w:rFonts w:hint="eastAsia" w:ascii="方正小标宋简体" w:hAnsi="方正小标宋简体" w:eastAsia="方正小标宋简体" w:cs="方正小标宋简体"/>
          <w:b/>
          <w:bCs/>
          <w:sz w:val="32"/>
          <w:szCs w:val="32"/>
          <w:lang w:val="en-US" w:eastAsia="zh-CN"/>
        </w:rPr>
        <w:t xml:space="preserve"> </w:t>
      </w:r>
      <w:r>
        <w:rPr>
          <w:rFonts w:hint="eastAsia" w:ascii="方正小标宋简体" w:hAnsi="方正小标宋简体" w:eastAsia="方正小标宋简体" w:cs="方正小标宋简体"/>
          <w:b/>
          <w:bCs/>
          <w:sz w:val="32"/>
          <w:szCs w:val="32"/>
        </w:rPr>
        <w:t>标</w:t>
      </w:r>
      <w:r>
        <w:rPr>
          <w:rFonts w:hint="eastAsia" w:ascii="方正小标宋简体" w:hAnsi="方正小标宋简体" w:eastAsia="方正小标宋简体" w:cs="方正小标宋简体"/>
          <w:b/>
          <w:bCs/>
          <w:sz w:val="32"/>
          <w:szCs w:val="32"/>
          <w:lang w:val="en-US" w:eastAsia="zh-CN"/>
        </w:rPr>
        <w:t xml:space="preserve"> </w:t>
      </w:r>
      <w:r>
        <w:rPr>
          <w:rFonts w:hint="eastAsia" w:ascii="方正小标宋简体" w:hAnsi="方正小标宋简体" w:eastAsia="方正小标宋简体" w:cs="方正小标宋简体"/>
          <w:b/>
          <w:bCs/>
          <w:sz w:val="32"/>
          <w:szCs w:val="32"/>
        </w:rPr>
        <w:t>函</w:t>
      </w:r>
    </w:p>
    <w:p w14:paraId="2E419AF4">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sz w:val="28"/>
          <w:szCs w:val="28"/>
        </w:rPr>
      </w:pPr>
    </w:p>
    <w:p w14:paraId="1E88642E">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lang w:eastAsia="zh-CN"/>
        </w:rPr>
        <w:t>化隆县公共资源交易受理服务部</w:t>
      </w:r>
    </w:p>
    <w:p w14:paraId="66E21083">
      <w:pPr>
        <w:pageBreakBefore w:val="0"/>
        <w:kinsoku/>
        <w:wordWrap/>
        <w:overflowPunct/>
        <w:topLinePunct w:val="0"/>
        <w:bidi w:val="0"/>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我们收到</w:t>
      </w:r>
      <w:r>
        <w:rPr>
          <w:rFonts w:hint="eastAsia" w:ascii="仿宋_GB2312" w:hAnsi="仿宋_GB2312" w:eastAsia="仿宋_GB2312" w:cs="仿宋_GB2312"/>
          <w:sz w:val="28"/>
          <w:szCs w:val="28"/>
          <w:lang w:eastAsia="zh-CN"/>
        </w:rPr>
        <w:t>化公服公招（货物）202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01</w:t>
      </w:r>
      <w:r>
        <w:rPr>
          <w:rFonts w:hint="eastAsia" w:ascii="仿宋_GB2312" w:hAnsi="仿宋_GB2312" w:eastAsia="仿宋_GB2312" w:cs="仿宋_GB2312"/>
          <w:sz w:val="28"/>
          <w:szCs w:val="28"/>
          <w:lang w:eastAsia="zh-CN"/>
        </w:rPr>
        <w:t>号</w:t>
      </w:r>
      <w:r>
        <w:rPr>
          <w:rFonts w:hint="eastAsia" w:ascii="仿宋_GB2312" w:hAnsi="仿宋_GB2312" w:eastAsia="仿宋_GB2312" w:cs="仿宋_GB2312"/>
          <w:sz w:val="28"/>
          <w:szCs w:val="28"/>
        </w:rPr>
        <w:t xml:space="preserve">招标文件，经研究，法定代表人（姓名、职务）正式授权（委托代理人姓名、职务）代表投标人（投标人名称、地址）提交投标文件。    </w:t>
      </w:r>
    </w:p>
    <w:p w14:paraId="0AC872F0">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据此函，签字代表宣布同意如下：</w:t>
      </w:r>
    </w:p>
    <w:p w14:paraId="10B9B3A5">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1.我方已详阅招标文件的全部内容，包括澄清、修改条款等有关附件，承诺对其完全理解并接受。</w:t>
      </w:r>
    </w:p>
    <w:p w14:paraId="57CBF7F2">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2.投标有效期自开标之日起60天内有效。如果在规定的开标时间后，我方在投标有效期内撤回投标或中标后不签订合同时的，将承担法律后果。</w:t>
      </w:r>
    </w:p>
    <w:p w14:paraId="76A6BAB4">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3.我方同意按照贵方要求提供与投标有关的一切数据或资料，理解并接受贵方制定的评标办法。</w:t>
      </w:r>
    </w:p>
    <w:p w14:paraId="456B3394">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4.与本投标有关的一切正式往来通讯请寄：</w:t>
      </w:r>
    </w:p>
    <w:p w14:paraId="7E9DC48C">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地址：_______________   邮编：______________</w:t>
      </w:r>
    </w:p>
    <w:p w14:paraId="03051F5A">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电话：_______________   传真：______________</w:t>
      </w:r>
    </w:p>
    <w:p w14:paraId="5AA00CE4">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法定代表人姓名： ___________ 职务：____________</w:t>
      </w:r>
    </w:p>
    <w:p w14:paraId="473CB3DF">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0DE146DE">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7DD69244">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3B594CE3">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1663A989">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704850BB">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3054ACA6">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43DC22FB">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58B8F9A5">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6782073E">
      <w:pPr>
        <w:pageBreakBefore w:val="0"/>
        <w:kinsoku/>
        <w:wordWrap/>
        <w:overflowPunct/>
        <w:topLinePunct w:val="0"/>
        <w:bidi w:val="0"/>
        <w:spacing w:line="360" w:lineRule="exact"/>
        <w:ind w:left="0" w:leftChars="0" w:firstLine="4480" w:firstLineChars="16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（公章）</w:t>
      </w:r>
    </w:p>
    <w:p w14:paraId="2FA5816F">
      <w:pPr>
        <w:pageBreakBefore w:val="0"/>
        <w:kinsoku/>
        <w:wordWrap/>
        <w:overflowPunct/>
        <w:topLinePunct w:val="0"/>
        <w:bidi w:val="0"/>
        <w:spacing w:line="360" w:lineRule="exact"/>
        <w:ind w:firstLine="2520" w:firstLineChars="9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51DEFC35">
      <w:pPr>
        <w:pageBreakBefore w:val="0"/>
        <w:kinsoku/>
        <w:wordWrap/>
        <w:overflowPunct/>
        <w:topLinePunct w:val="0"/>
        <w:bidi w:val="0"/>
        <w:spacing w:line="360" w:lineRule="exac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061CB523">
      <w:pPr>
        <w:pageBreakBefore w:val="0"/>
        <w:kinsoku/>
        <w:wordWrap/>
        <w:overflowPunct/>
        <w:topLinePunct w:val="0"/>
        <w:bidi w:val="0"/>
        <w:spacing w:line="360" w:lineRule="exact"/>
        <w:jc w:val="right"/>
        <w:textAlignment w:val="auto"/>
        <w:rPr>
          <w:rFonts w:hint="eastAsia" w:ascii="仿宋_GB2312" w:hAnsi="仿宋_GB2312" w:eastAsia="仿宋_GB2312" w:cs="仿宋_GB2312"/>
          <w:sz w:val="28"/>
          <w:szCs w:val="28"/>
        </w:rPr>
      </w:pPr>
    </w:p>
    <w:p w14:paraId="171902A0">
      <w:pPr>
        <w:pageBreakBefore w:val="0"/>
        <w:kinsoku/>
        <w:wordWrap/>
        <w:overflowPunct/>
        <w:topLinePunct w:val="0"/>
        <w:bidi w:val="0"/>
        <w:spacing w:line="360" w:lineRule="exact"/>
        <w:textAlignment w:val="auto"/>
        <w:rPr>
          <w:rFonts w:hint="eastAsia" w:ascii="仿宋_GB2312" w:hAnsi="仿宋_GB2312" w:eastAsia="仿宋_GB2312" w:cs="仿宋_GB2312"/>
          <w:sz w:val="28"/>
          <w:szCs w:val="28"/>
        </w:rPr>
      </w:pPr>
    </w:p>
    <w:p w14:paraId="22B18FDE">
      <w:pPr>
        <w:pageBreakBefore w:val="0"/>
        <w:widowControl/>
        <w:kinsoku/>
        <w:wordWrap/>
        <w:overflowPunct/>
        <w:topLinePunct w:val="0"/>
        <w:bidi w:val="0"/>
        <w:snapToGrid w:val="0"/>
        <w:spacing w:line="360" w:lineRule="exact"/>
        <w:ind w:firstLine="0" w:firstLineChars="0"/>
        <w:textAlignment w:val="auto"/>
        <w:outlineLvl w:val="1"/>
        <w:rPr>
          <w:rFonts w:hint="eastAsia" w:ascii="仿宋_GB2312" w:hAnsi="仿宋_GB2312" w:eastAsia="仿宋_GB2312" w:cs="仿宋_GB2312"/>
          <w:b/>
          <w:sz w:val="28"/>
          <w:szCs w:val="28"/>
        </w:rPr>
      </w:pPr>
      <w:bookmarkStart w:id="227" w:name="_Toc130971881"/>
    </w:p>
    <w:p w14:paraId="7C534EEF">
      <w:pPr>
        <w:pageBreakBefore w:val="0"/>
        <w:widowControl/>
        <w:kinsoku/>
        <w:wordWrap/>
        <w:overflowPunct/>
        <w:topLinePunct w:val="0"/>
        <w:bidi w:val="0"/>
        <w:snapToGrid w:val="0"/>
        <w:spacing w:line="360" w:lineRule="exact"/>
        <w:ind w:firstLine="0" w:firstLineChars="0"/>
        <w:textAlignment w:val="auto"/>
        <w:outlineLvl w:val="1"/>
        <w:rPr>
          <w:rFonts w:hint="eastAsia" w:ascii="仿宋_GB2312" w:hAnsi="仿宋_GB2312" w:eastAsia="仿宋_GB2312" w:cs="仿宋_GB2312"/>
          <w:b/>
          <w:sz w:val="28"/>
          <w:szCs w:val="28"/>
        </w:rPr>
      </w:pPr>
    </w:p>
    <w:p w14:paraId="2A144738">
      <w:pPr>
        <w:pageBreakBefore w:val="0"/>
        <w:widowControl/>
        <w:kinsoku/>
        <w:wordWrap/>
        <w:overflowPunct/>
        <w:topLinePunct w:val="0"/>
        <w:bidi w:val="0"/>
        <w:snapToGrid w:val="0"/>
        <w:spacing w:line="360" w:lineRule="exact"/>
        <w:ind w:firstLine="0" w:firstLineChars="0"/>
        <w:textAlignment w:val="auto"/>
        <w:outlineLvl w:val="1"/>
        <w:rPr>
          <w:rFonts w:hint="eastAsia" w:ascii="仿宋_GB2312" w:hAnsi="仿宋_GB2312" w:eastAsia="仿宋_GB2312" w:cs="仿宋_GB2312"/>
          <w:b/>
          <w:sz w:val="28"/>
          <w:szCs w:val="28"/>
        </w:rPr>
      </w:pPr>
    </w:p>
    <w:p w14:paraId="67F8120E">
      <w:pPr>
        <w:pageBreakBefore w:val="0"/>
        <w:widowControl/>
        <w:kinsoku/>
        <w:wordWrap/>
        <w:overflowPunct/>
        <w:topLinePunct w:val="0"/>
        <w:bidi w:val="0"/>
        <w:snapToGrid w:val="0"/>
        <w:spacing w:line="360" w:lineRule="exact"/>
        <w:ind w:firstLine="0" w:firstLineChars="0"/>
        <w:textAlignment w:val="auto"/>
        <w:outlineLvl w:val="1"/>
        <w:rPr>
          <w:rFonts w:hint="eastAsia" w:ascii="仿宋_GB2312" w:hAnsi="仿宋_GB2312" w:eastAsia="仿宋_GB2312" w:cs="仿宋_GB2312"/>
          <w:b/>
          <w:sz w:val="28"/>
          <w:szCs w:val="28"/>
        </w:rPr>
      </w:pPr>
    </w:p>
    <w:p w14:paraId="328AF2F1">
      <w:pPr>
        <w:pStyle w:val="3"/>
        <w:bidi w:val="0"/>
        <w:ind w:left="0" w:leftChars="0" w:firstLine="0" w:firstLineChars="0"/>
        <w:rPr>
          <w:rFonts w:hint="eastAsia" w:ascii="仿宋_GB2312" w:hAnsi="仿宋_GB2312" w:eastAsia="仿宋_GB2312" w:cs="仿宋_GB2312"/>
          <w:b w:val="0"/>
          <w:bCs/>
        </w:rPr>
      </w:pPr>
      <w:bookmarkStart w:id="228" w:name="_Toc24227"/>
      <w:bookmarkStart w:id="229" w:name="_Toc9442"/>
      <w:r>
        <w:rPr>
          <w:rFonts w:hint="eastAsia" w:ascii="仿宋_GB2312" w:hAnsi="仿宋_GB2312" w:eastAsia="仿宋_GB2312" w:cs="仿宋_GB2312"/>
          <w:b w:val="0"/>
          <w:bCs/>
        </w:rPr>
        <w:t>附件</w:t>
      </w:r>
      <w:bookmarkStart w:id="230" w:name="_Toc376936774"/>
      <w:bookmarkStart w:id="231" w:name="_Toc325726043"/>
      <w:bookmarkStart w:id="232" w:name="_Toc325726042"/>
      <w:bookmarkStart w:id="233" w:name="_Toc376936773"/>
      <w:r>
        <w:rPr>
          <w:rFonts w:hint="eastAsia" w:ascii="仿宋_GB2312" w:hAnsi="仿宋_GB2312" w:eastAsia="仿宋_GB2312" w:cs="仿宋_GB2312"/>
          <w:b w:val="0"/>
          <w:bCs/>
        </w:rPr>
        <w:t>2：法定代表人证明书</w:t>
      </w:r>
      <w:bookmarkEnd w:id="227"/>
      <w:bookmarkEnd w:id="228"/>
      <w:bookmarkEnd w:id="229"/>
      <w:bookmarkEnd w:id="230"/>
      <w:bookmarkEnd w:id="231"/>
    </w:p>
    <w:p w14:paraId="3E805CCF">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法定代表人证明书</w:t>
      </w:r>
    </w:p>
    <w:p w14:paraId="21EAA0F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p>
    <w:p w14:paraId="277948C9">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lang w:eastAsia="zh-CN"/>
        </w:rPr>
        <w:t>化隆县公共资源交易受理服务部</w:t>
      </w:r>
    </w:p>
    <w:p w14:paraId="1F27CD4B">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（法定代表人姓名）  现任我单位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职务，为法定代表人，特此证明。</w:t>
      </w:r>
    </w:p>
    <w:p w14:paraId="476AF7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611AE0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法定代表人基本情况：</w:t>
      </w:r>
    </w:p>
    <w:p w14:paraId="647973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性别：</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民族：</w:t>
      </w:r>
      <w:r>
        <w:rPr>
          <w:rFonts w:hint="eastAsia" w:ascii="仿宋_GB2312" w:hAnsi="仿宋_GB2312" w:eastAsia="仿宋_GB2312" w:cs="仿宋_GB2312"/>
          <w:sz w:val="28"/>
          <w:szCs w:val="28"/>
          <w:u w:val="single"/>
        </w:rPr>
        <w:t xml:space="preserve">     </w:t>
      </w:r>
    </w:p>
    <w:p w14:paraId="1EBA2E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住址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14:paraId="456723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身份证号码：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14:paraId="267E81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0A06F0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附法定代表人第二代身份证双面扫描（或复印）件</w:t>
      </w:r>
    </w:p>
    <w:p w14:paraId="2E9E00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27CAD6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026CF5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4E968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5EA1359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2080B3B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321BA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DAD9A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DCAA6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B564A5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8C2BF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30A1D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4FC2E9B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2DC1BB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DB97A0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4E5AE89">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       （公章）</w:t>
      </w:r>
    </w:p>
    <w:p w14:paraId="588DFDF8">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仿宋_GB2312" w:hAnsi="仿宋_GB2312" w:eastAsia="仿宋_GB2312" w:cs="仿宋_GB2312"/>
          <w:sz w:val="28"/>
          <w:szCs w:val="28"/>
        </w:rPr>
      </w:pPr>
    </w:p>
    <w:bookmarkEnd w:id="232"/>
    <w:bookmarkEnd w:id="233"/>
    <w:p w14:paraId="04C1BB88">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334E56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p>
    <w:p w14:paraId="01C9E489">
      <w:pPr>
        <w:ind w:firstLine="0" w:firstLineChars="0"/>
        <w:rPr>
          <w:rFonts w:hint="eastAsia" w:ascii="仿宋_GB2312" w:hAnsi="仿宋_GB2312" w:eastAsia="仿宋_GB2312" w:cs="仿宋_GB2312"/>
          <w:b/>
          <w:bCs/>
          <w:sz w:val="28"/>
          <w:szCs w:val="28"/>
        </w:rPr>
      </w:pPr>
    </w:p>
    <w:p w14:paraId="1BCB0CBE">
      <w:pPr>
        <w:widowControl/>
        <w:snapToGrid w:val="0"/>
        <w:spacing w:line="360" w:lineRule="auto"/>
        <w:ind w:firstLine="0" w:firstLineChars="0"/>
        <w:outlineLvl w:val="1"/>
        <w:rPr>
          <w:rFonts w:hint="eastAsia" w:ascii="仿宋_GB2312" w:hAnsi="仿宋_GB2312" w:eastAsia="仿宋_GB2312" w:cs="仿宋_GB2312"/>
          <w:b/>
          <w:sz w:val="28"/>
          <w:szCs w:val="28"/>
        </w:rPr>
      </w:pPr>
      <w:bookmarkStart w:id="234" w:name="_Toc324756736"/>
      <w:bookmarkStart w:id="235" w:name="_Toc201287639"/>
      <w:bookmarkStart w:id="236" w:name="_Toc130971882"/>
    </w:p>
    <w:p w14:paraId="47CDF900">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6B3C5E9A">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2E27ECC5">
      <w:pPr>
        <w:pStyle w:val="3"/>
        <w:bidi w:val="0"/>
        <w:ind w:left="0" w:leftChars="0" w:firstLine="0" w:firstLineChars="0"/>
        <w:rPr>
          <w:rFonts w:hint="eastAsia" w:ascii="仿宋_GB2312" w:hAnsi="仿宋_GB2312" w:eastAsia="仿宋_GB2312" w:cs="仿宋_GB2312"/>
          <w:b w:val="0"/>
          <w:bCs/>
        </w:rPr>
      </w:pPr>
      <w:bookmarkStart w:id="237" w:name="_Toc27827"/>
      <w:bookmarkStart w:id="238" w:name="_Toc13122"/>
      <w:r>
        <w:rPr>
          <w:rFonts w:hint="eastAsia" w:ascii="仿宋_GB2312" w:hAnsi="仿宋_GB2312" w:eastAsia="仿宋_GB2312" w:cs="仿宋_GB2312"/>
          <w:b w:val="0"/>
          <w:bCs/>
        </w:rPr>
        <w:t>附件</w:t>
      </w:r>
      <w:bookmarkEnd w:id="234"/>
      <w:bookmarkEnd w:id="235"/>
      <w:r>
        <w:rPr>
          <w:rFonts w:hint="eastAsia" w:ascii="仿宋_GB2312" w:hAnsi="仿宋_GB2312" w:eastAsia="仿宋_GB2312" w:cs="仿宋_GB2312"/>
          <w:b w:val="0"/>
          <w:bCs/>
        </w:rPr>
        <w:t>3：法定代表人授权书</w:t>
      </w:r>
      <w:bookmarkEnd w:id="236"/>
      <w:bookmarkEnd w:id="237"/>
      <w:bookmarkEnd w:id="238"/>
    </w:p>
    <w:p w14:paraId="212FABC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法定代表人授权书</w:t>
      </w:r>
    </w:p>
    <w:p w14:paraId="633D88F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rPr>
      </w:pPr>
    </w:p>
    <w:p w14:paraId="610F56F1">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lang w:eastAsia="zh-CN"/>
        </w:rPr>
        <w:t>化隆县公共资源交易受理服务部</w:t>
      </w:r>
    </w:p>
    <w:p w14:paraId="35B2FB77">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（投标人名称）</w:t>
      </w:r>
      <w:r>
        <w:rPr>
          <w:rFonts w:hint="eastAsia" w:ascii="仿宋_GB2312" w:hAnsi="仿宋_GB2312" w:eastAsia="仿宋_GB2312" w:cs="仿宋_GB2312"/>
          <w:sz w:val="28"/>
          <w:szCs w:val="28"/>
        </w:rPr>
        <w:t>系中华人民共和国合法企业，法定地址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14:paraId="6C4DE21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（法定代表人姓名）特授权 （委托代理人姓名）代表我单位全权办理针对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项目的投标、答疑等具体工作，并签署全部有关的文件、资料。</w:t>
      </w:r>
    </w:p>
    <w:p w14:paraId="270C770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我单位对被授权人的签名负全部责任。</w:t>
      </w:r>
    </w:p>
    <w:p w14:paraId="62AB312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在撤销授权的书面通知以前，本授权书一直有效，被授权人签署的所有文件（在授权书有效期内签署的）不因授权的撤销而失效。</w:t>
      </w:r>
    </w:p>
    <w:p w14:paraId="462194A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p>
    <w:p w14:paraId="351A3D8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授权期限：自</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日起至</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日止。</w:t>
      </w:r>
    </w:p>
    <w:p w14:paraId="056B2B8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p>
    <w:p w14:paraId="5AF9944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被授权人联系电话：           </w:t>
      </w:r>
    </w:p>
    <w:p w14:paraId="0E31578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p>
    <w:p w14:paraId="3753872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p>
    <w:p w14:paraId="6C26629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被授权人（委托代理人）签字或盖章：</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职务：</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14:paraId="6290253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授权人（法定代表人）签字或盖章：</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职务：</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14:paraId="73E2DC7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附被授权人第二代身份证双面扫描（或复印）件</w:t>
      </w:r>
    </w:p>
    <w:p w14:paraId="08C1018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sz w:val="28"/>
          <w:szCs w:val="28"/>
        </w:rPr>
      </w:pPr>
    </w:p>
    <w:p w14:paraId="4874F48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45A6524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1E4BB636">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       （公章）</w:t>
      </w:r>
    </w:p>
    <w:p w14:paraId="696329C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0E2F9101">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6DE0ABF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rPr>
      </w:pPr>
    </w:p>
    <w:p w14:paraId="7B3D93FF">
      <w:pPr>
        <w:pStyle w:val="3"/>
        <w:bidi w:val="0"/>
        <w:ind w:left="0" w:leftChars="0" w:firstLine="0" w:firstLineChars="0"/>
        <w:rPr>
          <w:rFonts w:hint="eastAsia"/>
        </w:rPr>
      </w:pPr>
      <w:bookmarkStart w:id="239" w:name="_Toc130971883"/>
    </w:p>
    <w:p w14:paraId="724D0A37">
      <w:pPr>
        <w:rPr>
          <w:rFonts w:hint="eastAsia"/>
        </w:rPr>
      </w:pPr>
    </w:p>
    <w:p w14:paraId="7D4F4D40">
      <w:pPr>
        <w:rPr>
          <w:rFonts w:hint="eastAsia"/>
        </w:rPr>
      </w:pPr>
    </w:p>
    <w:p w14:paraId="20161499">
      <w:pPr>
        <w:rPr>
          <w:rFonts w:hint="eastAsia"/>
        </w:rPr>
      </w:pPr>
    </w:p>
    <w:p w14:paraId="004AA4B3">
      <w:pPr>
        <w:rPr>
          <w:rFonts w:hint="eastAsia"/>
        </w:rPr>
      </w:pPr>
    </w:p>
    <w:p w14:paraId="61D952FF">
      <w:pPr>
        <w:pStyle w:val="3"/>
        <w:bidi w:val="0"/>
        <w:ind w:left="0" w:leftChars="0" w:firstLine="0" w:firstLineChars="0"/>
        <w:rPr>
          <w:rFonts w:hint="eastAsia" w:ascii="仿宋_GB2312" w:hAnsi="仿宋_GB2312" w:eastAsia="仿宋_GB2312" w:cs="仿宋_GB2312"/>
          <w:b w:val="0"/>
          <w:bCs/>
          <w:szCs w:val="28"/>
        </w:rPr>
      </w:pPr>
      <w:bookmarkStart w:id="240" w:name="_Toc13950"/>
      <w:bookmarkStart w:id="241" w:name="_Toc29559"/>
      <w:r>
        <w:rPr>
          <w:rFonts w:hint="eastAsia" w:ascii="仿宋_GB2312" w:hAnsi="仿宋_GB2312" w:eastAsia="仿宋_GB2312" w:cs="仿宋_GB2312"/>
          <w:b w:val="0"/>
          <w:bCs/>
        </w:rPr>
        <w:t>附件4：投标人承诺函</w:t>
      </w:r>
      <w:bookmarkEnd w:id="239"/>
      <w:bookmarkEnd w:id="240"/>
      <w:bookmarkEnd w:id="241"/>
    </w:p>
    <w:p w14:paraId="554A7BF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投标人承诺函</w:t>
      </w:r>
    </w:p>
    <w:p w14:paraId="5D114A7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p>
    <w:p w14:paraId="6C3F742B">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lang w:eastAsia="zh-CN"/>
        </w:rPr>
        <w:t>化隆县公共资源交易受理服务部</w:t>
      </w:r>
    </w:p>
    <w:p w14:paraId="4A0C77C2">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关于贵方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青政采公招（货物）202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01</w:t>
      </w:r>
      <w:r>
        <w:rPr>
          <w:rFonts w:hint="eastAsia" w:ascii="仿宋_GB2312" w:hAnsi="仿宋_GB2312" w:eastAsia="仿宋_GB2312" w:cs="仿宋_GB2312"/>
          <w:sz w:val="28"/>
          <w:szCs w:val="28"/>
          <w:lang w:eastAsia="zh-CN"/>
        </w:rPr>
        <w:t>号</w:t>
      </w:r>
      <w:r>
        <w:rPr>
          <w:rFonts w:hint="eastAsia" w:ascii="仿宋_GB2312" w:hAnsi="仿宋_GB2312" w:eastAsia="仿宋_GB2312" w:cs="仿宋_GB2312"/>
          <w:sz w:val="28"/>
          <w:szCs w:val="28"/>
        </w:rPr>
        <w:t>采购项目，本签字人愿意参加投标，提供采购一览表中要求的所有产品，并证实提交的所有资料是准确的和真实的。同时，我代表（投标人名称），在此作如下承诺：</w:t>
      </w:r>
    </w:p>
    <w:p w14:paraId="2A0C155E">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1.完全理解和接受招标文件的一切规定和要求；</w:t>
      </w:r>
    </w:p>
    <w:p w14:paraId="0886DE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中标，我方将按照招标文件的具体规定与采购人签订采购合同，并且严格履行合同义务，按时交货，提供优质的产品和服务。如果在合同执行过程中，发现质量、数量出现问题，我方一定尽快更换或补退货，并承担相应的经济责任。</w:t>
      </w:r>
    </w:p>
    <w:p w14:paraId="0090B6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3.我方保证甲方在使用该产品或其任何一部分时，不受第三方提出的侵犯专利权、著作权、商标权和工业设计权等知识产权的起诉，若有违犯，愿承担相应的一切责任。</w:t>
      </w:r>
    </w:p>
    <w:p w14:paraId="75F7E2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4.我方承诺，除招标文件中规定的进口产品外，所投的产品均为国产产品，且均符合国家强制性标准。若有不实，愿承担相应的责任。</w:t>
      </w:r>
    </w:p>
    <w:p w14:paraId="13D16A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5.针对本项目，我方承诺具备履行合同所必需的设备和专业技术能力。</w:t>
      </w:r>
    </w:p>
    <w:p w14:paraId="3D6B1694">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6.在整个招标过程中我方若有违规行为，贵方可按招标文件之规定给予处罚，我方完全接受。</w:t>
      </w:r>
    </w:p>
    <w:p w14:paraId="0BF79A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7.若中标，本承诺将成为合同不可分割的一部分，与合同具有同等的法律效力。</w:t>
      </w:r>
    </w:p>
    <w:p w14:paraId="41FEE0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DB5F5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9A58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7322C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50D16CB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14434E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56D206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351C6B19">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213DEC83">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178A46C2">
      <w:pPr>
        <w:pageBreakBefore w:val="0"/>
        <w:widowControl w:val="0"/>
        <w:kinsoku/>
        <w:wordWrap/>
        <w:overflowPunct/>
        <w:topLinePunct w:val="0"/>
        <w:autoSpaceDE/>
        <w:autoSpaceDN/>
        <w:bidi w:val="0"/>
        <w:adjustRightInd/>
        <w:snapToGrid/>
        <w:spacing w:line="360" w:lineRule="atLeast"/>
        <w:jc w:val="right"/>
        <w:textAlignment w:val="auto"/>
        <w:rPr>
          <w:rFonts w:hint="eastAsia"/>
        </w:rPr>
      </w:pPr>
      <w:r>
        <w:rPr>
          <w:rFonts w:hint="eastAsia" w:ascii="仿宋_GB2312" w:hAnsi="仿宋_GB2312" w:eastAsia="仿宋_GB2312" w:cs="仿宋_GB2312"/>
          <w:sz w:val="28"/>
          <w:szCs w:val="28"/>
        </w:rPr>
        <w:t>年  月  日</w:t>
      </w:r>
    </w:p>
    <w:p w14:paraId="492196A0">
      <w:pPr>
        <w:ind w:right="480" w:firstLine="5843" w:firstLineChars="2087"/>
        <w:jc w:val="right"/>
        <w:rPr>
          <w:rFonts w:hint="eastAsia" w:ascii="仿宋_GB2312" w:hAnsi="仿宋_GB2312" w:eastAsia="仿宋_GB2312" w:cs="仿宋_GB2312"/>
          <w:b w:val="0"/>
          <w:bCs/>
          <w:sz w:val="28"/>
          <w:szCs w:val="28"/>
        </w:rPr>
      </w:pPr>
    </w:p>
    <w:p w14:paraId="168C11C5">
      <w:pPr>
        <w:pStyle w:val="3"/>
        <w:bidi w:val="0"/>
        <w:ind w:left="0" w:leftChars="0" w:firstLine="0" w:firstLineChars="0"/>
        <w:rPr>
          <w:rFonts w:hint="eastAsia" w:ascii="仿宋_GB2312" w:hAnsi="仿宋_GB2312" w:eastAsia="仿宋_GB2312" w:cs="仿宋_GB2312"/>
          <w:b w:val="0"/>
          <w:bCs/>
          <w:sz w:val="32"/>
          <w:szCs w:val="32"/>
        </w:rPr>
      </w:pPr>
      <w:bookmarkStart w:id="242" w:name="_Toc2522"/>
      <w:bookmarkStart w:id="243" w:name="_Toc130971884"/>
      <w:bookmarkStart w:id="244" w:name="_Toc19277"/>
      <w:r>
        <w:rPr>
          <w:rFonts w:hint="eastAsia" w:ascii="仿宋_GB2312" w:hAnsi="仿宋_GB2312" w:eastAsia="仿宋_GB2312" w:cs="仿宋_GB2312"/>
          <w:b w:val="0"/>
          <w:bCs/>
          <w:sz w:val="32"/>
          <w:szCs w:val="32"/>
        </w:rPr>
        <w:t>附件</w:t>
      </w:r>
      <w:bookmarkStart w:id="245" w:name="_Toc376936779"/>
      <w:bookmarkStart w:id="246" w:name="_Toc365019584"/>
      <w:bookmarkStart w:id="247" w:name="_Toc351475542"/>
      <w:r>
        <w:rPr>
          <w:rFonts w:hint="eastAsia" w:ascii="仿宋_GB2312" w:hAnsi="仿宋_GB2312" w:eastAsia="仿宋_GB2312" w:cs="仿宋_GB2312"/>
          <w:b w:val="0"/>
          <w:bCs/>
          <w:sz w:val="32"/>
          <w:szCs w:val="32"/>
        </w:rPr>
        <w:t>5：供应商诚信承诺书</w:t>
      </w:r>
      <w:bookmarkEnd w:id="242"/>
      <w:bookmarkEnd w:id="243"/>
      <w:bookmarkEnd w:id="244"/>
      <w:bookmarkEnd w:id="245"/>
      <w:bookmarkEnd w:id="246"/>
      <w:bookmarkEnd w:id="247"/>
    </w:p>
    <w:p w14:paraId="35BF72A1">
      <w:pPr>
        <w:bidi w:val="0"/>
        <w:ind w:left="0" w:leftChars="0" w:firstLine="0" w:firstLineChars="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供应商诚信承诺书</w:t>
      </w:r>
    </w:p>
    <w:p w14:paraId="6D8C788D">
      <w:pPr>
        <w:bidi w:val="0"/>
        <w:ind w:left="0" w:leftChars="0" w:firstLine="0" w:firstLineChars="0"/>
        <w:rPr>
          <w:rFonts w:hint="eastAsia" w:ascii="仿宋_GB2312" w:hAnsi="仿宋_GB2312" w:eastAsia="仿宋_GB2312" w:cs="仿宋_GB2312"/>
          <w:sz w:val="28"/>
          <w:szCs w:val="28"/>
        </w:rPr>
      </w:pPr>
    </w:p>
    <w:p w14:paraId="401D2E8A">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lang w:eastAsia="zh-CN"/>
        </w:rPr>
        <w:t>化隆县公共资源交易受理服务部</w:t>
      </w:r>
    </w:p>
    <w:p w14:paraId="5D9A993F">
      <w:pPr>
        <w:bidi w:val="0"/>
        <w:ind w:left="0"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为了诚实、客观、有序地参与</w:t>
      </w:r>
      <w:r>
        <w:rPr>
          <w:rFonts w:hint="eastAsia" w:ascii="仿宋_GB2312" w:hAnsi="仿宋_GB2312" w:eastAsia="仿宋_GB2312" w:cs="仿宋_GB2312"/>
          <w:sz w:val="28"/>
          <w:szCs w:val="28"/>
          <w:lang w:eastAsia="zh-CN"/>
        </w:rPr>
        <w:t>海东市化隆县</w:t>
      </w:r>
      <w:r>
        <w:rPr>
          <w:rFonts w:hint="eastAsia" w:ascii="仿宋_GB2312" w:hAnsi="仿宋_GB2312" w:eastAsia="仿宋_GB2312" w:cs="仿宋_GB2312"/>
          <w:sz w:val="28"/>
          <w:szCs w:val="28"/>
        </w:rPr>
        <w:t>政府采购活动，愿就以下内容作出承诺：</w:t>
      </w:r>
    </w:p>
    <w:p w14:paraId="112C5427">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一、自觉遵守各项法律、法规、规章、制度以及社会公德，维护廉洁环境，与同场竞争的供应商平等参加政府采购活动。</w:t>
      </w:r>
    </w:p>
    <w:p w14:paraId="30C3744A">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二、参加</w:t>
      </w:r>
      <w:r>
        <w:rPr>
          <w:rFonts w:hint="eastAsia" w:ascii="仿宋_GB2312" w:hAnsi="仿宋_GB2312" w:eastAsia="仿宋_GB2312" w:cs="仿宋_GB2312"/>
          <w:sz w:val="28"/>
          <w:szCs w:val="28"/>
          <w:lang w:eastAsia="zh-CN"/>
        </w:rPr>
        <w:t>海东市化隆县公共资源交易受理服务部</w:t>
      </w:r>
      <w:r>
        <w:rPr>
          <w:rFonts w:hint="eastAsia" w:ascii="仿宋_GB2312" w:hAnsi="仿宋_GB2312" w:eastAsia="仿宋_GB2312" w:cs="仿宋_GB2312"/>
          <w:sz w:val="28"/>
          <w:szCs w:val="28"/>
        </w:rPr>
        <w:t>组织的政府采购活动时，严格按照招标文件的规定和要求提供所需的相关材料，并对所提供的各类资料的真实性负责，不虚假应标，不虚列业绩。</w:t>
      </w:r>
    </w:p>
    <w:p w14:paraId="35B6B88B">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三、尊重参与政府采购活动各相关方的合法行为，接受政府采购活动依法形成的意见、结果。</w:t>
      </w:r>
    </w:p>
    <w:p w14:paraId="251F798F">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四、依法参加政府采购活动，不围标、串标，维护市场秩序，不提供“三无”产品、以次充好。</w:t>
      </w:r>
    </w:p>
    <w:p w14:paraId="2B660D1F">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五、积极推动政府采购活动健康开展，对采购活动有疑问、异议时，按法律规定的程序实名（加盖单位章和法定代表人签名）反映情况，不恶意中伤、无事生非，以和谐、平等的心态参加政府采购活动。</w:t>
      </w:r>
    </w:p>
    <w:p w14:paraId="7C3C8489">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六、认真履行中标供应商应承担的责任和义务，全面执行采购合同规定的各项内容，保质保量地按时提供采购物品。</w:t>
      </w:r>
    </w:p>
    <w:p w14:paraId="019D850A">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若本企业（单位）发生有悖于上述承诺的行为，愿意接受《中华人民共和国政府采购法》和《政府采购法实施条例》中对供应商的相关处理。</w:t>
      </w:r>
    </w:p>
    <w:p w14:paraId="4A761E23">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本承诺是采购项目投标文件的组成部分。</w:t>
      </w:r>
    </w:p>
    <w:p w14:paraId="5E04B5D0">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666624F1">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1FF06B79">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7BFF1832">
      <w:pPr>
        <w:pageBreakBefore w:val="0"/>
        <w:widowControl w:val="0"/>
        <w:kinsoku/>
        <w:wordWrap/>
        <w:overflowPunct/>
        <w:topLinePunct w:val="0"/>
        <w:autoSpaceDE/>
        <w:autoSpaceDN/>
        <w:bidi w:val="0"/>
        <w:adjustRightInd/>
        <w:snapToGrid/>
        <w:spacing w:line="360" w:lineRule="atLeast"/>
        <w:jc w:val="right"/>
        <w:textAlignment w:val="auto"/>
        <w:rPr>
          <w:rFonts w:hint="eastAsia"/>
        </w:rPr>
      </w:pPr>
      <w:r>
        <w:rPr>
          <w:rFonts w:hint="eastAsia" w:ascii="仿宋_GB2312" w:hAnsi="仿宋_GB2312" w:eastAsia="仿宋_GB2312" w:cs="仿宋_GB2312"/>
          <w:sz w:val="28"/>
          <w:szCs w:val="28"/>
        </w:rPr>
        <w:t>年  月  日</w:t>
      </w:r>
    </w:p>
    <w:p w14:paraId="17FB7A03">
      <w:pPr>
        <w:pStyle w:val="3"/>
        <w:bidi w:val="0"/>
        <w:ind w:left="0" w:leftChars="0" w:firstLine="0" w:firstLineChars="0"/>
        <w:rPr>
          <w:rFonts w:hint="eastAsia" w:ascii="仿宋_GB2312" w:hAnsi="仿宋_GB2312" w:eastAsia="仿宋_GB2312" w:cs="仿宋_GB2312"/>
          <w:b w:val="0"/>
          <w:bCs/>
        </w:rPr>
      </w:pPr>
      <w:bookmarkStart w:id="248" w:name="_Toc130971885"/>
      <w:bookmarkStart w:id="249" w:name="_Toc6013"/>
      <w:bookmarkStart w:id="250" w:name="_Toc11038"/>
      <w:r>
        <w:rPr>
          <w:rFonts w:hint="eastAsia" w:ascii="仿宋_GB2312" w:hAnsi="仿宋_GB2312" w:eastAsia="仿宋_GB2312" w:cs="仿宋_GB2312"/>
          <w:b w:val="0"/>
          <w:bCs/>
        </w:rPr>
        <w:t>附件6：投标人资格证明文件</w:t>
      </w:r>
      <w:bookmarkEnd w:id="248"/>
      <w:bookmarkEnd w:id="249"/>
      <w:bookmarkEnd w:id="250"/>
    </w:p>
    <w:p w14:paraId="5D5E322D">
      <w:pPr>
        <w:bidi w:val="0"/>
        <w:ind w:left="0" w:leftChars="0" w:firstLine="0" w:firstLineChars="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投标人资格证明文件</w:t>
      </w:r>
    </w:p>
    <w:p w14:paraId="1E7BB117">
      <w:pPr>
        <w:ind w:left="0" w:leftChars="0" w:firstLine="560" w:firstLineChars="200"/>
        <w:rPr>
          <w:rFonts w:hint="eastAsia" w:ascii="仿宋_GB2312" w:hAnsi="仿宋_GB2312" w:eastAsia="仿宋_GB2312" w:cs="仿宋_GB2312"/>
          <w:sz w:val="28"/>
          <w:szCs w:val="28"/>
        </w:rPr>
      </w:pPr>
    </w:p>
    <w:p w14:paraId="46F0CE44">
      <w:pPr>
        <w:ind w:left="0"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资格证明材料包括：提供有效的营业执照、税务登记证、机构代码证或三证（五证）合一统一社会代码证及其他资格证明文件（扫描或复印件）。</w:t>
      </w:r>
    </w:p>
    <w:p w14:paraId="39682209">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7B4CA57E">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2.根据采购项目内容，提供投标人的相关资质证书、许可证书、认证等。</w:t>
      </w:r>
    </w:p>
    <w:p w14:paraId="3EA754E1">
      <w:pPr>
        <w:pStyle w:val="3"/>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rFonts w:hint="eastAsia"/>
        </w:rPr>
      </w:pPr>
      <w:r>
        <w:rPr>
          <w:rFonts w:hint="eastAsia" w:ascii="仿宋_GB2312" w:hAnsi="仿宋_GB2312" w:eastAsia="仿宋_GB2312" w:cs="仿宋_GB2312"/>
          <w:szCs w:val="28"/>
        </w:rPr>
        <w:br w:type="page"/>
      </w:r>
      <w:bookmarkStart w:id="251" w:name="_Toc130971886"/>
      <w:bookmarkStart w:id="252" w:name="_Toc18848"/>
      <w:bookmarkStart w:id="253" w:name="_Toc930"/>
      <w:r>
        <w:rPr>
          <w:rFonts w:hint="eastAsia" w:ascii="仿宋_GB2312" w:hAnsi="仿宋_GB2312" w:eastAsia="仿宋_GB2312" w:cs="仿宋_GB2312"/>
          <w:b w:val="0"/>
          <w:bCs/>
        </w:rPr>
        <w:t>附件7：财务状况、缴纳税收和社会保障资金证明</w:t>
      </w:r>
      <w:bookmarkEnd w:id="251"/>
      <w:bookmarkEnd w:id="252"/>
      <w:bookmarkEnd w:id="253"/>
    </w:p>
    <w:p w14:paraId="41073BC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p>
    <w:p w14:paraId="32E637C0">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财务状况、缴纳税收和社会保障资金证明</w:t>
      </w:r>
    </w:p>
    <w:p w14:paraId="417B9B48">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p>
    <w:p w14:paraId="58036816">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按照《政府采购法》第22条规定提供以下相关材料：</w:t>
      </w:r>
    </w:p>
    <w:p w14:paraId="6ED549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1、供应商是法人的，提供</w:t>
      </w:r>
      <w:r>
        <w:rPr>
          <w:rFonts w:hint="eastAsia" w:ascii="仿宋_GB2312" w:hAnsi="仿宋_GB2312" w:eastAsia="仿宋_GB2312" w:cs="仿宋_GB2312"/>
          <w:sz w:val="28"/>
          <w:szCs w:val="28"/>
          <w:lang w:val="en-US" w:eastAsia="zh-CN"/>
        </w:rPr>
        <w:t>2025年或2024年度</w:t>
      </w:r>
      <w:r>
        <w:rPr>
          <w:rFonts w:hint="eastAsia" w:ascii="仿宋_GB2312" w:hAnsi="仿宋_GB2312" w:eastAsia="仿宋_GB2312" w:cs="仿宋_GB2312"/>
          <w:sz w:val="28"/>
          <w:szCs w:val="28"/>
        </w:rPr>
        <w:t>经审计的财务状况报告，包括资产负债表、利润表、现金流量表及其附注，或</w:t>
      </w:r>
      <w:r>
        <w:rPr>
          <w:rFonts w:hint="eastAsia" w:ascii="仿宋_GB2312" w:hAnsi="仿宋_GB2312" w:eastAsia="仿宋_GB2312" w:cs="仿宋_GB2312"/>
          <w:sz w:val="28"/>
          <w:szCs w:val="28"/>
          <w:lang w:eastAsia="zh-CN"/>
        </w:rPr>
        <w:t>提供开标前三个月内由</w:t>
      </w:r>
      <w:r>
        <w:rPr>
          <w:rFonts w:hint="eastAsia" w:ascii="仿宋_GB2312" w:hAnsi="仿宋_GB2312" w:eastAsia="仿宋_GB2312" w:cs="仿宋_GB2312"/>
          <w:sz w:val="28"/>
          <w:szCs w:val="28"/>
        </w:rPr>
        <w:t>其基本开户银行出具的资信证明（同时提供基本存款账户开户许可证</w:t>
      </w:r>
      <w:r>
        <w:rPr>
          <w:rFonts w:hint="eastAsia" w:ascii="仿宋_GB2312" w:hAnsi="仿宋_GB2312" w:eastAsia="仿宋_GB2312" w:cs="仿宋_GB2312"/>
          <w:sz w:val="28"/>
          <w:szCs w:val="28"/>
          <w:lang w:eastAsia="zh-CN"/>
        </w:rPr>
        <w:t>或基本存款账户信息证明</w:t>
      </w:r>
      <w:r>
        <w:rPr>
          <w:rFonts w:hint="eastAsia" w:ascii="仿宋_GB2312" w:hAnsi="仿宋_GB2312" w:eastAsia="仿宋_GB2312" w:cs="仿宋_GB2312"/>
          <w:sz w:val="28"/>
          <w:szCs w:val="28"/>
        </w:rPr>
        <w:t>）；供应商是其他组织和自然人，没有经审计的财务报告，可以提供基本开户银行出具的资信证明（同时提供基本存款账户开户许可证</w:t>
      </w:r>
      <w:r>
        <w:rPr>
          <w:rFonts w:hint="eastAsia" w:ascii="仿宋_GB2312" w:hAnsi="仿宋_GB2312" w:eastAsia="仿宋_GB2312" w:cs="仿宋_GB2312"/>
          <w:sz w:val="28"/>
          <w:szCs w:val="28"/>
          <w:lang w:eastAsia="zh-CN"/>
        </w:rPr>
        <w:t>或基本存款账户信息证明</w:t>
      </w:r>
      <w:r>
        <w:rPr>
          <w:rFonts w:hint="eastAsia" w:ascii="仿宋_GB2312" w:hAnsi="仿宋_GB2312" w:eastAsia="仿宋_GB2312" w:cs="仿宋_GB2312"/>
          <w:sz w:val="28"/>
          <w:szCs w:val="28"/>
        </w:rPr>
        <w:t>）。</w:t>
      </w:r>
    </w:p>
    <w:p w14:paraId="1414709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近半年任意三个月</w:t>
      </w:r>
      <w:r>
        <w:rPr>
          <w:rFonts w:hint="eastAsia" w:ascii="仿宋_GB2312" w:hAnsi="仿宋_GB2312" w:eastAsia="仿宋_GB2312" w:cs="仿宋_GB2312"/>
          <w:sz w:val="28"/>
          <w:szCs w:val="28"/>
        </w:rPr>
        <w:t>依法缴纳税收和社会保障资金记录的证明材料。依法免税或不需要缴纳社会保障资金的供应商，应提供相应文件证明其依法免税或不需要缴纳社会保障资金。</w:t>
      </w:r>
    </w:p>
    <w:p w14:paraId="074D72D2">
      <w:pPr>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p>
    <w:p w14:paraId="27C8740F">
      <w:pPr>
        <w:pStyle w:val="5"/>
        <w:ind w:firstLine="420"/>
        <w:rPr>
          <w:rFonts w:hint="eastAsia" w:ascii="仿宋_GB2312" w:hAnsi="仿宋_GB2312" w:eastAsia="仿宋_GB2312" w:cs="仿宋_GB2312"/>
          <w:sz w:val="28"/>
          <w:szCs w:val="28"/>
        </w:rPr>
      </w:pPr>
    </w:p>
    <w:p w14:paraId="7CFCBFCD">
      <w:pPr>
        <w:pStyle w:val="12"/>
        <w:ind w:firstLine="420"/>
        <w:rPr>
          <w:rFonts w:hint="eastAsia" w:ascii="仿宋_GB2312" w:hAnsi="仿宋_GB2312" w:eastAsia="仿宋_GB2312" w:cs="仿宋_GB2312"/>
          <w:sz w:val="28"/>
          <w:szCs w:val="28"/>
        </w:rPr>
      </w:pPr>
    </w:p>
    <w:p w14:paraId="1442A226">
      <w:pPr>
        <w:pStyle w:val="12"/>
        <w:ind w:firstLine="420"/>
        <w:rPr>
          <w:rFonts w:hint="eastAsia" w:ascii="仿宋_GB2312" w:hAnsi="仿宋_GB2312" w:eastAsia="仿宋_GB2312" w:cs="仿宋_GB2312"/>
          <w:sz w:val="28"/>
          <w:szCs w:val="28"/>
        </w:rPr>
      </w:pPr>
    </w:p>
    <w:p w14:paraId="4169E434">
      <w:pPr>
        <w:pStyle w:val="12"/>
        <w:ind w:firstLine="420"/>
        <w:rPr>
          <w:rFonts w:hint="eastAsia" w:ascii="仿宋_GB2312" w:hAnsi="仿宋_GB2312" w:eastAsia="仿宋_GB2312" w:cs="仿宋_GB2312"/>
          <w:sz w:val="28"/>
          <w:szCs w:val="28"/>
        </w:rPr>
      </w:pPr>
    </w:p>
    <w:p w14:paraId="09A48070">
      <w:pPr>
        <w:pStyle w:val="12"/>
        <w:ind w:firstLine="420"/>
        <w:rPr>
          <w:rFonts w:hint="eastAsia" w:ascii="仿宋_GB2312" w:hAnsi="仿宋_GB2312" w:eastAsia="仿宋_GB2312" w:cs="仿宋_GB2312"/>
          <w:sz w:val="28"/>
          <w:szCs w:val="28"/>
          <w:lang w:eastAsia="zh-CN"/>
        </w:rPr>
      </w:pPr>
    </w:p>
    <w:p w14:paraId="2DCECFEB">
      <w:pPr>
        <w:spacing w:line="360" w:lineRule="auto"/>
        <w:ind w:firstLine="2249" w:firstLineChars="800"/>
        <w:rPr>
          <w:rFonts w:hint="eastAsia" w:ascii="仿宋_GB2312" w:hAnsi="仿宋_GB2312" w:eastAsia="仿宋_GB2312" w:cs="仿宋_GB2312"/>
          <w:b/>
          <w:sz w:val="28"/>
          <w:szCs w:val="28"/>
        </w:rPr>
      </w:pPr>
    </w:p>
    <w:p w14:paraId="319733C1">
      <w:pPr>
        <w:spacing w:line="360" w:lineRule="auto"/>
        <w:ind w:firstLine="2249" w:firstLineChars="800"/>
        <w:rPr>
          <w:rFonts w:hint="eastAsia" w:ascii="仿宋_GB2312" w:hAnsi="仿宋_GB2312" w:eastAsia="仿宋_GB2312" w:cs="仿宋_GB2312"/>
          <w:b/>
          <w:sz w:val="28"/>
          <w:szCs w:val="28"/>
        </w:rPr>
      </w:pPr>
    </w:p>
    <w:p w14:paraId="737A98A1">
      <w:pPr>
        <w:spacing w:line="360" w:lineRule="auto"/>
        <w:ind w:firstLine="2249" w:firstLineChars="800"/>
        <w:rPr>
          <w:rFonts w:hint="eastAsia" w:ascii="仿宋_GB2312" w:hAnsi="仿宋_GB2312" w:eastAsia="仿宋_GB2312" w:cs="仿宋_GB2312"/>
          <w:b/>
          <w:sz w:val="28"/>
          <w:szCs w:val="28"/>
        </w:rPr>
      </w:pPr>
    </w:p>
    <w:p w14:paraId="337D682C">
      <w:pPr>
        <w:spacing w:line="360" w:lineRule="auto"/>
        <w:ind w:firstLine="2249" w:firstLineChars="800"/>
        <w:rPr>
          <w:rFonts w:hint="eastAsia" w:ascii="仿宋_GB2312" w:hAnsi="仿宋_GB2312" w:eastAsia="仿宋_GB2312" w:cs="仿宋_GB2312"/>
          <w:b/>
          <w:sz w:val="28"/>
          <w:szCs w:val="28"/>
        </w:rPr>
      </w:pPr>
    </w:p>
    <w:p w14:paraId="652F4EB6">
      <w:pPr>
        <w:spacing w:line="360" w:lineRule="auto"/>
        <w:ind w:firstLine="2249" w:firstLineChars="800"/>
        <w:rPr>
          <w:rFonts w:hint="eastAsia" w:ascii="仿宋_GB2312" w:hAnsi="仿宋_GB2312" w:eastAsia="仿宋_GB2312" w:cs="仿宋_GB2312"/>
          <w:b/>
          <w:sz w:val="28"/>
          <w:szCs w:val="28"/>
        </w:rPr>
      </w:pPr>
    </w:p>
    <w:p w14:paraId="3694D4F5">
      <w:pPr>
        <w:pStyle w:val="3"/>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rFonts w:hint="eastAsia"/>
        </w:rPr>
      </w:pPr>
      <w:bookmarkStart w:id="254" w:name="_Toc130971887"/>
    </w:p>
    <w:p w14:paraId="353784C2">
      <w:pPr>
        <w:rPr>
          <w:rFonts w:hint="eastAsia"/>
        </w:rPr>
      </w:pPr>
    </w:p>
    <w:p w14:paraId="1EF454E1">
      <w:pPr>
        <w:rPr>
          <w:rFonts w:hint="eastAsia"/>
        </w:rPr>
      </w:pPr>
    </w:p>
    <w:p w14:paraId="0CECE108">
      <w:pPr>
        <w:rPr>
          <w:rFonts w:hint="eastAsia"/>
        </w:rPr>
      </w:pPr>
    </w:p>
    <w:p w14:paraId="143F1796">
      <w:pPr>
        <w:pStyle w:val="3"/>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rFonts w:hint="eastAsia" w:ascii="仿宋_GB2312" w:hAnsi="仿宋_GB2312" w:eastAsia="仿宋_GB2312" w:cs="仿宋_GB2312"/>
          <w:b w:val="0"/>
          <w:bCs/>
        </w:rPr>
      </w:pPr>
      <w:bookmarkStart w:id="255" w:name="_Toc2947"/>
      <w:bookmarkStart w:id="256" w:name="_Toc18526"/>
      <w:r>
        <w:rPr>
          <w:rFonts w:hint="eastAsia" w:ascii="仿宋_GB2312" w:hAnsi="仿宋_GB2312" w:eastAsia="仿宋_GB2312" w:cs="仿宋_GB2312"/>
          <w:b w:val="0"/>
          <w:bCs/>
        </w:rPr>
        <w:t>附件8：无重大违法记录声明</w:t>
      </w:r>
      <w:bookmarkEnd w:id="254"/>
      <w:bookmarkEnd w:id="255"/>
      <w:bookmarkEnd w:id="256"/>
    </w:p>
    <w:p w14:paraId="455ECCD2">
      <w:pPr>
        <w:pageBreakBefore w:val="0"/>
        <w:widowControl w:val="0"/>
        <w:kinsoku/>
        <w:wordWrap/>
        <w:overflowPunct/>
        <w:topLinePunct w:val="0"/>
        <w:autoSpaceDE/>
        <w:autoSpaceDN/>
        <w:bidi w:val="0"/>
        <w:adjustRightInd/>
        <w:snapToGrid/>
        <w:spacing w:line="360" w:lineRule="exact"/>
        <w:textAlignment w:val="auto"/>
        <w:rPr>
          <w:rFonts w:hint="eastAsia"/>
        </w:rPr>
      </w:pPr>
    </w:p>
    <w:p w14:paraId="73A31BCE">
      <w:pPr>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无重大违法记录声明</w:t>
      </w:r>
    </w:p>
    <w:p w14:paraId="284F2B31">
      <w:pPr>
        <w:pageBreakBefore w:val="0"/>
        <w:widowControl w:val="0"/>
        <w:kinsoku/>
        <w:wordWrap/>
        <w:overflowPunct/>
        <w:topLinePunct w:val="0"/>
        <w:autoSpaceDE/>
        <w:autoSpaceDN/>
        <w:bidi w:val="0"/>
        <w:adjustRightInd/>
        <w:snapToGrid/>
        <w:spacing w:line="360" w:lineRule="exact"/>
        <w:textAlignment w:val="auto"/>
        <w:rPr>
          <w:rFonts w:hint="eastAsia"/>
        </w:rPr>
      </w:pPr>
    </w:p>
    <w:p w14:paraId="073011A8">
      <w:pPr>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bookmarkStart w:id="257" w:name="_Toc130971888"/>
      <w:bookmarkStart w:id="258" w:name="_Toc110408405"/>
      <w:bookmarkStart w:id="259" w:name="_Toc82441633"/>
      <w:bookmarkStart w:id="260" w:name="_Toc82441343"/>
      <w:bookmarkStart w:id="261" w:name="_Toc36569325"/>
      <w:bookmarkStart w:id="262" w:name="_Toc37147848"/>
      <w:bookmarkStart w:id="263" w:name="_Toc67558046"/>
      <w:bookmarkStart w:id="264" w:name="_Toc36567478"/>
      <w:r>
        <w:rPr>
          <w:rFonts w:hint="eastAsia" w:ascii="仿宋_GB2312" w:hAnsi="仿宋_GB2312" w:eastAsia="仿宋_GB2312" w:cs="仿宋_GB2312"/>
          <w:sz w:val="28"/>
          <w:szCs w:val="28"/>
        </w:rPr>
        <w:t>提供参加政府采购活动前3年内在经营活动中没有重大违法记录的书面声明（格式可自定）。</w:t>
      </w:r>
      <w:bookmarkEnd w:id="257"/>
      <w:bookmarkEnd w:id="258"/>
      <w:bookmarkEnd w:id="259"/>
      <w:bookmarkEnd w:id="260"/>
    </w:p>
    <w:p w14:paraId="3EBEAC33">
      <w:pPr>
        <w:bidi w:val="0"/>
        <w:ind w:left="0" w:leftChars="0" w:firstLine="0" w:firstLineChars="0"/>
        <w:rPr>
          <w:rFonts w:hint="eastAsia" w:ascii="方正小标宋简体" w:hAnsi="方正小标宋简体" w:eastAsia="方正小标宋简体" w:cs="方正小标宋简体"/>
          <w:sz w:val="32"/>
          <w:szCs w:val="32"/>
        </w:rPr>
      </w:pPr>
      <w:r>
        <w:rPr>
          <w:rFonts w:hint="eastAsia" w:ascii="仿宋_GB2312" w:hAnsi="仿宋_GB2312" w:eastAsia="仿宋_GB2312" w:cs="仿宋_GB2312"/>
          <w:szCs w:val="28"/>
        </w:rPr>
        <w:br w:type="page"/>
      </w:r>
      <w:bookmarkEnd w:id="261"/>
      <w:bookmarkEnd w:id="262"/>
      <w:bookmarkEnd w:id="263"/>
      <w:bookmarkEnd w:id="264"/>
      <w:r>
        <w:rPr>
          <w:rFonts w:hint="eastAsia" w:ascii="仿宋_GB2312" w:hAnsi="仿宋_GB2312" w:eastAsia="仿宋_GB2312" w:cs="仿宋_GB2312"/>
          <w:sz w:val="32"/>
          <w:szCs w:val="32"/>
        </w:rPr>
        <w:t>（投标文件封面）</w:t>
      </w:r>
    </w:p>
    <w:p w14:paraId="13C67FB2">
      <w:pPr>
        <w:bidi w:val="0"/>
        <w:rPr>
          <w:rFonts w:hint="eastAsia" w:ascii="方正小标宋简体" w:hAnsi="方正小标宋简体" w:eastAsia="方正小标宋简体" w:cs="方正小标宋简体"/>
          <w:sz w:val="32"/>
          <w:szCs w:val="32"/>
        </w:rPr>
      </w:pPr>
    </w:p>
    <w:p w14:paraId="388B8A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化隆县</w:t>
      </w:r>
      <w:r>
        <w:rPr>
          <w:rFonts w:hint="eastAsia" w:ascii="方正小标宋简体" w:hAnsi="方正小标宋简体" w:eastAsia="方正小标宋简体" w:cs="方正小标宋简体"/>
          <w:sz w:val="44"/>
          <w:szCs w:val="44"/>
        </w:rPr>
        <w:t>政府采购项目</w:t>
      </w:r>
    </w:p>
    <w:p w14:paraId="2C860A0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 标 文 件</w:t>
      </w:r>
    </w:p>
    <w:p w14:paraId="05DB6DCC">
      <w:pPr>
        <w:bidi w:val="0"/>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符合性</w:t>
      </w:r>
      <w:r>
        <w:rPr>
          <w:rFonts w:hint="eastAsia" w:ascii="仿宋_GB2312" w:hAnsi="仿宋_GB2312" w:eastAsia="仿宋_GB2312" w:cs="仿宋_GB2312"/>
          <w:sz w:val="32"/>
          <w:szCs w:val="32"/>
        </w:rPr>
        <w:t>审查部分）</w:t>
      </w:r>
    </w:p>
    <w:p w14:paraId="71C566A8">
      <w:pPr>
        <w:bidi w:val="0"/>
        <w:rPr>
          <w:rFonts w:hint="eastAsia" w:ascii="仿宋_GB2312" w:hAnsi="仿宋_GB2312" w:eastAsia="仿宋_GB2312" w:cs="仿宋_GB2312"/>
          <w:sz w:val="32"/>
          <w:szCs w:val="32"/>
        </w:rPr>
      </w:pPr>
    </w:p>
    <w:p w14:paraId="0152544A">
      <w:pPr>
        <w:bidi w:val="0"/>
        <w:rPr>
          <w:rFonts w:hint="eastAsia" w:ascii="仿宋_GB2312" w:hAnsi="仿宋_GB2312" w:eastAsia="仿宋_GB2312" w:cs="仿宋_GB2312"/>
          <w:sz w:val="32"/>
          <w:szCs w:val="32"/>
        </w:rPr>
      </w:pPr>
    </w:p>
    <w:p w14:paraId="129CAAA6">
      <w:pPr>
        <w:bidi w:val="0"/>
        <w:rPr>
          <w:rFonts w:hint="eastAsia" w:ascii="仿宋_GB2312" w:hAnsi="仿宋_GB2312" w:eastAsia="仿宋_GB2312" w:cs="仿宋_GB2312"/>
          <w:sz w:val="32"/>
          <w:szCs w:val="32"/>
        </w:rPr>
      </w:pPr>
    </w:p>
    <w:p w14:paraId="5DB31E42">
      <w:pPr>
        <w:bidi w:val="0"/>
        <w:rPr>
          <w:rFonts w:hint="eastAsia" w:ascii="仿宋_GB2312" w:hAnsi="仿宋_GB2312" w:eastAsia="仿宋_GB2312" w:cs="仿宋_GB2312"/>
          <w:sz w:val="32"/>
          <w:szCs w:val="32"/>
        </w:rPr>
      </w:pPr>
    </w:p>
    <w:p w14:paraId="6B977FC7">
      <w:pPr>
        <w:bidi w:val="0"/>
        <w:rPr>
          <w:rFonts w:hint="eastAsia" w:ascii="仿宋_GB2312" w:hAnsi="仿宋_GB2312" w:eastAsia="仿宋_GB2312" w:cs="仿宋_GB2312"/>
          <w:sz w:val="32"/>
          <w:szCs w:val="32"/>
        </w:rPr>
      </w:pPr>
    </w:p>
    <w:p w14:paraId="0DB29345">
      <w:pPr>
        <w:bidi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采购项目编号：</w:t>
      </w:r>
      <w:r>
        <w:rPr>
          <w:rFonts w:hint="eastAsia" w:ascii="仿宋_GB2312" w:hAnsi="仿宋_GB2312" w:eastAsia="仿宋_GB2312" w:cs="仿宋_GB2312"/>
          <w:sz w:val="32"/>
          <w:szCs w:val="32"/>
          <w:lang w:eastAsia="zh-CN"/>
        </w:rPr>
        <w:t>化公服公招（货物）202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号</w:t>
      </w:r>
    </w:p>
    <w:p w14:paraId="31697A4C">
      <w:pPr>
        <w:keepNext w:val="0"/>
        <w:keepLines w:val="0"/>
        <w:pageBreakBefore w:val="0"/>
        <w:widowControl w:val="0"/>
        <w:kinsoku/>
        <w:wordWrap/>
        <w:overflowPunct/>
        <w:topLinePunct w:val="0"/>
        <w:autoSpaceDE/>
        <w:autoSpaceDN/>
        <w:bidi w:val="0"/>
        <w:adjustRightInd w:val="0"/>
        <w:snapToGrid/>
        <w:spacing w:line="560" w:lineRule="exact"/>
        <w:textAlignment w:val="baseline"/>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rPr>
        <w:t>采购项目名称：</w:t>
      </w:r>
      <w:r>
        <w:rPr>
          <w:rFonts w:hint="eastAsia" w:ascii="仿宋_GB2312" w:hAnsi="仿宋_GB2312" w:eastAsia="仿宋_GB2312" w:cs="仿宋_GB2312"/>
          <w:b w:val="0"/>
          <w:bCs/>
          <w:sz w:val="32"/>
          <w:szCs w:val="32"/>
          <w:lang w:eastAsia="zh-CN"/>
        </w:rPr>
        <w:t>化隆县提前下达</w:t>
      </w:r>
      <w:r>
        <w:rPr>
          <w:rFonts w:hint="eastAsia" w:ascii="仿宋_GB2312" w:hAnsi="仿宋_GB2312" w:eastAsia="仿宋_GB2312" w:cs="仿宋_GB2312"/>
          <w:b w:val="0"/>
          <w:bCs/>
          <w:sz w:val="32"/>
          <w:szCs w:val="32"/>
          <w:lang w:val="en-US" w:eastAsia="zh-CN"/>
        </w:rPr>
        <w:t>2026年基础教育发展补助资金特殊教育教育装备及信息化设备采购项目</w:t>
      </w:r>
    </w:p>
    <w:p w14:paraId="7212C44E">
      <w:pPr>
        <w:bidi w:val="0"/>
        <w:rPr>
          <w:rFonts w:hint="eastAsia" w:ascii="仿宋_GB2312" w:hAnsi="仿宋_GB2312" w:eastAsia="仿宋_GB2312" w:cs="仿宋_GB2312"/>
          <w:sz w:val="32"/>
          <w:szCs w:val="32"/>
        </w:rPr>
      </w:pPr>
    </w:p>
    <w:p w14:paraId="55B030D9">
      <w:pPr>
        <w:bidi w:val="0"/>
        <w:rPr>
          <w:rFonts w:hint="eastAsia" w:ascii="仿宋_GB2312" w:hAnsi="仿宋_GB2312" w:eastAsia="仿宋_GB2312" w:cs="仿宋_GB2312"/>
          <w:sz w:val="32"/>
          <w:szCs w:val="32"/>
        </w:rPr>
      </w:pPr>
    </w:p>
    <w:p w14:paraId="286581AE">
      <w:pPr>
        <w:bidi w:val="0"/>
        <w:rPr>
          <w:rFonts w:hint="eastAsia" w:ascii="仿宋_GB2312" w:hAnsi="仿宋_GB2312" w:eastAsia="仿宋_GB2312" w:cs="仿宋_GB2312"/>
          <w:sz w:val="32"/>
          <w:szCs w:val="32"/>
        </w:rPr>
      </w:pPr>
    </w:p>
    <w:p w14:paraId="524559F6">
      <w:pPr>
        <w:bidi w:val="0"/>
        <w:rPr>
          <w:rFonts w:hint="eastAsia" w:ascii="仿宋_GB2312" w:hAnsi="仿宋_GB2312" w:eastAsia="仿宋_GB2312" w:cs="仿宋_GB2312"/>
          <w:sz w:val="32"/>
          <w:szCs w:val="32"/>
        </w:rPr>
      </w:pPr>
    </w:p>
    <w:p w14:paraId="23477FB3">
      <w:pPr>
        <w:bidi w:val="0"/>
        <w:rPr>
          <w:rFonts w:hint="eastAsia" w:ascii="仿宋_GB2312" w:hAnsi="仿宋_GB2312" w:eastAsia="仿宋_GB2312" w:cs="仿宋_GB2312"/>
          <w:sz w:val="32"/>
          <w:szCs w:val="32"/>
        </w:rPr>
      </w:pPr>
    </w:p>
    <w:p w14:paraId="5945BC3A">
      <w:pPr>
        <w:bidi w:val="0"/>
        <w:rPr>
          <w:rFonts w:hint="eastAsia" w:ascii="仿宋_GB2312" w:hAnsi="仿宋_GB2312" w:eastAsia="仿宋_GB2312" w:cs="仿宋_GB2312"/>
          <w:sz w:val="32"/>
          <w:szCs w:val="32"/>
        </w:rPr>
      </w:pPr>
    </w:p>
    <w:p w14:paraId="3A5DD271">
      <w:pPr>
        <w:bidi w:val="0"/>
        <w:rPr>
          <w:rFonts w:hint="eastAsia" w:ascii="仿宋_GB2312" w:hAnsi="仿宋_GB2312" w:eastAsia="仿宋_GB2312" w:cs="仿宋_GB2312"/>
          <w:sz w:val="32"/>
          <w:szCs w:val="32"/>
        </w:rPr>
      </w:pPr>
    </w:p>
    <w:p w14:paraId="038FCE38">
      <w:pPr>
        <w:bidi w:val="0"/>
        <w:ind w:firstLine="2240" w:firstLineChars="7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投标单位：</w:t>
      </w:r>
    </w:p>
    <w:p w14:paraId="51CC0025">
      <w:pPr>
        <w:bidi w:val="0"/>
        <w:jc w:val="center"/>
        <w:rPr>
          <w:rFonts w:hint="eastAsia" w:ascii="仿宋_GB2312" w:hAnsi="仿宋_GB2312" w:eastAsia="仿宋_GB2312" w:cs="仿宋_GB2312"/>
          <w:sz w:val="32"/>
          <w:szCs w:val="32"/>
        </w:rPr>
      </w:pPr>
    </w:p>
    <w:p w14:paraId="61072015">
      <w:pPr>
        <w:bidi w:val="0"/>
        <w:jc w:val="center"/>
        <w:rPr>
          <w:rFonts w:hint="eastAsia" w:ascii="仿宋_GB2312" w:hAnsi="仿宋_GB2312" w:eastAsia="仿宋_GB2312" w:cs="仿宋_GB2312"/>
          <w:sz w:val="32"/>
          <w:szCs w:val="32"/>
        </w:rPr>
      </w:pPr>
    </w:p>
    <w:p w14:paraId="68CD5F92">
      <w:pPr>
        <w:bidi w:val="0"/>
        <w:jc w:val="center"/>
        <w:rPr>
          <w:rFonts w:hint="eastAsia" w:ascii="仿宋_GB2312" w:hAnsi="仿宋_GB2312" w:eastAsia="仿宋_GB2312" w:cs="仿宋_GB2312"/>
          <w:sz w:val="32"/>
          <w:szCs w:val="32"/>
        </w:rPr>
      </w:pPr>
    </w:p>
    <w:p w14:paraId="6D1F181F">
      <w:pPr>
        <w:bidi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5F04F644">
      <w:pPr>
        <w:spacing w:line="360" w:lineRule="auto"/>
        <w:ind w:firstLine="3534" w:firstLineChars="1100"/>
        <w:rPr>
          <w:rFonts w:hint="eastAsia" w:ascii="仿宋_GB2312" w:hAnsi="仿宋_GB2312" w:eastAsia="仿宋_GB2312" w:cs="仿宋_GB2312"/>
          <w:b/>
          <w:sz w:val="32"/>
          <w:szCs w:val="32"/>
        </w:rPr>
      </w:pPr>
    </w:p>
    <w:p w14:paraId="52BC8209">
      <w:pPr>
        <w:bidi w:val="0"/>
        <w:rPr>
          <w:rFonts w:hint="eastAsia"/>
        </w:rPr>
      </w:pPr>
      <w:r>
        <w:rPr>
          <w:rFonts w:hint="eastAsia" w:ascii="仿宋_GB2312" w:hAnsi="仿宋_GB2312" w:eastAsia="仿宋_GB2312" w:cs="仿宋_GB2312"/>
          <w:b/>
          <w:szCs w:val="32"/>
        </w:rPr>
        <w:br w:type="page"/>
      </w:r>
    </w:p>
    <w:p w14:paraId="52FFC4C5">
      <w:pPr>
        <w:pStyle w:val="3"/>
        <w:keepNext/>
        <w:keepLines/>
        <w:pageBreakBefore w:val="0"/>
        <w:widowControl w:val="0"/>
        <w:kinsoku/>
        <w:wordWrap/>
        <w:overflowPunct/>
        <w:topLinePunct w:val="0"/>
        <w:autoSpaceDE/>
        <w:autoSpaceDN/>
        <w:bidi w:val="0"/>
        <w:adjustRightInd/>
        <w:snapToGrid/>
        <w:spacing w:line="413" w:lineRule="auto"/>
        <w:ind w:left="0" w:leftChars="0" w:firstLine="0" w:firstLineChars="0"/>
        <w:textAlignment w:val="auto"/>
        <w:rPr>
          <w:rFonts w:hint="eastAsia" w:ascii="仿宋_GB2312" w:hAnsi="仿宋_GB2312" w:eastAsia="仿宋_GB2312" w:cs="仿宋_GB2312"/>
          <w:b w:val="0"/>
          <w:bCs/>
          <w:sz w:val="32"/>
          <w:szCs w:val="32"/>
          <w:lang w:val="zh-CN" w:eastAsia="zh-CN"/>
        </w:rPr>
      </w:pPr>
      <w:bookmarkStart w:id="265" w:name="_Toc16547"/>
      <w:bookmarkStart w:id="266" w:name="_Toc11457"/>
      <w:bookmarkStart w:id="267" w:name="_Toc130971890"/>
      <w:r>
        <w:rPr>
          <w:rFonts w:hint="eastAsia" w:ascii="仿宋_GB2312" w:hAnsi="仿宋_GB2312" w:eastAsia="仿宋_GB2312" w:cs="仿宋_GB2312"/>
          <w:b w:val="0"/>
          <w:bCs/>
          <w:sz w:val="32"/>
          <w:szCs w:val="32"/>
          <w:lang w:val="zh-CN" w:eastAsia="zh-CN"/>
        </w:rPr>
        <w:t>附件</w:t>
      </w:r>
      <w:r>
        <w:rPr>
          <w:rFonts w:hint="eastAsia" w:ascii="仿宋_GB2312" w:hAnsi="仿宋_GB2312" w:eastAsia="仿宋_GB2312" w:cs="仿宋_GB2312"/>
          <w:b w:val="0"/>
          <w:bCs/>
          <w:sz w:val="32"/>
          <w:szCs w:val="32"/>
          <w:lang w:val="en-US" w:eastAsia="zh-CN"/>
        </w:rPr>
        <w:t>9</w:t>
      </w:r>
      <w:r>
        <w:rPr>
          <w:rFonts w:hint="eastAsia" w:ascii="仿宋_GB2312" w:hAnsi="仿宋_GB2312" w:eastAsia="仿宋_GB2312" w:cs="仿宋_GB2312"/>
          <w:b w:val="0"/>
          <w:bCs/>
          <w:sz w:val="32"/>
          <w:szCs w:val="32"/>
          <w:lang w:val="zh-CN" w:eastAsia="zh-CN"/>
        </w:rPr>
        <w:t>：评分对照表</w:t>
      </w:r>
      <w:bookmarkEnd w:id="265"/>
      <w:bookmarkEnd w:id="266"/>
    </w:p>
    <w:p w14:paraId="5295DA6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lang w:val="zh-CN"/>
        </w:rPr>
      </w:pPr>
      <w:r>
        <w:rPr>
          <w:rFonts w:hint="eastAsia" w:ascii="方正小标宋简体" w:hAnsi="方正小标宋简体" w:eastAsia="方正小标宋简体" w:cs="方正小标宋简体"/>
          <w:b/>
          <w:bCs/>
          <w:sz w:val="32"/>
          <w:szCs w:val="32"/>
          <w:lang w:val="zh-CN"/>
        </w:rPr>
        <w:t>评分对照表</w:t>
      </w:r>
    </w:p>
    <w:p w14:paraId="4F19579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bl>
      <w:tblPr>
        <w:tblStyle w:val="15"/>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3"/>
        <w:gridCol w:w="1945"/>
        <w:gridCol w:w="3068"/>
        <w:gridCol w:w="3338"/>
      </w:tblGrid>
      <w:tr w14:paraId="1D07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913" w:type="dxa"/>
            <w:noWrap w:val="0"/>
            <w:vAlign w:val="center"/>
          </w:tcPr>
          <w:p w14:paraId="4B134A9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945" w:type="dxa"/>
            <w:noWrap w:val="0"/>
            <w:vAlign w:val="center"/>
          </w:tcPr>
          <w:p w14:paraId="374BA0A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招标文件</w:t>
            </w:r>
          </w:p>
          <w:p w14:paraId="65BD0A8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3068" w:type="dxa"/>
            <w:noWrap w:val="0"/>
            <w:vAlign w:val="center"/>
          </w:tcPr>
          <w:p w14:paraId="5387282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投标响应部分</w:t>
            </w:r>
          </w:p>
        </w:tc>
        <w:tc>
          <w:tcPr>
            <w:tcW w:w="3338" w:type="dxa"/>
            <w:noWrap w:val="0"/>
            <w:vAlign w:val="center"/>
          </w:tcPr>
          <w:p w14:paraId="2FF9B41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投标文件中对应页码</w:t>
            </w:r>
          </w:p>
        </w:tc>
      </w:tr>
      <w:tr w14:paraId="41EB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13" w:type="dxa"/>
            <w:noWrap w:val="0"/>
            <w:vAlign w:val="center"/>
          </w:tcPr>
          <w:p w14:paraId="20EFF50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945" w:type="dxa"/>
            <w:noWrap w:val="0"/>
            <w:vAlign w:val="center"/>
          </w:tcPr>
          <w:p w14:paraId="2E3456B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068" w:type="dxa"/>
            <w:noWrap w:val="0"/>
            <w:vAlign w:val="center"/>
          </w:tcPr>
          <w:p w14:paraId="67833D7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338" w:type="dxa"/>
            <w:noWrap w:val="0"/>
            <w:vAlign w:val="center"/>
          </w:tcPr>
          <w:p w14:paraId="6CFE4DD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79D4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13" w:type="dxa"/>
            <w:noWrap w:val="0"/>
            <w:vAlign w:val="center"/>
          </w:tcPr>
          <w:p w14:paraId="17A1374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945" w:type="dxa"/>
            <w:noWrap w:val="0"/>
            <w:vAlign w:val="center"/>
          </w:tcPr>
          <w:p w14:paraId="1A25473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068" w:type="dxa"/>
            <w:noWrap w:val="0"/>
            <w:vAlign w:val="center"/>
          </w:tcPr>
          <w:p w14:paraId="33479A2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338" w:type="dxa"/>
            <w:noWrap w:val="0"/>
            <w:vAlign w:val="center"/>
          </w:tcPr>
          <w:p w14:paraId="0FDA3D9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1740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913" w:type="dxa"/>
            <w:noWrap w:val="0"/>
            <w:vAlign w:val="center"/>
          </w:tcPr>
          <w:p w14:paraId="4F6DA1C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945" w:type="dxa"/>
            <w:noWrap w:val="0"/>
            <w:vAlign w:val="center"/>
          </w:tcPr>
          <w:p w14:paraId="1D597E7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068" w:type="dxa"/>
            <w:noWrap w:val="0"/>
            <w:vAlign w:val="center"/>
          </w:tcPr>
          <w:p w14:paraId="2D36F48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338" w:type="dxa"/>
            <w:noWrap w:val="0"/>
            <w:vAlign w:val="center"/>
          </w:tcPr>
          <w:p w14:paraId="35C1A77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7754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913" w:type="dxa"/>
            <w:noWrap w:val="0"/>
            <w:vAlign w:val="center"/>
          </w:tcPr>
          <w:p w14:paraId="6D7D907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945" w:type="dxa"/>
            <w:noWrap w:val="0"/>
            <w:vAlign w:val="center"/>
          </w:tcPr>
          <w:p w14:paraId="5DA2EA0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068" w:type="dxa"/>
            <w:noWrap w:val="0"/>
            <w:vAlign w:val="center"/>
          </w:tcPr>
          <w:p w14:paraId="4AB5251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338" w:type="dxa"/>
            <w:noWrap w:val="0"/>
            <w:vAlign w:val="center"/>
          </w:tcPr>
          <w:p w14:paraId="3E1CB25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24B4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913" w:type="dxa"/>
            <w:noWrap w:val="0"/>
            <w:vAlign w:val="center"/>
          </w:tcPr>
          <w:p w14:paraId="0F72050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945" w:type="dxa"/>
            <w:noWrap w:val="0"/>
            <w:vAlign w:val="center"/>
          </w:tcPr>
          <w:p w14:paraId="736A643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068" w:type="dxa"/>
            <w:noWrap w:val="0"/>
            <w:vAlign w:val="center"/>
          </w:tcPr>
          <w:p w14:paraId="69BFCFF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338" w:type="dxa"/>
            <w:noWrap w:val="0"/>
            <w:vAlign w:val="center"/>
          </w:tcPr>
          <w:p w14:paraId="358F125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33BB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913" w:type="dxa"/>
            <w:noWrap w:val="0"/>
            <w:vAlign w:val="center"/>
          </w:tcPr>
          <w:p w14:paraId="4A0B872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945" w:type="dxa"/>
            <w:noWrap w:val="0"/>
            <w:vAlign w:val="center"/>
          </w:tcPr>
          <w:p w14:paraId="10B7DCB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068" w:type="dxa"/>
            <w:noWrap w:val="0"/>
            <w:vAlign w:val="center"/>
          </w:tcPr>
          <w:p w14:paraId="2341471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338" w:type="dxa"/>
            <w:noWrap w:val="0"/>
            <w:vAlign w:val="center"/>
          </w:tcPr>
          <w:p w14:paraId="331C3B4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bl>
    <w:p w14:paraId="16ADED4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color w:val="FF0000"/>
          <w:sz w:val="28"/>
          <w:szCs w:val="28"/>
          <w:lang w:val="zh-CN"/>
        </w:rPr>
      </w:pPr>
    </w:p>
    <w:p w14:paraId="55CD7FE5">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6268EA97">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72A8B215">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4F68C435">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36402449">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122B520B">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0BBA44C9">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63248961">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5F5E9319">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19DA74D1">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7DCDFDA9">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49126548">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1DC7FDD3">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569F12AA">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4BDEF850">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3F03F4AE">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75F1CCD0">
      <w:pPr>
        <w:pStyle w:val="3"/>
        <w:bidi w:val="0"/>
        <w:ind w:left="0" w:leftChars="0" w:firstLine="0" w:firstLineChars="0"/>
        <w:rPr>
          <w:rFonts w:hint="eastAsia" w:ascii="仿宋_GB2312" w:hAnsi="仿宋_GB2312" w:eastAsia="仿宋_GB2312" w:cs="仿宋_GB2312"/>
          <w:b w:val="0"/>
          <w:bCs/>
        </w:rPr>
      </w:pPr>
      <w:bookmarkStart w:id="268" w:name="_Toc26073"/>
      <w:bookmarkStart w:id="269" w:name="_Toc20356"/>
      <w:r>
        <w:rPr>
          <w:rFonts w:hint="eastAsia" w:ascii="仿宋_GB2312" w:hAnsi="仿宋_GB2312" w:eastAsia="仿宋_GB2312" w:cs="仿宋_GB2312"/>
          <w:b w:val="0"/>
          <w:bCs/>
        </w:rPr>
        <w:t>附件</w:t>
      </w:r>
      <w:bookmarkStart w:id="270" w:name="_Toc376936769"/>
      <w:bookmarkStart w:id="271" w:name="_Toc325726038"/>
      <w:r>
        <w:rPr>
          <w:rFonts w:hint="eastAsia" w:ascii="仿宋_GB2312" w:hAnsi="仿宋_GB2312" w:eastAsia="仿宋_GB2312" w:cs="仿宋_GB2312"/>
          <w:b w:val="0"/>
          <w:bCs/>
          <w:lang w:val="en-US" w:eastAsia="zh-CN"/>
        </w:rPr>
        <w:t>10</w:t>
      </w:r>
      <w:r>
        <w:rPr>
          <w:rFonts w:hint="eastAsia" w:ascii="仿宋_GB2312" w:hAnsi="仿宋_GB2312" w:eastAsia="仿宋_GB2312" w:cs="仿宋_GB2312"/>
          <w:b w:val="0"/>
          <w:bCs/>
        </w:rPr>
        <w:t>：报价一览表</w:t>
      </w:r>
      <w:bookmarkEnd w:id="267"/>
      <w:bookmarkEnd w:id="268"/>
      <w:bookmarkEnd w:id="269"/>
      <w:bookmarkEnd w:id="270"/>
      <w:bookmarkEnd w:id="271"/>
    </w:p>
    <w:p w14:paraId="3ABE8D5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投标报价一览表</w:t>
      </w:r>
    </w:p>
    <w:p w14:paraId="3E48CC8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投标单位名称：</w:t>
      </w:r>
    </w:p>
    <w:p w14:paraId="336E310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单位：人民币(元)</w:t>
      </w:r>
    </w:p>
    <w:tbl>
      <w:tblPr>
        <w:tblStyle w:val="15"/>
        <w:tblpPr w:leftFromText="180" w:rightFromText="180" w:vertAnchor="text" w:horzAnchor="margin" w:tblpY="1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827"/>
        <w:gridCol w:w="1560"/>
        <w:gridCol w:w="1560"/>
      </w:tblGrid>
      <w:tr w14:paraId="6E19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2092" w:type="dxa"/>
            <w:noWrap w:val="0"/>
            <w:vAlign w:val="center"/>
          </w:tcPr>
          <w:p w14:paraId="0FAFC0D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p w14:paraId="33BC729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（所投包号）</w:t>
            </w:r>
          </w:p>
        </w:tc>
        <w:tc>
          <w:tcPr>
            <w:tcW w:w="3827" w:type="dxa"/>
            <w:noWrap w:val="0"/>
            <w:vAlign w:val="center"/>
          </w:tcPr>
          <w:p w14:paraId="2FF6E63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投标总报价</w:t>
            </w:r>
          </w:p>
        </w:tc>
        <w:tc>
          <w:tcPr>
            <w:tcW w:w="1560" w:type="dxa"/>
            <w:noWrap w:val="0"/>
            <w:vAlign w:val="center"/>
          </w:tcPr>
          <w:p w14:paraId="006974D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 货 期</w:t>
            </w:r>
          </w:p>
        </w:tc>
        <w:tc>
          <w:tcPr>
            <w:tcW w:w="1560" w:type="dxa"/>
            <w:noWrap w:val="0"/>
            <w:vAlign w:val="center"/>
          </w:tcPr>
          <w:p w14:paraId="04FF1D3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425F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092" w:type="dxa"/>
            <w:vMerge w:val="restart"/>
            <w:noWrap w:val="0"/>
            <w:vAlign w:val="center"/>
          </w:tcPr>
          <w:p w14:paraId="2C3CFCF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827" w:type="dxa"/>
            <w:noWrap w:val="0"/>
            <w:vAlign w:val="top"/>
          </w:tcPr>
          <w:p w14:paraId="26BFAE0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大写：</w:t>
            </w:r>
          </w:p>
        </w:tc>
        <w:tc>
          <w:tcPr>
            <w:tcW w:w="1560" w:type="dxa"/>
            <w:vMerge w:val="restart"/>
            <w:noWrap w:val="0"/>
            <w:vAlign w:val="top"/>
          </w:tcPr>
          <w:p w14:paraId="22528CC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560" w:type="dxa"/>
            <w:vMerge w:val="restart"/>
            <w:noWrap w:val="0"/>
            <w:vAlign w:val="top"/>
          </w:tcPr>
          <w:p w14:paraId="6664E2F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2D4A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092" w:type="dxa"/>
            <w:vMerge w:val="continue"/>
            <w:noWrap w:val="0"/>
            <w:vAlign w:val="center"/>
          </w:tcPr>
          <w:p w14:paraId="5B1F493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3827" w:type="dxa"/>
            <w:noWrap w:val="0"/>
            <w:vAlign w:val="top"/>
          </w:tcPr>
          <w:p w14:paraId="0E41C61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小写：</w:t>
            </w:r>
          </w:p>
        </w:tc>
        <w:tc>
          <w:tcPr>
            <w:tcW w:w="1560" w:type="dxa"/>
            <w:vMerge w:val="continue"/>
            <w:noWrap w:val="0"/>
            <w:vAlign w:val="top"/>
          </w:tcPr>
          <w:p w14:paraId="6AD6BBC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560" w:type="dxa"/>
            <w:vMerge w:val="continue"/>
            <w:noWrap w:val="0"/>
            <w:vAlign w:val="top"/>
          </w:tcPr>
          <w:p w14:paraId="3837F1C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34AC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trPr>
        <w:tc>
          <w:tcPr>
            <w:tcW w:w="9039" w:type="dxa"/>
            <w:gridSpan w:val="4"/>
            <w:noWrap w:val="0"/>
            <w:vAlign w:val="center"/>
          </w:tcPr>
          <w:p w14:paraId="7E6A0A5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其他承诺及需要说明的事项：</w:t>
            </w:r>
          </w:p>
        </w:tc>
      </w:tr>
    </w:tbl>
    <w:p w14:paraId="622595B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注：1.填写此表时不得改变表格形式。</w:t>
      </w:r>
    </w:p>
    <w:p w14:paraId="1B89D3D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2.投标总报价包括产品费、检验费、手续费、包装费、运输费、保险费、安装调试费、税金及不可预见费等全部费用。</w:t>
      </w:r>
    </w:p>
    <w:p w14:paraId="2DBB189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3.“交货期”是指产品能够交付使用的具体时间。</w:t>
      </w:r>
    </w:p>
    <w:p w14:paraId="01C2390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.投标总报价不能有两个或两个以上的报价方案，否则，投标无效。</w:t>
      </w:r>
    </w:p>
    <w:p w14:paraId="3C50BFE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1C6E879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6AD1CA5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1ED0E0E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052A5EC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045C331A">
      <w:pPr>
        <w:ind w:firstLine="0" w:firstLineChars="0"/>
        <w:rPr>
          <w:rFonts w:hint="eastAsia" w:ascii="仿宋_GB2312" w:hAnsi="仿宋_GB2312" w:eastAsia="仿宋_GB2312" w:cs="仿宋_GB2312"/>
          <w:sz w:val="28"/>
          <w:szCs w:val="28"/>
        </w:rPr>
      </w:pPr>
    </w:p>
    <w:p w14:paraId="012FB397">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bookmarkStart w:id="272" w:name="_Toc130971891"/>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081B5160">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4D507C58">
      <w:pPr>
        <w:pageBreakBefore w:val="0"/>
        <w:widowControl w:val="0"/>
        <w:kinsoku/>
        <w:wordWrap/>
        <w:overflowPunct/>
        <w:topLinePunct w:val="0"/>
        <w:autoSpaceDE/>
        <w:autoSpaceDN/>
        <w:bidi w:val="0"/>
        <w:adjustRightInd/>
        <w:snapToGrid/>
        <w:spacing w:line="360" w:lineRule="atLeast"/>
        <w:jc w:val="right"/>
        <w:textAlignment w:val="auto"/>
        <w:rPr>
          <w:rFonts w:hint="eastAsia"/>
        </w:rPr>
      </w:pPr>
      <w:r>
        <w:rPr>
          <w:rFonts w:hint="eastAsia" w:ascii="仿宋_GB2312" w:hAnsi="仿宋_GB2312" w:eastAsia="仿宋_GB2312" w:cs="仿宋_GB2312"/>
          <w:sz w:val="28"/>
          <w:szCs w:val="28"/>
        </w:rPr>
        <w:t>年  月  日</w:t>
      </w:r>
    </w:p>
    <w:p w14:paraId="0835EEE8">
      <w:pPr>
        <w:pStyle w:val="3"/>
        <w:bidi w:val="0"/>
        <w:ind w:left="0" w:leftChars="0" w:firstLine="0" w:firstLineChars="0"/>
        <w:rPr>
          <w:rFonts w:hint="eastAsia"/>
        </w:rPr>
      </w:pPr>
    </w:p>
    <w:p w14:paraId="32259ED3">
      <w:pPr>
        <w:rPr>
          <w:rFonts w:hint="eastAsia"/>
        </w:rPr>
      </w:pPr>
    </w:p>
    <w:p w14:paraId="34EECB28">
      <w:pPr>
        <w:rPr>
          <w:rFonts w:hint="eastAsia"/>
        </w:rPr>
      </w:pPr>
    </w:p>
    <w:p w14:paraId="6BDB95C9">
      <w:pPr>
        <w:rPr>
          <w:rFonts w:hint="eastAsia"/>
        </w:rPr>
      </w:pPr>
    </w:p>
    <w:p w14:paraId="7D13884E">
      <w:pPr>
        <w:rPr>
          <w:rFonts w:hint="eastAsia"/>
        </w:rPr>
      </w:pPr>
    </w:p>
    <w:p w14:paraId="7D264158">
      <w:pPr>
        <w:pStyle w:val="3"/>
        <w:bidi w:val="0"/>
        <w:ind w:left="0" w:leftChars="0" w:firstLine="0" w:firstLineChars="0"/>
        <w:rPr>
          <w:rFonts w:hint="eastAsia" w:ascii="仿宋_GB2312" w:hAnsi="仿宋_GB2312" w:eastAsia="仿宋_GB2312" w:cs="仿宋_GB2312"/>
          <w:b w:val="0"/>
          <w:bCs/>
        </w:rPr>
      </w:pPr>
      <w:bookmarkStart w:id="273" w:name="_Toc18852"/>
      <w:bookmarkStart w:id="274" w:name="_Toc101"/>
      <w:r>
        <w:rPr>
          <w:rFonts w:hint="eastAsia" w:ascii="仿宋_GB2312" w:hAnsi="仿宋_GB2312" w:eastAsia="仿宋_GB2312" w:cs="仿宋_GB2312"/>
          <w:b w:val="0"/>
          <w:bCs/>
        </w:rPr>
        <w:t>附件</w:t>
      </w:r>
      <w:bookmarkStart w:id="275" w:name="_Toc325726039"/>
      <w:bookmarkStart w:id="276" w:name="_Toc376936770"/>
      <w:r>
        <w:rPr>
          <w:rFonts w:hint="eastAsia" w:ascii="仿宋_GB2312" w:hAnsi="仿宋_GB2312" w:eastAsia="仿宋_GB2312" w:cs="仿宋_GB2312"/>
          <w:b w:val="0"/>
          <w:bCs/>
        </w:rPr>
        <w:t>1</w:t>
      </w:r>
      <w:r>
        <w:rPr>
          <w:rFonts w:hint="eastAsia" w:ascii="仿宋_GB2312" w:hAnsi="仿宋_GB2312" w:eastAsia="仿宋_GB2312" w:cs="仿宋_GB2312"/>
          <w:b w:val="0"/>
          <w:bCs/>
          <w:lang w:val="en-US" w:eastAsia="zh-CN"/>
        </w:rPr>
        <w:t>1</w:t>
      </w:r>
      <w:r>
        <w:rPr>
          <w:rFonts w:hint="eastAsia" w:ascii="仿宋_GB2312" w:hAnsi="仿宋_GB2312" w:eastAsia="仿宋_GB2312" w:cs="仿宋_GB2312"/>
          <w:b w:val="0"/>
          <w:bCs/>
        </w:rPr>
        <w:t>：分项报价表</w:t>
      </w:r>
      <w:bookmarkEnd w:id="272"/>
      <w:bookmarkEnd w:id="273"/>
      <w:bookmarkEnd w:id="274"/>
      <w:bookmarkEnd w:id="275"/>
      <w:bookmarkEnd w:id="276"/>
    </w:p>
    <w:p w14:paraId="3F4AE51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分项报价表</w:t>
      </w:r>
    </w:p>
    <w:p w14:paraId="0A17A942">
      <w:pPr>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投标单位名称:</w:t>
      </w:r>
    </w:p>
    <w:p w14:paraId="636AAEE8">
      <w:pPr>
        <w:keepNext w:val="0"/>
        <w:keepLines w:val="0"/>
        <w:pageBreakBefore w:val="0"/>
        <w:widowControl w:val="0"/>
        <w:kinsoku/>
        <w:wordWrap/>
        <w:overflowPunct/>
        <w:topLinePunct w:val="0"/>
        <w:autoSpaceDE/>
        <w:autoSpaceDN/>
        <w:bidi w:val="0"/>
        <w:adjustRightInd/>
        <w:snapToGrid/>
        <w:spacing w:line="360" w:lineRule="exact"/>
        <w:ind w:firstLine="6440" w:firstLineChars="2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单位：人民币（元）</w:t>
      </w:r>
    </w:p>
    <w:tbl>
      <w:tblPr>
        <w:tblStyle w:val="15"/>
        <w:tblW w:w="891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58"/>
        <w:gridCol w:w="1497"/>
        <w:gridCol w:w="1134"/>
        <w:gridCol w:w="910"/>
        <w:gridCol w:w="1356"/>
        <w:gridCol w:w="953"/>
        <w:gridCol w:w="710"/>
        <w:gridCol w:w="851"/>
        <w:gridCol w:w="850"/>
      </w:tblGrid>
      <w:tr w14:paraId="30603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36E265F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497" w:type="dxa"/>
            <w:noWrap w:val="0"/>
            <w:vAlign w:val="center"/>
          </w:tcPr>
          <w:p w14:paraId="29BD5F4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产品名称</w:t>
            </w:r>
          </w:p>
        </w:tc>
        <w:tc>
          <w:tcPr>
            <w:tcW w:w="1134" w:type="dxa"/>
            <w:noWrap w:val="0"/>
            <w:vAlign w:val="center"/>
          </w:tcPr>
          <w:p w14:paraId="054213E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910" w:type="dxa"/>
            <w:noWrap w:val="0"/>
            <w:vAlign w:val="center"/>
          </w:tcPr>
          <w:p w14:paraId="63303B5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规格或型号</w:t>
            </w:r>
          </w:p>
        </w:tc>
        <w:tc>
          <w:tcPr>
            <w:tcW w:w="1356" w:type="dxa"/>
            <w:noWrap w:val="0"/>
            <w:vAlign w:val="center"/>
          </w:tcPr>
          <w:p w14:paraId="69BEBA7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生产厂家（软件开发、服务商）</w:t>
            </w:r>
          </w:p>
        </w:tc>
        <w:tc>
          <w:tcPr>
            <w:tcW w:w="953" w:type="dxa"/>
            <w:noWrap w:val="0"/>
            <w:vAlign w:val="center"/>
          </w:tcPr>
          <w:p w14:paraId="5E3FA96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数量及单位</w:t>
            </w:r>
          </w:p>
        </w:tc>
        <w:tc>
          <w:tcPr>
            <w:tcW w:w="710" w:type="dxa"/>
            <w:noWrap w:val="0"/>
            <w:vAlign w:val="center"/>
          </w:tcPr>
          <w:p w14:paraId="2E69DEC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w:t>
            </w:r>
          </w:p>
        </w:tc>
        <w:tc>
          <w:tcPr>
            <w:tcW w:w="851" w:type="dxa"/>
            <w:noWrap w:val="0"/>
            <w:vAlign w:val="center"/>
          </w:tcPr>
          <w:p w14:paraId="7BB41BD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c>
          <w:tcPr>
            <w:tcW w:w="850" w:type="dxa"/>
            <w:noWrap w:val="0"/>
            <w:vAlign w:val="center"/>
          </w:tcPr>
          <w:p w14:paraId="20CF2BB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019AE2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4B76CC74">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497" w:type="dxa"/>
            <w:noWrap w:val="0"/>
            <w:vAlign w:val="center"/>
          </w:tcPr>
          <w:p w14:paraId="37BA1B63">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134" w:type="dxa"/>
            <w:noWrap w:val="0"/>
            <w:vAlign w:val="center"/>
          </w:tcPr>
          <w:p w14:paraId="0DC15D2A">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4435F881">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72CBC17C">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4E8CEEEC">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557A9681">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6B640B28">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60C558C0">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r>
      <w:tr w14:paraId="45711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57C6CF19">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97" w:type="dxa"/>
            <w:noWrap w:val="0"/>
            <w:vAlign w:val="center"/>
          </w:tcPr>
          <w:p w14:paraId="7F41B5AD">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134" w:type="dxa"/>
            <w:noWrap w:val="0"/>
            <w:vAlign w:val="center"/>
          </w:tcPr>
          <w:p w14:paraId="0334949D">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39346E04">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77C48CD8">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06921A1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1B3B43F4">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6C3F38F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5C5ED34C">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r>
      <w:tr w14:paraId="08CABD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34C3450A">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497" w:type="dxa"/>
            <w:noWrap w:val="0"/>
            <w:vAlign w:val="center"/>
          </w:tcPr>
          <w:p w14:paraId="46E8730F">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134" w:type="dxa"/>
            <w:noWrap w:val="0"/>
            <w:vAlign w:val="center"/>
          </w:tcPr>
          <w:p w14:paraId="4FD060D2">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342E979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1369D2F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3A70826D">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26BF1BC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1ADBAE0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3D35ED46">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r>
      <w:tr w14:paraId="1110D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1AAC1154">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497" w:type="dxa"/>
            <w:noWrap w:val="0"/>
            <w:vAlign w:val="center"/>
          </w:tcPr>
          <w:p w14:paraId="65D076A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134" w:type="dxa"/>
            <w:noWrap w:val="0"/>
            <w:vAlign w:val="center"/>
          </w:tcPr>
          <w:p w14:paraId="05531FD1">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3D32E500">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0715CD19">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0A9A3186">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585DAE47">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32823BD0">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70CCCECA">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r>
      <w:tr w14:paraId="7A7F01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658" w:type="dxa"/>
            <w:noWrap w:val="0"/>
            <w:vAlign w:val="center"/>
          </w:tcPr>
          <w:p w14:paraId="3E58CFF2">
            <w:pPr>
              <w:keepNext w:val="0"/>
              <w:keepLines w:val="0"/>
              <w:pageBreakBefore w:val="0"/>
              <w:widowControl w:val="0"/>
              <w:kinsoku/>
              <w:wordWrap/>
              <w:overflowPunct/>
              <w:topLinePunct w:val="0"/>
              <w:autoSpaceDE/>
              <w:autoSpaceDN/>
              <w:bidi w:val="0"/>
              <w:adjustRightInd/>
              <w:snapToGrid/>
              <w:spacing w:line="360" w:lineRule="atLeas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497" w:type="dxa"/>
            <w:noWrap w:val="0"/>
            <w:vAlign w:val="center"/>
          </w:tcPr>
          <w:p w14:paraId="249453F6">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134" w:type="dxa"/>
            <w:noWrap w:val="0"/>
            <w:vAlign w:val="center"/>
          </w:tcPr>
          <w:p w14:paraId="5FA1B3E2">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10" w:type="dxa"/>
            <w:noWrap w:val="0"/>
            <w:vAlign w:val="center"/>
          </w:tcPr>
          <w:p w14:paraId="1BCF8331">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1356" w:type="dxa"/>
            <w:noWrap w:val="0"/>
            <w:vAlign w:val="center"/>
          </w:tcPr>
          <w:p w14:paraId="280B19D6">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953" w:type="dxa"/>
            <w:noWrap w:val="0"/>
            <w:vAlign w:val="center"/>
          </w:tcPr>
          <w:p w14:paraId="08AB3F07">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710" w:type="dxa"/>
            <w:noWrap w:val="0"/>
            <w:vAlign w:val="center"/>
          </w:tcPr>
          <w:p w14:paraId="5360CE6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1" w:type="dxa"/>
            <w:noWrap w:val="0"/>
            <w:vAlign w:val="center"/>
          </w:tcPr>
          <w:p w14:paraId="360C2AA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c>
          <w:tcPr>
            <w:tcW w:w="850" w:type="dxa"/>
            <w:noWrap w:val="0"/>
            <w:vAlign w:val="center"/>
          </w:tcPr>
          <w:p w14:paraId="66C389B4">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p>
        </w:tc>
      </w:tr>
      <w:tr w14:paraId="6F205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67" w:hRule="atLeast"/>
        </w:trPr>
        <w:tc>
          <w:tcPr>
            <w:tcW w:w="8919" w:type="dxa"/>
            <w:gridSpan w:val="9"/>
            <w:noWrap w:val="0"/>
            <w:vAlign w:val="center"/>
          </w:tcPr>
          <w:p w14:paraId="05006EDD">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其他承诺及需要说明的事项：</w:t>
            </w:r>
          </w:p>
        </w:tc>
      </w:tr>
      <w:tr w14:paraId="4ABB9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atLeast"/>
        </w:trPr>
        <w:tc>
          <w:tcPr>
            <w:tcW w:w="2155" w:type="dxa"/>
            <w:gridSpan w:val="2"/>
            <w:noWrap w:val="0"/>
            <w:vAlign w:val="center"/>
          </w:tcPr>
          <w:p w14:paraId="70F85BFA">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投标总价</w:t>
            </w:r>
          </w:p>
        </w:tc>
        <w:tc>
          <w:tcPr>
            <w:tcW w:w="6764" w:type="dxa"/>
            <w:gridSpan w:val="7"/>
            <w:noWrap w:val="0"/>
            <w:vAlign w:val="center"/>
          </w:tcPr>
          <w:p w14:paraId="0D3D5F8E">
            <w:pPr>
              <w:keepNext w:val="0"/>
              <w:keepLines w:val="0"/>
              <w:pageBreakBefore w:val="0"/>
              <w:widowControl w:val="0"/>
              <w:kinsoku/>
              <w:wordWrap/>
              <w:overflowPunct/>
              <w:topLinePunct w:val="0"/>
              <w:autoSpaceDE/>
              <w:autoSpaceDN/>
              <w:bidi w:val="0"/>
              <w:adjustRightInd/>
              <w:snapToGrid/>
              <w:spacing w:line="360" w:lineRule="atLeas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大写：                      小写：</w:t>
            </w:r>
          </w:p>
        </w:tc>
      </w:tr>
    </w:tbl>
    <w:p w14:paraId="16212E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注：</w:t>
      </w: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b w:val="0"/>
          <w:bCs w:val="0"/>
          <w:sz w:val="28"/>
          <w:szCs w:val="28"/>
        </w:rPr>
        <w:t>本表应依照采购一览表中的产品序号按顺序逐项填写，不得遗漏，否则，按无效投标处理。</w:t>
      </w:r>
    </w:p>
    <w:p w14:paraId="3FA77FF0">
      <w:pPr>
        <w:keepNext w:val="0"/>
        <w:keepLines w:val="0"/>
        <w:pageBreakBefore w:val="0"/>
        <w:widowControl w:val="0"/>
        <w:kinsoku/>
        <w:wordWrap/>
        <w:overflowPunct/>
        <w:topLinePunct w:val="0"/>
        <w:autoSpaceDE/>
        <w:autoSpaceDN/>
        <w:bidi w:val="0"/>
        <w:adjustRightInd/>
        <w:snapToGrid/>
        <w:spacing w:line="360" w:lineRule="exact"/>
        <w:ind w:firstLine="971" w:firstLineChars="347"/>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2.采购一览表“标的名称”中如标注“定制”、“配套服务”、“辅材”无需填写品牌、规格或型号。</w:t>
      </w:r>
    </w:p>
    <w:p w14:paraId="0ED82829">
      <w:pPr>
        <w:pageBreakBefore w:val="0"/>
        <w:widowControl w:val="0"/>
        <w:kinsoku/>
        <w:wordWrap/>
        <w:overflowPunct/>
        <w:topLinePunct w:val="0"/>
        <w:autoSpaceDE/>
        <w:autoSpaceDN/>
        <w:bidi w:val="0"/>
        <w:adjustRightInd/>
        <w:snapToGrid/>
        <w:spacing w:line="360" w:lineRule="atLeast"/>
        <w:textAlignment w:val="auto"/>
        <w:rPr>
          <w:rFonts w:hint="eastAsia" w:ascii="仿宋_GB2312" w:hAnsi="仿宋_GB2312" w:eastAsia="仿宋_GB2312" w:cs="仿宋_GB2312"/>
          <w:sz w:val="28"/>
          <w:szCs w:val="28"/>
        </w:rPr>
      </w:pPr>
      <w:bookmarkStart w:id="379" w:name="_GoBack"/>
      <w:bookmarkEnd w:id="379"/>
    </w:p>
    <w:p w14:paraId="1F9221A6">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7ABEE90B">
      <w:pPr>
        <w:pageBreakBefore w:val="0"/>
        <w:widowControl w:val="0"/>
        <w:kinsoku/>
        <w:wordWrap/>
        <w:overflowPunct/>
        <w:topLinePunct w:val="0"/>
        <w:autoSpaceDE/>
        <w:autoSpaceDN/>
        <w:bidi w:val="0"/>
        <w:adjustRightInd/>
        <w:snapToGrid/>
        <w:spacing w:line="360" w:lineRule="atLeast"/>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0AF1E955">
      <w:pPr>
        <w:pageBreakBefore w:val="0"/>
        <w:widowControl w:val="0"/>
        <w:kinsoku/>
        <w:wordWrap/>
        <w:overflowPunct/>
        <w:topLinePunct w:val="0"/>
        <w:autoSpaceDE/>
        <w:autoSpaceDN/>
        <w:bidi w:val="0"/>
        <w:adjustRightInd/>
        <w:snapToGrid/>
        <w:spacing w:line="360" w:lineRule="atLeast"/>
        <w:jc w:val="right"/>
        <w:textAlignment w:val="auto"/>
        <w:rPr>
          <w:rFonts w:hint="eastAsia"/>
        </w:rPr>
      </w:pPr>
      <w:r>
        <w:rPr>
          <w:rFonts w:hint="eastAsia" w:ascii="仿宋_GB2312" w:hAnsi="仿宋_GB2312" w:eastAsia="仿宋_GB2312" w:cs="仿宋_GB2312"/>
          <w:sz w:val="28"/>
          <w:szCs w:val="28"/>
        </w:rPr>
        <w:t>年  月  日</w:t>
      </w:r>
      <w:bookmarkStart w:id="277" w:name="_Toc130971892"/>
    </w:p>
    <w:p w14:paraId="7DB360D7">
      <w:pPr>
        <w:pStyle w:val="3"/>
        <w:bidi w:val="0"/>
        <w:ind w:left="0" w:leftChars="0" w:firstLine="0" w:firstLineChars="0"/>
        <w:rPr>
          <w:rFonts w:hint="eastAsia" w:ascii="仿宋_GB2312" w:hAnsi="仿宋_GB2312" w:eastAsia="仿宋_GB2312" w:cs="仿宋_GB2312"/>
          <w:b w:val="0"/>
          <w:bCs/>
        </w:rPr>
      </w:pPr>
      <w:bookmarkStart w:id="278" w:name="_Toc110"/>
      <w:bookmarkStart w:id="279" w:name="_Toc18299"/>
      <w:r>
        <w:rPr>
          <w:rFonts w:hint="eastAsia" w:ascii="仿宋_GB2312" w:hAnsi="仿宋_GB2312" w:eastAsia="仿宋_GB2312" w:cs="仿宋_GB2312"/>
          <w:b w:val="0"/>
          <w:bCs/>
        </w:rPr>
        <w:t>附件</w:t>
      </w:r>
      <w:bookmarkStart w:id="280" w:name="_Toc376936771"/>
      <w:bookmarkStart w:id="281" w:name="_Toc325726040"/>
      <w:r>
        <w:rPr>
          <w:rFonts w:hint="eastAsia" w:ascii="仿宋_GB2312" w:hAnsi="仿宋_GB2312" w:eastAsia="仿宋_GB2312" w:cs="仿宋_GB2312"/>
          <w:b w:val="0"/>
          <w:bCs/>
        </w:rPr>
        <w:t>1</w:t>
      </w:r>
      <w:r>
        <w:rPr>
          <w:rFonts w:hint="eastAsia" w:ascii="仿宋_GB2312" w:hAnsi="仿宋_GB2312" w:eastAsia="仿宋_GB2312" w:cs="仿宋_GB2312"/>
          <w:b w:val="0"/>
          <w:bCs/>
          <w:lang w:val="en-US" w:eastAsia="zh-CN"/>
        </w:rPr>
        <w:t>2</w:t>
      </w:r>
      <w:r>
        <w:rPr>
          <w:rFonts w:hint="eastAsia" w:ascii="仿宋_GB2312" w:hAnsi="仿宋_GB2312" w:eastAsia="仿宋_GB2312" w:cs="仿宋_GB2312"/>
          <w:b w:val="0"/>
          <w:bCs/>
        </w:rPr>
        <w:t>：技术规格响应表</w:t>
      </w:r>
      <w:bookmarkEnd w:id="277"/>
      <w:bookmarkEnd w:id="278"/>
      <w:bookmarkEnd w:id="279"/>
      <w:bookmarkEnd w:id="280"/>
      <w:bookmarkEnd w:id="281"/>
    </w:p>
    <w:p w14:paraId="32BA79CB">
      <w:pPr>
        <w:bidi w:val="0"/>
        <w:ind w:left="0" w:leftChars="0" w:firstLine="0" w:firstLineChars="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技术规格响应表</w:t>
      </w:r>
    </w:p>
    <w:p w14:paraId="106711F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245C712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投标单位名称:</w:t>
      </w:r>
    </w:p>
    <w:tbl>
      <w:tblPr>
        <w:tblStyle w:val="15"/>
        <w:tblW w:w="968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57"/>
        <w:gridCol w:w="666"/>
        <w:gridCol w:w="2884"/>
        <w:gridCol w:w="617"/>
        <w:gridCol w:w="1499"/>
        <w:gridCol w:w="2795"/>
        <w:gridCol w:w="767"/>
      </w:tblGrid>
      <w:tr w14:paraId="6AEAB7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top"/>
          </w:tcPr>
          <w:p w14:paraId="3334A69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c>
          <w:tcPr>
            <w:tcW w:w="3550" w:type="dxa"/>
            <w:gridSpan w:val="2"/>
            <w:noWrap w:val="0"/>
            <w:vAlign w:val="top"/>
          </w:tcPr>
          <w:p w14:paraId="1003D4D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采购需求技术参数、指标</w:t>
            </w:r>
          </w:p>
        </w:tc>
        <w:tc>
          <w:tcPr>
            <w:tcW w:w="4911" w:type="dxa"/>
            <w:gridSpan w:val="3"/>
            <w:noWrap w:val="0"/>
            <w:vAlign w:val="top"/>
          </w:tcPr>
          <w:p w14:paraId="7A8F22BD">
            <w:pPr>
              <w:keepNext w:val="0"/>
              <w:keepLines w:val="0"/>
              <w:pageBreakBefore w:val="0"/>
              <w:widowControl w:val="0"/>
              <w:kinsoku/>
              <w:wordWrap/>
              <w:overflowPunct/>
              <w:topLinePunct w:val="0"/>
              <w:autoSpaceDE/>
              <w:autoSpaceDN/>
              <w:bidi w:val="0"/>
              <w:adjustRightInd/>
              <w:snapToGrid/>
              <w:spacing w:line="360" w:lineRule="exact"/>
              <w:ind w:firstLine="1120" w:firstLineChars="4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投标产品技术参数、指标</w:t>
            </w:r>
          </w:p>
        </w:tc>
        <w:tc>
          <w:tcPr>
            <w:tcW w:w="767" w:type="dxa"/>
            <w:noWrap w:val="0"/>
            <w:vAlign w:val="center"/>
          </w:tcPr>
          <w:p w14:paraId="6086A80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偏离</w:t>
            </w:r>
          </w:p>
        </w:tc>
      </w:tr>
      <w:tr w14:paraId="4406A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top"/>
          </w:tcPr>
          <w:p w14:paraId="7250A72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666" w:type="dxa"/>
            <w:noWrap w:val="0"/>
            <w:vAlign w:val="center"/>
          </w:tcPr>
          <w:p w14:paraId="2735F9E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2884" w:type="dxa"/>
            <w:noWrap w:val="0"/>
            <w:vAlign w:val="center"/>
          </w:tcPr>
          <w:p w14:paraId="363FB38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技术参数、指标及配置</w:t>
            </w:r>
          </w:p>
        </w:tc>
        <w:tc>
          <w:tcPr>
            <w:tcW w:w="617" w:type="dxa"/>
            <w:noWrap w:val="0"/>
            <w:vAlign w:val="center"/>
          </w:tcPr>
          <w:p w14:paraId="3764E55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499" w:type="dxa"/>
            <w:noWrap w:val="0"/>
            <w:vAlign w:val="center"/>
          </w:tcPr>
          <w:p w14:paraId="4162AF6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规格或型号</w:t>
            </w:r>
          </w:p>
        </w:tc>
        <w:tc>
          <w:tcPr>
            <w:tcW w:w="2795" w:type="dxa"/>
            <w:noWrap w:val="0"/>
            <w:vAlign w:val="center"/>
          </w:tcPr>
          <w:p w14:paraId="2731E65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技术参数、指标及配置</w:t>
            </w:r>
          </w:p>
        </w:tc>
        <w:tc>
          <w:tcPr>
            <w:tcW w:w="767" w:type="dxa"/>
            <w:noWrap w:val="0"/>
            <w:vAlign w:val="top"/>
          </w:tcPr>
          <w:p w14:paraId="675F5B7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05D19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center"/>
          </w:tcPr>
          <w:p w14:paraId="5C462BB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66" w:type="dxa"/>
            <w:noWrap w:val="0"/>
            <w:vAlign w:val="top"/>
          </w:tcPr>
          <w:p w14:paraId="6C99BCB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884" w:type="dxa"/>
            <w:noWrap w:val="0"/>
            <w:vAlign w:val="top"/>
          </w:tcPr>
          <w:p w14:paraId="6A6A9FF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617" w:type="dxa"/>
            <w:noWrap w:val="0"/>
            <w:vAlign w:val="top"/>
          </w:tcPr>
          <w:p w14:paraId="03E27CF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99" w:type="dxa"/>
            <w:noWrap w:val="0"/>
            <w:vAlign w:val="top"/>
          </w:tcPr>
          <w:p w14:paraId="3C3B2350">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795" w:type="dxa"/>
            <w:noWrap w:val="0"/>
            <w:vAlign w:val="top"/>
          </w:tcPr>
          <w:p w14:paraId="6851FE3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67" w:type="dxa"/>
            <w:noWrap w:val="0"/>
            <w:vAlign w:val="top"/>
          </w:tcPr>
          <w:p w14:paraId="6EBA7A7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3CB66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center"/>
          </w:tcPr>
          <w:p w14:paraId="0A76D93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666" w:type="dxa"/>
            <w:noWrap w:val="0"/>
            <w:vAlign w:val="top"/>
          </w:tcPr>
          <w:p w14:paraId="6D783AA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884" w:type="dxa"/>
            <w:noWrap w:val="0"/>
            <w:vAlign w:val="top"/>
          </w:tcPr>
          <w:p w14:paraId="2767391B">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617" w:type="dxa"/>
            <w:noWrap w:val="0"/>
            <w:vAlign w:val="top"/>
          </w:tcPr>
          <w:p w14:paraId="5085F70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99" w:type="dxa"/>
            <w:noWrap w:val="0"/>
            <w:vAlign w:val="top"/>
          </w:tcPr>
          <w:p w14:paraId="47E82FA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795" w:type="dxa"/>
            <w:noWrap w:val="0"/>
            <w:vAlign w:val="top"/>
          </w:tcPr>
          <w:p w14:paraId="2CCED20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67" w:type="dxa"/>
            <w:noWrap w:val="0"/>
            <w:vAlign w:val="top"/>
          </w:tcPr>
          <w:p w14:paraId="1BEFDF1F">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6C7C36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center"/>
          </w:tcPr>
          <w:p w14:paraId="71647A8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666" w:type="dxa"/>
            <w:noWrap w:val="0"/>
            <w:vAlign w:val="top"/>
          </w:tcPr>
          <w:p w14:paraId="3810D0ED">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884" w:type="dxa"/>
            <w:noWrap w:val="0"/>
            <w:vAlign w:val="top"/>
          </w:tcPr>
          <w:p w14:paraId="4B802B01">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617" w:type="dxa"/>
            <w:noWrap w:val="0"/>
            <w:vAlign w:val="top"/>
          </w:tcPr>
          <w:p w14:paraId="3A671CA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99" w:type="dxa"/>
            <w:noWrap w:val="0"/>
            <w:vAlign w:val="top"/>
          </w:tcPr>
          <w:p w14:paraId="0DF38E91">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795" w:type="dxa"/>
            <w:noWrap w:val="0"/>
            <w:vAlign w:val="top"/>
          </w:tcPr>
          <w:p w14:paraId="0A71128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67" w:type="dxa"/>
            <w:noWrap w:val="0"/>
            <w:vAlign w:val="top"/>
          </w:tcPr>
          <w:p w14:paraId="100907F9">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03F353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center"/>
          </w:tcPr>
          <w:p w14:paraId="2EC7F79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666" w:type="dxa"/>
            <w:noWrap w:val="0"/>
            <w:vAlign w:val="top"/>
          </w:tcPr>
          <w:p w14:paraId="545A1CE8">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884" w:type="dxa"/>
            <w:noWrap w:val="0"/>
            <w:vAlign w:val="top"/>
          </w:tcPr>
          <w:p w14:paraId="402A9906">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617" w:type="dxa"/>
            <w:noWrap w:val="0"/>
            <w:vAlign w:val="top"/>
          </w:tcPr>
          <w:p w14:paraId="244FFC6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99" w:type="dxa"/>
            <w:noWrap w:val="0"/>
            <w:vAlign w:val="top"/>
          </w:tcPr>
          <w:p w14:paraId="54197F3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795" w:type="dxa"/>
            <w:noWrap w:val="0"/>
            <w:vAlign w:val="top"/>
          </w:tcPr>
          <w:p w14:paraId="38AF7EF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67" w:type="dxa"/>
            <w:noWrap w:val="0"/>
            <w:vAlign w:val="top"/>
          </w:tcPr>
          <w:p w14:paraId="6F80E607">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r w14:paraId="7C799F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457" w:type="dxa"/>
            <w:noWrap w:val="0"/>
            <w:vAlign w:val="center"/>
          </w:tcPr>
          <w:p w14:paraId="4A60925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666" w:type="dxa"/>
            <w:noWrap w:val="0"/>
            <w:vAlign w:val="top"/>
          </w:tcPr>
          <w:p w14:paraId="425C498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884" w:type="dxa"/>
            <w:noWrap w:val="0"/>
            <w:vAlign w:val="top"/>
          </w:tcPr>
          <w:p w14:paraId="2A19319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617" w:type="dxa"/>
            <w:noWrap w:val="0"/>
            <w:vAlign w:val="top"/>
          </w:tcPr>
          <w:p w14:paraId="23C8DDD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1499" w:type="dxa"/>
            <w:noWrap w:val="0"/>
            <w:vAlign w:val="top"/>
          </w:tcPr>
          <w:p w14:paraId="1ACEAB3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2795" w:type="dxa"/>
            <w:noWrap w:val="0"/>
            <w:vAlign w:val="top"/>
          </w:tcPr>
          <w:p w14:paraId="22A54D81">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c>
          <w:tcPr>
            <w:tcW w:w="767" w:type="dxa"/>
            <w:noWrap w:val="0"/>
            <w:vAlign w:val="top"/>
          </w:tcPr>
          <w:p w14:paraId="3B5EB9CC">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tc>
      </w:tr>
    </w:tbl>
    <w:p w14:paraId="521000A3">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注：1.本表应按照采购分项报价表中“产品名称”及采购一览表中产品序号的指标逐项填写，不得遗漏。</w:t>
      </w:r>
    </w:p>
    <w:p w14:paraId="6955B209">
      <w:pPr>
        <w:numPr>
          <w:ilvl w:val="0"/>
          <w:numId w:val="0"/>
        </w:numPr>
        <w:spacing w:line="360" w:lineRule="exact"/>
        <w:ind w:firstLine="560" w:firstLineChars="2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color w:val="auto"/>
          <w:sz w:val="28"/>
          <w:szCs w:val="28"/>
          <w:highlight w:val="none"/>
          <w:lang w:val="zh-CN"/>
        </w:rPr>
        <w:t>填写</w:t>
      </w:r>
      <w:r>
        <w:rPr>
          <w:rFonts w:hint="eastAsia" w:ascii="仿宋_GB2312" w:hAnsi="仿宋_GB2312" w:eastAsia="仿宋_GB2312" w:cs="仿宋_GB2312"/>
          <w:color w:val="auto"/>
          <w:sz w:val="28"/>
          <w:szCs w:val="28"/>
          <w:highlight w:val="none"/>
          <w:lang w:val="en-US" w:eastAsia="zh-CN"/>
        </w:rPr>
        <w:t>本</w:t>
      </w:r>
      <w:r>
        <w:rPr>
          <w:rFonts w:hint="eastAsia" w:ascii="仿宋_GB2312" w:hAnsi="仿宋_GB2312" w:eastAsia="仿宋_GB2312" w:cs="仿宋_GB2312"/>
          <w:color w:val="auto"/>
          <w:sz w:val="28"/>
          <w:szCs w:val="28"/>
          <w:highlight w:val="none"/>
          <w:lang w:val="zh-CN"/>
        </w:rPr>
        <w:t>表时，以</w:t>
      </w:r>
      <w:r>
        <w:rPr>
          <w:rFonts w:hint="eastAsia" w:ascii="仿宋_GB2312" w:hAnsi="仿宋_GB2312" w:eastAsia="仿宋_GB2312" w:cs="仿宋_GB2312"/>
          <w:color w:val="auto"/>
          <w:sz w:val="28"/>
          <w:szCs w:val="28"/>
          <w:highlight w:val="none"/>
          <w:lang w:val="en-US" w:eastAsia="zh-CN"/>
        </w:rPr>
        <w:t>“采购一览表”所列技术参数</w:t>
      </w:r>
      <w:r>
        <w:rPr>
          <w:rFonts w:hint="eastAsia" w:ascii="仿宋_GB2312" w:hAnsi="仿宋_GB2312" w:eastAsia="仿宋_GB2312" w:cs="仿宋_GB2312"/>
          <w:color w:val="auto"/>
          <w:sz w:val="28"/>
          <w:szCs w:val="28"/>
          <w:highlight w:val="none"/>
          <w:lang w:val="zh-CN"/>
        </w:rPr>
        <w:t>为基本投标要求，</w:t>
      </w:r>
      <w:r>
        <w:rPr>
          <w:rFonts w:hint="eastAsia" w:ascii="仿宋_GB2312" w:hAnsi="仿宋_GB2312" w:eastAsia="仿宋_GB2312" w:cs="仿宋_GB2312"/>
          <w:color w:val="auto"/>
          <w:sz w:val="28"/>
          <w:szCs w:val="28"/>
          <w:highlight w:val="none"/>
          <w:lang w:val="en-US" w:eastAsia="zh-CN"/>
        </w:rPr>
        <w:t>供应商进行逐条响应</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若有偏离，需在“偏离情况”栏据实填写，正偏离标注</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负偏离标注</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并</w:t>
      </w:r>
      <w:r>
        <w:rPr>
          <w:rFonts w:hint="eastAsia" w:ascii="仿宋_GB2312" w:hAnsi="仿宋_GB2312" w:eastAsia="仿宋_GB2312" w:cs="仿宋_GB2312"/>
          <w:color w:val="auto"/>
          <w:sz w:val="28"/>
          <w:szCs w:val="28"/>
          <w:highlight w:val="none"/>
          <w:lang w:val="zh-CN"/>
        </w:rPr>
        <w:t>做出详细说明。</w:t>
      </w:r>
    </w:p>
    <w:p w14:paraId="414D198A">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70AAAA0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2D09169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4AE392B7">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20912FF9">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476D07F3">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5C6C2342">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38CBCD9F">
      <w:pPr>
        <w:pageBreakBefore w:val="0"/>
        <w:widowControl/>
        <w:kinsoku/>
        <w:wordWrap/>
        <w:overflowPunct/>
        <w:topLinePunct w:val="0"/>
        <w:autoSpaceDE/>
        <w:autoSpaceDN/>
        <w:bidi w:val="0"/>
        <w:adjustRightInd/>
        <w:snapToGrid w:val="0"/>
        <w:spacing w:line="360" w:lineRule="exact"/>
        <w:ind w:firstLine="0" w:firstLineChars="0"/>
        <w:textAlignment w:val="auto"/>
        <w:outlineLvl w:val="1"/>
        <w:rPr>
          <w:rFonts w:hint="eastAsia" w:ascii="仿宋_GB2312" w:hAnsi="仿宋_GB2312" w:eastAsia="仿宋_GB2312" w:cs="仿宋_GB2312"/>
          <w:b/>
          <w:sz w:val="28"/>
          <w:szCs w:val="28"/>
        </w:rPr>
      </w:pPr>
      <w:bookmarkStart w:id="282" w:name="_Toc130971893"/>
    </w:p>
    <w:p w14:paraId="7E75E7A0">
      <w:pPr>
        <w:pageBreakBefore w:val="0"/>
        <w:widowControl/>
        <w:kinsoku/>
        <w:wordWrap/>
        <w:overflowPunct/>
        <w:topLinePunct w:val="0"/>
        <w:autoSpaceDE/>
        <w:autoSpaceDN/>
        <w:bidi w:val="0"/>
        <w:adjustRightInd/>
        <w:snapToGrid w:val="0"/>
        <w:spacing w:line="360" w:lineRule="exact"/>
        <w:ind w:firstLine="0" w:firstLineChars="0"/>
        <w:textAlignment w:val="auto"/>
        <w:outlineLvl w:val="1"/>
        <w:rPr>
          <w:rFonts w:hint="eastAsia" w:ascii="仿宋_GB2312" w:hAnsi="仿宋_GB2312" w:eastAsia="仿宋_GB2312" w:cs="仿宋_GB2312"/>
          <w:b/>
          <w:sz w:val="28"/>
          <w:szCs w:val="28"/>
        </w:rPr>
      </w:pPr>
    </w:p>
    <w:p w14:paraId="76F769F4">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2A21A71D">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2B7F623C">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3F7010D5">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6C0166BD">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570D5327">
      <w:pPr>
        <w:widowControl/>
        <w:snapToGrid w:val="0"/>
        <w:spacing w:line="360" w:lineRule="auto"/>
        <w:ind w:firstLine="0" w:firstLineChars="0"/>
        <w:outlineLvl w:val="1"/>
        <w:rPr>
          <w:rFonts w:hint="eastAsia" w:ascii="仿宋_GB2312" w:hAnsi="仿宋_GB2312" w:eastAsia="仿宋_GB2312" w:cs="仿宋_GB2312"/>
          <w:b/>
          <w:sz w:val="28"/>
          <w:szCs w:val="28"/>
        </w:rPr>
      </w:pPr>
    </w:p>
    <w:p w14:paraId="425B3BDF">
      <w:pPr>
        <w:pStyle w:val="3"/>
        <w:bidi w:val="0"/>
        <w:ind w:left="0" w:leftChars="0" w:firstLine="0" w:firstLineChars="0"/>
        <w:rPr>
          <w:rFonts w:hint="eastAsia" w:ascii="仿宋_GB2312" w:hAnsi="仿宋_GB2312" w:eastAsia="仿宋_GB2312" w:cs="仿宋_GB2312"/>
          <w:b w:val="0"/>
          <w:bCs/>
        </w:rPr>
      </w:pPr>
      <w:bookmarkStart w:id="283" w:name="_Toc24638"/>
      <w:bookmarkStart w:id="284" w:name="_Toc13692"/>
      <w:r>
        <w:rPr>
          <w:rFonts w:hint="eastAsia" w:ascii="仿宋_GB2312" w:hAnsi="仿宋_GB2312" w:eastAsia="仿宋_GB2312" w:cs="仿宋_GB2312"/>
          <w:b w:val="0"/>
          <w:bCs/>
        </w:rPr>
        <w:t>附件1</w:t>
      </w:r>
      <w:r>
        <w:rPr>
          <w:rFonts w:hint="eastAsia" w:ascii="仿宋_GB2312" w:hAnsi="仿宋_GB2312" w:eastAsia="仿宋_GB2312" w:cs="仿宋_GB2312"/>
          <w:b w:val="0"/>
          <w:bCs/>
          <w:lang w:val="en-US" w:eastAsia="zh-CN"/>
        </w:rPr>
        <w:t>3</w:t>
      </w:r>
      <w:r>
        <w:rPr>
          <w:rFonts w:hint="eastAsia" w:ascii="仿宋_GB2312" w:hAnsi="仿宋_GB2312" w:eastAsia="仿宋_GB2312" w:cs="仿宋_GB2312"/>
          <w:b w:val="0"/>
          <w:bCs/>
        </w:rPr>
        <w:t>：其他资格证明材料</w:t>
      </w:r>
      <w:bookmarkEnd w:id="282"/>
      <w:bookmarkEnd w:id="283"/>
      <w:bookmarkEnd w:id="284"/>
    </w:p>
    <w:p w14:paraId="4063E3E7">
      <w:pPr>
        <w:bidi w:val="0"/>
        <w:ind w:left="0" w:leftChars="0" w:firstLine="0" w:firstLineChars="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其他资格证明材料</w:t>
      </w:r>
    </w:p>
    <w:p w14:paraId="168FD5A5">
      <w:pPr>
        <w:keepNext w:val="0"/>
        <w:keepLines w:val="0"/>
        <w:pageBreakBefore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sz w:val="28"/>
          <w:szCs w:val="28"/>
        </w:rPr>
      </w:pPr>
    </w:p>
    <w:p w14:paraId="4741485B">
      <w:pPr>
        <w:keepNext w:val="0"/>
        <w:keepLines w:val="0"/>
        <w:pageBreakBefore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根据采购项目内容，投标时按招标文件要求提供投标产品的相关认证、合格证等材料，生产厂家的相关资质、相关认证和投标人认为有必要提供的其他资格证明文件等材料。</w:t>
      </w:r>
    </w:p>
    <w:p w14:paraId="368FF711">
      <w:pPr>
        <w:keepNext w:val="0"/>
        <w:keepLines w:val="0"/>
        <w:pageBreakBefore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sz w:val="28"/>
          <w:szCs w:val="28"/>
        </w:rPr>
      </w:pPr>
    </w:p>
    <w:p w14:paraId="65247446">
      <w:pPr>
        <w:pStyle w:val="3"/>
        <w:bidi w:val="0"/>
        <w:ind w:left="0" w:leftChars="0" w:firstLine="0" w:firstLineChars="0"/>
        <w:rPr>
          <w:rFonts w:hint="eastAsia" w:ascii="仿宋_GB2312" w:hAnsi="仿宋_GB2312" w:eastAsia="仿宋_GB2312" w:cs="仿宋_GB2312"/>
          <w:b w:val="0"/>
          <w:bCs/>
        </w:rPr>
      </w:pPr>
      <w:bookmarkStart w:id="285" w:name="_Toc130971894"/>
    </w:p>
    <w:p w14:paraId="12A6F6BF">
      <w:pPr>
        <w:pStyle w:val="3"/>
        <w:bidi w:val="0"/>
        <w:ind w:left="0" w:leftChars="0" w:firstLine="0" w:firstLineChars="0"/>
        <w:rPr>
          <w:rFonts w:hint="eastAsia" w:ascii="仿宋_GB2312" w:hAnsi="仿宋_GB2312" w:eastAsia="仿宋_GB2312" w:cs="仿宋_GB2312"/>
          <w:b w:val="0"/>
          <w:bCs/>
        </w:rPr>
      </w:pPr>
    </w:p>
    <w:p w14:paraId="0174C480">
      <w:pPr>
        <w:pStyle w:val="3"/>
        <w:bidi w:val="0"/>
        <w:ind w:left="0" w:leftChars="0" w:firstLine="0" w:firstLineChars="0"/>
        <w:rPr>
          <w:rFonts w:hint="eastAsia" w:ascii="仿宋_GB2312" w:hAnsi="仿宋_GB2312" w:eastAsia="仿宋_GB2312" w:cs="仿宋_GB2312"/>
          <w:b w:val="0"/>
          <w:bCs/>
        </w:rPr>
      </w:pPr>
    </w:p>
    <w:p w14:paraId="629A522C">
      <w:pPr>
        <w:pStyle w:val="3"/>
        <w:bidi w:val="0"/>
        <w:ind w:left="0" w:leftChars="0" w:firstLine="0" w:firstLineChars="0"/>
        <w:rPr>
          <w:rFonts w:hint="eastAsia" w:ascii="仿宋_GB2312" w:hAnsi="仿宋_GB2312" w:eastAsia="仿宋_GB2312" w:cs="仿宋_GB2312"/>
          <w:b w:val="0"/>
          <w:bCs/>
        </w:rPr>
      </w:pPr>
    </w:p>
    <w:p w14:paraId="37C0C57A">
      <w:pPr>
        <w:pStyle w:val="3"/>
        <w:bidi w:val="0"/>
        <w:ind w:left="0" w:leftChars="0" w:firstLine="0" w:firstLineChars="0"/>
        <w:rPr>
          <w:rFonts w:hint="eastAsia" w:ascii="仿宋_GB2312" w:hAnsi="仿宋_GB2312" w:eastAsia="仿宋_GB2312" w:cs="仿宋_GB2312"/>
          <w:b w:val="0"/>
          <w:bCs/>
        </w:rPr>
      </w:pPr>
    </w:p>
    <w:p w14:paraId="03D0BD3D">
      <w:pPr>
        <w:pStyle w:val="3"/>
        <w:bidi w:val="0"/>
        <w:ind w:left="0" w:leftChars="0" w:firstLine="0" w:firstLineChars="0"/>
        <w:rPr>
          <w:rFonts w:hint="eastAsia" w:ascii="仿宋_GB2312" w:hAnsi="仿宋_GB2312" w:eastAsia="仿宋_GB2312" w:cs="仿宋_GB2312"/>
          <w:b w:val="0"/>
          <w:bCs/>
        </w:rPr>
      </w:pPr>
    </w:p>
    <w:p w14:paraId="33A55FC2">
      <w:pPr>
        <w:pStyle w:val="3"/>
        <w:bidi w:val="0"/>
        <w:ind w:left="0" w:leftChars="0" w:firstLine="0" w:firstLineChars="0"/>
        <w:rPr>
          <w:rFonts w:hint="eastAsia" w:ascii="仿宋_GB2312" w:hAnsi="仿宋_GB2312" w:eastAsia="仿宋_GB2312" w:cs="仿宋_GB2312"/>
          <w:b w:val="0"/>
          <w:bCs/>
        </w:rPr>
      </w:pPr>
    </w:p>
    <w:p w14:paraId="5558773C">
      <w:pPr>
        <w:pStyle w:val="3"/>
        <w:bidi w:val="0"/>
        <w:ind w:left="0" w:leftChars="0" w:firstLine="0" w:firstLineChars="0"/>
        <w:rPr>
          <w:rFonts w:hint="eastAsia" w:ascii="仿宋_GB2312" w:hAnsi="仿宋_GB2312" w:eastAsia="仿宋_GB2312" w:cs="仿宋_GB2312"/>
          <w:b w:val="0"/>
          <w:bCs/>
        </w:rPr>
      </w:pPr>
    </w:p>
    <w:p w14:paraId="1C746233">
      <w:pPr>
        <w:pStyle w:val="3"/>
        <w:bidi w:val="0"/>
        <w:ind w:left="0" w:leftChars="0" w:firstLine="0" w:firstLineChars="0"/>
        <w:rPr>
          <w:rFonts w:hint="eastAsia" w:ascii="仿宋_GB2312" w:hAnsi="仿宋_GB2312" w:eastAsia="仿宋_GB2312" w:cs="仿宋_GB2312"/>
          <w:b w:val="0"/>
          <w:bCs/>
        </w:rPr>
      </w:pPr>
    </w:p>
    <w:p w14:paraId="1334E4BD">
      <w:pPr>
        <w:pStyle w:val="3"/>
        <w:bidi w:val="0"/>
        <w:ind w:left="0" w:leftChars="0" w:firstLine="0" w:firstLineChars="0"/>
        <w:rPr>
          <w:rFonts w:hint="eastAsia" w:ascii="仿宋_GB2312" w:hAnsi="仿宋_GB2312" w:eastAsia="仿宋_GB2312" w:cs="仿宋_GB2312"/>
          <w:b w:val="0"/>
          <w:bCs/>
        </w:rPr>
      </w:pPr>
    </w:p>
    <w:p w14:paraId="6CBD720C">
      <w:pPr>
        <w:bidi w:val="0"/>
        <w:rPr>
          <w:rFonts w:hint="eastAsia"/>
        </w:rPr>
      </w:pPr>
    </w:p>
    <w:p w14:paraId="4B66ACB7">
      <w:pPr>
        <w:bidi w:val="0"/>
        <w:rPr>
          <w:rFonts w:hint="eastAsia"/>
        </w:rPr>
      </w:pPr>
    </w:p>
    <w:p w14:paraId="18DE6AD6">
      <w:pPr>
        <w:bidi w:val="0"/>
        <w:rPr>
          <w:rFonts w:hint="eastAsia"/>
        </w:rPr>
      </w:pPr>
    </w:p>
    <w:p w14:paraId="0EBB6BB3">
      <w:pPr>
        <w:pStyle w:val="3"/>
        <w:bidi w:val="0"/>
        <w:ind w:left="0" w:leftChars="0" w:firstLine="0" w:firstLineChars="0"/>
        <w:rPr>
          <w:rFonts w:hint="eastAsia" w:ascii="仿宋_GB2312" w:hAnsi="仿宋_GB2312" w:eastAsia="仿宋_GB2312" w:cs="仿宋_GB2312"/>
          <w:b w:val="0"/>
          <w:bCs/>
        </w:rPr>
      </w:pPr>
      <w:bookmarkStart w:id="286" w:name="_Toc29745"/>
      <w:bookmarkStart w:id="287" w:name="_Toc28765"/>
      <w:r>
        <w:rPr>
          <w:rFonts w:hint="eastAsia" w:ascii="仿宋_GB2312" w:hAnsi="仿宋_GB2312" w:eastAsia="仿宋_GB2312" w:cs="仿宋_GB2312"/>
          <w:b w:val="0"/>
          <w:bCs/>
        </w:rPr>
        <w:t>附件1</w:t>
      </w:r>
      <w:bookmarkStart w:id="288" w:name="_Toc365019586"/>
      <w:bookmarkStart w:id="289" w:name="_Toc325726045"/>
      <w:bookmarkStart w:id="290" w:name="_Toc376936780"/>
      <w:r>
        <w:rPr>
          <w:rFonts w:hint="eastAsia" w:ascii="仿宋_GB2312" w:hAnsi="仿宋_GB2312" w:eastAsia="仿宋_GB2312" w:cs="仿宋_GB2312"/>
          <w:b w:val="0"/>
          <w:bCs/>
          <w:lang w:val="en-US" w:eastAsia="zh-CN"/>
        </w:rPr>
        <w:t>4</w:t>
      </w:r>
      <w:r>
        <w:rPr>
          <w:rFonts w:hint="eastAsia" w:ascii="仿宋_GB2312" w:hAnsi="仿宋_GB2312" w:eastAsia="仿宋_GB2312" w:cs="仿宋_GB2312"/>
          <w:b w:val="0"/>
          <w:bCs/>
        </w:rPr>
        <w:t>：投标产品相关资料</w:t>
      </w:r>
      <w:bookmarkEnd w:id="285"/>
      <w:bookmarkEnd w:id="286"/>
      <w:bookmarkEnd w:id="287"/>
    </w:p>
    <w:p w14:paraId="06BF66AD">
      <w:pPr>
        <w:bidi w:val="0"/>
        <w:ind w:left="0" w:leftChars="0" w:firstLine="0" w:firstLineChars="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投标产品相关资料</w:t>
      </w:r>
    </w:p>
    <w:p w14:paraId="35EF74DA">
      <w:pPr>
        <w:bidi w:val="0"/>
        <w:rPr>
          <w:rFonts w:hint="eastAsia"/>
        </w:rPr>
      </w:pPr>
    </w:p>
    <w:p w14:paraId="44D5A2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r>
        <w:rPr>
          <w:rFonts w:hint="eastAsia" w:ascii="仿宋_GB2312" w:hAnsi="仿宋_GB2312" w:eastAsia="仿宋_GB2312" w:cs="仿宋_GB2312"/>
          <w:sz w:val="28"/>
          <w:szCs w:val="28"/>
        </w:rPr>
        <w:t>根据采购项目内容，投标时提供国家认可质检机构出具的投标产品的产品检验报告(测试报告)，或提供能够证明技术参数响应的产品彩页（生产</w:t>
      </w:r>
      <w:r>
        <w:rPr>
          <w:rFonts w:hint="eastAsia" w:ascii="仿宋_GB2312" w:hAnsi="仿宋_GB2312" w:eastAsia="仿宋_GB2312" w:cs="仿宋_GB2312"/>
          <w:sz w:val="28"/>
          <w:szCs w:val="28"/>
          <w:lang w:val="zh-CN"/>
        </w:rPr>
        <w:t>厂家公开发布的资料参数</w:t>
      </w:r>
      <w:r>
        <w:rPr>
          <w:rFonts w:hint="eastAsia" w:ascii="仿宋_GB2312" w:hAnsi="仿宋_GB2312" w:eastAsia="仿宋_GB2312" w:cs="仿宋_GB2312"/>
          <w:sz w:val="28"/>
          <w:szCs w:val="28"/>
        </w:rPr>
        <w:t>）等相关资料</w:t>
      </w:r>
      <w:r>
        <w:rPr>
          <w:rFonts w:hint="eastAsia" w:ascii="仿宋_GB2312" w:hAnsi="仿宋_GB2312" w:eastAsia="仿宋_GB2312" w:cs="仿宋_GB2312"/>
          <w:sz w:val="28"/>
          <w:szCs w:val="28"/>
          <w:lang w:eastAsia="zh-CN"/>
        </w:rPr>
        <w:t>；投标产品为定制开发内容或施工内容，需提供技术方案、施工方案等</w:t>
      </w:r>
      <w:r>
        <w:rPr>
          <w:rFonts w:hint="eastAsia" w:ascii="仿宋_GB2312" w:hAnsi="仿宋_GB2312" w:eastAsia="仿宋_GB2312" w:cs="仿宋_GB2312"/>
          <w:sz w:val="28"/>
          <w:szCs w:val="28"/>
          <w:lang w:val="en-US" w:eastAsia="zh-CN"/>
        </w:rPr>
        <w:t>相关资料</w:t>
      </w:r>
      <w:r>
        <w:rPr>
          <w:rFonts w:hint="eastAsia" w:ascii="仿宋_GB2312" w:hAnsi="仿宋_GB2312" w:eastAsia="仿宋_GB2312" w:cs="仿宋_GB2312"/>
          <w:sz w:val="28"/>
          <w:szCs w:val="28"/>
        </w:rPr>
        <w:t>。</w:t>
      </w:r>
    </w:p>
    <w:p w14:paraId="0EE32A13">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bCs/>
          <w:sz w:val="28"/>
          <w:szCs w:val="28"/>
        </w:rPr>
      </w:pPr>
    </w:p>
    <w:bookmarkEnd w:id="288"/>
    <w:bookmarkEnd w:id="289"/>
    <w:bookmarkEnd w:id="290"/>
    <w:p w14:paraId="48D4B36F">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bookmarkStart w:id="291" w:name="_Toc130971895"/>
    </w:p>
    <w:p w14:paraId="2C29FBD2">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7DE7B5A1">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4CADA0F1">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27ED9FB7">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7BC5B789">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0D70E95F">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1A463BA8">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14A8C918">
      <w:pPr>
        <w:pStyle w:val="3"/>
        <w:pageBreakBefore w:val="0"/>
        <w:widowControl w:val="0"/>
        <w:kinsoku/>
        <w:wordWrap/>
        <w:overflowPunct/>
        <w:topLinePunct w:val="0"/>
        <w:autoSpaceDE/>
        <w:autoSpaceDN/>
        <w:bidi w:val="0"/>
        <w:snapToGrid/>
        <w:spacing w:before="0" w:beforeLines="0" w:after="0" w:afterLines="0" w:line="360" w:lineRule="exact"/>
        <w:rPr>
          <w:rFonts w:hint="eastAsia"/>
        </w:rPr>
      </w:pPr>
    </w:p>
    <w:p w14:paraId="0F4DEED4">
      <w:pPr>
        <w:pStyle w:val="3"/>
        <w:pageBreakBefore w:val="0"/>
        <w:widowControl w:val="0"/>
        <w:kinsoku/>
        <w:wordWrap/>
        <w:overflowPunct/>
        <w:topLinePunct w:val="0"/>
        <w:autoSpaceDE/>
        <w:autoSpaceDN/>
        <w:bidi w:val="0"/>
        <w:snapToGrid/>
        <w:spacing w:before="0" w:beforeLines="0" w:after="0" w:afterLines="0" w:line="360" w:lineRule="exact"/>
        <w:ind w:left="0" w:leftChars="0" w:firstLine="0" w:firstLineChars="0"/>
        <w:rPr>
          <w:rFonts w:hint="eastAsia"/>
        </w:rPr>
      </w:pPr>
    </w:p>
    <w:p w14:paraId="57A9E9D7">
      <w:pPr>
        <w:pStyle w:val="3"/>
        <w:pageBreakBefore w:val="0"/>
        <w:widowControl w:val="0"/>
        <w:kinsoku/>
        <w:wordWrap/>
        <w:overflowPunct/>
        <w:topLinePunct w:val="0"/>
        <w:autoSpaceDE/>
        <w:autoSpaceDN/>
        <w:bidi w:val="0"/>
        <w:snapToGrid/>
        <w:spacing w:before="0" w:beforeLines="0" w:after="0" w:afterLines="0" w:line="360" w:lineRule="exact"/>
        <w:ind w:left="0" w:leftChars="0" w:firstLine="0" w:firstLineChars="0"/>
        <w:rPr>
          <w:rFonts w:hint="eastAsia"/>
        </w:rPr>
      </w:pPr>
    </w:p>
    <w:p w14:paraId="79D329FC">
      <w:pPr>
        <w:rPr>
          <w:rFonts w:hint="eastAsia"/>
        </w:rPr>
      </w:pPr>
    </w:p>
    <w:p w14:paraId="3413B0D3">
      <w:pPr>
        <w:rPr>
          <w:rFonts w:hint="eastAsia"/>
        </w:rPr>
      </w:pPr>
    </w:p>
    <w:p w14:paraId="135ED370">
      <w:pPr>
        <w:rPr>
          <w:rFonts w:hint="eastAsia"/>
        </w:rPr>
      </w:pPr>
    </w:p>
    <w:p w14:paraId="1F0978F0">
      <w:pPr>
        <w:rPr>
          <w:rFonts w:hint="eastAsia"/>
        </w:rPr>
      </w:pPr>
    </w:p>
    <w:p w14:paraId="01CE3776">
      <w:pPr>
        <w:rPr>
          <w:rFonts w:hint="eastAsia"/>
        </w:rPr>
      </w:pPr>
    </w:p>
    <w:p w14:paraId="5D9988B8">
      <w:pPr>
        <w:rPr>
          <w:rFonts w:hint="eastAsia"/>
        </w:rPr>
      </w:pPr>
    </w:p>
    <w:p w14:paraId="4F55501F">
      <w:pPr>
        <w:rPr>
          <w:rFonts w:hint="eastAsia"/>
        </w:rPr>
      </w:pPr>
    </w:p>
    <w:p w14:paraId="789B03AF">
      <w:pPr>
        <w:rPr>
          <w:rFonts w:hint="eastAsia"/>
        </w:rPr>
      </w:pPr>
    </w:p>
    <w:p w14:paraId="1E1D4925">
      <w:pPr>
        <w:rPr>
          <w:rFonts w:hint="eastAsia"/>
        </w:rPr>
      </w:pPr>
    </w:p>
    <w:p w14:paraId="31EB1BB5">
      <w:pPr>
        <w:rPr>
          <w:rFonts w:hint="eastAsia"/>
        </w:rPr>
      </w:pPr>
    </w:p>
    <w:p w14:paraId="1EBD1F39">
      <w:pPr>
        <w:rPr>
          <w:rFonts w:hint="eastAsia"/>
        </w:rPr>
      </w:pPr>
    </w:p>
    <w:p w14:paraId="358110C9">
      <w:pPr>
        <w:rPr>
          <w:rFonts w:hint="eastAsia"/>
        </w:rPr>
      </w:pPr>
    </w:p>
    <w:p w14:paraId="3DC17A7D">
      <w:pPr>
        <w:rPr>
          <w:rFonts w:hint="eastAsia"/>
        </w:rPr>
      </w:pPr>
    </w:p>
    <w:p w14:paraId="7574B360">
      <w:pPr>
        <w:rPr>
          <w:rFonts w:hint="eastAsia"/>
        </w:rPr>
      </w:pPr>
    </w:p>
    <w:p w14:paraId="3C34F8DA">
      <w:pPr>
        <w:pStyle w:val="3"/>
        <w:bidi w:val="0"/>
        <w:ind w:left="0" w:leftChars="0" w:firstLine="0" w:firstLineChars="0"/>
        <w:rPr>
          <w:rFonts w:hint="eastAsia" w:ascii="仿宋_GB2312" w:hAnsi="仿宋_GB2312" w:eastAsia="仿宋_GB2312" w:cs="仿宋_GB2312"/>
          <w:b w:val="0"/>
          <w:bCs/>
        </w:rPr>
      </w:pPr>
      <w:bookmarkStart w:id="292" w:name="_Toc7779"/>
      <w:bookmarkStart w:id="293" w:name="_Toc1277"/>
      <w:r>
        <w:rPr>
          <w:rFonts w:hint="eastAsia" w:ascii="仿宋_GB2312" w:hAnsi="仿宋_GB2312" w:eastAsia="仿宋_GB2312" w:cs="仿宋_GB2312"/>
          <w:b w:val="0"/>
          <w:bCs/>
        </w:rPr>
        <w:t>附件1</w:t>
      </w:r>
      <w:r>
        <w:rPr>
          <w:rFonts w:hint="eastAsia" w:ascii="仿宋_GB2312" w:hAnsi="仿宋_GB2312" w:eastAsia="仿宋_GB2312" w:cs="仿宋_GB2312"/>
          <w:b w:val="0"/>
          <w:bCs/>
          <w:lang w:val="en-US" w:eastAsia="zh-CN"/>
        </w:rPr>
        <w:t>5</w:t>
      </w:r>
      <w:r>
        <w:rPr>
          <w:rFonts w:hint="eastAsia" w:ascii="仿宋_GB2312" w:hAnsi="仿宋_GB2312" w:eastAsia="仿宋_GB2312" w:cs="仿宋_GB2312"/>
          <w:b w:val="0"/>
          <w:bCs/>
        </w:rPr>
        <w:t>：投标人类似业绩证明材料</w:t>
      </w:r>
      <w:bookmarkEnd w:id="291"/>
      <w:bookmarkEnd w:id="292"/>
      <w:bookmarkEnd w:id="293"/>
    </w:p>
    <w:p w14:paraId="60CA4798">
      <w:pPr>
        <w:pageBreakBefore w:val="0"/>
        <w:widowControl w:val="0"/>
        <w:kinsoku/>
        <w:wordWrap/>
        <w:overflowPunct/>
        <w:topLinePunct w:val="0"/>
        <w:autoSpaceDE/>
        <w:autoSpaceDN/>
        <w:bidi w:val="0"/>
        <w:snapToGrid/>
        <w:spacing w:line="360" w:lineRule="exact"/>
        <w:ind w:firstLine="0" w:firstLineChars="0"/>
        <w:jc w:val="center"/>
        <w:rPr>
          <w:rFonts w:hint="eastAsia" w:ascii="方正小标宋简体" w:hAnsi="方正小标宋简体" w:eastAsia="方正小标宋简体" w:cs="方正小标宋简体"/>
          <w:b/>
          <w:bCs w:val="0"/>
          <w:sz w:val="32"/>
          <w:szCs w:val="32"/>
        </w:rPr>
      </w:pPr>
      <w:r>
        <w:rPr>
          <w:rFonts w:hint="eastAsia" w:ascii="方正小标宋简体" w:hAnsi="方正小标宋简体" w:eastAsia="方正小标宋简体" w:cs="方正小标宋简体"/>
          <w:b/>
          <w:bCs w:val="0"/>
          <w:sz w:val="32"/>
          <w:szCs w:val="32"/>
        </w:rPr>
        <w:t>投标人类似业绩证明材料</w:t>
      </w:r>
    </w:p>
    <w:p w14:paraId="2921C311">
      <w:pPr>
        <w:pageBreakBefore w:val="0"/>
        <w:widowControl w:val="0"/>
        <w:tabs>
          <w:tab w:val="left" w:pos="168"/>
        </w:tabs>
        <w:kinsoku/>
        <w:wordWrap/>
        <w:overflowPunct/>
        <w:topLinePunct w:val="0"/>
        <w:autoSpaceDE/>
        <w:autoSpaceDN/>
        <w:bidi w:val="0"/>
        <w:adjustRightInd w:val="0"/>
        <w:snapToGrid/>
        <w:spacing w:line="360" w:lineRule="exact"/>
        <w:ind w:left="0" w:leftChars="0" w:firstLine="0" w:firstLineChars="0"/>
        <w:textAlignment w:val="baseline"/>
        <w:rPr>
          <w:rFonts w:hint="eastAsia" w:ascii="仿宋_GB2312" w:hAnsi="仿宋_GB2312" w:eastAsia="仿宋_GB2312" w:cs="仿宋_GB2312"/>
          <w:color w:val="000000"/>
          <w:sz w:val="28"/>
          <w:szCs w:val="28"/>
        </w:rPr>
      </w:pPr>
    </w:p>
    <w:p w14:paraId="7BF3E421">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提供</w:t>
      </w:r>
      <w:r>
        <w:rPr>
          <w:rFonts w:hint="eastAsia" w:ascii="仿宋_GB2312" w:hAnsi="仿宋_GB2312" w:eastAsia="仿宋_GB2312" w:cs="仿宋_GB2312"/>
          <w:color w:val="000000"/>
          <w:sz w:val="28"/>
          <w:szCs w:val="28"/>
          <w:lang w:eastAsia="zh-CN"/>
        </w:rPr>
        <w:t>自</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eastAsia="zh-CN"/>
        </w:rPr>
        <w:t>以来</w:t>
      </w:r>
      <w:r>
        <w:rPr>
          <w:rFonts w:hint="eastAsia" w:ascii="仿宋_GB2312" w:hAnsi="仿宋_GB2312" w:eastAsia="仿宋_GB2312" w:cs="仿宋_GB2312"/>
          <w:color w:val="000000"/>
          <w:sz w:val="28"/>
          <w:szCs w:val="28"/>
        </w:rPr>
        <w:t>的类似业绩证明材料。类似业绩是指与采购项目在产品类型、合同标的、使用功能、服务类型等方面相同或相近的项目。需提供合同关键页（包含合同首页、标的及金额所在页、盖章签字页）的扫描（或复印）件。</w:t>
      </w:r>
      <w:bookmarkStart w:id="294" w:name="_Toc130971896"/>
    </w:p>
    <w:p w14:paraId="4411ADBE">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63FA0C4A">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7584C444">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6B5311CD">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6C2923E6">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249217AE">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5ADAC6A1">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750EA55D">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171DD64A">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0C3B752A">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73AE1C6D">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69FD2059">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5DFD6073">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5AE0FCA9">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14A87378">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12C310AF">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2CE1F787">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399A6B4F">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208C2970">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40DA75D7">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43975918">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277FA3F5">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01387181">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51696C7E">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330448EE">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3103D066">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4B679CB7">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79579F64">
      <w:pPr>
        <w:pageBreakBefore w:val="0"/>
        <w:widowControl w:val="0"/>
        <w:tabs>
          <w:tab w:val="left" w:pos="168"/>
        </w:tabs>
        <w:kinsoku/>
        <w:wordWrap/>
        <w:overflowPunct/>
        <w:topLinePunct w:val="0"/>
        <w:autoSpaceDE/>
        <w:autoSpaceDN/>
        <w:bidi w:val="0"/>
        <w:adjustRightInd w:val="0"/>
        <w:snapToGrid/>
        <w:spacing w:line="360" w:lineRule="exact"/>
        <w:ind w:left="0" w:leftChars="0" w:firstLine="560" w:firstLineChars="200"/>
        <w:textAlignment w:val="baseline"/>
        <w:rPr>
          <w:rFonts w:hint="eastAsia" w:ascii="仿宋_GB2312" w:hAnsi="仿宋_GB2312" w:eastAsia="仿宋_GB2312" w:cs="仿宋_GB2312"/>
          <w:color w:val="000000"/>
          <w:sz w:val="28"/>
          <w:szCs w:val="28"/>
        </w:rPr>
      </w:pPr>
    </w:p>
    <w:p w14:paraId="01125DEC">
      <w:pPr>
        <w:pStyle w:val="3"/>
        <w:bidi w:val="0"/>
        <w:ind w:left="0" w:leftChars="0" w:firstLine="0" w:firstLineChars="0"/>
        <w:rPr>
          <w:rFonts w:hint="eastAsia" w:ascii="仿宋_GB2312" w:hAnsi="仿宋_GB2312" w:eastAsia="仿宋_GB2312" w:cs="仿宋_GB2312"/>
          <w:b w:val="0"/>
          <w:bCs/>
        </w:rPr>
      </w:pPr>
      <w:bookmarkStart w:id="295" w:name="_Toc11553"/>
      <w:bookmarkStart w:id="296" w:name="_Toc15235"/>
      <w:r>
        <w:rPr>
          <w:rFonts w:hint="eastAsia" w:ascii="仿宋_GB2312" w:hAnsi="仿宋_GB2312" w:eastAsia="仿宋_GB2312" w:cs="仿宋_GB2312"/>
          <w:b w:val="0"/>
          <w:bCs/>
        </w:rPr>
        <w:t>附件1</w:t>
      </w:r>
      <w:r>
        <w:rPr>
          <w:rFonts w:hint="eastAsia" w:ascii="仿宋_GB2312" w:hAnsi="仿宋_GB2312" w:eastAsia="仿宋_GB2312" w:cs="仿宋_GB2312"/>
          <w:b w:val="0"/>
          <w:bCs/>
          <w:lang w:val="en-US" w:eastAsia="zh-CN"/>
        </w:rPr>
        <w:t>6</w:t>
      </w:r>
      <w:r>
        <w:rPr>
          <w:rFonts w:hint="eastAsia" w:ascii="仿宋_GB2312" w:hAnsi="仿宋_GB2312" w:eastAsia="仿宋_GB2312" w:cs="仿宋_GB2312"/>
          <w:b w:val="0"/>
          <w:bCs/>
        </w:rPr>
        <w:t>：</w:t>
      </w:r>
      <w:bookmarkStart w:id="297" w:name="_Toc474913501"/>
      <w:bookmarkStart w:id="298" w:name="_Toc460486440"/>
      <w:r>
        <w:rPr>
          <w:rFonts w:hint="eastAsia" w:ascii="仿宋_GB2312" w:hAnsi="仿宋_GB2312" w:eastAsia="仿宋_GB2312" w:cs="仿宋_GB2312"/>
          <w:b w:val="0"/>
          <w:bCs/>
        </w:rPr>
        <w:t>中小企业声明函</w:t>
      </w:r>
      <w:bookmarkEnd w:id="294"/>
      <w:bookmarkEnd w:id="295"/>
      <w:bookmarkEnd w:id="296"/>
    </w:p>
    <w:p w14:paraId="6AF9CEAE">
      <w:pPr>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方正小标宋简体" w:hAnsi="方正小标宋简体" w:eastAsia="方正小标宋简体" w:cs="方正小标宋简体"/>
          <w:b/>
          <w:bCs w:val="0"/>
          <w:sz w:val="32"/>
          <w:szCs w:val="32"/>
        </w:rPr>
      </w:pPr>
      <w:r>
        <w:rPr>
          <w:rFonts w:hint="eastAsia" w:ascii="方正小标宋简体" w:hAnsi="方正小标宋简体" w:eastAsia="方正小标宋简体" w:cs="方正小标宋简体"/>
          <w:b/>
          <w:bCs w:val="0"/>
          <w:sz w:val="32"/>
          <w:szCs w:val="32"/>
        </w:rPr>
        <w:t>中小企业声明函（货物）</w:t>
      </w:r>
    </w:p>
    <w:p w14:paraId="2262E08D">
      <w:pPr>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b/>
          <w:bCs/>
          <w:sz w:val="28"/>
          <w:szCs w:val="28"/>
        </w:rPr>
      </w:pPr>
    </w:p>
    <w:p w14:paraId="2AAF8F64">
      <w:pPr>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rPr>
        <w:t>致：</w:t>
      </w:r>
      <w:r>
        <w:rPr>
          <w:rFonts w:hint="eastAsia" w:ascii="仿宋_GB2312" w:hAnsi="仿宋_GB2312" w:eastAsia="仿宋_GB2312" w:cs="仿宋_GB2312"/>
          <w:b/>
          <w:bCs/>
          <w:sz w:val="28"/>
          <w:szCs w:val="28"/>
          <w:lang w:eastAsia="zh-CN"/>
        </w:rPr>
        <w:t>化隆县公共资源交易受理服务部</w:t>
      </w:r>
    </w:p>
    <w:p w14:paraId="0397DC7A">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本公司（联合体） 郑重声明， 根据《政府采购促进中小企业发展管理办法》（财库﹝2020﹞46 号） 的规定， 本公司（联合体） 参加</w:t>
      </w:r>
      <w:r>
        <w:rPr>
          <w:rFonts w:hint="eastAsia" w:ascii="仿宋_GB2312" w:hAnsi="仿宋_GB2312" w:eastAsia="仿宋_GB2312" w:cs="仿宋_GB2312"/>
          <w:sz w:val="28"/>
          <w:szCs w:val="28"/>
          <w:u w:val="single"/>
        </w:rPr>
        <w:t>（单位名称）</w:t>
      </w:r>
      <w:r>
        <w:rPr>
          <w:rFonts w:hint="eastAsia" w:ascii="仿宋_GB2312" w:hAnsi="仿宋_GB2312" w:eastAsia="仿宋_GB2312" w:cs="仿宋_GB2312"/>
          <w:sz w:val="28"/>
          <w:szCs w:val="28"/>
        </w:rPr>
        <w:t xml:space="preserve"> 的</w:t>
      </w:r>
      <w:r>
        <w:rPr>
          <w:rFonts w:hint="eastAsia" w:ascii="仿宋_GB2312" w:hAnsi="仿宋_GB2312" w:eastAsia="仿宋_GB2312" w:cs="仿宋_GB2312"/>
          <w:sz w:val="28"/>
          <w:szCs w:val="28"/>
          <w:u w:val="single"/>
        </w:rPr>
        <w:t xml:space="preserve">（项目名称） </w:t>
      </w:r>
      <w:r>
        <w:rPr>
          <w:rFonts w:hint="eastAsia" w:ascii="仿宋_GB2312" w:hAnsi="仿宋_GB2312" w:eastAsia="仿宋_GB2312" w:cs="仿宋_GB2312"/>
          <w:sz w:val="28"/>
          <w:szCs w:val="28"/>
        </w:rPr>
        <w:t>采购活动，提供的货物全部由符合政策要求的中小企业制造。 相关企业（含联合体中的中小企业、 签订分包意向协议的中小企业）的具体情况如下：</w:t>
      </w:r>
    </w:p>
    <w:p w14:paraId="745D6A30">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u w:val="single"/>
        </w:rPr>
        <w:t>（标的名称）</w:t>
      </w:r>
      <w:r>
        <w:rPr>
          <w:rFonts w:hint="eastAsia" w:ascii="仿宋_GB2312" w:hAnsi="仿宋_GB2312" w:eastAsia="仿宋_GB2312" w:cs="仿宋_GB2312"/>
          <w:sz w:val="28"/>
          <w:szCs w:val="28"/>
        </w:rPr>
        <w:t xml:space="preserve"> ，属于</w:t>
      </w:r>
      <w:r>
        <w:rPr>
          <w:rFonts w:hint="eastAsia" w:ascii="仿宋_GB2312" w:hAnsi="仿宋_GB2312" w:eastAsia="仿宋_GB2312" w:cs="仿宋_GB2312"/>
          <w:sz w:val="28"/>
          <w:szCs w:val="28"/>
          <w:u w:val="single"/>
        </w:rPr>
        <w:t xml:space="preserve">    （采购文件中明确的所属行业）     </w:t>
      </w:r>
      <w:r>
        <w:rPr>
          <w:rFonts w:hint="eastAsia" w:ascii="仿宋_GB2312" w:hAnsi="仿宋_GB2312" w:eastAsia="仿宋_GB2312" w:cs="仿宋_GB2312"/>
          <w:sz w:val="28"/>
          <w:szCs w:val="28"/>
        </w:rPr>
        <w:t>行业； 制造商为</w:t>
      </w:r>
      <w:r>
        <w:rPr>
          <w:rFonts w:hint="eastAsia" w:ascii="仿宋_GB2312" w:hAnsi="仿宋_GB2312" w:eastAsia="仿宋_GB2312" w:cs="仿宋_GB2312"/>
          <w:sz w:val="28"/>
          <w:szCs w:val="28"/>
          <w:u w:val="single"/>
        </w:rPr>
        <w:t>（ 企业名称）</w:t>
      </w:r>
      <w:r>
        <w:rPr>
          <w:rFonts w:hint="eastAsia" w:ascii="仿宋_GB2312" w:hAnsi="仿宋_GB2312" w:eastAsia="仿宋_GB2312" w:cs="仿宋_GB2312"/>
          <w:sz w:val="28"/>
          <w:szCs w:val="28"/>
        </w:rPr>
        <w:t>， 从业人员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人， 营业收入为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万元， 资产总额为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万元，属于</w:t>
      </w:r>
      <w:r>
        <w:rPr>
          <w:rFonts w:hint="eastAsia" w:ascii="仿宋_GB2312" w:hAnsi="仿宋_GB2312" w:eastAsia="仿宋_GB2312" w:cs="仿宋_GB2312"/>
          <w:sz w:val="28"/>
          <w:szCs w:val="28"/>
          <w:u w:val="single"/>
        </w:rPr>
        <w:t>（中型企业、 小型企业、 微型企业）</w:t>
      </w:r>
      <w:r>
        <w:rPr>
          <w:rFonts w:hint="eastAsia" w:ascii="仿宋_GB2312" w:hAnsi="仿宋_GB2312" w:eastAsia="仿宋_GB2312" w:cs="仿宋_GB2312"/>
          <w:sz w:val="28"/>
          <w:szCs w:val="28"/>
        </w:rPr>
        <w:t>；</w:t>
      </w:r>
    </w:p>
    <w:p w14:paraId="49A235CB">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u w:val="single"/>
        </w:rPr>
        <w:t xml:space="preserve">（标的名称） </w:t>
      </w:r>
      <w:r>
        <w:rPr>
          <w:rFonts w:hint="eastAsia" w:ascii="仿宋_GB2312" w:hAnsi="仿宋_GB2312" w:eastAsia="仿宋_GB2312" w:cs="仿宋_GB2312"/>
          <w:sz w:val="28"/>
          <w:szCs w:val="28"/>
        </w:rPr>
        <w:t>，属于</w:t>
      </w:r>
      <w:r>
        <w:rPr>
          <w:rFonts w:hint="eastAsia" w:ascii="仿宋_GB2312" w:hAnsi="仿宋_GB2312" w:eastAsia="仿宋_GB2312" w:cs="仿宋_GB2312"/>
          <w:sz w:val="28"/>
          <w:szCs w:val="28"/>
          <w:u w:val="single"/>
        </w:rPr>
        <w:t xml:space="preserve">  （采购文件中明确的所属行业）    </w:t>
      </w:r>
      <w:r>
        <w:rPr>
          <w:rFonts w:hint="eastAsia" w:ascii="仿宋_GB2312" w:hAnsi="仿宋_GB2312" w:eastAsia="仿宋_GB2312" w:cs="仿宋_GB2312"/>
          <w:sz w:val="28"/>
          <w:szCs w:val="28"/>
        </w:rPr>
        <w:t>行业； 制造商为</w:t>
      </w:r>
      <w:r>
        <w:rPr>
          <w:rFonts w:hint="eastAsia" w:ascii="仿宋_GB2312" w:hAnsi="仿宋_GB2312" w:eastAsia="仿宋_GB2312" w:cs="仿宋_GB2312"/>
          <w:sz w:val="28"/>
          <w:szCs w:val="28"/>
          <w:u w:val="single"/>
        </w:rPr>
        <w:t>（ 企业名称）</w:t>
      </w:r>
      <w:r>
        <w:rPr>
          <w:rFonts w:hint="eastAsia" w:ascii="仿宋_GB2312" w:hAnsi="仿宋_GB2312" w:eastAsia="仿宋_GB2312" w:cs="仿宋_GB2312"/>
          <w:sz w:val="28"/>
          <w:szCs w:val="28"/>
        </w:rPr>
        <w:t>，从业人员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人， 营业收入为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万元， 资产总额为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万元，属于</w:t>
      </w:r>
      <w:r>
        <w:rPr>
          <w:rFonts w:hint="eastAsia" w:ascii="仿宋_GB2312" w:hAnsi="仿宋_GB2312" w:eastAsia="仿宋_GB2312" w:cs="仿宋_GB2312"/>
          <w:sz w:val="28"/>
          <w:szCs w:val="28"/>
          <w:u w:val="single"/>
        </w:rPr>
        <w:t>（中型企业、 小型企业、 微型企业）</w:t>
      </w:r>
      <w:r>
        <w:rPr>
          <w:rFonts w:hint="eastAsia" w:ascii="仿宋_GB2312" w:hAnsi="仿宋_GB2312" w:eastAsia="仿宋_GB2312" w:cs="仿宋_GB2312"/>
          <w:sz w:val="28"/>
          <w:szCs w:val="28"/>
        </w:rPr>
        <w:t>；</w:t>
      </w:r>
    </w:p>
    <w:p w14:paraId="3D10143A">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5B96D486">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以上企业，不属于大企业的分支机构， 不存在控股股东为大企业的情形， 也不存在与大企业的负责人为同一人的情形。</w:t>
      </w:r>
    </w:p>
    <w:p w14:paraId="023DD377">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本企业对上述声明内容的真实性负责。 如有虚假， 将依法承担相应责任。</w:t>
      </w:r>
    </w:p>
    <w:p w14:paraId="11D5DFA8">
      <w:pPr>
        <w:pageBreakBefore w:val="0"/>
        <w:widowControl w:val="0"/>
        <w:kinsoku/>
        <w:wordWrap/>
        <w:overflowPunct/>
        <w:topLinePunct w:val="0"/>
        <w:autoSpaceDE/>
        <w:autoSpaceDN/>
        <w:bidi w:val="0"/>
        <w:adjustRightInd/>
        <w:snapToGrid/>
        <w:spacing w:line="360" w:lineRule="exact"/>
        <w:ind w:firstLine="480"/>
        <w:textAlignment w:val="auto"/>
        <w:rPr>
          <w:rFonts w:hint="eastAsia" w:ascii="仿宋_GB2312" w:hAnsi="仿宋_GB2312" w:eastAsia="仿宋_GB2312" w:cs="仿宋_GB2312"/>
          <w:sz w:val="28"/>
          <w:szCs w:val="28"/>
        </w:rPr>
      </w:pPr>
    </w:p>
    <w:p w14:paraId="69EB24AF">
      <w:pPr>
        <w:pageBreakBefore w:val="0"/>
        <w:widowControl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注：1.从业人员、营业收入、资产总额填报上一年度数据，无上一年度数据的新成立企业可不填报。</w:t>
      </w:r>
    </w:p>
    <w:p w14:paraId="4602C859">
      <w:pPr>
        <w:pageBreakBefore w:val="0"/>
        <w:widowControl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2.若无此项内容，可不提供此函。</w:t>
      </w:r>
    </w:p>
    <w:p w14:paraId="72F889BB">
      <w:pPr>
        <w:pageBreakBefore w:val="0"/>
        <w:widowControl w:val="0"/>
        <w:kinsoku/>
        <w:wordWrap/>
        <w:overflowPunct/>
        <w:topLinePunct w:val="0"/>
        <w:autoSpaceDE/>
        <w:autoSpaceDN/>
        <w:bidi w:val="0"/>
        <w:adjustRightInd/>
        <w:snapToGrid/>
        <w:spacing w:line="36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3.请按标的内容逐项填写，不得遗漏，否则，声明无效。</w:t>
      </w:r>
    </w:p>
    <w:p w14:paraId="40771765">
      <w:pPr>
        <w:pStyle w:val="12"/>
        <w:pageBreakBefore w:val="0"/>
        <w:widowControl w:val="0"/>
        <w:kinsoku/>
        <w:wordWrap/>
        <w:overflowPunct/>
        <w:topLinePunct w:val="0"/>
        <w:autoSpaceDE/>
        <w:autoSpaceDN/>
        <w:bidi w:val="0"/>
        <w:adjustRightInd/>
        <w:snapToGrid/>
        <w:spacing w:after="0" w:afterLines="0" w:line="360" w:lineRule="exact"/>
        <w:ind w:firstLine="0" w:firstLineChars="0"/>
        <w:textAlignment w:val="auto"/>
        <w:rPr>
          <w:rFonts w:hint="eastAsia" w:ascii="仿宋_GB2312" w:hAnsi="仿宋_GB2312" w:eastAsia="仿宋_GB2312" w:cs="仿宋_GB2312"/>
          <w:sz w:val="28"/>
          <w:szCs w:val="28"/>
        </w:rPr>
      </w:pPr>
    </w:p>
    <w:p w14:paraId="41EA3DE3">
      <w:pPr>
        <w:pStyle w:val="12"/>
        <w:pageBreakBefore w:val="0"/>
        <w:widowControl w:val="0"/>
        <w:kinsoku/>
        <w:wordWrap/>
        <w:overflowPunct/>
        <w:topLinePunct w:val="0"/>
        <w:autoSpaceDE/>
        <w:autoSpaceDN/>
        <w:bidi w:val="0"/>
        <w:adjustRightInd/>
        <w:snapToGrid/>
        <w:spacing w:after="0" w:afterLines="0" w:line="360" w:lineRule="exact"/>
        <w:ind w:firstLine="0" w:firstLineChars="0"/>
        <w:textAlignment w:val="auto"/>
        <w:rPr>
          <w:rFonts w:hint="eastAsia" w:ascii="仿宋_GB2312" w:hAnsi="仿宋_GB2312" w:eastAsia="仿宋_GB2312" w:cs="仿宋_GB2312"/>
          <w:sz w:val="28"/>
          <w:szCs w:val="28"/>
        </w:rPr>
      </w:pPr>
    </w:p>
    <w:p w14:paraId="0D757459">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bookmarkStart w:id="299" w:name="_Toc130971897"/>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7A0D34CE">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66BC8AA4">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581A3153">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仿宋_GB2312" w:hAnsi="仿宋_GB2312" w:eastAsia="仿宋_GB2312" w:cs="仿宋_GB2312"/>
          <w:sz w:val="28"/>
          <w:szCs w:val="28"/>
        </w:rPr>
      </w:pPr>
    </w:p>
    <w:p w14:paraId="0AC10338">
      <w:pPr>
        <w:pageBreakBefore w:val="0"/>
        <w:widowControl/>
        <w:kinsoku/>
        <w:wordWrap/>
        <w:overflowPunct/>
        <w:topLinePunct w:val="0"/>
        <w:autoSpaceDE/>
        <w:autoSpaceDN/>
        <w:bidi w:val="0"/>
        <w:adjustRightInd/>
        <w:snapToGrid w:val="0"/>
        <w:spacing w:line="360" w:lineRule="exact"/>
        <w:ind w:firstLine="0" w:firstLineChars="0"/>
        <w:textAlignment w:val="auto"/>
        <w:outlineLvl w:val="1"/>
        <w:rPr>
          <w:rFonts w:hint="eastAsia" w:ascii="仿宋_GB2312" w:hAnsi="仿宋_GB2312" w:eastAsia="仿宋_GB2312" w:cs="仿宋_GB2312"/>
          <w:b/>
          <w:color w:val="000000"/>
          <w:sz w:val="28"/>
          <w:szCs w:val="28"/>
        </w:rPr>
      </w:pPr>
    </w:p>
    <w:p w14:paraId="571A842A">
      <w:pPr>
        <w:pageBreakBefore w:val="0"/>
        <w:widowControl/>
        <w:kinsoku/>
        <w:wordWrap/>
        <w:overflowPunct/>
        <w:topLinePunct w:val="0"/>
        <w:autoSpaceDE/>
        <w:autoSpaceDN/>
        <w:bidi w:val="0"/>
        <w:adjustRightInd/>
        <w:snapToGrid w:val="0"/>
        <w:spacing w:line="360" w:lineRule="exact"/>
        <w:ind w:firstLine="0" w:firstLineChars="0"/>
        <w:textAlignment w:val="auto"/>
        <w:outlineLvl w:val="1"/>
        <w:rPr>
          <w:rFonts w:hint="eastAsia" w:ascii="仿宋_GB2312" w:hAnsi="仿宋_GB2312" w:eastAsia="仿宋_GB2312" w:cs="仿宋_GB2312"/>
          <w:b/>
          <w:color w:val="000000"/>
          <w:sz w:val="28"/>
          <w:szCs w:val="28"/>
        </w:rPr>
      </w:pPr>
    </w:p>
    <w:p w14:paraId="077CF411">
      <w:pPr>
        <w:pageBreakBefore w:val="0"/>
        <w:widowControl/>
        <w:kinsoku/>
        <w:wordWrap/>
        <w:overflowPunct/>
        <w:topLinePunct w:val="0"/>
        <w:autoSpaceDE/>
        <w:autoSpaceDN/>
        <w:bidi w:val="0"/>
        <w:adjustRightInd/>
        <w:snapToGrid w:val="0"/>
        <w:spacing w:line="360" w:lineRule="exact"/>
        <w:ind w:firstLine="0" w:firstLineChars="0"/>
        <w:textAlignment w:val="auto"/>
        <w:outlineLvl w:val="1"/>
        <w:rPr>
          <w:rFonts w:hint="eastAsia" w:ascii="仿宋_GB2312" w:hAnsi="仿宋_GB2312" w:eastAsia="仿宋_GB2312" w:cs="仿宋_GB2312"/>
          <w:b/>
          <w:color w:val="000000"/>
          <w:sz w:val="28"/>
          <w:szCs w:val="28"/>
        </w:rPr>
      </w:pPr>
    </w:p>
    <w:p w14:paraId="62A0C9B5">
      <w:pPr>
        <w:pageBreakBefore w:val="0"/>
        <w:widowControl/>
        <w:kinsoku/>
        <w:wordWrap/>
        <w:overflowPunct/>
        <w:topLinePunct w:val="0"/>
        <w:autoSpaceDE/>
        <w:autoSpaceDN/>
        <w:bidi w:val="0"/>
        <w:adjustRightInd/>
        <w:snapToGrid w:val="0"/>
        <w:spacing w:line="360" w:lineRule="exact"/>
        <w:ind w:firstLine="0" w:firstLineChars="0"/>
        <w:textAlignment w:val="auto"/>
        <w:outlineLvl w:val="1"/>
        <w:rPr>
          <w:rFonts w:hint="eastAsia" w:ascii="仿宋_GB2312" w:hAnsi="仿宋_GB2312" w:eastAsia="仿宋_GB2312" w:cs="仿宋_GB2312"/>
          <w:b/>
          <w:color w:val="000000"/>
          <w:sz w:val="28"/>
          <w:szCs w:val="28"/>
        </w:rPr>
      </w:pPr>
    </w:p>
    <w:p w14:paraId="778B9025">
      <w:pPr>
        <w:pStyle w:val="3"/>
        <w:bidi w:val="0"/>
        <w:ind w:left="0" w:leftChars="0" w:firstLine="0" w:firstLineChars="0"/>
        <w:rPr>
          <w:rFonts w:hint="eastAsia" w:ascii="仿宋_GB2312" w:hAnsi="仿宋_GB2312" w:eastAsia="仿宋_GB2312" w:cs="仿宋_GB2312"/>
          <w:b w:val="0"/>
          <w:bCs/>
        </w:rPr>
      </w:pPr>
      <w:bookmarkStart w:id="300" w:name="_Toc23192"/>
      <w:bookmarkStart w:id="301" w:name="_Toc11824"/>
      <w:r>
        <w:rPr>
          <w:rFonts w:hint="eastAsia" w:ascii="仿宋_GB2312" w:hAnsi="仿宋_GB2312" w:eastAsia="仿宋_GB2312" w:cs="仿宋_GB2312"/>
          <w:b w:val="0"/>
          <w:bCs/>
        </w:rPr>
        <w:t>附件1</w:t>
      </w:r>
      <w:r>
        <w:rPr>
          <w:rFonts w:hint="eastAsia" w:ascii="仿宋_GB2312" w:hAnsi="仿宋_GB2312" w:eastAsia="仿宋_GB2312" w:cs="仿宋_GB2312"/>
          <w:b w:val="0"/>
          <w:bCs/>
          <w:lang w:val="en-US" w:eastAsia="zh-CN"/>
        </w:rPr>
        <w:t>7</w:t>
      </w:r>
      <w:r>
        <w:rPr>
          <w:rFonts w:hint="eastAsia" w:ascii="仿宋_GB2312" w:hAnsi="仿宋_GB2312" w:eastAsia="仿宋_GB2312" w:cs="仿宋_GB2312"/>
          <w:b w:val="0"/>
          <w:bCs/>
        </w:rPr>
        <w:t>：残疾人福利性单位声明函</w:t>
      </w:r>
      <w:bookmarkEnd w:id="299"/>
      <w:bookmarkEnd w:id="300"/>
      <w:bookmarkEnd w:id="301"/>
    </w:p>
    <w:p w14:paraId="6800D5FD">
      <w:pPr>
        <w:pageBreakBefore w:val="0"/>
        <w:kinsoku/>
        <w:wordWrap/>
        <w:overflowPunct/>
        <w:topLinePunct w:val="0"/>
        <w:autoSpaceDE/>
        <w:autoSpaceDN/>
        <w:bidi w:val="0"/>
        <w:adjustRightInd/>
        <w:spacing w:line="360" w:lineRule="exact"/>
        <w:ind w:firstLine="0" w:firstLineChars="0"/>
        <w:jc w:val="center"/>
        <w:textAlignment w:val="auto"/>
        <w:rPr>
          <w:rFonts w:hint="eastAsia" w:ascii="方正小标宋简体" w:hAnsi="方正小标宋简体" w:eastAsia="方正小标宋简体" w:cs="方正小标宋简体"/>
          <w:b/>
          <w:sz w:val="32"/>
          <w:szCs w:val="32"/>
        </w:rPr>
      </w:pPr>
      <w:bookmarkStart w:id="302" w:name="OLE_LINK14"/>
      <w:bookmarkStart w:id="303" w:name="OLE_LINK13"/>
      <w:r>
        <w:rPr>
          <w:rFonts w:hint="eastAsia" w:ascii="方正小标宋简体" w:hAnsi="方正小标宋简体" w:eastAsia="方正小标宋简体" w:cs="方正小标宋简体"/>
          <w:b/>
          <w:sz w:val="32"/>
          <w:szCs w:val="32"/>
        </w:rPr>
        <w:t>残疾人福利性单位声明函</w:t>
      </w:r>
    </w:p>
    <w:bookmarkEnd w:id="302"/>
    <w:bookmarkEnd w:id="303"/>
    <w:p w14:paraId="1E00853C">
      <w:pPr>
        <w:pageBreakBefore w:val="0"/>
        <w:kinsoku/>
        <w:wordWrap/>
        <w:overflowPunct/>
        <w:topLinePunct w:val="0"/>
        <w:autoSpaceDE/>
        <w:autoSpaceDN/>
        <w:bidi w:val="0"/>
        <w:adjustRightInd/>
        <w:spacing w:line="360" w:lineRule="exact"/>
        <w:ind w:firstLine="0" w:firstLineChars="0"/>
        <w:textAlignment w:val="auto"/>
        <w:rPr>
          <w:rFonts w:hint="eastAsia" w:ascii="仿宋_GB2312" w:hAnsi="仿宋_GB2312" w:eastAsia="仿宋_GB2312" w:cs="仿宋_GB2312"/>
          <w:bCs/>
          <w:sz w:val="28"/>
          <w:szCs w:val="28"/>
        </w:rPr>
      </w:pPr>
    </w:p>
    <w:p w14:paraId="0F544A7E">
      <w:pPr>
        <w:pageBreakBefore w:val="0"/>
        <w:kinsoku/>
        <w:wordWrap/>
        <w:overflowPunct/>
        <w:topLinePunct w:val="0"/>
        <w:bidi w:val="0"/>
        <w:spacing w:line="360" w:lineRule="exact"/>
        <w:ind w:left="0" w:leftChars="0" w:firstLine="0" w:firstLineChars="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rPr>
        <w:t>致：</w:t>
      </w:r>
      <w:r>
        <w:rPr>
          <w:rFonts w:hint="eastAsia" w:ascii="仿宋_GB2312" w:hAnsi="仿宋_GB2312" w:eastAsia="仿宋_GB2312" w:cs="仿宋_GB2312"/>
          <w:sz w:val="28"/>
          <w:szCs w:val="28"/>
          <w:lang w:eastAsia="zh-CN"/>
        </w:rPr>
        <w:t>化隆县公共资源交易受理服务部</w:t>
      </w:r>
    </w:p>
    <w:p w14:paraId="031A4E22">
      <w:pPr>
        <w:pageBreakBefore w:val="0"/>
        <w:kinsoku/>
        <w:wordWrap/>
        <w:overflowPunct/>
        <w:topLinePunct w:val="0"/>
        <w:autoSpaceDE/>
        <w:autoSpaceDN/>
        <w:bidi w:val="0"/>
        <w:adjustRightInd/>
        <w:spacing w:line="360" w:lineRule="exact"/>
        <w:ind w:left="0" w:lef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本单位郑重声明，根据《财政部、民政部、中国残疾人联合会关于促进残疾人就业政府采购政策的通知》（财库〔2017〕141号）的规定，本公司为符合条件的残疾人福利性单位，本公司在职职工人数为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人，安置的残疾人人数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人。且本单位参加______单位的______项目采购活动提供本单位制造的货物（由本单位承担工程/提供服务），或者提供其他残疾人福利性公司制造的货物（不包括使用非残疾人福利性公司注册商标的货物）。</w:t>
      </w:r>
    </w:p>
    <w:p w14:paraId="3DB13D59">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本公司对上述声明的真实性负责。如有虚假，将依法承担相应责任。</w:t>
      </w:r>
    </w:p>
    <w:p w14:paraId="21FA570F">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7F596704">
      <w:pPr>
        <w:pageBreakBefore w:val="0"/>
        <w:kinsoku/>
        <w:wordWrap/>
        <w:overflowPunct/>
        <w:topLinePunct w:val="0"/>
        <w:autoSpaceDE/>
        <w:autoSpaceDN/>
        <w:bidi w:val="0"/>
        <w:adjustRightInd/>
        <w:spacing w:line="3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注：若无此项内容，可不提供此函。</w:t>
      </w:r>
    </w:p>
    <w:p w14:paraId="4EDB94E9">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3AB984FF">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6236612E">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10B3CC92">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1C35CE2E">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4EC3D564">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3A2F8F96">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02816060">
      <w:pPr>
        <w:pageBreakBefore w:val="0"/>
        <w:kinsoku/>
        <w:wordWrap/>
        <w:overflowPunct/>
        <w:topLinePunct w:val="0"/>
        <w:autoSpaceDE/>
        <w:autoSpaceDN/>
        <w:bidi w:val="0"/>
        <w:adjustRightInd/>
        <w:spacing w:line="360" w:lineRule="exact"/>
        <w:ind w:firstLine="480"/>
        <w:textAlignment w:val="auto"/>
        <w:rPr>
          <w:rFonts w:hint="eastAsia" w:ascii="仿宋_GB2312" w:hAnsi="仿宋_GB2312" w:eastAsia="仿宋_GB2312" w:cs="仿宋_GB2312"/>
          <w:sz w:val="28"/>
          <w:szCs w:val="28"/>
        </w:rPr>
      </w:pPr>
    </w:p>
    <w:p w14:paraId="4214CF29">
      <w:pPr>
        <w:pageBreakBefore w:val="0"/>
        <w:kinsoku/>
        <w:wordWrap/>
        <w:overflowPunct/>
        <w:topLinePunct w:val="0"/>
        <w:autoSpaceDE/>
        <w:autoSpaceDN/>
        <w:bidi w:val="0"/>
        <w:adjustRightInd/>
        <w:spacing w:line="360" w:lineRule="exact"/>
        <w:ind w:firstLine="0" w:firstLineChars="0"/>
        <w:textAlignment w:val="auto"/>
        <w:rPr>
          <w:rFonts w:hint="eastAsia" w:ascii="仿宋_GB2312" w:hAnsi="仿宋_GB2312" w:eastAsia="仿宋_GB2312" w:cs="仿宋_GB2312"/>
          <w:sz w:val="28"/>
          <w:szCs w:val="28"/>
        </w:rPr>
      </w:pPr>
    </w:p>
    <w:p w14:paraId="5B6B49F0">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sz w:val="28"/>
          <w:szCs w:val="28"/>
        </w:rPr>
        <w:t xml:space="preserve">投标单位：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（公章）</w:t>
      </w:r>
    </w:p>
    <w:p w14:paraId="775E914C">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       （签字或盖章）</w:t>
      </w:r>
    </w:p>
    <w:p w14:paraId="308E05FE">
      <w:pPr>
        <w:keepNext w:val="0"/>
        <w:keepLines w:val="0"/>
        <w:pageBreakBefore w:val="0"/>
        <w:widowControl w:val="0"/>
        <w:kinsoku/>
        <w:wordWrap/>
        <w:overflowPunct/>
        <w:topLinePunct w:val="0"/>
        <w:autoSpaceDE/>
        <w:autoSpaceDN/>
        <w:bidi w:val="0"/>
        <w:adjustRightInd/>
        <w:snapToGrid/>
        <w:spacing w:line="360" w:lineRule="exact"/>
        <w:ind w:firstLine="0" w:firstLineChars="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75E3E0EB">
      <w:pPr>
        <w:pageBreakBefore w:val="0"/>
        <w:kinsoku/>
        <w:wordWrap/>
        <w:overflowPunct/>
        <w:topLinePunct w:val="0"/>
        <w:autoSpaceDE/>
        <w:autoSpaceDN/>
        <w:bidi w:val="0"/>
        <w:adjustRightInd/>
        <w:spacing w:line="360" w:lineRule="exact"/>
        <w:ind w:right="1080" w:firstLine="482"/>
        <w:jc w:val="right"/>
        <w:textAlignment w:val="auto"/>
        <w:rPr>
          <w:rFonts w:hint="eastAsia" w:ascii="仿宋_GB2312" w:hAnsi="仿宋_GB2312" w:eastAsia="仿宋_GB2312" w:cs="仿宋_GB2312"/>
          <w:b/>
          <w:sz w:val="28"/>
          <w:szCs w:val="28"/>
        </w:rPr>
      </w:pPr>
    </w:p>
    <w:p w14:paraId="01EDA674">
      <w:pPr>
        <w:pStyle w:val="3"/>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rFonts w:hint="eastAsia"/>
        </w:rPr>
      </w:pPr>
      <w:bookmarkStart w:id="304" w:name="_Toc130971898"/>
    </w:p>
    <w:p w14:paraId="68CCCE0A">
      <w:pPr>
        <w:pStyle w:val="3"/>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rFonts w:hint="eastAsia"/>
        </w:rPr>
      </w:pPr>
    </w:p>
    <w:p w14:paraId="203D702C">
      <w:pPr>
        <w:pStyle w:val="3"/>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rFonts w:hint="eastAsia"/>
        </w:rPr>
      </w:pPr>
    </w:p>
    <w:p w14:paraId="58F1CA38">
      <w:pPr>
        <w:rPr>
          <w:rFonts w:hint="eastAsia"/>
        </w:rPr>
      </w:pPr>
    </w:p>
    <w:p w14:paraId="0CC62F54">
      <w:pPr>
        <w:rPr>
          <w:rFonts w:hint="eastAsia"/>
        </w:rPr>
      </w:pPr>
    </w:p>
    <w:p w14:paraId="3249668B">
      <w:pPr>
        <w:rPr>
          <w:rFonts w:hint="eastAsia"/>
        </w:rPr>
      </w:pPr>
    </w:p>
    <w:p w14:paraId="66741284">
      <w:pPr>
        <w:rPr>
          <w:rFonts w:hint="eastAsia"/>
        </w:rPr>
      </w:pPr>
    </w:p>
    <w:p w14:paraId="4E85AF01">
      <w:pPr>
        <w:rPr>
          <w:rFonts w:hint="eastAsia"/>
        </w:rPr>
      </w:pPr>
    </w:p>
    <w:p w14:paraId="4D73F04D">
      <w:pPr>
        <w:pStyle w:val="3"/>
        <w:bidi w:val="0"/>
        <w:ind w:left="0" w:leftChars="0" w:firstLine="0" w:firstLineChars="0"/>
        <w:rPr>
          <w:rFonts w:hint="eastAsia" w:ascii="仿宋_GB2312" w:hAnsi="仿宋_GB2312" w:eastAsia="仿宋_GB2312" w:cs="仿宋_GB2312"/>
          <w:b w:val="0"/>
          <w:bCs/>
          <w:sz w:val="32"/>
          <w:szCs w:val="32"/>
        </w:rPr>
      </w:pPr>
      <w:bookmarkStart w:id="305" w:name="_Toc31006"/>
      <w:bookmarkStart w:id="306" w:name="_Toc14"/>
      <w:r>
        <w:rPr>
          <w:rFonts w:hint="eastAsia" w:ascii="仿宋_GB2312" w:hAnsi="仿宋_GB2312" w:eastAsia="仿宋_GB2312" w:cs="仿宋_GB2312"/>
          <w:b w:val="0"/>
          <w:bCs/>
          <w:sz w:val="32"/>
          <w:szCs w:val="32"/>
        </w:rPr>
        <w:t>附件1</w:t>
      </w:r>
      <w:r>
        <w:rPr>
          <w:rFonts w:hint="eastAsia" w:ascii="仿宋_GB2312" w:hAnsi="仿宋_GB2312" w:eastAsia="仿宋_GB2312" w:cs="仿宋_GB2312"/>
          <w:b w:val="0"/>
          <w:bCs/>
          <w:sz w:val="32"/>
          <w:szCs w:val="32"/>
          <w:lang w:val="en-US" w:eastAsia="zh-CN"/>
        </w:rPr>
        <w:t>8</w:t>
      </w:r>
      <w:r>
        <w:rPr>
          <w:rFonts w:hint="eastAsia" w:ascii="仿宋_GB2312" w:hAnsi="仿宋_GB2312" w:eastAsia="仿宋_GB2312" w:cs="仿宋_GB2312"/>
          <w:b w:val="0"/>
          <w:bCs/>
          <w:sz w:val="32"/>
          <w:szCs w:val="32"/>
        </w:rPr>
        <w:t>：关于符合本国产品标准的声明函</w:t>
      </w:r>
      <w:bookmarkEnd w:id="305"/>
    </w:p>
    <w:p w14:paraId="389685EC">
      <w:pPr>
        <w:autoSpaceDE w:val="0"/>
        <w:autoSpaceDN w:val="0"/>
        <w:spacing w:line="360" w:lineRule="auto"/>
        <w:jc w:val="center"/>
        <w:rPr>
          <w:rFonts w:hint="eastAsia" w:ascii="宋体" w:hAnsi="宋体" w:cs="宋体"/>
          <w:b/>
          <w:bCs/>
          <w:sz w:val="28"/>
          <w:szCs w:val="28"/>
          <w:highlight w:val="none"/>
        </w:rPr>
      </w:pPr>
    </w:p>
    <w:p w14:paraId="46BB2D42">
      <w:pPr>
        <w:bidi w:val="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关于符合本国产品标准的声明函</w:t>
      </w:r>
    </w:p>
    <w:p w14:paraId="33692989">
      <w:pPr>
        <w:bidi w:val="0"/>
        <w:rPr>
          <w:rFonts w:hint="eastAsia" w:ascii="仿宋_GB2312" w:hAnsi="仿宋_GB2312" w:eastAsia="仿宋_GB2312" w:cs="仿宋_GB2312"/>
          <w:sz w:val="28"/>
          <w:szCs w:val="28"/>
        </w:rPr>
      </w:pPr>
    </w:p>
    <w:p w14:paraId="34617E93">
      <w:pPr>
        <w:bidi w:val="0"/>
        <w:ind w:left="0" w:leftChars="0"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lang w:eastAsia="zh-CN"/>
        </w:rPr>
        <w:t>化隆县公共资源交易受理服务部</w:t>
      </w:r>
    </w:p>
    <w:p w14:paraId="5399034D">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本公司（单位）郑重声明，根据《国务院办公厅关于在政府采购中实施本国产品标准及相关政策的通知》（国办发〔2025〕34号）的规定，本公司（单位）提供的以下产品属于本国产品。具体情况如下：</w:t>
      </w:r>
    </w:p>
    <w:p w14:paraId="57336C75">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品名称1），生产厂为（厂名），厂址为（生产厂址）。（产品名称1）的中国境内生产的组件成本占比≥（规定比例）。（产品名称1）的（关键组件）在中国境内生产。（产品名称1）的（关键工序）在中国境内完成。</w:t>
      </w:r>
    </w:p>
    <w:p w14:paraId="10FD6514">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产品名称2），生产厂为（厂名），厂址为（生产厂址）。（产品名称2）的中国境内生产的组件成本占比≥（规定比例）。（产品名称2）的（关键组件）在中国境内生产。（产品名称2）的（关键工序）在中国境内完成。</w:t>
      </w:r>
    </w:p>
    <w:p w14:paraId="125BA6F4">
      <w:pPr>
        <w:bidi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29644B15">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本公司（单位）对上述声明内容的真实性负责。如有虚假，愿承担相应法律责任。</w:t>
      </w:r>
    </w:p>
    <w:p w14:paraId="508E43D7">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公司（单位）名称（盖章）：       　        </w:t>
      </w:r>
    </w:p>
    <w:p w14:paraId="45FA2B37">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    年　  月　  日         </w:t>
      </w:r>
    </w:p>
    <w:p w14:paraId="112BA169">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_______________________________________________________</w:t>
      </w:r>
    </w:p>
    <w:p w14:paraId="1BFB46A1">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1.产品如有型号，请在“产品名称”栏一并填写。</w:t>
      </w:r>
    </w:p>
    <w:p w14:paraId="145498DC">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2.生产厂名与厂址应与生产厂营业执照载明的相关信息保持一致。</w:t>
      </w:r>
    </w:p>
    <w:p w14:paraId="0564737C">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3.该产品的中国境内生产的组件成本占比相关要求实施前，“规定比例”栏可不填，下同。</w:t>
      </w:r>
    </w:p>
    <w:p w14:paraId="23786832">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4.该产品的关键组件要求实施前，“关键组件”栏可不填，下同。</w:t>
      </w:r>
    </w:p>
    <w:p w14:paraId="0D3D10D8">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5.该产品的关键工序要求实施前，“关键工序”栏可不填，下同。</w:t>
      </w:r>
    </w:p>
    <w:p w14:paraId="48F09996">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6.供应商对其提供的产品出具《关于符合本国产品标准的声明函》或财政部会同有关部门规定的有关证明文件。</w:t>
      </w:r>
    </w:p>
    <w:p w14:paraId="52ABAD62">
      <w:pPr>
        <w:bidi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7.若无此项内容，可不提供此函。</w:t>
      </w:r>
    </w:p>
    <w:p w14:paraId="3A358FF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b/>
          <w:bCs/>
          <w:color w:val="auto"/>
          <w:sz w:val="32"/>
          <w:szCs w:val="32"/>
        </w:rPr>
        <w:t>中国境内生产的组件成本核算基本规则</w:t>
      </w:r>
    </w:p>
    <w:p w14:paraId="1E9CED2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2182E8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一、产品的一级组件是指直接组成产品的组件。产品的二级组件是指直接组成产品一级组件的组件。一级组件不可分解的，视同二级组件。</w:t>
      </w:r>
    </w:p>
    <w:p w14:paraId="634D331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二、二级组件在中国境内生产的，其全部成本计入中国境内生产的组件成本；二级组件不在中国境内生产的，其成本不计入中国境内生产的组件成本。</w:t>
      </w:r>
    </w:p>
    <w:p w14:paraId="247FFFB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三、产品总成本和组件成本以相关会计核算数据、采购合同、进货记录等为基础进行计算。</w:t>
      </w:r>
    </w:p>
    <w:p w14:paraId="1E49732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四、需要对成本核算规则予以进一步明确的其他有关事项，由财政部会同有关部门另行规定。</w:t>
      </w:r>
    </w:p>
    <w:p w14:paraId="40ECFE4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6751278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1940AB3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69CB165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4F4F9C1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1D31C72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3F570F0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11BADA7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0039E1A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6C7E8A1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6F629FF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7A2FF1D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6A08E41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25F0246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101B456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60B41CA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32883BB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1EC9B3D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746EC71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3E7D30E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334F03F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06F10F8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01535E3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215F362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_GB2312" w:hAnsi="仿宋_GB2312" w:eastAsia="仿宋_GB2312" w:cs="仿宋_GB2312"/>
          <w:color w:val="auto"/>
          <w:sz w:val="28"/>
          <w:szCs w:val="28"/>
        </w:rPr>
      </w:pPr>
    </w:p>
    <w:p w14:paraId="72F61A42">
      <w:pPr>
        <w:pStyle w:val="3"/>
        <w:bidi w:val="0"/>
        <w:ind w:left="0" w:leftChars="0" w:firstLine="0" w:firstLineChars="0"/>
        <w:rPr>
          <w:rFonts w:hint="eastAsia" w:ascii="仿宋_GB2312" w:hAnsi="仿宋_GB2312" w:eastAsia="仿宋_GB2312" w:cs="仿宋_GB2312"/>
          <w:b w:val="0"/>
          <w:bCs/>
        </w:rPr>
      </w:pPr>
      <w:bookmarkStart w:id="307" w:name="_Toc15969"/>
      <w:r>
        <w:rPr>
          <w:rFonts w:hint="eastAsia" w:ascii="仿宋_GB2312" w:hAnsi="仿宋_GB2312" w:eastAsia="仿宋_GB2312" w:cs="仿宋_GB2312"/>
          <w:b w:val="0"/>
          <w:bCs/>
        </w:rPr>
        <w:t>附件1</w:t>
      </w:r>
      <w:r>
        <w:rPr>
          <w:rFonts w:hint="eastAsia" w:ascii="仿宋_GB2312" w:hAnsi="仿宋_GB2312" w:eastAsia="仿宋_GB2312" w:cs="仿宋_GB2312"/>
          <w:b w:val="0"/>
          <w:bCs/>
          <w:lang w:val="en-US" w:eastAsia="zh-CN"/>
        </w:rPr>
        <w:t>9</w:t>
      </w:r>
      <w:r>
        <w:rPr>
          <w:rFonts w:hint="eastAsia" w:ascii="仿宋_GB2312" w:hAnsi="仿宋_GB2312" w:eastAsia="仿宋_GB2312" w:cs="仿宋_GB2312"/>
          <w:b w:val="0"/>
          <w:bCs/>
        </w:rPr>
        <w:t>：</w:t>
      </w:r>
      <w:bookmarkEnd w:id="297"/>
      <w:r>
        <w:rPr>
          <w:rFonts w:hint="eastAsia" w:ascii="仿宋_GB2312" w:hAnsi="仿宋_GB2312" w:eastAsia="仿宋_GB2312" w:cs="仿宋_GB2312"/>
          <w:b w:val="0"/>
          <w:bCs/>
        </w:rPr>
        <w:t>项目管理实施方案及售后服务</w:t>
      </w:r>
      <w:bookmarkEnd w:id="304"/>
      <w:bookmarkEnd w:id="306"/>
      <w:bookmarkEnd w:id="307"/>
    </w:p>
    <w:p w14:paraId="0454685E">
      <w:pPr>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项目管理实施方案及售后服务</w:t>
      </w:r>
    </w:p>
    <w:p w14:paraId="20A5CC3E">
      <w:pPr>
        <w:pageBreakBefore w:val="0"/>
        <w:widowControl w:val="0"/>
        <w:kinsoku/>
        <w:wordWrap/>
        <w:overflowPunct/>
        <w:topLinePunct w:val="0"/>
        <w:autoSpaceDE/>
        <w:autoSpaceDN/>
        <w:bidi w:val="0"/>
        <w:adjustRightInd/>
        <w:snapToGrid/>
        <w:spacing w:line="360" w:lineRule="exact"/>
        <w:textAlignment w:val="auto"/>
        <w:rPr>
          <w:rFonts w:hint="eastAsia"/>
        </w:rPr>
      </w:pPr>
    </w:p>
    <w:p w14:paraId="562C144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按照招标文件评标标准中的相关要求，提供：</w:t>
      </w:r>
    </w:p>
    <w:p w14:paraId="222996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1.详细的项目管理方案。包含实施计划、实施团队、实施进度、质量控制措施和安全保障措施。</w:t>
      </w:r>
    </w:p>
    <w:p w14:paraId="13E49E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2.完善的售后服务体系。包含售后服务机构和人员、售后服务内容和流程、售后服务响应时间和质量、售后服务方式和特色。</w:t>
      </w:r>
    </w:p>
    <w:p w14:paraId="723F36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仿宋_GB2312"/>
          <w:lang w:val="en-US" w:eastAsia="zh-CN"/>
        </w:rPr>
      </w:pPr>
      <w:r>
        <w:rPr>
          <w:rFonts w:hint="eastAsia" w:ascii="仿宋_GB2312" w:hAnsi="仿宋_GB2312" w:eastAsia="仿宋_GB2312" w:cs="仿宋_GB2312"/>
          <w:sz w:val="28"/>
          <w:szCs w:val="28"/>
        </w:rPr>
        <w:t>3.售后服务相关承诺</w:t>
      </w:r>
      <w:bookmarkStart w:id="308" w:name="_Toc130971899"/>
      <w:bookmarkStart w:id="309" w:name="_Toc67558057"/>
      <w:r>
        <w:rPr>
          <w:rFonts w:hint="eastAsia" w:ascii="仿宋_GB2312" w:hAnsi="仿宋_GB2312" w:eastAsia="仿宋_GB2312" w:cs="仿宋_GB2312"/>
          <w:sz w:val="28"/>
          <w:szCs w:val="28"/>
          <w:lang w:eastAsia="zh-CN"/>
        </w:rPr>
        <w:t>。</w:t>
      </w:r>
    </w:p>
    <w:p w14:paraId="7884BF38">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30964454">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314F8473">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6D135463">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3DE744CA">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63F8E66B">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2A2B6876">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1398A65A">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4E6A056E">
      <w:pPr>
        <w:pStyle w:val="3"/>
        <w:keepNext/>
        <w:keepLines/>
        <w:pageBreakBefore w:val="0"/>
        <w:widowControl w:val="0"/>
        <w:kinsoku/>
        <w:wordWrap/>
        <w:overflowPunct/>
        <w:topLinePunct w:val="0"/>
        <w:autoSpaceDE/>
        <w:autoSpaceDN/>
        <w:bidi w:val="0"/>
        <w:adjustRightInd/>
        <w:snapToGrid/>
        <w:spacing w:before="0" w:after="0" w:line="360" w:lineRule="exact"/>
        <w:textAlignment w:val="auto"/>
        <w:rPr>
          <w:rFonts w:hint="eastAsia"/>
        </w:rPr>
      </w:pPr>
    </w:p>
    <w:p w14:paraId="4FA5C329">
      <w:pPr>
        <w:rPr>
          <w:rFonts w:hint="eastAsia"/>
        </w:rPr>
      </w:pPr>
    </w:p>
    <w:p w14:paraId="65EED821">
      <w:pPr>
        <w:rPr>
          <w:rFonts w:hint="eastAsia"/>
        </w:rPr>
      </w:pPr>
    </w:p>
    <w:p w14:paraId="37C768E3">
      <w:pPr>
        <w:rPr>
          <w:rFonts w:hint="eastAsia"/>
        </w:rPr>
      </w:pPr>
    </w:p>
    <w:p w14:paraId="78A9B89F">
      <w:pPr>
        <w:rPr>
          <w:rFonts w:hint="eastAsia"/>
        </w:rPr>
      </w:pPr>
    </w:p>
    <w:p w14:paraId="008E9A15">
      <w:pPr>
        <w:rPr>
          <w:rFonts w:hint="eastAsia"/>
        </w:rPr>
      </w:pPr>
    </w:p>
    <w:p w14:paraId="79704E7E">
      <w:pPr>
        <w:rPr>
          <w:rFonts w:hint="eastAsia"/>
        </w:rPr>
      </w:pPr>
    </w:p>
    <w:p w14:paraId="1BF07519">
      <w:pPr>
        <w:rPr>
          <w:rFonts w:hint="eastAsia"/>
        </w:rPr>
      </w:pPr>
    </w:p>
    <w:p w14:paraId="73A2B814">
      <w:pPr>
        <w:rPr>
          <w:rFonts w:hint="eastAsia"/>
        </w:rPr>
      </w:pPr>
    </w:p>
    <w:p w14:paraId="6050BEA6">
      <w:pPr>
        <w:rPr>
          <w:rFonts w:hint="eastAsia"/>
        </w:rPr>
      </w:pPr>
    </w:p>
    <w:p w14:paraId="1B15F249">
      <w:pPr>
        <w:rPr>
          <w:rFonts w:hint="eastAsia"/>
        </w:rPr>
      </w:pPr>
    </w:p>
    <w:p w14:paraId="5493F7D6">
      <w:pPr>
        <w:rPr>
          <w:rFonts w:hint="eastAsia"/>
        </w:rPr>
      </w:pPr>
    </w:p>
    <w:p w14:paraId="5C8677AB">
      <w:pPr>
        <w:rPr>
          <w:rFonts w:hint="eastAsia"/>
        </w:rPr>
      </w:pPr>
    </w:p>
    <w:p w14:paraId="3860ADDA">
      <w:pPr>
        <w:pStyle w:val="3"/>
        <w:keepNext/>
        <w:keepLines/>
        <w:pageBreakBefore w:val="0"/>
        <w:widowControl w:val="0"/>
        <w:kinsoku/>
        <w:wordWrap/>
        <w:overflowPunct/>
        <w:topLinePunct w:val="0"/>
        <w:autoSpaceDE/>
        <w:autoSpaceDN/>
        <w:bidi w:val="0"/>
        <w:adjustRightInd/>
        <w:snapToGrid/>
        <w:spacing w:line="413" w:lineRule="auto"/>
        <w:ind w:left="0" w:leftChars="0" w:firstLine="0" w:firstLineChars="0"/>
        <w:textAlignment w:val="auto"/>
        <w:rPr>
          <w:rFonts w:hint="eastAsia"/>
        </w:rPr>
      </w:pPr>
    </w:p>
    <w:p w14:paraId="126E10AE">
      <w:pPr>
        <w:rPr>
          <w:rFonts w:hint="eastAsia"/>
        </w:rPr>
      </w:pPr>
    </w:p>
    <w:p w14:paraId="3FAC61B1">
      <w:pPr>
        <w:pStyle w:val="3"/>
        <w:bidi w:val="0"/>
        <w:ind w:left="0" w:leftChars="0" w:firstLine="0" w:firstLineChars="0"/>
        <w:rPr>
          <w:rFonts w:hint="eastAsia" w:ascii="仿宋_GB2312" w:hAnsi="仿宋_GB2312" w:eastAsia="仿宋_GB2312" w:cs="仿宋_GB2312"/>
          <w:b w:val="0"/>
          <w:bCs/>
          <w:sz w:val="32"/>
          <w:szCs w:val="32"/>
        </w:rPr>
      </w:pPr>
      <w:bookmarkStart w:id="310" w:name="_Toc5454"/>
      <w:bookmarkStart w:id="311" w:name="_Toc4005"/>
      <w:r>
        <w:rPr>
          <w:rFonts w:hint="eastAsia" w:ascii="仿宋_GB2312" w:hAnsi="仿宋_GB2312" w:eastAsia="仿宋_GB2312" w:cs="仿宋_GB2312"/>
          <w:b w:val="0"/>
          <w:bCs/>
          <w:sz w:val="32"/>
          <w:szCs w:val="32"/>
        </w:rPr>
        <w:t>附件</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rPr>
        <w:t>：投标人认为在其他方面有必要说明的事项</w:t>
      </w:r>
      <w:bookmarkEnd w:id="308"/>
      <w:bookmarkEnd w:id="309"/>
      <w:bookmarkEnd w:id="310"/>
      <w:bookmarkEnd w:id="311"/>
    </w:p>
    <w:p w14:paraId="70799DB8">
      <w:pPr>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投标人认为在其他方面有必要说明的事项</w:t>
      </w:r>
    </w:p>
    <w:p w14:paraId="6E393E33">
      <w:pPr>
        <w:pageBreakBefore w:val="0"/>
        <w:widowControl w:val="0"/>
        <w:kinsoku/>
        <w:wordWrap/>
        <w:overflowPunct/>
        <w:topLinePunct w:val="0"/>
        <w:autoSpaceDE/>
        <w:autoSpaceDN/>
        <w:bidi w:val="0"/>
        <w:adjustRightInd/>
        <w:snapToGrid/>
        <w:spacing w:line="360" w:lineRule="exact"/>
        <w:jc w:val="center"/>
        <w:textAlignment w:val="auto"/>
        <w:rPr>
          <w:rFonts w:hint="eastAsia"/>
          <w:sz w:val="28"/>
          <w:szCs w:val="28"/>
        </w:rPr>
      </w:pPr>
      <w:r>
        <w:rPr>
          <w:rFonts w:hint="eastAsia"/>
          <w:sz w:val="28"/>
          <w:szCs w:val="28"/>
        </w:rPr>
        <w:t>（格式自定）</w:t>
      </w:r>
    </w:p>
    <w:p w14:paraId="0A31A12E">
      <w:pPr>
        <w:pageBreakBefore w:val="0"/>
        <w:widowControl w:val="0"/>
        <w:kinsoku/>
        <w:wordWrap/>
        <w:overflowPunct/>
        <w:topLinePunct w:val="0"/>
        <w:autoSpaceDE/>
        <w:autoSpaceDN/>
        <w:bidi w:val="0"/>
        <w:adjustRightInd/>
        <w:snapToGrid/>
        <w:spacing w:line="360" w:lineRule="exact"/>
        <w:textAlignment w:val="auto"/>
        <w:rPr>
          <w:rFonts w:hint="eastAsia"/>
        </w:rPr>
      </w:pPr>
    </w:p>
    <w:bookmarkEnd w:id="298"/>
    <w:p w14:paraId="4E3096A8">
      <w:pPr>
        <w:pageBreakBefore w:val="0"/>
        <w:widowControl w:val="0"/>
        <w:tabs>
          <w:tab w:val="left" w:pos="168"/>
        </w:tabs>
        <w:kinsoku/>
        <w:wordWrap/>
        <w:overflowPunct/>
        <w:topLinePunct w:val="0"/>
        <w:autoSpaceDE/>
        <w:autoSpaceDN/>
        <w:bidi w:val="0"/>
        <w:adjustRightInd w:val="0"/>
        <w:snapToGrid/>
        <w:spacing w:line="360" w:lineRule="exact"/>
        <w:ind w:firstLine="0" w:firstLineChars="0"/>
        <w:jc w:val="center"/>
        <w:textAlignment w:val="baseline"/>
        <w:rPr>
          <w:rFonts w:hint="eastAsia" w:ascii="仿宋_GB2312" w:hAnsi="仿宋_GB2312" w:eastAsia="仿宋_GB2312" w:cs="仿宋_GB2312"/>
          <w:b/>
          <w:bCs/>
          <w:sz w:val="28"/>
          <w:szCs w:val="28"/>
        </w:rPr>
      </w:pPr>
      <w:r>
        <w:rPr>
          <w:rFonts w:hint="eastAsia" w:ascii="仿宋_GB2312" w:hAnsi="仿宋_GB2312" w:eastAsia="仿宋_GB2312" w:cs="仿宋_GB2312"/>
          <w:b/>
          <w:sz w:val="28"/>
          <w:szCs w:val="28"/>
        </w:rPr>
        <w:br w:type="page"/>
      </w:r>
    </w:p>
    <w:p w14:paraId="453A9071">
      <w:pPr>
        <w:pStyle w:val="2"/>
        <w:bidi w:val="0"/>
        <w:rPr>
          <w:rFonts w:hint="eastAsia" w:ascii="方正小标宋简体" w:hAnsi="方正小标宋简体" w:eastAsia="方正小标宋简体" w:cs="方正小标宋简体"/>
          <w:b/>
          <w:bCs w:val="0"/>
        </w:rPr>
      </w:pPr>
      <w:bookmarkStart w:id="312" w:name="_Toc22296"/>
      <w:bookmarkStart w:id="313" w:name="_Toc376936782"/>
      <w:bookmarkStart w:id="314" w:name="_Toc325726051"/>
      <w:bookmarkStart w:id="315" w:name="_Toc130971900"/>
      <w:bookmarkStart w:id="316" w:name="_Toc16158"/>
      <w:r>
        <w:rPr>
          <w:rFonts w:hint="eastAsia" w:ascii="方正小标宋简体" w:hAnsi="方正小标宋简体" w:eastAsia="方正小标宋简体" w:cs="方正小标宋简体"/>
          <w:b/>
          <w:bCs w:val="0"/>
        </w:rPr>
        <w:t>第五部分  采购项目要求及技术参数</w:t>
      </w:r>
      <w:bookmarkEnd w:id="312"/>
      <w:bookmarkEnd w:id="313"/>
      <w:bookmarkEnd w:id="314"/>
      <w:bookmarkEnd w:id="315"/>
      <w:bookmarkEnd w:id="316"/>
    </w:p>
    <w:p w14:paraId="333D4CDF">
      <w:pPr>
        <w:pStyle w:val="3"/>
        <w:pageBreakBefore w:val="0"/>
        <w:kinsoku/>
        <w:wordWrap/>
        <w:overflowPunct/>
        <w:topLinePunct w:val="0"/>
        <w:autoSpaceDE/>
        <w:autoSpaceDN/>
        <w:bidi w:val="0"/>
        <w:adjustRightInd/>
        <w:snapToGrid/>
        <w:spacing w:before="0" w:beforeLines="0" w:beforeAutospacing="0" w:after="0" w:afterLines="0" w:afterAutospacing="0" w:line="360" w:lineRule="exact"/>
        <w:ind w:left="0" w:leftChars="0" w:firstLine="643" w:firstLineChars="200"/>
        <w:textAlignment w:val="auto"/>
        <w:rPr>
          <w:rFonts w:hint="eastAsia" w:ascii="仿宋_GB2312" w:hAnsi="仿宋_GB2312" w:eastAsia="仿宋_GB2312" w:cs="仿宋_GB2312"/>
        </w:rPr>
      </w:pPr>
      <w:bookmarkStart w:id="317" w:name="_Toc130971901"/>
      <w:bookmarkStart w:id="318" w:name="_Toc5579"/>
      <w:bookmarkStart w:id="319" w:name="_Toc325726052"/>
      <w:bookmarkStart w:id="320" w:name="_Toc376936783"/>
    </w:p>
    <w:p w14:paraId="4DBAAF4A">
      <w:pPr>
        <w:pStyle w:val="3"/>
        <w:pageBreakBefore w:val="0"/>
        <w:kinsoku/>
        <w:wordWrap/>
        <w:overflowPunct/>
        <w:topLinePunct w:val="0"/>
        <w:autoSpaceDE/>
        <w:autoSpaceDN/>
        <w:bidi w:val="0"/>
        <w:adjustRightInd/>
        <w:snapToGrid/>
        <w:spacing w:before="0" w:beforeLines="0" w:beforeAutospacing="0" w:after="0" w:afterLines="0" w:afterAutospacing="0" w:line="360" w:lineRule="exact"/>
        <w:ind w:left="0" w:leftChars="0" w:firstLine="562" w:firstLineChars="200"/>
        <w:textAlignment w:val="auto"/>
        <w:rPr>
          <w:rFonts w:hint="eastAsia" w:ascii="仿宋_GB2312" w:hAnsi="仿宋_GB2312" w:eastAsia="仿宋_GB2312" w:cs="仿宋_GB2312"/>
          <w:sz w:val="28"/>
          <w:szCs w:val="28"/>
        </w:rPr>
      </w:pPr>
      <w:bookmarkStart w:id="321" w:name="_Toc29591"/>
      <w:r>
        <w:rPr>
          <w:rFonts w:hint="eastAsia" w:ascii="仿宋_GB2312" w:hAnsi="仿宋_GB2312" w:eastAsia="仿宋_GB2312" w:cs="仿宋_GB2312"/>
          <w:sz w:val="28"/>
          <w:szCs w:val="28"/>
        </w:rPr>
        <w:t>一、投标要求</w:t>
      </w:r>
      <w:bookmarkEnd w:id="317"/>
      <w:bookmarkEnd w:id="318"/>
      <w:bookmarkEnd w:id="319"/>
      <w:bookmarkEnd w:id="320"/>
      <w:bookmarkEnd w:id="321"/>
    </w:p>
    <w:p w14:paraId="3324CADB">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22" w:name="_Toc325726053"/>
      <w:bookmarkStart w:id="323" w:name="_Toc29552"/>
      <w:bookmarkStart w:id="324" w:name="_Toc130971902"/>
      <w:bookmarkStart w:id="325" w:name="_Toc376936784"/>
      <w:bookmarkStart w:id="326" w:name="_Toc18284"/>
      <w:r>
        <w:rPr>
          <w:rFonts w:hint="eastAsia" w:ascii="仿宋_GB2312" w:hAnsi="仿宋_GB2312" w:eastAsia="仿宋_GB2312" w:cs="仿宋_GB2312"/>
          <w:b/>
          <w:bCs/>
          <w:kern w:val="0"/>
          <w:sz w:val="28"/>
          <w:szCs w:val="28"/>
        </w:rPr>
        <w:t>1.投标说明</w:t>
      </w:r>
      <w:bookmarkEnd w:id="322"/>
      <w:bookmarkEnd w:id="323"/>
      <w:bookmarkEnd w:id="324"/>
      <w:bookmarkEnd w:id="325"/>
      <w:bookmarkEnd w:id="326"/>
    </w:p>
    <w:p w14:paraId="6EA96572">
      <w:pPr>
        <w:pageBreakBefore w:val="0"/>
        <w:kinsoku/>
        <w:wordWrap/>
        <w:overflowPunct/>
        <w:topLinePunct w:val="0"/>
        <w:autoSpaceDE/>
        <w:autoSpaceDN/>
        <w:bidi w:val="0"/>
        <w:adjustRightInd/>
        <w:snapToGrid/>
        <w:spacing w:beforeAutospacing="0" w:afterAutospacing="0" w:line="360" w:lineRule="exact"/>
        <w:ind w:firstLine="548" w:firstLineChars="196"/>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1.1投标人对</w:t>
      </w:r>
      <w:r>
        <w:rPr>
          <w:rFonts w:hint="eastAsia" w:ascii="仿宋_GB2312" w:hAnsi="仿宋_GB2312" w:eastAsia="仿宋_GB2312" w:cs="仿宋_GB2312"/>
          <w:sz w:val="28"/>
          <w:szCs w:val="28"/>
          <w:lang w:eastAsia="zh-CN"/>
        </w:rPr>
        <w:t>招标文件采购需求中</w:t>
      </w:r>
      <w:r>
        <w:rPr>
          <w:rFonts w:hint="eastAsia" w:ascii="仿宋_GB2312" w:hAnsi="仿宋_GB2312" w:eastAsia="仿宋_GB2312" w:cs="仿宋_GB2312"/>
          <w:sz w:val="28"/>
          <w:szCs w:val="28"/>
        </w:rPr>
        <w:t>所有内容作为一个整体进行投标，不能拆分或少报。否则，投标无效。</w:t>
      </w:r>
    </w:p>
    <w:p w14:paraId="0165D797">
      <w:pPr>
        <w:pageBreakBefore w:val="0"/>
        <w:kinsoku/>
        <w:wordWrap/>
        <w:overflowPunct/>
        <w:topLinePunct w:val="0"/>
        <w:autoSpaceDE/>
        <w:autoSpaceDN/>
        <w:bidi w:val="0"/>
        <w:adjustRightInd/>
        <w:snapToGrid/>
        <w:spacing w:beforeAutospacing="0" w:afterAutospacing="0" w:line="360" w:lineRule="exact"/>
        <w:ind w:firstLine="548" w:firstLineChars="196"/>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1.2投标报价为投标总价。包括产品费、检验费、手续费、包装费、运输费、保险费、安装调试费、税金及不可预见费等全部费用。若投标报价不能完全包括上述内容，按无效投标处理。</w:t>
      </w:r>
    </w:p>
    <w:p w14:paraId="15B07A27">
      <w:pPr>
        <w:pageBreakBefore w:val="0"/>
        <w:kinsoku/>
        <w:wordWrap/>
        <w:overflowPunct/>
        <w:topLinePunct w:val="0"/>
        <w:autoSpaceDE/>
        <w:autoSpaceDN/>
        <w:bidi w:val="0"/>
        <w:adjustRightInd/>
        <w:snapToGrid/>
        <w:spacing w:beforeAutospacing="0" w:afterAutospacing="0" w:line="360" w:lineRule="exact"/>
        <w:ind w:firstLine="548" w:firstLineChars="196"/>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1.3本次采购产品均为国产产品，所投产品必须符合国家的强制性标准。</w:t>
      </w:r>
    </w:p>
    <w:p w14:paraId="102659DB">
      <w:pPr>
        <w:pageBreakBefore w:val="0"/>
        <w:kinsoku/>
        <w:wordWrap/>
        <w:overflowPunct/>
        <w:topLinePunct w:val="0"/>
        <w:autoSpaceDE/>
        <w:autoSpaceDN/>
        <w:bidi w:val="0"/>
        <w:adjustRightInd/>
        <w:snapToGrid/>
        <w:spacing w:beforeAutospacing="0" w:afterAutospacing="0" w:line="360" w:lineRule="exact"/>
        <w:ind w:firstLine="548" w:firstLineChars="196"/>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1.4所投产品或其任何一部分不得侵犯专利权、著作权、商标权和工业设计权等知识产权。</w:t>
      </w:r>
    </w:p>
    <w:p w14:paraId="61FAA8F0">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27" w:name="_Toc376936785"/>
      <w:bookmarkStart w:id="328" w:name="_Toc130971903"/>
      <w:bookmarkStart w:id="329" w:name="_Toc23415"/>
      <w:bookmarkStart w:id="330" w:name="_Toc2658"/>
      <w:bookmarkStart w:id="331" w:name="_Toc325726054"/>
      <w:r>
        <w:rPr>
          <w:rFonts w:hint="eastAsia" w:ascii="仿宋_GB2312" w:hAnsi="仿宋_GB2312" w:eastAsia="仿宋_GB2312" w:cs="仿宋_GB2312"/>
          <w:b/>
          <w:bCs/>
          <w:kern w:val="0"/>
          <w:sz w:val="28"/>
          <w:szCs w:val="28"/>
        </w:rPr>
        <w:t>2.报价说明</w:t>
      </w:r>
      <w:bookmarkEnd w:id="327"/>
      <w:bookmarkEnd w:id="328"/>
      <w:bookmarkEnd w:id="329"/>
      <w:bookmarkEnd w:id="330"/>
    </w:p>
    <w:p w14:paraId="4F971D3B">
      <w:pPr>
        <w:pageBreakBefore w:val="0"/>
        <w:kinsoku/>
        <w:wordWrap/>
        <w:overflowPunct/>
        <w:topLinePunct w:val="0"/>
        <w:autoSpaceDE/>
        <w:autoSpaceDN/>
        <w:bidi w:val="0"/>
        <w:adjustRightInd/>
        <w:snapToGrid/>
        <w:spacing w:beforeAutospacing="0" w:afterAutospacing="0" w:line="360" w:lineRule="exact"/>
        <w:ind w:firstLine="548" w:firstLineChars="196"/>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本次招标文件中规定的采购预算为招标最高限价，投标单位的投标报价不得超出此预算。否则，投标无效。</w:t>
      </w:r>
    </w:p>
    <w:p w14:paraId="1F71E54F">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32" w:name="_Toc130971904"/>
      <w:bookmarkStart w:id="333" w:name="_Toc30190"/>
      <w:bookmarkStart w:id="334" w:name="_Toc376936786"/>
      <w:bookmarkStart w:id="335" w:name="_Toc3988"/>
      <w:r>
        <w:rPr>
          <w:rFonts w:hint="eastAsia" w:ascii="仿宋_GB2312" w:hAnsi="仿宋_GB2312" w:eastAsia="仿宋_GB2312" w:cs="仿宋_GB2312"/>
          <w:b/>
          <w:bCs/>
          <w:kern w:val="0"/>
          <w:sz w:val="28"/>
          <w:szCs w:val="28"/>
        </w:rPr>
        <w:t>3.重要指标</w:t>
      </w:r>
      <w:bookmarkEnd w:id="331"/>
      <w:bookmarkEnd w:id="332"/>
      <w:bookmarkEnd w:id="333"/>
      <w:bookmarkEnd w:id="334"/>
      <w:bookmarkEnd w:id="335"/>
    </w:p>
    <w:p w14:paraId="190B2349">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招标文件在技术参数中列出了</w:t>
      </w:r>
      <w:r>
        <w:rPr>
          <w:rFonts w:hint="eastAsia" w:ascii="仿宋_GB2312" w:hAnsi="仿宋_GB2312" w:eastAsia="仿宋_GB2312" w:cs="仿宋_GB2312"/>
          <w:sz w:val="28"/>
          <w:szCs w:val="28"/>
          <w:lang w:val="en-US" w:eastAsia="zh-CN"/>
        </w:rPr>
        <w:t>采购</w:t>
      </w:r>
      <w:r>
        <w:rPr>
          <w:rFonts w:hint="eastAsia" w:ascii="仿宋_GB2312" w:hAnsi="仿宋_GB2312" w:eastAsia="仿宋_GB2312" w:cs="仿宋_GB2312"/>
          <w:sz w:val="28"/>
          <w:szCs w:val="28"/>
        </w:rPr>
        <w:t>人可以接受的最低技术指标，投标人必须对技术参数一览表中各项产品和指标进行响应，所提供的每一项技术指标</w:t>
      </w:r>
      <w:r>
        <w:rPr>
          <w:rFonts w:hint="eastAsia" w:ascii="仿宋_GB2312" w:hAnsi="仿宋_GB2312" w:eastAsia="仿宋_GB2312" w:cs="仿宋_GB2312"/>
          <w:sz w:val="28"/>
          <w:szCs w:val="28"/>
          <w:lang w:val="en-US" w:eastAsia="zh-CN"/>
        </w:rPr>
        <w:t>原则上</w:t>
      </w:r>
      <w:r>
        <w:rPr>
          <w:rFonts w:hint="eastAsia" w:ascii="仿宋_GB2312" w:hAnsi="仿宋_GB2312" w:eastAsia="仿宋_GB2312" w:cs="仿宋_GB2312"/>
          <w:sz w:val="28"/>
          <w:szCs w:val="28"/>
        </w:rPr>
        <w:t>不能低于所列的各项指标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投标人提供的投标产品相关资料不满足或未提供的，按负偏离处理</w:t>
      </w:r>
      <w:r>
        <w:rPr>
          <w:rFonts w:hint="eastAsia" w:ascii="仿宋_GB2312" w:hAnsi="仿宋_GB2312" w:eastAsia="仿宋_GB2312" w:cs="仿宋_GB2312"/>
          <w:sz w:val="28"/>
          <w:szCs w:val="28"/>
        </w:rPr>
        <w:t>。</w:t>
      </w:r>
    </w:p>
    <w:p w14:paraId="5FFA7363">
      <w:pPr>
        <w:pStyle w:val="3"/>
        <w:pageBreakBefore w:val="0"/>
        <w:kinsoku/>
        <w:wordWrap/>
        <w:overflowPunct/>
        <w:topLinePunct w:val="0"/>
        <w:autoSpaceDE/>
        <w:autoSpaceDN/>
        <w:bidi w:val="0"/>
        <w:adjustRightInd/>
        <w:snapToGrid/>
        <w:spacing w:before="0" w:beforeLines="0" w:beforeAutospacing="0" w:after="0" w:afterLines="0" w:afterAutospacing="0" w:line="360" w:lineRule="exact"/>
        <w:ind w:left="0" w:leftChars="0" w:firstLine="562" w:firstLineChars="200"/>
        <w:textAlignment w:val="auto"/>
        <w:rPr>
          <w:rFonts w:hint="eastAsia" w:ascii="仿宋_GB2312" w:hAnsi="仿宋_GB2312" w:eastAsia="仿宋_GB2312" w:cs="仿宋_GB2312"/>
          <w:sz w:val="28"/>
          <w:szCs w:val="28"/>
        </w:rPr>
      </w:pPr>
      <w:bookmarkStart w:id="336" w:name="_Toc325726061"/>
      <w:bookmarkStart w:id="337" w:name="_Toc28308"/>
      <w:bookmarkStart w:id="338" w:name="_Toc376936787"/>
      <w:bookmarkStart w:id="339" w:name="_Toc14702"/>
      <w:r>
        <w:rPr>
          <w:rFonts w:hint="eastAsia" w:ascii="仿宋_GB2312" w:hAnsi="仿宋_GB2312" w:eastAsia="仿宋_GB2312" w:cs="仿宋_GB2312"/>
          <w:sz w:val="28"/>
          <w:szCs w:val="28"/>
        </w:rPr>
        <w:t>二</w:t>
      </w:r>
      <w:bookmarkEnd w:id="336"/>
      <w:r>
        <w:rPr>
          <w:rFonts w:hint="eastAsia" w:ascii="仿宋_GB2312" w:hAnsi="仿宋_GB2312" w:eastAsia="仿宋_GB2312" w:cs="仿宋_GB2312"/>
          <w:sz w:val="28"/>
          <w:szCs w:val="28"/>
        </w:rPr>
        <w:t>、项目概况及技术参数</w:t>
      </w:r>
      <w:bookmarkEnd w:id="337"/>
      <w:bookmarkEnd w:id="338"/>
      <w:bookmarkEnd w:id="339"/>
    </w:p>
    <w:p w14:paraId="2C6CF82D">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40" w:name="_Toc130971905"/>
      <w:bookmarkStart w:id="341" w:name="_Toc14016"/>
      <w:bookmarkStart w:id="342" w:name="_Toc11632"/>
      <w:bookmarkStart w:id="343" w:name="_Toc376936788"/>
      <w:bookmarkStart w:id="344" w:name="_Toc25727"/>
      <w:r>
        <w:rPr>
          <w:rFonts w:hint="eastAsia" w:ascii="仿宋_GB2312" w:hAnsi="仿宋_GB2312" w:eastAsia="仿宋_GB2312" w:cs="仿宋_GB2312"/>
          <w:b/>
          <w:bCs/>
          <w:kern w:val="0"/>
          <w:sz w:val="28"/>
          <w:szCs w:val="28"/>
        </w:rPr>
        <w:t>1.项目概况</w:t>
      </w:r>
      <w:bookmarkEnd w:id="340"/>
      <w:bookmarkEnd w:id="341"/>
      <w:bookmarkEnd w:id="342"/>
      <w:bookmarkEnd w:id="343"/>
      <w:bookmarkEnd w:id="344"/>
    </w:p>
    <w:p w14:paraId="5D895D92">
      <w:pPr>
        <w:keepNext w:val="0"/>
        <w:keepLines w:val="0"/>
        <w:pageBreakBefore w:val="0"/>
        <w:widowControl w:val="0"/>
        <w:kinsoku/>
        <w:wordWrap/>
        <w:overflowPunct/>
        <w:topLinePunct w:val="0"/>
        <w:autoSpaceDE/>
        <w:autoSpaceDN/>
        <w:bidi w:val="0"/>
        <w:adjustRightInd w:val="0"/>
        <w:snapToGrid/>
        <w:spacing w:line="360" w:lineRule="exact"/>
        <w:textAlignment w:val="baseline"/>
        <w:rPr>
          <w:rFonts w:hint="default" w:ascii="仿宋_GB2312" w:hAnsi="仿宋_GB2312" w:eastAsia="仿宋_GB2312" w:cs="仿宋_GB2312"/>
          <w:b w:val="0"/>
          <w:bCs/>
          <w:sz w:val="28"/>
          <w:szCs w:val="28"/>
          <w:lang w:val="en-US" w:eastAsia="zh-CN"/>
        </w:rPr>
      </w:pPr>
      <w:bookmarkStart w:id="345" w:name="_Toc17190"/>
      <w:r>
        <w:rPr>
          <w:rFonts w:hint="eastAsia" w:ascii="仿宋_GB2312" w:hAnsi="仿宋_GB2312" w:eastAsia="仿宋_GB2312" w:cs="仿宋_GB2312"/>
          <w:color w:val="000000"/>
          <w:sz w:val="28"/>
          <w:szCs w:val="28"/>
        </w:rPr>
        <w:t>1.1</w:t>
      </w:r>
      <w:bookmarkEnd w:id="345"/>
      <w:r>
        <w:rPr>
          <w:rFonts w:hint="eastAsia" w:ascii="仿宋_GB2312" w:hAnsi="仿宋_GB2312" w:eastAsia="仿宋_GB2312" w:cs="仿宋_GB2312"/>
          <w:color w:val="000000"/>
          <w:sz w:val="28"/>
          <w:szCs w:val="28"/>
        </w:rPr>
        <w:t>项目名称：</w:t>
      </w:r>
      <w:r>
        <w:rPr>
          <w:rFonts w:hint="eastAsia" w:ascii="仿宋_GB2312" w:hAnsi="仿宋_GB2312" w:eastAsia="仿宋_GB2312" w:cs="仿宋_GB2312"/>
          <w:b w:val="0"/>
          <w:bCs/>
          <w:sz w:val="28"/>
          <w:szCs w:val="28"/>
          <w:lang w:eastAsia="zh-CN"/>
        </w:rPr>
        <w:t>化隆县提前下达</w:t>
      </w:r>
      <w:r>
        <w:rPr>
          <w:rFonts w:hint="eastAsia" w:ascii="仿宋_GB2312" w:hAnsi="仿宋_GB2312" w:eastAsia="仿宋_GB2312" w:cs="仿宋_GB2312"/>
          <w:b w:val="0"/>
          <w:bCs/>
          <w:sz w:val="28"/>
          <w:szCs w:val="28"/>
          <w:lang w:val="en-US" w:eastAsia="zh-CN"/>
        </w:rPr>
        <w:t>2026年基础教育发展补助资金特殊教育教育装备及信息化设备采购项目</w:t>
      </w:r>
    </w:p>
    <w:p w14:paraId="7B99A977">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1.2采购预算：</w:t>
      </w:r>
      <w:r>
        <w:rPr>
          <w:rFonts w:hint="eastAsia" w:ascii="仿宋_GB2312" w:hAnsi="仿宋_GB2312" w:eastAsia="仿宋_GB2312" w:cs="仿宋_GB2312"/>
          <w:color w:val="000000"/>
          <w:sz w:val="28"/>
          <w:szCs w:val="28"/>
          <w:lang w:val="en-US" w:eastAsia="zh-CN"/>
        </w:rPr>
        <w:t>122</w:t>
      </w:r>
      <w:r>
        <w:rPr>
          <w:rFonts w:hint="eastAsia" w:ascii="仿宋_GB2312" w:hAnsi="仿宋_GB2312" w:eastAsia="仿宋_GB2312" w:cs="仿宋_GB2312"/>
          <w:color w:val="000000"/>
          <w:sz w:val="28"/>
          <w:szCs w:val="28"/>
        </w:rPr>
        <w:t>万元</w:t>
      </w:r>
    </w:p>
    <w:p w14:paraId="62A94FEB">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1.3采购内容：该项目共</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个包。</w:t>
      </w:r>
      <w:r>
        <w:rPr>
          <w:rFonts w:hint="eastAsia" w:ascii="仿宋_GB2312" w:hAnsi="仿宋_GB2312" w:eastAsia="仿宋_GB2312" w:cs="仿宋_GB2312"/>
          <w:color w:val="auto"/>
          <w:sz w:val="28"/>
          <w:szCs w:val="28"/>
          <w:highlight w:val="none"/>
        </w:rPr>
        <w:t>主要采购</w:t>
      </w:r>
      <w:r>
        <w:rPr>
          <w:rFonts w:hint="eastAsia" w:ascii="仿宋_GB2312" w:hAnsi="仿宋_GB2312" w:eastAsia="仿宋_GB2312" w:cs="仿宋_GB2312"/>
          <w:color w:val="auto"/>
          <w:sz w:val="28"/>
          <w:szCs w:val="28"/>
          <w:highlight w:val="none"/>
          <w:lang w:eastAsia="zh-CN"/>
        </w:rPr>
        <w:t>舞台音响设备、校园广播系统、残疾人卫生间无障碍设备、智慧黑板、资源教室、机房设备等。</w:t>
      </w:r>
      <w:r>
        <w:rPr>
          <w:rFonts w:hint="eastAsia" w:ascii="仿宋_GB2312" w:hAnsi="仿宋_GB2312" w:eastAsia="仿宋_GB2312" w:cs="仿宋_GB2312"/>
          <w:color w:val="auto"/>
          <w:sz w:val="28"/>
          <w:szCs w:val="28"/>
          <w:highlight w:val="none"/>
        </w:rPr>
        <w:t>采购标的经采购人</w:t>
      </w:r>
      <w:r>
        <w:rPr>
          <w:rFonts w:hint="eastAsia" w:ascii="仿宋_GB2312" w:hAnsi="仿宋_GB2312" w:eastAsia="仿宋_GB2312" w:cs="仿宋_GB2312"/>
          <w:color w:val="000000"/>
          <w:sz w:val="28"/>
          <w:szCs w:val="28"/>
        </w:rPr>
        <w:t>确定属于</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工业及软件及信息技术服务业</w:t>
      </w:r>
      <w:r>
        <w:rPr>
          <w:rFonts w:hint="eastAsia" w:ascii="仿宋_GB2312" w:hAnsi="仿宋_GB2312" w:eastAsia="仿宋_GB2312" w:cs="仿宋_GB2312"/>
          <w:color w:val="000000"/>
          <w:sz w:val="28"/>
          <w:szCs w:val="28"/>
        </w:rPr>
        <w:t>行业。技术参数详见招标文件《采购一览表及技术参数》内容。</w:t>
      </w:r>
    </w:p>
    <w:p w14:paraId="1D3FC219">
      <w:pPr>
        <w:pageBreakBefore w:val="0"/>
        <w:widowControl/>
        <w:kinsoku/>
        <w:wordWrap/>
        <w:overflowPunct/>
        <w:topLinePunct w:val="0"/>
        <w:autoSpaceDE/>
        <w:autoSpaceDN/>
        <w:bidi w:val="0"/>
        <w:adjustRightInd/>
        <w:snapToGrid/>
        <w:spacing w:beforeAutospacing="0" w:afterAutospacing="0" w:line="360" w:lineRule="exact"/>
        <w:ind w:left="0" w:leftChars="0" w:firstLine="562" w:firstLineChars="200"/>
        <w:jc w:val="left"/>
        <w:textAlignment w:val="auto"/>
        <w:outlineLvl w:val="2"/>
        <w:rPr>
          <w:rFonts w:hint="eastAsia" w:ascii="仿宋_GB2312" w:hAnsi="仿宋_GB2312" w:eastAsia="仿宋_GB2312" w:cs="仿宋_GB2312"/>
          <w:b/>
          <w:bCs/>
          <w:kern w:val="0"/>
          <w:sz w:val="28"/>
          <w:szCs w:val="28"/>
        </w:rPr>
      </w:pPr>
      <w:bookmarkStart w:id="346" w:name="_Toc130971906"/>
      <w:bookmarkStart w:id="347" w:name="_Toc325726055"/>
      <w:bookmarkStart w:id="348" w:name="_Toc376936789"/>
      <w:bookmarkStart w:id="349" w:name="_Toc13219"/>
      <w:bookmarkStart w:id="350" w:name="_Toc352076750"/>
      <w:bookmarkStart w:id="351" w:name="_Toc11586"/>
      <w:bookmarkStart w:id="352" w:name="_Toc10911"/>
      <w:r>
        <w:rPr>
          <w:rFonts w:hint="eastAsia" w:ascii="仿宋_GB2312" w:hAnsi="仿宋_GB2312" w:eastAsia="仿宋_GB2312" w:cs="仿宋_GB2312"/>
          <w:b/>
          <w:bCs/>
          <w:kern w:val="0"/>
          <w:sz w:val="28"/>
          <w:szCs w:val="28"/>
        </w:rPr>
        <w:t>2.产品交付说明</w:t>
      </w:r>
      <w:bookmarkEnd w:id="346"/>
      <w:bookmarkEnd w:id="347"/>
      <w:bookmarkEnd w:id="348"/>
      <w:bookmarkEnd w:id="349"/>
      <w:bookmarkEnd w:id="350"/>
      <w:bookmarkEnd w:id="351"/>
      <w:bookmarkEnd w:id="352"/>
    </w:p>
    <w:p w14:paraId="6C5E14F5">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投标人所交付的硬件产品，其所有部件必须都是原厂原装部件，而且产品应是交付前最新生产且未被使用过的全新产品，同时必须具有在中国境内的合法使用权。</w:t>
      </w:r>
    </w:p>
    <w:p w14:paraId="487DB79F">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53" w:name="_Toc130971907"/>
      <w:bookmarkStart w:id="354" w:name="_Toc24867"/>
      <w:bookmarkStart w:id="355" w:name="_Toc5471"/>
      <w:bookmarkStart w:id="356" w:name="_Toc32436"/>
      <w:bookmarkStart w:id="357" w:name="_Toc352076752"/>
      <w:bookmarkStart w:id="358" w:name="_Toc376936791"/>
      <w:r>
        <w:rPr>
          <w:rFonts w:hint="eastAsia" w:ascii="仿宋_GB2312" w:hAnsi="仿宋_GB2312" w:eastAsia="仿宋_GB2312" w:cs="仿宋_GB2312"/>
          <w:b/>
          <w:bCs/>
          <w:kern w:val="0"/>
          <w:sz w:val="28"/>
          <w:szCs w:val="28"/>
        </w:rPr>
        <w:t>3.产品验收</w:t>
      </w:r>
      <w:bookmarkEnd w:id="353"/>
      <w:bookmarkEnd w:id="354"/>
      <w:bookmarkEnd w:id="355"/>
      <w:bookmarkEnd w:id="356"/>
    </w:p>
    <w:p w14:paraId="0AF81E4E">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箱检验。投标人中标后，应在招标文件中规定的供货地点完成所有产品的供货和产品初始验收及最终验收工作。初始验收将由中标供应商、产品提供商（如果需要）、采购人共同完成。产品开箱后，初步检查产品外观应无损伤；核对产品清单，检查交付产品的规格型号、数量以及相关配件。产品外观受损、附件与合同产品清单或装箱单不符的视为检验不合格。</w:t>
      </w:r>
    </w:p>
    <w:bookmarkEnd w:id="357"/>
    <w:bookmarkEnd w:id="358"/>
    <w:p w14:paraId="0793B5BA">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59" w:name="_Toc6603"/>
      <w:bookmarkStart w:id="360" w:name="_Toc130971908"/>
      <w:bookmarkStart w:id="361" w:name="_Toc16135"/>
      <w:bookmarkStart w:id="362" w:name="_Toc22988"/>
      <w:r>
        <w:rPr>
          <w:rFonts w:hint="eastAsia" w:ascii="仿宋_GB2312" w:hAnsi="仿宋_GB2312" w:eastAsia="仿宋_GB2312" w:cs="仿宋_GB2312"/>
          <w:b/>
          <w:bCs/>
          <w:kern w:val="0"/>
          <w:sz w:val="28"/>
          <w:szCs w:val="28"/>
        </w:rPr>
        <w:t>4.安装、调试</w:t>
      </w:r>
      <w:bookmarkEnd w:id="359"/>
      <w:bookmarkEnd w:id="360"/>
      <w:bookmarkEnd w:id="361"/>
      <w:bookmarkEnd w:id="362"/>
    </w:p>
    <w:p w14:paraId="6ED1D1BB">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中标供应商应在规定的时间和地点内向采购人提供产品和服务，在配送方案设计、产品供货、安装调试、技术支持、运行维护等方面，采购人有权裁决中标供应商的责任范围，中标供应商必须执行，并在规定的时间内解决问题。如果中标供应商不能按时解决问题，采购人有权退货、索赔或拒付款项。</w:t>
      </w:r>
    </w:p>
    <w:p w14:paraId="39447CC8">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中标供应商应按合同规定的交货期要求，在采购人指定的安装地点（不超过招标文件规定的供货地）进行产品安装调试。对于有特殊安装场地要求的产品，中标供应商应在安装前20天内以书面形式通知采购人，以便进行场地准备。所提供的所有产品必须在安装后，进行加电测试运行正常，并经有关检测部门检测取得相关合格证。</w:t>
      </w:r>
    </w:p>
    <w:p w14:paraId="4F3607B8">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63" w:name="_Toc15908"/>
      <w:bookmarkStart w:id="364" w:name="_Toc352076754"/>
      <w:bookmarkStart w:id="365" w:name="_Toc376936793"/>
      <w:bookmarkStart w:id="366" w:name="_Toc14124"/>
      <w:bookmarkStart w:id="367" w:name="_Toc130971909"/>
      <w:bookmarkStart w:id="368" w:name="_Toc8814"/>
      <w:r>
        <w:rPr>
          <w:rFonts w:hint="eastAsia" w:ascii="仿宋_GB2312" w:hAnsi="仿宋_GB2312" w:eastAsia="仿宋_GB2312" w:cs="仿宋_GB2312"/>
          <w:b/>
          <w:bCs/>
          <w:kern w:val="0"/>
          <w:sz w:val="28"/>
          <w:szCs w:val="28"/>
        </w:rPr>
        <w:t>5.维护服务和技术支持</w:t>
      </w:r>
      <w:bookmarkEnd w:id="363"/>
      <w:bookmarkEnd w:id="364"/>
      <w:bookmarkEnd w:id="365"/>
      <w:bookmarkEnd w:id="366"/>
      <w:bookmarkEnd w:id="367"/>
      <w:bookmarkEnd w:id="368"/>
    </w:p>
    <w:p w14:paraId="0BC2CAF1">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5.1自最终采购人验收合格之日起，开始计算免费保修期，免费保修期参照国家及产品参数中的规定。</w:t>
      </w:r>
    </w:p>
    <w:p w14:paraId="2B0BDC51">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5.2在免费保修期内，所有服务不能包含任何费用，包括备件费、差旅费等。</w:t>
      </w:r>
    </w:p>
    <w:p w14:paraId="6CB89CE8">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5.3投标人在保修期内更换的任何零配件，必须是其原产品厂家生产的或是经其认可的。</w:t>
      </w:r>
    </w:p>
    <w:p w14:paraId="6EB8073B">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5.4紧急故障处理：市区内1小时赶到现场，接到外地故障报告即刻动身实行短时间内抢修服务。</w:t>
      </w:r>
    </w:p>
    <w:p w14:paraId="6C7847C5">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每台产品均设专门的维修档案，维修的时间、内容、质量及服务态度、技术水平等需用户在维保卡上签署意见，以确保售后服务工作的高质量与可靠性。每季度与用户进行一次书面意见交换，实行用户意见调查表制度，直接接受用户监督。</w:t>
      </w:r>
    </w:p>
    <w:p w14:paraId="5FB6BA7F">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5.6组织人员负责提供对使用人员的免费培训工作，直至使用人员能独立管理、操作、维护。免费培训包括：免费提供相应的培训教室、教师授课等费用。</w:t>
      </w:r>
    </w:p>
    <w:p w14:paraId="0E9A4840">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5.7保证365×24小时正常运行，如产品发生故障，中标供应商在接到采购人报修通知后3小时内派专业技术人员到达现场进行维修，并提供免费服务。 </w:t>
      </w:r>
    </w:p>
    <w:p w14:paraId="28B88927">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5.8投标产品选用的基础软件必须是正版软件。</w:t>
      </w:r>
    </w:p>
    <w:p w14:paraId="137FA2F4">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5.9所有产品的配送、培训、安装、调试等费用均包含在中标价格中。</w:t>
      </w:r>
    </w:p>
    <w:p w14:paraId="56EFAF5A">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5.10其他事项见项目具体要求。</w:t>
      </w:r>
    </w:p>
    <w:p w14:paraId="5551A616">
      <w:pPr>
        <w:pageBreakBefore w:val="0"/>
        <w:widowControl/>
        <w:kinsoku/>
        <w:wordWrap/>
        <w:overflowPunct/>
        <w:topLinePunct w:val="0"/>
        <w:autoSpaceDE/>
        <w:autoSpaceDN/>
        <w:bidi w:val="0"/>
        <w:adjustRightInd/>
        <w:snapToGrid/>
        <w:spacing w:beforeAutospacing="0" w:afterAutospacing="0" w:line="360" w:lineRule="exact"/>
        <w:ind w:firstLine="542"/>
        <w:jc w:val="left"/>
        <w:textAlignment w:val="auto"/>
        <w:outlineLvl w:val="2"/>
        <w:rPr>
          <w:rFonts w:hint="eastAsia" w:ascii="仿宋_GB2312" w:hAnsi="仿宋_GB2312" w:eastAsia="仿宋_GB2312" w:cs="仿宋_GB2312"/>
          <w:b/>
          <w:bCs/>
          <w:kern w:val="0"/>
          <w:sz w:val="28"/>
          <w:szCs w:val="28"/>
        </w:rPr>
      </w:pPr>
      <w:bookmarkStart w:id="369" w:name="_Toc376936794"/>
      <w:bookmarkStart w:id="370" w:name="_Toc21153"/>
      <w:bookmarkStart w:id="371" w:name="_Toc352076755"/>
      <w:bookmarkStart w:id="372" w:name="_Toc31818"/>
      <w:bookmarkStart w:id="373" w:name="_Toc130971910"/>
      <w:bookmarkStart w:id="374" w:name="_Toc23288"/>
      <w:r>
        <w:rPr>
          <w:rFonts w:hint="eastAsia" w:ascii="仿宋_GB2312" w:hAnsi="仿宋_GB2312" w:eastAsia="仿宋_GB2312" w:cs="仿宋_GB2312"/>
          <w:b/>
          <w:bCs/>
          <w:kern w:val="0"/>
          <w:sz w:val="28"/>
          <w:szCs w:val="28"/>
        </w:rPr>
        <w:t>6.其他要求</w:t>
      </w:r>
      <w:bookmarkEnd w:id="369"/>
      <w:bookmarkEnd w:id="370"/>
      <w:bookmarkEnd w:id="371"/>
      <w:bookmarkEnd w:id="372"/>
      <w:bookmarkEnd w:id="373"/>
      <w:bookmarkEnd w:id="374"/>
    </w:p>
    <w:p w14:paraId="5E53468E">
      <w:pPr>
        <w:pageBreakBefore w:val="0"/>
        <w:kinsoku/>
        <w:wordWrap/>
        <w:overflowPunct/>
        <w:topLinePunct w:val="0"/>
        <w:autoSpaceDE/>
        <w:autoSpaceDN/>
        <w:bidi w:val="0"/>
        <w:adjustRightInd/>
        <w:snapToGrid/>
        <w:spacing w:beforeAutospacing="0" w:afterAutospacing="0" w:line="360" w:lineRule="exact"/>
        <w:ind w:firstLine="48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sz w:val="28"/>
          <w:szCs w:val="28"/>
        </w:rPr>
        <w:t>6.1</w:t>
      </w:r>
      <w:r>
        <w:rPr>
          <w:rFonts w:hint="eastAsia" w:ascii="仿宋_GB2312" w:hAnsi="仿宋_GB2312" w:eastAsia="仿宋_GB2312" w:cs="仿宋_GB2312"/>
          <w:color w:val="auto"/>
          <w:sz w:val="28"/>
          <w:szCs w:val="28"/>
          <w:highlight w:val="none"/>
        </w:rPr>
        <w:t>本次采购活动中，所投产品属于国家强制性产品认证目录（CCC认证）的产品，</w:t>
      </w:r>
      <w:r>
        <w:rPr>
          <w:rFonts w:hint="eastAsia" w:ascii="仿宋_GB2312" w:hAnsi="仿宋_GB2312" w:eastAsia="仿宋_GB2312" w:cs="仿宋_GB2312"/>
          <w:color w:val="auto"/>
          <w:sz w:val="28"/>
          <w:szCs w:val="28"/>
          <w:highlight w:val="none"/>
          <w:lang w:eastAsia="zh-CN"/>
        </w:rPr>
        <w:t>须提供国家强制性产品认证证书或相关截图或承诺，未提供的，</w:t>
      </w:r>
      <w:r>
        <w:rPr>
          <w:rFonts w:hint="eastAsia" w:ascii="仿宋_GB2312" w:hAnsi="仿宋_GB2312" w:eastAsia="仿宋_GB2312" w:cs="仿宋_GB2312"/>
          <w:color w:val="auto"/>
          <w:sz w:val="28"/>
          <w:szCs w:val="28"/>
          <w:highlight w:val="none"/>
        </w:rPr>
        <w:t>视为实质性不响应。投标产品属于政府强制采购节能产品品目的（详见《关于印发节能产品政府采购品目清单的通知》财库〔2019〕19号），投标人须按前款要求提供节能产品认证证书或规定网站证书查询截图或承诺，未提供的，视为实质性不响应。</w:t>
      </w:r>
    </w:p>
    <w:p w14:paraId="23C6C1D1">
      <w:pPr>
        <w:pageBreakBefore w:val="0"/>
        <w:kinsoku/>
        <w:wordWrap/>
        <w:overflowPunct/>
        <w:topLinePunct w:val="0"/>
        <w:autoSpaceDE/>
        <w:autoSpaceDN/>
        <w:bidi w:val="0"/>
        <w:adjustRightInd/>
        <w:snapToGrid/>
        <w:spacing w:beforeAutospacing="0" w:afterAutospacing="0" w:line="360" w:lineRule="exact"/>
        <w:ind w:firstLine="48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6.2技术参数中除注明供货时提供的资料以外，其余相关资料在投标时必须附在投标文件中。</w:t>
      </w:r>
    </w:p>
    <w:p w14:paraId="467C86C9">
      <w:pPr>
        <w:bidi w:val="0"/>
        <w:rPr>
          <w:rFonts w:hint="eastAsia"/>
        </w:rPr>
      </w:pPr>
    </w:p>
    <w:p w14:paraId="1C0B6326">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1BCB94C6">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01028205">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07E69CB1">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0EF194FA">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3CABC6A9">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2910CF51">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4D6AE10C">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ascii="方正小标宋简体" w:hAnsi="方正小标宋简体" w:eastAsia="方正小标宋简体" w:cs="方正小标宋简体"/>
          <w:b/>
          <w:color w:val="000000"/>
          <w:kern w:val="0"/>
          <w:sz w:val="32"/>
          <w:szCs w:val="32"/>
          <w:lang w:bidi="ar"/>
        </w:rPr>
      </w:pPr>
    </w:p>
    <w:p w14:paraId="35F1F435">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outlineLvl w:val="0"/>
        <w:rPr>
          <w:rFonts w:hint="eastAsia" w:eastAsia="方正小标宋简体" w:asciiTheme="minorEastAsia" w:hAnsiTheme="minorEastAsia" w:cstheme="minorEastAsia"/>
          <w:b/>
          <w:bCs/>
          <w:sz w:val="32"/>
          <w:szCs w:val="32"/>
          <w:lang w:eastAsia="zh-CN"/>
        </w:rPr>
      </w:pPr>
      <w:bookmarkStart w:id="375" w:name="_Toc22902"/>
      <w:r>
        <w:rPr>
          <w:rFonts w:hint="eastAsia" w:ascii="方正小标宋简体" w:hAnsi="方正小标宋简体" w:eastAsia="方正小标宋简体" w:cs="方正小标宋简体"/>
          <w:b/>
          <w:color w:val="000000"/>
          <w:kern w:val="0"/>
          <w:sz w:val="32"/>
          <w:szCs w:val="32"/>
          <w:lang w:bidi="ar"/>
        </w:rPr>
        <w:t>采购一览表及技术参</w:t>
      </w:r>
      <w:r>
        <w:rPr>
          <w:rFonts w:hint="eastAsia" w:ascii="方正小标宋简体" w:hAnsi="方正小标宋简体" w:eastAsia="方正小标宋简体" w:cs="方正小标宋简体"/>
          <w:b/>
          <w:color w:val="000000"/>
          <w:kern w:val="0"/>
          <w:sz w:val="32"/>
          <w:szCs w:val="32"/>
          <w:lang w:eastAsia="zh-CN" w:bidi="ar"/>
        </w:rPr>
        <w:t>数</w:t>
      </w:r>
      <w:bookmarkEnd w:id="375"/>
    </w:p>
    <w:p w14:paraId="21F60C36">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 xml:space="preserve">                              </w:t>
      </w:r>
      <w:r>
        <w:rPr>
          <w:rFonts w:hint="eastAsia" w:asciiTheme="minorEastAsia" w:hAnsiTheme="minorEastAsia" w:eastAsiaTheme="minorEastAsia" w:cstheme="minorEastAsia"/>
          <w:b/>
          <w:bCs/>
          <w:sz w:val="32"/>
          <w:szCs w:val="32"/>
          <w:lang w:val="en-US" w:eastAsia="zh-CN"/>
        </w:rPr>
        <w:t xml:space="preserve">     </w:t>
      </w:r>
      <w:bookmarkStart w:id="376" w:name="_Toc20026"/>
      <w:bookmarkStart w:id="377" w:name="_Toc14691"/>
      <w:bookmarkStart w:id="378" w:name="_Toc1878"/>
      <w:r>
        <w:rPr>
          <w:rFonts w:hint="eastAsia" w:asciiTheme="minorEastAsia" w:hAnsiTheme="minorEastAsia" w:eastAsiaTheme="minorEastAsia" w:cstheme="minorEastAsia"/>
          <w:b/>
          <w:bCs/>
          <w:sz w:val="32"/>
          <w:szCs w:val="32"/>
        </w:rPr>
        <w:t>预算金额：</w:t>
      </w:r>
      <w:r>
        <w:rPr>
          <w:rFonts w:hint="eastAsia" w:asciiTheme="minorEastAsia" w:hAnsiTheme="minorEastAsia" w:eastAsiaTheme="minorEastAsia" w:cstheme="minorEastAsia"/>
          <w:b/>
          <w:bCs/>
          <w:sz w:val="32"/>
          <w:szCs w:val="32"/>
          <w:lang w:val="en-US" w:eastAsia="zh-CN"/>
        </w:rPr>
        <w:t>122</w:t>
      </w:r>
      <w:r>
        <w:rPr>
          <w:rFonts w:hint="eastAsia" w:asciiTheme="minorEastAsia" w:hAnsiTheme="minorEastAsia" w:eastAsiaTheme="minorEastAsia" w:cstheme="minorEastAsia"/>
          <w:b/>
          <w:bCs/>
          <w:sz w:val="32"/>
          <w:szCs w:val="32"/>
        </w:rPr>
        <w:t>万元</w:t>
      </w:r>
      <w:bookmarkEnd w:id="376"/>
      <w:bookmarkEnd w:id="377"/>
      <w:bookmarkEnd w:id="378"/>
    </w:p>
    <w:p w14:paraId="59144852">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62BB6848">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7C669672">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7BCC25C2">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7B1349EE">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713E76EF">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688D01CB">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73DDF346">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156CBA06">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026D5359">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190A14D1">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p w14:paraId="5EA598F6">
      <w:pPr>
        <w:keepNext w:val="0"/>
        <w:keepLines w:val="0"/>
        <w:pageBreakBefore w:val="0"/>
        <w:kinsoku/>
        <w:wordWrap/>
        <w:overflowPunct/>
        <w:topLinePunct w:val="0"/>
        <w:autoSpaceDE/>
        <w:autoSpaceDN/>
        <w:bidi w:val="0"/>
        <w:adjustRightInd/>
        <w:snapToGrid/>
        <w:spacing w:line="360" w:lineRule="exact"/>
        <w:ind w:firstLine="0" w:firstLineChars="0"/>
        <w:outlineLvl w:val="0"/>
        <w:rPr>
          <w:rFonts w:hint="eastAsia" w:asciiTheme="minorEastAsia" w:hAnsiTheme="minorEastAsia" w:eastAsiaTheme="minorEastAsia" w:cstheme="minorEastAsia"/>
          <w:b/>
          <w:bCs/>
          <w:sz w:val="32"/>
          <w:szCs w:val="32"/>
        </w:rPr>
      </w:pPr>
    </w:p>
    <w:tbl>
      <w:tblPr>
        <w:tblStyle w:val="15"/>
        <w:tblW w:w="9900" w:type="dxa"/>
        <w:tblInd w:w="91" w:type="dxa"/>
        <w:tblLayout w:type="autofit"/>
        <w:tblCellMar>
          <w:top w:w="0" w:type="dxa"/>
          <w:left w:w="108" w:type="dxa"/>
          <w:bottom w:w="0" w:type="dxa"/>
          <w:right w:w="108" w:type="dxa"/>
        </w:tblCellMar>
      </w:tblPr>
      <w:tblGrid>
        <w:gridCol w:w="903"/>
        <w:gridCol w:w="1496"/>
        <w:gridCol w:w="5702"/>
        <w:gridCol w:w="903"/>
        <w:gridCol w:w="896"/>
      </w:tblGrid>
      <w:tr w14:paraId="0B637DF4">
        <w:tblPrEx>
          <w:tblCellMar>
            <w:top w:w="0" w:type="dxa"/>
            <w:left w:w="108" w:type="dxa"/>
            <w:bottom w:w="0" w:type="dxa"/>
            <w:right w:w="108" w:type="dxa"/>
          </w:tblCellMar>
        </w:tblPrEx>
        <w:trPr>
          <w:trHeight w:val="567" w:hRule="atLeast"/>
        </w:trPr>
        <w:tc>
          <w:tcPr>
            <w:tcW w:w="9900" w:type="dxa"/>
            <w:gridSpan w:val="5"/>
            <w:tcBorders>
              <w:top w:val="nil"/>
              <w:left w:val="nil"/>
              <w:bottom w:val="nil"/>
              <w:right w:val="nil"/>
            </w:tcBorders>
            <w:shd w:val="clear" w:color="auto" w:fill="auto"/>
            <w:vAlign w:val="center"/>
          </w:tcPr>
          <w:p w14:paraId="04BEE202">
            <w:pPr>
              <w:widowControl/>
              <w:jc w:val="center"/>
              <w:textAlignment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 w:val="28"/>
                <w:szCs w:val="28"/>
                <w:lang w:bidi="ar"/>
                <w14:textFill>
                  <w14:solidFill>
                    <w14:schemeClr w14:val="tx1"/>
                  </w14:solidFill>
                </w14:textFill>
              </w:rPr>
              <w:t>化隆县提前下达2026年基础教育发展补助资金</w:t>
            </w:r>
            <w:r>
              <w:rPr>
                <w:rFonts w:hint="eastAsia" w:ascii="宋体" w:hAnsi="宋体" w:eastAsia="宋体" w:cs="宋体"/>
                <w:b/>
                <w:bCs/>
                <w:color w:val="000000" w:themeColor="text1"/>
                <w:kern w:val="0"/>
                <w:sz w:val="28"/>
                <w:szCs w:val="28"/>
                <w:lang w:bidi="ar"/>
                <w14:textFill>
                  <w14:solidFill>
                    <w14:schemeClr w14:val="tx1"/>
                  </w14:solidFill>
                </w14:textFill>
              </w:rPr>
              <w:br w:type="textWrapping"/>
            </w:r>
            <w:r>
              <w:rPr>
                <w:rFonts w:hint="eastAsia" w:ascii="宋体" w:hAnsi="宋体" w:eastAsia="宋体" w:cs="宋体"/>
                <w:b/>
                <w:bCs/>
                <w:color w:val="000000" w:themeColor="text1"/>
                <w:kern w:val="0"/>
                <w:sz w:val="28"/>
                <w:szCs w:val="28"/>
                <w:lang w:bidi="ar"/>
                <w14:textFill>
                  <w14:solidFill>
                    <w14:schemeClr w14:val="tx1"/>
                  </w14:solidFill>
                </w14:textFill>
              </w:rPr>
              <w:t>特殊教育教育装备及信息化设备采购项目技术参数表</w:t>
            </w:r>
          </w:p>
        </w:tc>
      </w:tr>
      <w:tr w14:paraId="7CF8D04F">
        <w:tblPrEx>
          <w:tblCellMar>
            <w:top w:w="0" w:type="dxa"/>
            <w:left w:w="108" w:type="dxa"/>
            <w:bottom w:w="0" w:type="dxa"/>
            <w:right w:w="108" w:type="dxa"/>
          </w:tblCellMar>
        </w:tblPrEx>
        <w:trPr>
          <w:trHeight w:val="567" w:hRule="atLeast"/>
        </w:trPr>
        <w:tc>
          <w:tcPr>
            <w:tcW w:w="0" w:type="auto"/>
            <w:gridSpan w:val="5"/>
            <w:tcBorders>
              <w:top w:val="nil"/>
              <w:left w:val="nil"/>
              <w:bottom w:val="nil"/>
              <w:right w:val="nil"/>
            </w:tcBorders>
            <w:shd w:val="clear" w:color="auto" w:fill="FFFF00"/>
            <w:noWrap/>
            <w:vAlign w:val="center"/>
          </w:tcPr>
          <w:p w14:paraId="08F5DEF3">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卫生间无障碍设施</w:t>
            </w:r>
          </w:p>
        </w:tc>
      </w:tr>
      <w:tr w14:paraId="5409DB5D">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1DBC">
            <w:pPr>
              <w:widowControl/>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ACB0">
            <w:pPr>
              <w:widowControl/>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小便池</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F74E">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1.主体采用高温陶瓷，釉面厚度均匀，光滑细腻、易冲洗、不挂污、耐酸碱、耐腐蚀、不易泛黄龟裂。无砂眼、针孔、裂纹、缺釉、变形、色差等缺陷。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2.安装方式：壁挂式安装，墙体预埋管路。</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造型：一体成型流线型设计，边角圆弧处理，防磕碰；符合人体工程学使用高度。</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3.内壁导流结构合理，冲水无外溅、冲刷彻底、无残留异味。</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配套感应冲洗阀，进水角阀、进水软管、排污接口、密封法兰、膨胀固定件全套安装配件。</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479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16</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8AE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个</w:t>
            </w:r>
          </w:p>
        </w:tc>
      </w:tr>
      <w:tr w14:paraId="08903920">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2F8D">
            <w:pPr>
              <w:widowControl/>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C867">
            <w:pPr>
              <w:widowControl/>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458D">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门扇面板：采用优质冷轧钢板，面板厚度≥0.6mm，冷轧钢板表面静电喷塑处理，耐腐蚀、抗划伤、不易褪色变形。</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门框材质：钢制门框，门框钢板厚度≥0.8mm，整体一次成型，焊接牢固，防开裂、防变形、防潮防腐。</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门套线：同材质同色系配套塑钢 / 钢制套线，拼接严密，阴阳角顺直。</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规格尺寸</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洞口尺寸按现场实际尺寸定制，常规标准尺寸及非标尺寸均可定制；门扇平整度高，对角线误差≤3mm。</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门扇厚度：≥40mm，门扇四周折边平整，无毛刺、无尖锐棱角</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工艺与外观要求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表面采用静电高温喷塑工艺，色泽均匀、哑光质感，耐刮擦、耐黄变、易清洁；无气泡、划痕、色差、掉漆现象。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门扇一体成型，焊点隐蔽，拼接缝隙均匀顺直，启闭无卡顿、无翘曲变形。</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门边采用防磕碰圆弧工艺，密封胶条镶嵌牢固，隔音、防尘、防撞、保温。</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五金配件配置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门锁：</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国标五金、</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开关顺畅、耐腐蚀、不易损坏。</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合页：配备 3 个加厚静音合页，承重强、启闭无异响、不生锈。</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532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105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75055889">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A102">
            <w:pPr>
              <w:widowControl/>
              <w:jc w:val="both"/>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88FF">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无障碍扶手</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1459">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无障碍防滑 ABS 安全扶手</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材质要求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扶手主体外层采用全新 ABS 工程塑料材质，无回收料添加，具备耐冲击、耐酸碱、防老化、防霉防潮、易清洁特性；表面磨砂防滑处理，握持不打滑、无尖锐棱角。</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扶手内置加强金属内衬，保证整体结构强度、刚性与抗变形能力，适配长期承重使用。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规格尺寸</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扶手外径：32mm～38mm，符合人体工程学抓握尺寸，适配成人及行动不便人群握持使用。扶手</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金属</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管壁壁厚：≥2mm，壁厚均匀。</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配套</w:t>
            </w:r>
            <w:r>
              <w:rPr>
                <w:rFonts w:hint="eastAsia" w:ascii="方正仿宋_GB2312" w:hAnsi="方正仿宋_GB2312" w:eastAsia="方正仿宋_GB2312" w:cs="方正仿宋_GB2312"/>
                <w:color w:val="000000" w:themeColor="text1"/>
                <w:kern w:val="0"/>
                <w:sz w:val="20"/>
                <w:szCs w:val="20"/>
                <w:u w:val="none"/>
                <w:lang w:bidi="ar"/>
                <w14:textFill>
                  <w14:solidFill>
                    <w14:schemeClr w14:val="tx1"/>
                  </w14:solidFill>
                </w14:textFill>
              </w:rPr>
              <w:t>防锈金属</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底座、固定支架。</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四、性能指标</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承重性能：静态承重≥150kg，受力后无弯曲、无变形、无松动脱落。室内外常规环境使用不褪色、不开裂、不粉化；干湿卫生间潮湿环境适用，防水防潮、耐腐蚀。</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安装配件全套配齐，膨胀螺栓、固定件均为防锈防腐材质，安装后稳固无晃动。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五、外观及工艺要求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表面色泽均匀，无划痕、气泡、毛刺、色差，接口拼接严密平整。</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扶手端头圆弧封闭式设计，无尖锐端口。</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颜色</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黄色</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5AC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16</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710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37BA1B76">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8CD3">
            <w:pPr>
              <w:widowControl/>
              <w:jc w:val="both"/>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C4F0">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厕所隔断</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2F17">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面板材质：铝合金板，表面静电粉末喷涂，耐刮擦、防腐蚀、不生锈、易清洁、耐黄变。</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芯材：优质铝蜂窝芯，蜂窝结构规整、排布均匀，抗压、抗冲击、不变形。</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板材厚度：≥18mm；整体平整度高，抗弯强度好。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规格工艺要求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隔断板、门扇尺寸按现场实测定制，裁切边缘封边严密，采用同材质专用型材全包封边，防水防潮、防磕碰。</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板面颜色均匀一致，无划痕、色差、气泡、掉粉、凹凸变形；表面哑光磨砂质感，耐污易擦洗。</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18B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B34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2B85987A">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1876">
            <w:pPr>
              <w:widowControl/>
              <w:jc w:val="both"/>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97E5">
            <w:pPr>
              <w:widowControl/>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洗手池</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62E2">
            <w:pPr>
              <w:widowControl/>
              <w:ind w:left="0" w:leftChars="0" w:firstLine="0" w:firstLineChars="0"/>
              <w:jc w:val="left"/>
              <w:textAlignment w:val="center"/>
              <w:rPr>
                <w:rStyle w:val="22"/>
                <w:rFonts w:hint="default"/>
                <w:color w:val="000000" w:themeColor="text1"/>
                <w:lang w:bidi="ar"/>
                <w14:textFill>
                  <w14:solidFill>
                    <w14:schemeClr w14:val="tx1"/>
                  </w14:solidFill>
                </w14:textFill>
              </w:rPr>
            </w:pPr>
            <w:r>
              <w:rPr>
                <w:rStyle w:val="21"/>
                <w:rFonts w:hint="default"/>
                <w:color w:val="000000" w:themeColor="text1"/>
                <w:lang w:bidi="ar"/>
                <w14:textFill>
                  <w14:solidFill>
                    <w14:schemeClr w14:val="tx1"/>
                  </w14:solidFill>
                </w14:textFill>
              </w:rPr>
              <w:t>石英石，板材厚度≥10mm</w:t>
            </w:r>
            <w:r>
              <w:rPr>
                <w:rStyle w:val="21"/>
                <w:rFonts w:eastAsia="方正仿宋_GB2312"/>
                <w:color w:val="000000" w:themeColor="text1"/>
                <w:lang w:eastAsia="zh-CN" w:bidi="ar"/>
                <w14:textFill>
                  <w14:solidFill>
                    <w14:schemeClr w14:val="tx1"/>
                  </w14:solidFill>
                </w14:textFill>
              </w:rPr>
              <w:t>，</w:t>
            </w:r>
            <w:r>
              <w:rPr>
                <w:rStyle w:val="21"/>
                <w:rFonts w:hint="eastAsia" w:eastAsia="方正仿宋_GB2312"/>
                <w:color w:val="000000" w:themeColor="text1"/>
                <w:lang w:val="en-US" w:eastAsia="zh-CN" w:bidi="ar"/>
                <w14:textFill>
                  <w14:solidFill>
                    <w14:schemeClr w14:val="tx1"/>
                  </w14:solidFill>
                </w14:textFill>
              </w:rPr>
              <w:t>符合环保要求</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石材纹理自然均匀，无裂纹、无暗伤、无凹凸 无明显色差；边缘精磨圆角抛光，倒角防磕碰。</w:t>
            </w:r>
            <w:r>
              <w:rPr>
                <w:rStyle w:val="21"/>
                <w:rFonts w:hint="default"/>
                <w:color w:val="000000" w:themeColor="text1"/>
                <w:lang w:bidi="ar"/>
                <w14:textFill>
                  <w14:solidFill>
                    <w14:schemeClr w14:val="tx1"/>
                  </w14:solidFill>
                </w14:textFill>
              </w:rPr>
              <w:br w:type="textWrapping"/>
            </w:r>
            <w:r>
              <w:rPr>
                <w:rStyle w:val="22"/>
                <w:rFonts w:hint="default"/>
                <w:color w:val="000000" w:themeColor="text1"/>
                <w:lang w:bidi="ar"/>
                <w14:textFill>
                  <w14:solidFill>
                    <w14:schemeClr w14:val="tx1"/>
                  </w14:solidFill>
                </w14:textFill>
              </w:rPr>
              <w:t>台盆配置（高低双盆结构）</w:t>
            </w:r>
          </w:p>
          <w:p w14:paraId="62E4748F">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Style w:val="22"/>
                <w:rFonts w:hint="eastAsia" w:eastAsia="方正仿宋_GB2312"/>
                <w:color w:val="000000" w:themeColor="text1"/>
                <w:lang w:val="en-US" w:eastAsia="zh-CN"/>
                <w14:textFill>
                  <w14:solidFill>
                    <w14:schemeClr w14:val="tx1"/>
                  </w14:solidFill>
                </w14:textFill>
              </w:rPr>
              <w:t>圆形陶瓷盆</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结构形式：双台盆一高一低错位设计，无障碍使用。</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盆体造型规整，下水口标准尺寸，排水顺畅无积水、无外溅。</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整体定制尺寸，台面切割精准，拼接缝隙细密均匀，水平度、平整度符合验收标准。</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挡水沿一体打磨成型，后背体系圆弧设计，防水防溢水、不藏污纳垢。</w:t>
            </w:r>
            <w:r>
              <w:rPr>
                <w:rStyle w:val="21"/>
                <w:rFonts w:hint="default"/>
                <w:color w:val="000000" w:themeColor="text1"/>
                <w:lang w:bidi="ar"/>
                <w14:textFill>
                  <w14:solidFill>
                    <w14:schemeClr w14:val="tx1"/>
                  </w14:solidFill>
                </w14:textFill>
              </w:rPr>
              <w:br w:type="textWrapping"/>
            </w:r>
            <w:r>
              <w:rPr>
                <w:rStyle w:val="22"/>
                <w:rFonts w:hint="default"/>
                <w:color w:val="000000" w:themeColor="text1"/>
                <w:lang w:bidi="ar"/>
                <w14:textFill>
                  <w14:solidFill>
                    <w14:schemeClr w14:val="tx1"/>
                  </w14:solidFill>
                </w14:textFill>
              </w:rPr>
              <w:t>五金及配套配件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配高低两块镜子。整体定制尺寸。</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配置全铜感应冷热龙头2 套，防腐防锈、开关顺畅。</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进排水软管全套配件。</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62A4">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DDF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50644CE6">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B4FC">
            <w:pPr>
              <w:widowControl/>
              <w:jc w:val="center"/>
              <w:textAlignment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CF4B">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坐便</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AB2B">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成人坐便器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主体</w:t>
            </w:r>
          </w:p>
          <w:p w14:paraId="7BD7FDE0">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采用</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陶瓷坯体，瓷质致密坚固。</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通体抗菌自洁釉面，釉面光滑细腻、平整度好，无针孔、砂眼、裂纹、缺釉、变形等缺陷。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配件配置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水箱配件：进水阀、排水阀，含安装密封圈、膨胀螺栓、角阀、进水软管等全套安装辅材。</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造型圆润无尖锐棱角，落地式安装，排污口标准国标尺寸。</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F20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12A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个</w:t>
            </w:r>
          </w:p>
        </w:tc>
      </w:tr>
      <w:tr w14:paraId="1B91AA3B">
        <w:tblPrEx>
          <w:tblCellMar>
            <w:top w:w="0" w:type="dxa"/>
            <w:left w:w="108" w:type="dxa"/>
            <w:bottom w:w="0" w:type="dxa"/>
            <w:right w:w="108" w:type="dxa"/>
          </w:tblCellMar>
        </w:tblPrEx>
        <w:trPr>
          <w:trHeight w:val="567" w:hRule="atLeast"/>
        </w:trPr>
        <w:tc>
          <w:tcPr>
            <w:tcW w:w="0" w:type="auto"/>
            <w:gridSpan w:val="5"/>
            <w:tcBorders>
              <w:top w:val="nil"/>
              <w:left w:val="nil"/>
              <w:bottom w:val="nil"/>
              <w:right w:val="nil"/>
            </w:tcBorders>
            <w:shd w:val="clear" w:color="auto" w:fill="FFFF00"/>
            <w:noWrap/>
            <w:vAlign w:val="center"/>
          </w:tcPr>
          <w:p w14:paraId="120285A1">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智慧黑板</w:t>
            </w:r>
          </w:p>
        </w:tc>
      </w:tr>
      <w:tr w14:paraId="7D757511">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418A">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577D">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智慧黑板</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 xml:space="preserve">  </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核心产品</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A18A">
            <w:pPr>
              <w:widowControl/>
              <w:numPr>
                <w:ilvl w:val="0"/>
                <w:numId w:val="5"/>
              </w:numPr>
              <w:ind w:left="0" w:leftChars="0" w:firstLine="0" w:firstLineChars="0"/>
              <w:jc w:val="left"/>
              <w:textAlignment w:val="center"/>
              <w:rPr>
                <w:rStyle w:val="21"/>
                <w:rFonts w:hint="default"/>
                <w:color w:val="000000" w:themeColor="text1"/>
                <w:lang w:bidi="ar"/>
                <w14:textFill>
                  <w14:solidFill>
                    <w14:schemeClr w14:val="tx1"/>
                  </w14:solidFill>
                </w14:textFill>
              </w:rPr>
            </w:pPr>
            <w:r>
              <w:rPr>
                <w:rStyle w:val="21"/>
                <w:rFonts w:hint="default"/>
                <w:color w:val="000000" w:themeColor="text1"/>
                <w:lang w:bidi="ar"/>
                <w14:textFill>
                  <w14:solidFill>
                    <w14:schemeClr w14:val="tx1"/>
                  </w14:solidFill>
                </w14:textFill>
              </w:rPr>
              <w:t>整机要求：</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1．整机采用全金属外壳，三拼接平面一体化设计，宽度≥4200mm，高度≥1200mm，主、副屏之间过渡平滑，无单独边框阻隔。</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2．主屏尺寸≥86英</w:t>
            </w:r>
            <w:r>
              <w:rPr>
                <w:rStyle w:val="16"/>
                <w:rFonts w:hint="eastAsia" w:eastAsia="方正仿宋_GB2312"/>
                <w:lang w:val="en-US" w:eastAsia="zh-CN"/>
              </w:rPr>
              <w:t>吋</w:t>
            </w:r>
            <w:r>
              <w:rPr>
                <w:rStyle w:val="21"/>
                <w:rFonts w:hint="default"/>
                <w:color w:val="000000" w:themeColor="text1"/>
                <w:lang w:bidi="ar"/>
                <w14:textFill>
                  <w14:solidFill>
                    <w14:schemeClr w14:val="tx1"/>
                  </w14:solidFill>
                </w14:textFill>
              </w:rPr>
              <w:t>，书写面板采用≤3mm防眩光钢化玻璃材质，表面硬度≥9H，莫氏硬度≥7级，分辨率≥ 3840×2160，显示比例为16:9。支持使用常规粉笔直接书写。</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3．屏幕亮度：≥350cd/</w:t>
            </w:r>
            <w:r>
              <w:rPr>
                <w:rStyle w:val="23"/>
                <w:rFonts w:hint="default"/>
                <w:color w:val="000000" w:themeColor="text1"/>
                <w:lang w:bidi="ar"/>
                <w14:textFill>
                  <w14:solidFill>
                    <w14:schemeClr w14:val="tx1"/>
                  </w14:solidFill>
                </w14:textFill>
              </w:rPr>
              <w:t>㎡</w:t>
            </w:r>
            <w:r>
              <w:rPr>
                <w:rStyle w:val="21"/>
                <w:rFonts w:hint="default"/>
                <w:color w:val="000000" w:themeColor="text1"/>
                <w:lang w:bidi="ar"/>
                <w14:textFill>
                  <w14:solidFill>
                    <w14:schemeClr w14:val="tx1"/>
                  </w14:solidFill>
                </w14:textFill>
              </w:rPr>
              <w:t>，屏幕中心亮度三分之一的亮度观看视角≥130°，整机白场画面下亮度均匀性≥85%。</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4．采用电容触控技术，支持在整机系统中实现20点及以上触控操作。</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5．副屏耐腐蚀性符合GB 28231《书写板安全卫生要求》，使用含有日常家用洗涤剂或消毒剂的温水(40℃ )，擦拭书写板的书写面后，书写面应不变色，无表皮脱落。耐光性符合GB 28231《书写板安全卫生要求》，暴晒后对比度应大于GB/T 250的四级。</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6．副屏漆膜的附着力符合GB/T 9286 测试方法，支持色漆和清漆 漆膜的划格试验，脱漆面积不明显大于5%，达到0级标准。</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7．整机背光系统需支持DC调光，具备多级亮度调节功能；在白色背景下最低亮度≤100nit，以提升显示对比度。</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8．支持自定义图像设置，可调节屏幕色温、对比度、图像亮度、亮度范围及色彩空间；在环境照度100k 勒克斯下仍可正常工作。</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9．整机内置全视角背光增光膜，通过均光处理提升背光均匀性；在白场画面下，整机亮度均匀性≥80%。</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10．整机视网膜蓝光危害（蓝光加权辐射亮度LB）满足GB/Z 39942-2021蓝光危害RG0级别。全通道支持纸质护眼模式，可实现画面纹理的实时调整；支持纸质纹理：牛皮纸、素描纸、宣纸、水彩纸、水纹纸；支持透明度调节；支持色温调节。</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11．整机前面板配备至少6个物理按键，可实现开关机、音量+、音量-、护眼模式、录屏、设置等功能；除电源键外，其余按键均支持功能自定义。</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12．整机所采用的CPU芯片、Wi-Fi与蓝牙芯片、摄像头图像处理芯片等核心组件，均为国产自主芯片。</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13．整机采用国产化嵌入式芯片，CPU≥8核，主频≥1.6GHz，内存≥2GB，存储空间≥32GB。</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14．前面板输入接口应配备≥2路USB接口、≥1路Type-C接口。</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15．侧面接口应配备≥2路HDMI、≥1路USB接口、≥1路RS232（采用RJ45形态）及≥1路触控USB输出接口，≥1路音频输出。</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16．整机上边框内置非独立式摄像头，摄像头数量≥5个，支持拍摄≥5000万像素照片，视场角≥ 140°且水平视场角 ≥130°，支持拍摄8192×2772分辨率的视频。支持畸变矫正功能且畸变≤2%。</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18．整机内置摄像头支持人脸识别、清点人数、随机抽人；识别所有学生，显示标记，然后随机抽选，同时显示标记不少于60人。</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19．整机内置8阵列麦克风，可用于采集教室环境声音，拾音角度≥180°，有效拾音距离≥12m。</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20．整机支持标准、听力、观影及AI空间感知音效模式；AI空间感知音效可通过内置麦克风采集教室实际声学环境，自动生成匹配该环境的频段、音量与音效参数。</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21．整机内置2.2声道扬声器系统，额定最大功率≥80W； 22．整机在听力模式下具备AI人声语言增强功能，支持三档强度调节，其扩声系统的语言传输指数（STIPA）≥0.75。</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23．整机内置双Wi-Fi6无线网卡（不接受外接），可在设备内同时实现 Wi-Fi无线上网连接与AP无线热点发射功能。</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24．整机支持蓝牙Bluetooth 5.4</w:t>
            </w:r>
            <w:r>
              <w:rPr>
                <w:rStyle w:val="21"/>
                <w:rFonts w:hint="eastAsia" w:eastAsia="方正仿宋_GB2312"/>
                <w:color w:val="000000" w:themeColor="text1"/>
                <w:lang w:val="en-US" w:eastAsia="zh-CN" w:bidi="ar"/>
                <w14:textFill>
                  <w14:solidFill>
                    <w14:schemeClr w14:val="tx1"/>
                  </w14:solidFill>
                </w14:textFill>
              </w:rPr>
              <w:t>及以上</w:t>
            </w:r>
            <w:r>
              <w:rPr>
                <w:rStyle w:val="21"/>
                <w:rFonts w:hint="default"/>
                <w:color w:val="000000" w:themeColor="text1"/>
                <w:lang w:bidi="ar"/>
                <w14:textFill>
                  <w14:solidFill>
                    <w14:schemeClr w14:val="tx1"/>
                  </w14:solidFill>
                </w14:textFill>
              </w:rPr>
              <w:t>标准。</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25．整机无线模块（含Wi-Fi与蓝牙）采用独立模块化设计，无需拆卸整机后壳即可进行独立安装或更换。</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26．整机内置传屏接收模块，无需连接任何额外设备，即可实现外部电脑、手机等设备的音视频信号实时传输至整机显示。</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27．整机故障检查功能：在用户菜单下即可进行触摸信号、显示信号、网络信号等进行状态监测和异常判断。系统异常崩溃弹窗提醒用户并自动上报异常日志。</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28．整机系统还原功能：可通过长按电源键进入设置界面后，可点击屏幕选择恢复系统到出厂默认状态，无需额外工具辅助。可通过长按电源键进入设置界面后，可点击屏幕选择故障检测、系统还原功能，系统还原可单独还原PC系统，单独还原整机系统。</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二、OPS硬件：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1．国产自主可控CPU，符合国家《安全可靠测评结果公告》要求。采用C86架构处理器，工作主频≥2.8GHz，物理核心数≥8核，线程数≥16，内存≥16G，固态硬盘≥256G。</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2．PC模块无需工具就可快速拆卸电脑模块，可抽拉式插入整机，可实现无单独接线的插拔，和整机的连接采用万兆级接口，传输速率≥10Gbps。</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3．具有独立非外扩展的视频输出接口：≥1路HDMI ，具有独立非外扩展的电脑USB接口：≥3路USB。</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4．预装正版</w:t>
            </w:r>
            <w:r>
              <w:rPr>
                <w:rStyle w:val="21"/>
                <w:rFonts w:hint="eastAsia" w:eastAsia="方正仿宋_GB2312"/>
                <w:color w:val="000000" w:themeColor="text1"/>
                <w:lang w:val="en-US" w:eastAsia="zh-CN" w:bidi="ar"/>
                <w14:textFill>
                  <w14:solidFill>
                    <w14:schemeClr w14:val="tx1"/>
                  </w14:solidFill>
                </w14:textFill>
              </w:rPr>
              <w:t>授权</w:t>
            </w:r>
            <w:r>
              <w:rPr>
                <w:rStyle w:val="21"/>
                <w:rFonts w:hint="default"/>
                <w:color w:val="000000" w:themeColor="text1"/>
                <w:lang w:bidi="ar"/>
                <w14:textFill>
                  <w14:solidFill>
                    <w14:schemeClr w14:val="tx1"/>
                  </w14:solidFill>
                </w14:textFill>
              </w:rPr>
              <w:t>国产操作系统。</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5．OPS硬件须与教学系统主屏同一品牌。</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三、整机内置系统软件：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1.整机内置文件传输应用，支持通过扫码、wifi直连两种方式与手机进行握手连接，实现文件传输功能。无需借助三方应用和网页，可直接通过微信小程序将微信聊天记录中的文档、图片、视频传输到大屏设备。</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2.整机内置朗读辅助工具，可通过麦克风实时监测学生朗读情况，并以游戏化交互界面动态反馈朗读音量大小。</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3.整机内置自习纪律管理工具，通过麦克风监测教室环境音量，当音量超过设定阈值时，屏幕自动弹出提醒界面，辅助维持自习秩序。</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4.整机内置AI智能体，可根据教学与学习需求进行创建，支持个性化设定角色性格、技能与头像信息；支持通过语音或文字方式与智能体对话交互，所创建的智能体可上传至本校资源库共享使用。</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5.整机具备AI书写美化功能，可智能识别书写批注轨迹，并模拟真实纸笔书写的起笔、行笔与收笔效果，实现笔锋智能美化。</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6.整机内置微课制作工具，支持录制全屏或选定区域的屏幕内容，并可同步录制整机音频、麦克风声音及摄像头画面；支持切换录制分辨率，录制过程中可使用画笔进行标注与擦除，并支持暂停与继续录制。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四、国产化教学白板软件：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1．支持为每位教师提供可扩展至≥200GB的云存储空间，教师可在个人云空间中上传并存储互动课件、云教案及其他教学资源。</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采用备授课一体化框架设计，教师可根据教学场景自由切换至类似PPT界面的备课模式或触控交互教学模式；为使用方全体教师配备个人账号，构建统一的信息化教学账号体系，支持通过数字账号或微信二维码登录个人教师账号。</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3．为便于教师间课件交流，软件需支持互动教学课件的定向精准分享：分享者可将课件或课件组精准推送至指定接收方的账号云空间，接收方可在云空间中接收并打开所分享的课件。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4．内置图片处理功能，无需借助专业软件即可对课件内图片进行快速抠图，处理后图片主体边缘无明显毛边，且可直接上传至用户云空间供后续重复使用。</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5．支持在课件中嵌入图片、音频、视频等多媒体文件，并支持为音频、视频添加关键帧标记；用户可在进度条任意位置设置播放节点，便于快速定位讲解重点。</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6．内置思维导图功能，提供思维导图、鱼骨图、组织结构图等知识结构化工具，具备≥8 种预设模板，支持自由增删、拖拽编辑节点，并可在节点中插入图片、音频、视频、网页链接、课件页面等内容，以辅助知识体系构建。学科思维导图支持知识点逐级展开，具备归纳总结功能，可一键合并相邻节点，并添加文本、图片、音频、视频等内容进行关联讲解与发散。</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7．支持原生解析PPT文件，用户可将pptx课件转换为互动教学课件，并保留原文件中文字、图片、表格等对象及动画的可编辑性，同时支持为课件添加互动教学元素</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8．白板软件需支持云教案功能：云教案内容无需手动保存即可自动同步至云空间，支持通过链接方式进行定向分享或开放分享。接收方可直接在桌面浏览器或微信浏览器中打开预览，并可将云教案转存至个人云空间。云教案支持导出为PDF格式。</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9．提供语文学科工具，覆盖初高中古诗词、古文教学资源，包含原文、翻译、背景介绍、作者介绍及朗诵音频。内置诗词百科链接，支持一键跳转查看详细信息；资源按年级、朝代、诗人分类，支持关键词快速检索及按名称或作者搜索；教师可自主添加古诗词资源，使用模板快速创建内容并保存至云端；备课时可对原文进行注释、标记重点，所有诗词古文配备专业朗读音频，支持关键帧标记。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10．提供数学学科工具：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(1)数学公式编辑：支持中英文及公式输入，快速输入方程组、脱式运算，提供不少于 60 个数学符号及模板，预置不少于 40 个常用公式，无需编辑一键插入，兼容 LaTeX 公式输入。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(2)函数图像生成：可快速生成一次函数、二次函数、幂函数、指数函数、对数函数、三角函数等图像，支持自定义表达式；同一坐标轴支持同时绘制不少于 6 个函数，显示交点坐标，支持图像缩放、坐标网格显示及重新编辑。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(3)平面几何工具：自由绘制线条、线段、射线及任意多边形，自动显示内角角度并支持调整；自由绘制扇形、圆形，显示圆心角、圆周角角度；支持标注顶点字母，提供智能吸附辅助线工具。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(4)数学画板：支持在课件中嵌入在线数学画板，授课时可一键调用。画板资源按小学、初中、高中学段的核心数学知识点进行分类编排，内置的交互式课件能够动态呈现几何图形变换过程。同时提供个人创作画板，包含点、线段、圆形等基础图形元素，以及线段中点、椭圆焦点、极坐标方程等常用数学工具，教师创作完成后可一键将画板内容嵌入教学课件。</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11．提供英语学科工具：</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(1)四线三格：配备英语学科四线三格，支持键入人教版教材配套手写字体。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(2)听写工具：覆盖小初高不少于 8000 个英语单词，支持自定义选择单词、设置听写频率和次数，一键生成听写卡；授课模式支持一键开启听写朗读。</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12．提供化学学科工具：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(1)化学方程式编辑器：输入化学元素时自动显示相关反应方程式，插入后支持重新编辑。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(2)化学元素周期表：持浏览和插入化学元素周期表，可整表或单个元素插入备课课件中形成元素卡片。支持以原子序数、相对原子质量、原子结构、价层电子排布等多种形式呈现。插入后的元素卡片支持展开浏览元素详解。</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13．提供物理学科工具：</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支持自由绘制物理线图，提供不少于 30 个元件及模板库，支持自动吸附连接线，画布无限漫游，绘制后的线图可一键插入课件并二次编辑，支持保存至个人云盘。</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14．支持听评课功能：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(1)授课老师可使用手机录影发起直播，听课老师可观看课堂直播。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(2)支持查看评课邀请及直播预告，及时进入课堂进行听课评价。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(3)支持发布直播开启/关闭状态，同步课堂进度；听课老师可在交流区发表文字、表情、照片等内容。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(4)支持查看课堂录影回放，回顾课堂内容，分析老师的课堂表现和教学情况。</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15．提供云教案功能：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(1)云教案内容自动同步至云端存储，支持通过分享链接进行定向或开放共享。接收方可直接在电脑浏览器或微信中预览，并可将教案转存至个人云空间。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 xml:space="preserve">(2)支持将 Word 文档转换为云教案格式，能够准确解析文本、表格等常见文档元素。 </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(3)支持插入课件页，可调用云空间中的课件列表，按单页或整份插入教案。</w:t>
            </w:r>
          </w:p>
          <w:p w14:paraId="6C1A53F1">
            <w:pPr>
              <w:widowControl/>
              <w:numPr>
                <w:ilvl w:val="0"/>
                <w:numId w:val="0"/>
              </w:numPr>
              <w:ind w:left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Style w:val="21"/>
                <w:rFonts w:hint="default"/>
                <w:color w:val="000000" w:themeColor="text1"/>
                <w:lang w:bidi="ar"/>
                <w14:textFill>
                  <w14:solidFill>
                    <w14:schemeClr w14:val="tx1"/>
                  </w14:solidFill>
                </w14:textFill>
              </w:rPr>
              <w:t>五、其他要求：</w:t>
            </w:r>
            <w:r>
              <w:rPr>
                <w:rStyle w:val="21"/>
                <w:rFonts w:hint="default"/>
                <w:color w:val="000000" w:themeColor="text1"/>
                <w:lang w:bidi="ar"/>
                <w14:textFill>
                  <w14:solidFill>
                    <w14:schemeClr w14:val="tx1"/>
                  </w14:solidFill>
                </w14:textFill>
              </w:rPr>
              <w:br w:type="textWrapping"/>
            </w:r>
            <w:r>
              <w:rPr>
                <w:rStyle w:val="21"/>
                <w:rFonts w:hint="default"/>
                <w:color w:val="000000" w:themeColor="text1"/>
                <w:lang w:bidi="ar"/>
                <w14:textFill>
                  <w14:solidFill>
                    <w14:schemeClr w14:val="tx1"/>
                  </w14:solidFill>
                </w14:textFill>
              </w:rPr>
              <w:t>教学白板软件需提供软件著作权证书。</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0E7A">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83E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015215E6">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A2DA">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8E1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实物展台</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2121">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1．采用壁挂式安装，整体无利边锐角，托板为单板无缝平整结构，展开尺寸≥A4面积，承重能力≥3kg，收起时支持磁吸吸附固定；</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2．采用一体式非活动悬臂设计，打开托板即可自动启动展台并开始拍摄与数据传输；</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3．仅需单根USB线即可同时满足供电与高清数据传输需求；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4．摄像头支持≥1300万像素拍照，具备自动对焦功能，可拍摄A4幅面内容，并支持视频画面矫正；</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5．展台采用触摸按键，可实现灯光调节、拍照截图、画面缩放等功能；支持≥3档LED补光亮度调节，并可通过双击画面任意位置快速切换对焦点，实现对立体物体局部对焦；</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6．支持对实时画面进行放大、缩小、旋转、自适应、画面锁定等操作，提供多种预设笔触粗细与颜色，可在画面实时批注；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7．支持拍照截图并多图预览，可全屏查看任一图片，且画面与批注内容支持同步缩放与移动；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8．具备故障自动检测功能，可识别硬件连接、显卡驱动、摄像头占用、软件版本等常见问题，并提供引导式解决提示；</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463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D49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台</w:t>
            </w:r>
          </w:p>
        </w:tc>
      </w:tr>
      <w:tr w14:paraId="51177683">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069F">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6A9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智能笔</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DAFC">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1．笔身采用一体化笔型设计；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2．笔身配置上下翻页、智能语音、远程聚光灯/放大、书写颜色切换等功能；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3．采用锥形笔尖设计，笔尖直径≤3mm，同时兼容电容与红外触控设备书写；</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4．短按上下翻页键，可对白板软件、PPT、PDF等文档进行上下翻页；</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5．内置麦克风，支持按键唤醒语音识别，有效避免环境杂音导致的误唤醒；</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6．支持无线接收器与蓝牙双模连接，兼容蓝牙5.1协议；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7．无线接收器及蓝牙连接距离≥12米，在该范围内可实现上下翻页、语音控制及远程批注；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8．内置锂电池，支持Type-C充电，待机时间≥60小时。</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C8A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993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支</w:t>
            </w:r>
          </w:p>
        </w:tc>
      </w:tr>
      <w:tr w14:paraId="06E311B1">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30CC">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8F80">
            <w:pPr>
              <w:widowControl/>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有源音响</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F639">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1．采用功放与有源音箱一体化设计，内置麦克风无线接收模块，帮助教师实现多媒体扩音以及本地扩声功能；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2．全频喇叭单元尺寸≥5 英寸；输出额定功率≥2x15W，距离音箱10米处声压级≥75分贝；</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3．具备≥1路电源开关、≥1路LINE IN、≥1路USB 接口。USB接口可外接U盘设备对音箱固件进行升级；</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4．支持无线麦克风扩音接收，采用 Wi-Fi 射频 2.4GHz 与 5GHz 双频段传输，；</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5．采用红外对码方式，避免连接到其他教室音箱，可快速完成与教学扩声麦克风对码，无需繁琐操作；</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6．配置独立音频数字信号处理芯片，支持啸叫抑制功能；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7．支持蓝牙无线接收，可分享移动设备上的音频，支持密码模式，防止学生连接；</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8．支持安卓手机通过蓝牙无线连接音箱，实现控制有源音箱的音量、设置蓝牙名称、设置蓝牙密码等功能，方便教师对音箱的管控；</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9．支持交互显示设备通过蓝牙无线连接音箱，实现控制有源音箱的音量功能；</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37D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659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对</w:t>
            </w:r>
          </w:p>
        </w:tc>
      </w:tr>
      <w:tr w14:paraId="64318C72">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5867">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68CE">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无线麦克风</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837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1．一体化领夹设计；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2．无线麦克风集音频发射处理器、天线、电池、拾音麦克风于一体，配合一体化有源音箱，可在 5 秒内快速完成与教学扩声音箱对码，无需任何外接辅助设备即可实现本地扩声功能；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3．采用Wi-Fi射频频段传输，有效避免环境中运营商信号干扰；支持2.4GHz与5.0GHz双频段工作；</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4．电池续航时间≥5小时，有效工作距离≥15米；</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5．支持两个无线麦克风同时配对一个音箱使用，实现两个麦克风混音输出进行扩音；</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auto"/>
                <w:kern w:val="0"/>
                <w:sz w:val="20"/>
                <w:szCs w:val="20"/>
                <w:lang w:bidi="ar"/>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461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EF2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只</w:t>
            </w:r>
          </w:p>
        </w:tc>
      </w:tr>
      <w:tr w14:paraId="5A8AAA6C">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99F3">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77BF">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校级设备管理软件</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848F">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设备管理：</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1.系统采用SaaS模式部署，应用界面基于B/S架构设计。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2.支持账号密码、手机扫码及微信扫码登录。用户首次登录后可绑定微信ID，此后即可通过微信“扫一扫”安全快捷登录。</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3.可实时展示不少于20台设备的运行画面，支持画面/列表模式切换，并支持按设备类型、所属年级/场地/自定义分组、开关机状态及设备名称进行检索与定位管理。</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支持下发即时、定时、循环模式的关机、重启、打铃、锁屏/解锁指令。打铃指令支持上传自定义铃声并设置播放时长；锁屏指令支持一键下课锁屏、开机自动锁屏及无网络时身份验证解锁，可设置锁屏壁纸用于校园文化宣传。支持跑马灯、全局弹窗、桌面常驻通知三种文本消息推送方式。</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5.支持高级管理员添加多名协同管理员并快速转让高级管理员权限；可为普通管理员按系统功能菜单或设备范围分配权限；系统记录并支持回看所有管理员操作日志，包含操作人、时间及内容。</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6.支持通过微信小程序远程管理设备，包括查看设备状态、实时画面与声音、下发远程指令、查看使用数据；支持接收指令执行异常、不良画面告警、自动生成的管理周报及超时未关机设备等信息推送。</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支持同时查看最多20间教室的实时摄像头画面与设备屏幕画面；支持在同一界面查看单个教室内所有屏幕、摄像头画面及麦克风声音（可调用自带摄像头或批量接入学校既有网络摄像头）。单设备巡视时，支持远程发送文本与语音消息、添加备注及听课评价，并支持回溯所有巡视记录。</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8.支持依据班级课程表自动获取正在或即将上课的科目与教师列表，快速定位教师所在教室并进行远程听课；听课过程中可使用多套评课表进行教学评价，评价结果关联巡视记录，便于回溯。</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9.支持管理员开启“掌上看班”服务，具备权限的教师可通过移动端或PC端实时巡班并进行基础远程管控，管理员可直接为教师分配该权限。</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10.支持自定义巡视水印类型、内容与颜色，设置后所有摄像头画面与设备屏幕画面均自动添加水印；支持按需过滤摄像头与麦克风。</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二、教学教研：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（1）数据看板：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1.支持管理者通过可视化看板，查看学校云课件教案数、累计校本研修次数等情况，掌握学校教研关键数据。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2.支持展示学校资源建设情况，如云课件、云教案数量，及校本资源库建设情况，通过榜单呈现教师产出的课件/教案被获取数，提供教师评价根源。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（2）行政管理：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支持管理员自定义构建部门，通过多种方式邀请教师入校，包含直接导入教师、链接邀请入校、二维码邀请入校，支持以姓名、手机尾号快速搜索教师；支持修改管理员、教师的账号信息，包括学段学科，部门及权限设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2.支持管理者按照学段-学科-年级创建教师的教研组织结构，对教师做分组管理；支持设置教研组组长，并在教研组下设置多个备课组，添加对应的备课组成员，支持对教研组/备课组进行重命名和解散等操作。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（3）教研管理中心：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1.集体备课管理：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① 集体备课查看：可查看集备的开展统计情况及老师参与集备的记；支持以时间、学科进行筛选，支持输入集备名称/主备人名称，进行全局搜索。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② 集体备课记录：支持查看集备名称，主备人、所属学科、年级、参备老师数、稿数、浏览数、评论数、批注数、评论点赞数、集备状态和创建时间等数据；管理员可随时查看学校集备详情，查看集备的详细内容并给予指导评论，同时支持管理员删除集备活动和导出集体备课记录数据表格。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③ 教师集备记录：支持查看以老师维度统计的集备记录，查看老师所属学段学科、发起次数、参备次数、评论数、批注数、最近集备时间等数据；支持管理员导出教师集备记录数据表格。</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2.听课评课管理：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① 听课评课查看：可查看课程的评价统计情况及教师对课程的评价记录。支持以时间、评课表、学科进行筛选，支持输入课程名称/老师名称，进行全局搜索。</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② 课程评价记录：支持查看以课程维度的评价记录，包括课件名称、授课老师、所属学科、本节课的评课人数、总评价平均分及授课时间，通过点击操作“详情”可查看具体评价情况，支持管理员删除评价记录和导出课程评价记录数据表格。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③ 评课报告：点击课程详情可以查看评课报告，可以查看该课程的总分和各板块得分，支持导出为 PDF 文件。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④ 老师评课明细：支持查看课程下所有老师的评课表，可以批量导出为 Word 文件。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⑤ 教师评课记录：支持查看以教师维度统计的评课记录，查看教师的所属学科，评课节数，点击操作“详情”，可查看该教师详细的评课记录，包括课程名称，授课老师和评课时间，进入详情可查看该教师对该课程的评价记录。支持导出教师评课记录数据表格。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⑥ 评课表管理：支持自定义学校专属评课表，内置通用评分模板；提供评分、主观评价及拍照上传功能；可同时发布多张评课表，满足多学科、多活动需求。支持在线预览与灵活权限设置，听课教师可设为公开、需登录或仅限本校用户访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（4）教研数据中心：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1.备课数据：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2.听课评课数据：支持全校听评课数据统一汇总，数据包含全校评课节数，评课次数，累计评课节数和累计评课次数；支持对不同评课维度得分进行统计，同时支持查看全校的课程评价记录和得分详情、教师评价记录，并可一键导出 Excel 表格。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（5）资源中心：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1.权限设置：支持以文件夹的维度进行权限设置，设置某个文件夹仅有权限的部门或者老师可见，同时支持按文件夹的维度进行课件的批量移动、删除。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四、其他要求：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C98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A5B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点位授权</w:t>
            </w:r>
          </w:p>
        </w:tc>
      </w:tr>
      <w:tr w14:paraId="0A603B3E">
        <w:tblPrEx>
          <w:tblCellMar>
            <w:top w:w="0" w:type="dxa"/>
            <w:left w:w="108" w:type="dxa"/>
            <w:bottom w:w="0" w:type="dxa"/>
            <w:right w:w="108" w:type="dxa"/>
          </w:tblCellMar>
        </w:tblPrEx>
        <w:trPr>
          <w:trHeight w:val="567" w:hRule="atLeast"/>
        </w:trPr>
        <w:tc>
          <w:tcPr>
            <w:tcW w:w="0" w:type="auto"/>
            <w:gridSpan w:val="5"/>
            <w:tcBorders>
              <w:top w:val="nil"/>
              <w:left w:val="nil"/>
              <w:bottom w:val="nil"/>
              <w:right w:val="nil"/>
            </w:tcBorders>
            <w:shd w:val="clear" w:color="auto" w:fill="FFFF00"/>
            <w:noWrap/>
            <w:vAlign w:val="center"/>
          </w:tcPr>
          <w:p w14:paraId="3BEEEBB6">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校园广播系统</w:t>
            </w:r>
          </w:p>
        </w:tc>
      </w:tr>
      <w:tr w14:paraId="3347D099">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EA97">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F27B">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控制主机</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核心产品</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0CB4">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1.全高清显示屏幕，支持等同或优于1920 x 1080分辨率液晶≥十点电容触摸。内置工业级抽拉键盘、触控鼠标面板、分体式左右键设计。</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2.工业级主板设计，采用的处理器配置≥4核，≥4线程，≥2.7GHz主频。</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3.内置≥256G SSD固态硬盘，≥2个双千兆网络接口，内存双通道≥2*4G。</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4.支持内置DVD光驱，支持MP3、WAV、WMA、FLAC、APE、AAC格式音频播放文件。</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5.内置≥6组工业异步传输接口，内置≥4组通用串行总线。</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6.主机具有≥1xMS接口；≥8x串口；≥1xVGA接口；≥1xHDMI接口；≥1xDVI接口；≥8xUSB接口；≥1xLINE IN接口；≥1xLINE OUT接口；≥1xMIC IN接口。</w:t>
            </w:r>
          </w:p>
          <w:p w14:paraId="3799B299">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7.具有≥1路短路触发开机运行接口，用于定时驱动开机运行，实现无人值守功能。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8.主机具有钥匙式电源开关，可由专人保管，用于控制主机开/关机。</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9.内置数字功率放大器，具有≥1路内置可输出≥6W的监听喇叭，实现服务器发起任务时的监听。具有≥1路外置可输出≥20W的功率输出，可接副音箱进行本地扩音。</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10.支持≥1路短路输入触发接口，可以用作触发预置语音提示或报警。</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11.主机前面板具有红色一键触发全区紧急报警按钮和绿色一键广播按钮，具有≥1路PTT话筒紧急广播麦克风。</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12.主机具有≥20路AUX IN输入接口和≥12路MIC IN输入接口，每路均具有独立音量调节，输入音源可实现混音采集输入。</w:t>
            </w:r>
          </w:p>
          <w:p w14:paraId="76F5F4B2">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13.主机具有≥16路LINE OUT线路输出接口，可外接功率放大器。</w:t>
            </w:r>
          </w:p>
          <w:p w14:paraId="5C3A9631">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14.主机具有≥12路数字音频输入，可同时输出≥12个不同分区。</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15.主机具有≥6路可编程智能电源输出，可设置电源时序打开功能，可设置无限制的有效时间段设置。</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16.主机具有≥4路三线制音控强切输出接口，无需强切电源。同时兼容四线制消防强切，需外接24V强切电源，可设置无限制的有效时间段设置，与智能电源输出的有效时间段同步。</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17.主机具有NTP时间同步服务器、服务器在断开互联网的状态下，自动与北京时间校准。</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D3D1">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E9A7">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4CAECE74">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C3C1">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1DFF">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数字化IP网络广播客户端管理软件</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核心产品</w:t>
            </w:r>
            <w:r>
              <w:rPr>
                <w:rFonts w:hint="eastAsia" w:ascii="方正仿宋_GB2312" w:hAnsi="方正仿宋_GB2312" w:eastAsia="方正仿宋_GB2312" w:cs="方正仿宋_GB2312"/>
                <w:color w:val="000000" w:themeColor="text1"/>
                <w:kern w:val="0"/>
                <w:sz w:val="20"/>
                <w:szCs w:val="20"/>
                <w:lang w:eastAsia="zh-CN" w:bidi="ar"/>
                <w14:textFill>
                  <w14:solidFill>
                    <w14:schemeClr w14:val="tx1"/>
                  </w14:solidFill>
                </w14:textFill>
              </w:rPr>
              <w:t>）</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BB53">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1.统一管理系统内所有音频终端，包括寻呼话筒、对讲终端、广播终端和消防接口设备，实时显示音频终端的IP地址、在线状态、任务状态、音量运行状态。</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支撑各音频终端的运行，负责音频流传输管理，响应各音频终端播放请求和音频全双工交换，支持B/S架构，通过网页登陆可进行终端管理、用户管理、节目播放管理、音频文件管理、录音存贮、内部通讯调度处理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3.管理节目库资源，为所有音频终端器提供定时播放和实时点播媒体服务，响应各终端的节目播放请求，为各音频工作站提供数据接口服务。</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4.提供全双工语音数据交换，响应各对讲终端的呼叫和通话请求，支持一键呼叫、一键对讲、一键求助、一键报警通话模式，支持自动接听、手动接听，支持自定义接听提示音。</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支持多种呼叫策略，包括无响应转移、占线转移、关机转移，支持时间策略和转移策略自定义设置。支持设置对讲终端呼叫策略，可自定义通话时间0-180S或不受限，可选择是否自动接听，支持自定义选择来电铃声与等待铃声。</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6.支持终端短路输入联动触发，可任意设置联动触发方案和触发终端数量，触发方案包括短路输出、音乐播放、巡更警报。</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7.编程定时任务，支持编程多套定时方案，支持选择任意终端和设置任意时间；支持定时任务执行测试、设置重复周期。支持定时任务多种音源选择、音乐播放、声卡采集、终端采集。</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8.支持多套定时打铃方案同时启用，每套定时打铃方案支持多套任务同时进行，支持一键启用/停用所有方案。支持定时打铃功能，支持打铃方案克隆，任务执行与停止控制、定时任务禁用与启用功能。提供功能界面截图</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9.支持定时巡更功能，支持自定义巡更任务的执行时间及重复周期，可自定义指示灯闪烁间隔时间0-30s。</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10.支持今日任务列表查看，管理今日执行的所有定时任务信息和执行状态。</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11.日志记录系统运行状态，实时记录系统运行及终端工作状态，每次呼叫、通话和广播操作均有记录。</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12.支持对≥8路功率分区终端进行功率控制分区设置，通过web页面后台或分控客户端均可设置分区。</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13.支持对终端设置时间显示配置，可设置1-6级别亮度值，可设置断网后不显示时间模式。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14.支持对终端设置不同的灯光模式，可分别自定义设置红灯亮、红灯灭、绿灯/蓝灯亮、绿灯/蓝灯灭时间0-10S。</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15.支持配置终端冻结时间，在终端被冻结期间禁止终端执行任务。</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16.支持广播、对讲、实时采集、终端监听进行录音；支持文本广播功能，可实现将文本转成语音，支持后台调整语速。</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17.支持后台换肤功能，可根据喜好自由切换皮肤主题。</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18.支持终端明细导出功能，支持通过表格方式导出当前系统终端的配置详情。支持批量修改定时任务的时间、执行终端。</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19.后台功能管理模块自定义；首页快捷入口配置，入口数量提供2*3、3*3、2*4、3*4的排列布局显示。提供功能界面截图佐证</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20.支持4x100级自定义配置任务优先级、服务器优先级、任务优先级、用户优先级,终端优先级，满足各种优先级任务自动调度。</w:t>
            </w:r>
          </w:p>
          <w:p w14:paraId="655D9F62">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提供功能界面截图佐证</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A5FF">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2C98">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套</w:t>
            </w:r>
          </w:p>
        </w:tc>
      </w:tr>
      <w:tr w14:paraId="6CD7E573">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14CC">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D792">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寻呼话筒</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C9EB">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1.桌面式设计，带有≥7英寸显示屏。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2.自带数字键，功能键界面。支持呼叫分区及多个分区，呼叫全区广播；支持操作呼叫或对讲任意终端。</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2.内置≥1路网络硬件音频解码模块。</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4.具有≥1路3.5耳机接口，具有≥1路3.5话筒输入接口，具有≥1路短路输出接口，具有≥1路短路输入接口，具有≥1路音频线路输入接口，具有≥1路音频线路输出接口。</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5.支持≥10个按键自定义一键呼叫广播功能。</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E664">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D8FE">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188328E4">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CE6F">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05DE">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话筒</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D457">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1.换能方式：驻极体</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2.钟声提示：带钟声提示功能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3.线材配备：10米、卡农母头转6.35音频线</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4.咪杆长度 ：420mm</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5.具备有灯环提示功能</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67FD">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57A5">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套</w:t>
            </w:r>
          </w:p>
        </w:tc>
      </w:tr>
      <w:tr w14:paraId="1B8C2273">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2CE3">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1C24">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合并式播放器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59EB">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1.设备采用机柜式设计。</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2.内置USB接口/SD卡槽、CD机芯和收音机、蓝牙≥四种音源，CD播放和MP3播放共用一个通道输出，收音机、蓝牙共用一个通道输出。</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3.CD采用吸入式机芯；收音机采用收音模块； 调频、调幅（AM/FM）立体声二波段接收可选，电台频率记忆存储≥99个。</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4.具备有≥1路USB接口、≥1路SD卡槽口、≥1路收音FM天线口、≥2路音频输出接口。</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5.带红外遥控功能，并能够独立遥控音量控制。</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1.设备采用机柜式设计。</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5061">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1D40">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39FDB731">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8250">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CD78">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IP音频采集器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2266">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1.采集设备支持将模拟音频采集编码成数字音频，具有≥1路RJ45网络接口，支持定时采播任务、临时采播任务功能。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2.具有≥2组RCA音频输入接口，支持音量调节功能。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3.采播任务支持≥3种采集音质可选，支持普通、中级、高级音质选择模式。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4.支持声压触发采集外部音源，智能识别音频,自动建立采集任务,可自定义执行区域,可自定义延时关闭时间。</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1862">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761F">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40901392">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BE5B">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EBDD">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前置放大器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前</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BFC5">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1.具有≥5路话筒（MIC）输入接口，≥3路标准信号线路AUX输入接口，≥2路紧急线路EMC输入接口。</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2.MIC5具有最高优先、强行切入优先功能；MIC5和EMC最高优先权限功能可通过拨动开关交替选择。</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3.紧急输入线路具有二级优先，强行切入优先功能。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4.MIC1、2、3、4、5和≥2路紧急输入EMC通道均附设有线路辅助输入接口功能。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5.具有默音深度调节旋钮和EMC输入增益调节旋钮。</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6.MIC2、3、4、5通道灵敏度可通过拨码开关选择。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BCF6">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0296">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41841D22">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05BA">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7DCD">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采集器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D8A0">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1.机柜式设计，拉丝铝合金面板。</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2.设备采用嵌入式计算机技术和DSP音频处理技术设计。</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3.支持≥16路消防短路信号输入接口。</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4.面板支持一键取消任务。</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5.支持后台设置报警策略，可为每路短路信号输入端口配置报警策略，关联联动的终端及播放曲目等功能。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6.标配网络接口，全速率连接可达≥100M。</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7.短路接口：标准压线接线端子。</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4C7F">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ECC9">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7F9B720D">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CA47">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6E63">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IP网络音箱</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8164">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1.网络接口：标准RJ45输入，音频格式：MP3。</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2.内置≥2x20W（MAX）的双通道数字功率放大器，≥1路接主音箱，≥1路外接到副音箱；具有网络音量设置。</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3.具备≥1路线路AUX输入接口，具有独立的音量电位器控制，可扩展2.4G无线音频模块，实现2.4G无线麦克风进行本地扩音；支持断网本地寻呼功能；同时支持缄默强度预置减少功能，支持背景伴奏预置功能。</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AF13">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2092">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套</w:t>
            </w:r>
          </w:p>
        </w:tc>
      </w:tr>
      <w:tr w14:paraId="1FB423AE">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B984">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4E49">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电源管理器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AC91">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1.支持≥8通道电源时序打开/关闭，每路动作延时时间：≤1秒，支持远程控制、上电+24V直流信号8通道电源时序打开/关闭—当电源开关处于off位置时有效。支持配置CH1和CH2通道为受控或不受控状态。</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2.当远程控制有效时同时控制后板ALARM（报警）端口导通以起到级联控制ALARM（报警）功能。</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3.单个通道最大负载功率≥2200W，所有通道负载总功率≥6000W。输出连接器：多用途电源插座。</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4.具有≥1路USB接口。</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1.支持≥8通道电源时序打开/关闭，每路动作延时时间：≤1秒，支持远程控制、上电+24V直流信号8通道电源时序打开/关闭—当电源开关处于off位置时有效。支持配置CH1和CH2通道为受控或不受控状态。</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A636">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43BE">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32754AB3">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EAF5">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865A">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IP网络功放终端240W</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C254">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1.设备采用标准≥19英寸机架设计，带有LCD显示屏。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2.内置≥1路网络硬件音频解码模块。</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3.支持≥1路线路输入和≥1路话筒输入接口，可独立调节音量。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4.支持高低音调节电位器控制。</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5.具有≥1路EMC输入接口，具有最高优先级。</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6.具有≥1路音频输出接口。</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7.具有≥1路三线制强切输出接口，无需强切电源。</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8.集成数字功放，功率≥240W；支持定压方式输出。</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9.支持通过后台软件对终端进行远程固件升级。</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10.具有≥1路RJ45网络接口，≥100Mbps传输速率。</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11.自带≥1路100V定压功率备份输入接口，可组成一主多备、多主一备、多主多备的公共打铃系统。</w:t>
            </w:r>
          </w:p>
          <w:p w14:paraId="7B7AACB0">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p w14:paraId="08E59393">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12.内置主备切换检测模块，断网断电以及本机故障时≤0.3秒内切换到备份功率输入，主备切换过程无卡顿、不掉字。</w:t>
            </w:r>
          </w:p>
          <w:p w14:paraId="75CAFAAC">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BABF">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2847">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6EABC651">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C871">
            <w:pPr>
              <w:widowControl/>
              <w:jc w:val="left"/>
              <w:textAlignment w:val="center"/>
              <w:rPr>
                <w:rFonts w:hint="default"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3CFE">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壁挂音箱</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74D5">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1．额定功率（100V）：≥3W,≥6W,≥10W</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2．额定功率（70V）：≥1.5W,≥3W,≥5W</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3．灵敏度：≥91dB±3dB</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4．频率响应：130Hz-18KHz</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5．喇叭单元：≥6.5"×1</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6．防护等级：等同或优于IP5X。</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A914">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79</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DF9B">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只</w:t>
            </w:r>
          </w:p>
        </w:tc>
      </w:tr>
      <w:tr w14:paraId="32393252">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DC76">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8CF6">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IP网络功放终端60W</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A43D">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1.设备采用标准≥19英寸机架设计，带有LCD显示屏。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2.内置≥1路网络硬件音频解码模块。</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3.支持≥1路线路输入和≥1路话筒输入接口，可独立调节音量。</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4.支持高低音调节电位器控制。</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5.具有≥1路EMC输入接口，具有最高优先级。</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6.具有≥1路音频输出接口。</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7.具有≥1路三线制强切输出接口，无需强切电源。</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8.集成数字功放，功率≥60W；支持定压方式输出。</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9.支持通过后台软件对终端进行远程固件升级。</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10.具有≥1路RJ45网络接口，≥100Mbps传输速率。</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11.自带≥1路100V定压功率备份输入接口，可组成一主多备、多主一备、多主多备的公共打铃系统。</w:t>
            </w:r>
          </w:p>
          <w:p w14:paraId="06924846">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p w14:paraId="431A088A">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12.内置主备切换检测模块，断网断电以及本机故障时≤0.3秒内切换到备份功率输入，主备切换过程无卡顿、不掉字。</w:t>
            </w:r>
          </w:p>
          <w:p w14:paraId="647D6638">
            <w:pPr>
              <w:keepNext w:val="0"/>
              <w:keepLines w:val="0"/>
              <w:widowControl/>
              <w:numPr>
                <w:ilvl w:val="0"/>
                <w:numId w:val="0"/>
              </w:numPr>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684E">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EDA3">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台</w:t>
            </w:r>
          </w:p>
        </w:tc>
      </w:tr>
      <w:tr w14:paraId="63AEC5B3">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65D6">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9427">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机柜</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CE3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1.机柜采用全模块化组装结构，内置≥4根≥19英寸≥42U安装立柱。</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2.前门采用钢制嵌边式玻璃门。</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3.后门和两侧采用钢质快速拆卸门板。</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4.预留顶部和底部进线孔，满足上下进线需求。</w:t>
            </w:r>
          </w:p>
          <w:p w14:paraId="7D27F6A9">
            <w:pPr>
              <w:widowControl/>
              <w:ind w:left="0" w:leftChars="0" w:firstLine="0" w:firstLineChars="0"/>
              <w:jc w:val="left"/>
              <w:textAlignment w:val="center"/>
              <w:rPr>
                <w:rFonts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 顶部具有散热风扇。</w:t>
            </w:r>
          </w:p>
          <w:p w14:paraId="20536707">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6.板材厚度≥1.0mm</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1F50">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1CCB">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套</w:t>
            </w:r>
          </w:p>
        </w:tc>
      </w:tr>
      <w:tr w14:paraId="27CE0937">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FF30">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522D">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机柜</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48E6">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1.机柜采用全模块化组装结构，内置≥4根≥19英寸≥24U安装立柱。</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2.前门采用钢制嵌边式玻璃门。</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3.后门和两侧采用钢质快速拆卸门板。</w:t>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4.预留顶部和底部进线孔，满足上下进线需求。</w:t>
            </w:r>
          </w:p>
          <w:p w14:paraId="71EC365C">
            <w:pPr>
              <w:widowControl/>
              <w:ind w:left="0" w:leftChars="0" w:firstLine="0" w:firstLineChars="0"/>
              <w:jc w:val="left"/>
              <w:textAlignment w:val="center"/>
              <w:rPr>
                <w:rFonts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 顶部具有散热风扇。</w:t>
            </w:r>
          </w:p>
          <w:p w14:paraId="3B9990F2">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6.板材厚度≥1.0mm</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9706">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E307">
            <w:pPr>
              <w:keepNext w:val="0"/>
              <w:keepLines w:val="0"/>
              <w:widowControl/>
              <w:suppressLineNumbers w:val="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i w:val="0"/>
                <w:iCs w:val="0"/>
                <w:color w:val="000000" w:themeColor="text1"/>
                <w:kern w:val="0"/>
                <w:sz w:val="20"/>
                <w:szCs w:val="20"/>
                <w:u w:val="none"/>
                <w:lang w:val="en-US" w:eastAsia="zh-CN" w:bidi="ar"/>
                <w14:textFill>
                  <w14:solidFill>
                    <w14:schemeClr w14:val="tx1"/>
                  </w14:solidFill>
                </w14:textFill>
              </w:rPr>
              <w:t>套</w:t>
            </w:r>
          </w:p>
        </w:tc>
      </w:tr>
      <w:tr w14:paraId="2E6FD8BB">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C55D">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181B">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施工与辅材</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5520">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安装施工、断路器、插座板、国标线材、喇叭线、六类网线等所有辅材。</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83FC">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D2A2">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批</w:t>
            </w:r>
          </w:p>
        </w:tc>
      </w:tr>
      <w:tr w14:paraId="420CEB39">
        <w:tblPrEx>
          <w:tblCellMar>
            <w:top w:w="0" w:type="dxa"/>
            <w:left w:w="108" w:type="dxa"/>
            <w:bottom w:w="0" w:type="dxa"/>
            <w:right w:w="108" w:type="dxa"/>
          </w:tblCellMar>
        </w:tblPrEx>
        <w:trPr>
          <w:trHeight w:val="567" w:hRule="atLeast"/>
        </w:trPr>
        <w:tc>
          <w:tcPr>
            <w:tcW w:w="0" w:type="auto"/>
            <w:gridSpan w:val="5"/>
            <w:tcBorders>
              <w:top w:val="nil"/>
              <w:left w:val="nil"/>
              <w:bottom w:val="nil"/>
              <w:right w:val="nil"/>
            </w:tcBorders>
            <w:shd w:val="clear" w:color="auto" w:fill="FFFF00"/>
            <w:noWrap/>
            <w:vAlign w:val="center"/>
          </w:tcPr>
          <w:p w14:paraId="5D8B647F">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舞台音响设备</w:t>
            </w:r>
          </w:p>
        </w:tc>
      </w:tr>
      <w:tr w14:paraId="43C331FA">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A9EB">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2917">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IP终端</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93E8">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1.设备采用≥19英寸机架设计，带有LCD显示屏。</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2.具有≥1路线路输入接口和≥1路话筒输入接口，可独立调节音量；支持高低音调节电位器控制。</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3.具有≥1路EMC输入接口，具有最高优先级；具有≥1路音频输出接口。</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4.具有≥2路三线制强切输出接口，无需强切电源。</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5.支持≥2路电源输出插座，内置智能电源管理，无音乐或呼叫时，自动切断输出座电源，有信号时自动打开输出座电源。</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E97B">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8C37">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43B4A22A">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28AB">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79CC">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无线话筒</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09E4">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1.基于数字U段的传输技术，pi/4-DQPSK调制方式，采用国产主控芯片，传输距离≥80米，接收机具有≥2路平衡输出、≥1路非平衡混音输出；具有混响、均衡、智能静音、音频加密、功率调节功能。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2.具有≥1台接收主机、≥2只手持发射机；频率范围等同或优于470MHz-510MHz、540MHz-590MHz、640MHz-690MHz、807MHz-830MHz四个频段使用。</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w:t>
            </w:r>
          </w:p>
          <w:p w14:paraId="38157CD4">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p w14:paraId="38E7614D">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4.具有自动静音功能，麦克风跌落、抛掷时，毫秒级自动静音，避免冲击声；实时监测设备姿态，静置≥5秒静音，≥8分钟关机，无需手动干预。</w:t>
            </w:r>
          </w:p>
          <w:p w14:paraId="762A0FD6">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p w14:paraId="66658C3B">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5.具有多档位混响调节功能，混响效果≥15625个，效果占比、回响延时、混响幅度调节，三种音效各具有≥25档调节方式。</w:t>
            </w:r>
          </w:p>
          <w:p w14:paraId="05A7ADB3">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p w14:paraId="414A47B1">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6.具有多频段均衡调节功能，均衡调节≥2197种，麦克风均衡器调节功能，具有高、中、低音三种调节档位，每种效果支持≥13档调节。</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7.具有长时间续航，发射机使用时长≥10小时。</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8.具有ID码防串扰功能，采用32位唯一ID码，用于接收和发射配对，收发ID码必须相同才能对码，能够有效防止相同频率的信号相互串台。</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9.接收机具有≥2个2.2英寸的TFT-LCD显示屏；发射机具有≥0.96英寸OLED显示屏，能够显示频率信息、音频加密状态、功率挡位、静音状态、电量格数信息。</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23A8">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507B">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套</w:t>
            </w:r>
          </w:p>
        </w:tc>
      </w:tr>
      <w:tr w14:paraId="71DAA3B0">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E411">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C7EF">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无线话筒</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4E95">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1.基于数字U段的传输技术，pi/4-DQPSK调制方式，采用国产主控芯片，传输距离≥80米，接收机具有≥2路平衡输出、≥1路非平衡混音输出；具有混响、均衡、智能静音、音频加密、功率调节功能。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2.具有≥1台接收主机、≥2只头戴腰包；频率范围等同或优于470MHz-510MHz、540MHz-590MHz、640MHz-690MHz、807MHz-830MHz四个频段使用。</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接收机前面板具有≥2个TFT-LCD显示屏、≥2个编码旋钮、≥2个频率扫描实体按键、≥2个红外对频实体按键、≥1个电源开关按键、≥1个二合一指示灯（红外发射管+对频指示灯）；后面板具有≥1个LINE-OUT接口、≥2个XLR-OUT接口、≥2个BNC接口、≥1个DC接口。发射机具有≥1个显示屏、≥4个实体按键（包括≥1个静音键、≥1个音量减少键、≥1个音量增加键、≥1个电源开关键）、≥1个电源状态指示灯、≥1个静音指示灯。</w:t>
            </w:r>
          </w:p>
          <w:p w14:paraId="56816531">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4.具有多档位混响调节功能，混响效果≥15625个，效果占比、回响延时、混响幅度调节，三种音效各具有≥25档调节方式。</w:t>
            </w:r>
          </w:p>
          <w:p w14:paraId="17C2FCCC">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5.具有多频段均衡调节功能，均衡调节≥2197种，麦克风均衡器调节功能，具有高、中、低音三种调节档位，每种效果支持≥13档调节。</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6.具有长时间续航，发射机连续使用时长≥10小时。</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7.具有ID码防串扰功能，采用32位唯一ID码，用于接收和发射配对，收发ID码必须相同才能对码，能够有效防止相同频率的信号相互串台。</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8.接收机具有≥2个2.2英寸的TFT-LCD显示屏；发射机具有≥0.96英寸OLED显示屏，能够显示频率信息、音频加密状态、功率挡位、静音状态、电量格数信息。</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AC08">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CBF8">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套</w:t>
            </w:r>
          </w:p>
        </w:tc>
      </w:tr>
      <w:tr w14:paraId="59CD4DB5">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EAD1">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0242">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天线分配器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42BB">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1.具备≥2个天线输入接口，支持接收天线信号，实现分配多路射频信号的效果。</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2.具备放大射频信号，补偿因信号功率被分配至多个输出而造成的插入损耗。</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3.具备≥2个天线级联接口，支持无限制级联分配器，可实现扩展无线话筒的目的。</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4.具备≥4个直流电源输出接口，支持给≥4台接收机供电。</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974A">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801F">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套</w:t>
            </w:r>
          </w:p>
        </w:tc>
      </w:tr>
      <w:tr w14:paraId="6557695C">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6F2E">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F04A">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话筒天线</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B506">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1.天线接收频段广，可接收等同或优于470-950MHZ的频率</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 xml:space="preserve">2.天线极化方式：线极化 </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 xml:space="preserve">3.天线驻波比：≤2.0 </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4.放大器增益：四档可调（-6dB/0dB/6dB/12dB)</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5.指向性：≥90度指向</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5D64">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F4DF">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套</w:t>
            </w:r>
          </w:p>
        </w:tc>
      </w:tr>
      <w:tr w14:paraId="7A337EDC">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86E1">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0BC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AI反馈抑制器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8C33">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处理器主频≥1.3GHz；配置≥2个完全独立的反馈抑制通道，每通道均支持自适应反馈抑制（AFC）功能，传声增益提升≥6dB，可分别处理不同声源信号（如主讲麦克风与观众席拾音），避免多麦克风场景下的交叉啸叫干扰。</w:t>
            </w:r>
          </w:p>
          <w:p w14:paraId="0843853D">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2.支持声学校正按钮，按下可以预测声反馈回路；提供≥高/中/低三档输入电平调节。</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3.具有≥2个独立通道，每通道均支持等同或宽于0-99级数字音量调节及静音开关功能。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4.基于啸叫检测门限更新法，具有移频+陷波反馈抑制功能，可以使用≥48个可编程陷波点。</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前面板具有≥48个LED灯陷波状态指示灯（具有≥2×12个静态点和≥2×12个动态点）、≥2英寸IPS真彩显示屏、≥1个编码旋钮；后面板具有≥1个船形开关、≥2路XLR母座+2路TRS母座模拟输入、≥2路XLR公座+2路TRS母座模拟输出、≥1个RJ45接口。</w:t>
            </w:r>
          </w:p>
          <w:p w14:paraId="758EE645">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提供设备接口图佐证、</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p w14:paraId="5DE2BE1B">
            <w:pPr>
              <w:widowControl/>
              <w:numPr>
                <w:ilvl w:val="0"/>
                <w:numId w:val="6"/>
              </w:numPr>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设备具有编码旋钮和≥2.0英寸IPS屏幕，可用于控制和配置设备直通、场景。IPS屏幕能够显示IP地址，输入和输出通道的实时电平。</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7.具有设备定位，PC客户端具有一键定位局域网内同类设备功能，被定位到的设备会在显示屏上显示定位信息。</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8.设备具有统一集中控制功能，支持≥65535台设备通过软件集中控制。</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9.支持多客户端数据同步，≥2个客户端以上连接混音器设备时，可实现多端数据同步。</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10.反馈抑制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p w14:paraId="1F410BA6">
            <w:pPr>
              <w:widowControl/>
              <w:numPr>
                <w:ilvl w:val="0"/>
                <w:numId w:val="0"/>
              </w:numPr>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提供设备接口图佐证、</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提供具有CMA、CNAS标识的检测报告</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87C3">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8830">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0C3B4EE4">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9A56">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2CE8">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调音台</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51CF">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1.支持≥8路麦克风输入兼容6路线路输入接口，CH1-CH6线路输入接口带48V幻象开关独立控制；≥2路立体声输入接口，≥4路RCA输入接口。</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2.具有≥2组立体声输出、≥4路编组输出、≥4路辅助输出、≥1个耳机监听输出、≥1个接口双路效果输出 、≥1组控制室输出、≥1组主混音断点插入、≥6个断点插入。</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3.内置≥24位DSP效果器，提供≥100种预设效果。</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4.具备≥13个60mm行程的高精密碳膜推子。</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5.内置USB声卡模块，支持连接电脑进行音乐播放和声音录音；内置MP3播放器，支持≥1个USB接口接U盘播放音乐。</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90F7">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E093">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0DF38D4F">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9235">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A75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IP音频采集器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F52C">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1.采集设备支持将模拟音频采集编码成数字音频，具有≥1路RJ45网络接口，支持定时采播任务、临时采播任务功能。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2.具有≥2组RCA音频输入接口，支持音量调节功能。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3.采播任务支持≥3种采集音质可选，支持普通、中级、高级音质选择模式。</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4.支持声压触发采集外部音源，智能识别音频,自动建立采集任务,可自定义执行区域,可自定义延时关闭时间。</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6C400">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D64A">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5BC69C6D">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B115">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4E1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数字功放</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7507">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1.功放采用D类放大电路，要求内置开关电源。</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2.设备应采用1U高度19英寸机箱设计。</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3.具有≥1通道欧式端子平衡输入，≥1通道欧式端子输出。具有≥1通道数字功率放大器，额定功率输出≥350W，具备≥1路100V或4-16Ω输出端子接线扬声器。</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4.支持故障输出功能，可远程监控功放设备工作状态。</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5.设备内置≥1通道独立电源供电功能。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6.支持短路、过载、过热保护功能。</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6B8E">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DBC5">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53DF9B79">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9E2C">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B6C1">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45W音柱音柱</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EDD1">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1．额定功率（100V）：≥22.5W,≥45W</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2．额定功率（70V）：≥11.2W,≥22.5W</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3．灵敏度：≥91dB±3dB</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4．阻抗：黑:COM 白:≤440Ω 绿:≤220Ω</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5．频率响应：50Hz-18KHz</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6．喇叭单元：≥4"×4,≥2.5"×1</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7．防护等级：等同或优于IP66</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7BF5">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AC63">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只</w:t>
            </w:r>
          </w:p>
        </w:tc>
      </w:tr>
      <w:tr w14:paraId="51A04ED7">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9C3E">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19F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纯后级功放</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A56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1.采用D类数字功放技术，功率放大电路设计</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2.额定输出功率：≥1500W</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3.具有管道式散热结构，内置自动温度控制风扇冷却系统。</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4.具有≥1通道LINE不平衡TRS/XLR高品质多功能输入接口，≥1通道LINE平衡XLR级联输出。</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5.内置PFC电路和软开关电源技术，开关机自动软启动控制。</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6.功放电路，零交越失真。</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7.内置智能削顶失真和过流压限系统，能保护扬声器单元。</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8.具有过温、过压、欠压、过流、短路多重智能检测保护系统。</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9.具有2种定阻和定压输出模式:4-16Ω/100V可选择。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7FB4">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2A26">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681768BE">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5C1D">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E879">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120W音柱音柱</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17B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1．额定功率(100V)：≥120W</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2．额定功率(70V)：≥60W</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3．灵敏度≥94dB</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4．频率响应：110Hz-15KHz</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5．防护等级：等同或优于IP66</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6．喇叭单元：≥6.5"×4+≥3"×1</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C31F">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41B5">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只</w:t>
            </w:r>
          </w:p>
        </w:tc>
      </w:tr>
      <w:tr w14:paraId="3268F5F9">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937A">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6D19">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电源管理器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48FF">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1.支持≥8通道电源时序打开/关闭，支持远程控制（上电+24V直流信号）≥8通道电源时序打开/关闭—当电源开关锁处于off位置时有效。支持配置CH1和CH2通道为受控或不受控状态。</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2.当远程控制有效时同时控制后板ALARM（报警）端口导通以起到级联控制ALARM（报警）功能。</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 xml:space="preserve">3.单个通道最大负载功率≥3500W，所有通道负载总功率达≥6000W，输入连接器：大功率线码式电源连接器。 </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4.输出连接器：≥2个16A，≥2个16A接线端子和≥4个10A电源插座。</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5.具有≥1路USB接口。</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D5FA">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2ACF">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3FF001D0">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C416">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3CA7">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室外防水机柜</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C1A3">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定制</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D530">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60A2">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103A7B4D">
        <w:tblPrEx>
          <w:tblCellMar>
            <w:top w:w="0" w:type="dxa"/>
            <w:left w:w="108" w:type="dxa"/>
            <w:bottom w:w="0" w:type="dxa"/>
            <w:right w:w="108" w:type="dxa"/>
          </w:tblCellMar>
        </w:tblPrEx>
        <w:trPr>
          <w:trHeight w:val="567"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98E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D390">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施工与辅材</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876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安装施工、断路器、插座板、国标线材、喇叭线、六类网线、音箱立杆等所有辅材。</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59B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47A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项</w:t>
            </w:r>
          </w:p>
        </w:tc>
      </w:tr>
      <w:tr w14:paraId="7D896EE0">
        <w:tblPrEx>
          <w:tblCellMar>
            <w:top w:w="0" w:type="dxa"/>
            <w:left w:w="108" w:type="dxa"/>
            <w:bottom w:w="0" w:type="dxa"/>
            <w:right w:w="108" w:type="dxa"/>
          </w:tblCellMar>
        </w:tblPrEx>
        <w:trPr>
          <w:trHeight w:val="567"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600F121">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机房设备</w:t>
            </w:r>
          </w:p>
        </w:tc>
      </w:tr>
      <w:tr w14:paraId="102DC8BA">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B03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8B5D">
            <w:pPr>
              <w:widowControl/>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机房设备</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14C1">
            <w:pPr>
              <w:widowControl/>
              <w:jc w:val="left"/>
              <w:textAlignment w:val="center"/>
              <w:rPr>
                <w:rFonts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处理器:国产C86架构CPU，物理核心数≥8核，主频≥2.8GHz；</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2</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内存:配置≥8GB DDR4内存，配置≥4个内存插槽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显卡: 集成显卡；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4</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声卡：集成5.1声道卡，提供前2后3音频接口；</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5</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配件：USB抗菌防水键盘、鼠标、耳麦；</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6</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硬盘:≥512GB M.2接口NVME协议SSD，最高可支持≥2块M.2 SSD；</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7</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网络:1个RJ45 10/100/1000自适应以太网口；</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8</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接口扩展 :1个PCIe x16，1个PCIe x4，1个PCIe x1扩展槽；USB接口不少于8个（其中前置USB3.0 Type A数量≥4个，后置USB3.0接口≥4个）；</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9</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教学应用:提供国产系统下的K12教学资源，覆盖中小学全学段、全学科资源，能够按学科、版本、章节自动筛选，提供与当前课程相匹配的所有教案、学案、课件、试题、练习、视频、其它素材等教学资源,并可通过关键字进行资源的模糊搜索。支持在电脑、pad、手机等多种终端登录使用，同时具备网页端、微信公众号、小程序，定期推送课程,具备为教师准备的常用信息化教学工具培训内容，全面提升教师信息化教学技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10</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显示器：配置≥23.8寸LED显示器，与主机同品牌，分辨率≥1920*1080，刷新频率≥75Hz，对比度≥3000:1，视频接口VGA+HDMI；</w:t>
            </w:r>
          </w:p>
          <w:p w14:paraId="141ACC53">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11</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.预装授权国产操作系统。</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12.</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售后服务：提供原厂质保，</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保修期内</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免费上门服务。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.CPU、操作系统安全可靠测评等级≥Ⅰ级,整机IC器件及电子元件国产化率99%，提供具有CMA或CNAS标识的检测报告;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A18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50E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台</w:t>
            </w:r>
          </w:p>
        </w:tc>
      </w:tr>
      <w:tr w14:paraId="40D146A4">
        <w:tblPrEx>
          <w:tblCellMar>
            <w:top w:w="0" w:type="dxa"/>
            <w:left w:w="108" w:type="dxa"/>
            <w:bottom w:w="0" w:type="dxa"/>
            <w:right w:w="108" w:type="dxa"/>
          </w:tblCellMar>
        </w:tblPrEx>
        <w:trPr>
          <w:trHeight w:val="567" w:hRule="atLeast"/>
        </w:trPr>
        <w:tc>
          <w:tcPr>
            <w:tcW w:w="0" w:type="auto"/>
            <w:gridSpan w:val="5"/>
            <w:tcBorders>
              <w:top w:val="nil"/>
              <w:left w:val="nil"/>
              <w:bottom w:val="nil"/>
              <w:right w:val="nil"/>
            </w:tcBorders>
            <w:shd w:val="clear" w:color="auto" w:fill="FFFF00"/>
            <w:noWrap/>
            <w:vAlign w:val="center"/>
          </w:tcPr>
          <w:p w14:paraId="1199375E">
            <w:pPr>
              <w:widowControl/>
              <w:jc w:val="center"/>
              <w:textAlignment w:val="center"/>
              <w:rPr>
                <w:rFonts w:hint="eastAsia" w:ascii="方正仿宋_GB2312" w:hAnsi="方正仿宋_GB2312" w:eastAsia="方正仿宋_GB2312" w:cs="方正仿宋_GB2312"/>
                <w:b/>
                <w:bCs/>
                <w:color w:val="000000" w:themeColor="text1"/>
                <w:sz w:val="20"/>
                <w:szCs w:val="20"/>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0"/>
                <w:szCs w:val="20"/>
                <w:lang w:bidi="ar"/>
                <w14:textFill>
                  <w14:solidFill>
                    <w14:schemeClr w14:val="tx1"/>
                  </w14:solidFill>
                </w14:textFill>
              </w:rPr>
              <w:t>资源教室</w:t>
            </w:r>
          </w:p>
        </w:tc>
      </w:tr>
      <w:tr w14:paraId="22A508A7">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8C7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857">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升降课桌椅</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8B4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桌面材质：加厚型高密度板，E0级三聚氰胺板；支架材质：冷轧钢；塑料部件：PVC；</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桌子尺寸：桌面：60×40cm±3%、桌脚：40cm±3%、调节范围：65~75cm；</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椅子尺寸：椅面：40×36cm±3%、椅脚：32cm±3%、调节范围：35~43cm。</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EE44">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CEBA">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6503742D">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014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AC22B">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资源教室管理系统</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328A8">
            <w:pPr>
              <w:widowControl/>
              <w:ind w:left="0" w:leftChars="0" w:firstLine="0" w:firstLineChars="0"/>
              <w:jc w:val="left"/>
              <w:textAlignment w:val="center"/>
              <w:rPr>
                <w:rFonts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资源教室管理系统-IEP提供随班就读资源老师、学生以及家长的信息化服务，可根据资源教室的组织架构，梯次配置资源，完善康复教育的业务流程，逐步建全资源教室运行体系。系统支持账号登录及人脸登录、登录后界面显示使用者的头像、姓名及在线状态、点击其功能图标可直接更改用户信息、屏幕保护锁屏及退出系统；各界面均设有全屏模式/退出全屏模式、一键返回主页及消息提示功能按钮图标，</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1、建档资料：</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1.1姓名、学籍号、头像上传、身份证号、出生日期、性别、所属机构、班级、教学形式、残疾证有/无及残疾证编号录入、7大障碍类型选择、障碍等级、现居住省份、城市、区/县、街道/镇寸、现居备注、监护人、与学生关系、紧急联系人电话、紧急联系人住址及其他说明，以卡片模块化方式呈现，系统自动生成对应的档案编号，一键保存档案和打印档案；</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1.2包含感官功能/健康状况（不少于7项)、知觉动作能力（不少于19项)、生活自理能力（不少于4类20项)、沟通能力（不少于5类19项)、社会适应（情绪、人际、行为不少于20项)；认知/学业能力（不少于4类20项)、学习行为特征（不少于30项)、学习现状描述、学习优势及限制；</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1.3可按照姓名、机构、学号查询学生档案信息，其查询界面多人显示以卡片式方式呈现，每个卡片信息包含学生头像、姓名、性别、班级、所在机构等基础信息，点击查看资料可一键查看学生所有档案信息，数据较多时系统自动分页显示并统计数据量，可根据其菜单选择上一页、下一页、首页或尾页查询。</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基础测评-新建学生测评、系统自动生成测评单号（字母与数字组成）及评测日期、学生基础测评信息（姓名、头像、所在机构、班级、残障类型、性别）、摘要及备注、测评内容（计分说明、分值、评估操作说明），树状导航呈现IEP长期目标短期目标关联项，AI标红预警未完成评测。</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专项个别化定制：新增个别化计划、系统自动生成单号（字母、数字等组成），直观显示学生头像、姓名、性别、机构、班级、残疾类型；计划主题涵盖评估类别、评估表、评估版本、评估单号、评估日期、计划开始与结束日期、创建人、摘要及备注；计划项目涵盖整体计划精度、每个计划项目均设有训练要求（掌握程度、反应量标、时效标尺），通过进度预警矩阵（绿/橙/红三色标）实时追踪达标率，方案可以通过当前学生信息(年龄、性别、障碍类型等)及本次评测值AI大模型辅助编写教案（学情分析，教学目标、教学难点，教学准备，教学过程） ，通过AI引擎实现专项个别化计划的智能构建与动态优化，驱动从评估诊断到教学执行的闭环进化，可以打印预览，导出pdf word, excel等。</w:t>
            </w:r>
          </w:p>
          <w:p w14:paraId="324FB404">
            <w:pPr>
              <w:widowControl/>
              <w:ind w:left="0" w:leftChars="0" w:firstLine="0" w:firstLineChars="0"/>
              <w:jc w:val="left"/>
              <w:textAlignment w:val="center"/>
              <w:rPr>
                <w:rFonts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4、沟通场景覆盖：包含情绪表达、生活需求、社交互动、日常活动等24类高频场景图标，支持图标定制更换，另外包含6个定制化录音按钮，可以按压按钮进行个性化录制沟通语音，内容可以随洗随录。</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5、一共30个图标按钮，按压可输出语音，按钮为内嵌式设计，便于学生按压，语音输出：按下按键播放对应图标场景语音，音量支持4级调节。</w:t>
            </w:r>
          </w:p>
          <w:p w14:paraId="3FFE695D">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6、配套制作软件：软件具有不少于2000张简约线条图，可以直接打印，贴到按钮上，录制语音后，可以做到播放对应图标场景语音。</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2A87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E9D9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75E01D05">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935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628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随班就读学生评估干预系统—教具版</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8177">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Style w:val="24"/>
                <w:rFonts w:hint="default"/>
                <w:color w:val="000000" w:themeColor="text1"/>
                <w:lang w:bidi="ar"/>
                <w14:textFill>
                  <w14:solidFill>
                    <w14:schemeClr w14:val="tx1"/>
                  </w14:solidFill>
                </w14:textFill>
              </w:rPr>
              <w:t>一、产品介绍-通过便捷的信息管理，形成完整的一生一档，实现可视化教学；了解学生在六大领域的优势区域和最近发展区域，为后期教育训练提供有效的数据支持与教学建议；阶段性的评估汇总便于教师客观地了解特殊学生的发展轨迹；针对性的教具推荐，激发学生的学习兴趣，提高学习效果，拓展教师的教学方法与思路。</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二、评估训练参数</w:t>
            </w:r>
            <w:r>
              <w:rPr>
                <w:rStyle w:val="25"/>
                <w:rFonts w:hint="default"/>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1、六大领域评估功能，涵盖感官知觉、运动能力、认知能力、语言能力、自理能力、情绪行为六个维度。</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2、六大领域评估包含：感官知觉模块：包含视觉评估、听觉评估、触觉评估、味觉评估和嗅觉评估；情绪行为模块：包含情绪问题评估和行为问题评估；认知能力模块：包含基础认知评估和综合认知评估；语言能力模块：语言能力评估；运动能力模块：包含粗大动作评估和精细运动评估；自理能力模块：包含个人自理评估和居家能力评估。</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3、评估汇总功能：包含感官知觉、运动能力、认知能力、语言能力、自理能力、情绪行为六个维度的评估记录，以评估时间为节点，呈现评估的得分折线图，并能自主选择需要模块的折线图和评估时间段；可在同一张评估汇总中展示所有的模块的得分折线图。</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4、历史记录功能：具有测试结果、教具推荐、量表详情、筛查导出和打印功能。</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5、根据测试结果得可以自动得出优势区域和发展区域：</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（1）根据测试结果，可自动呈现问题区域，并提出医学治疗建议。</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2）感官知觉模块可区分的优劣势区域有不少于25个：视觉区域：视觉刺激、视觉追踪、手眼协调、视觉辨别、视觉区分、视觉识别和视觉记忆。触觉区域：触觉敏感、触觉识别、触觉辨识和触觉记忆。听觉区域：听觉察知、声音识别、声音辨识、听觉记忆、空间位置和视动统整。味觉区域：味觉记忆、、味觉刺激、味觉识别和味觉辨别。嗅觉区域：嗅觉识别、嗅觉刺激、嗅觉辨识和嗅觉记忆。</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3）运动能力模块可区分的优劣势区域有：姿势控制、移动能力、整体运动、抓放能力、手眼协调和作业能力。认知能力模块可区分的优劣势区域有：自我认知、概念认知、职业认知、数的概念、空间位置、分类排序和逻辑推理。</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（4）语言能力模块可区分的优劣势区域有：发声障碍、听的能力、说的能力、理解能力、非语言沟通、表达能力、读的能力和写的能力。自理能力模块可区分的优劣势区域有：卫生常识、生活自理和居家能力。</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（5）情绪行为可区分的优劣势区域有：情绪识别、情绪表达、情绪理解、情绪调节、行为引导和行为干预。</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6、配套教具包推荐功能：软件根据测试结果得出优劣势区域，用户选择不同发展区域，软件系统自动推荐不同的教具清单，教具清单可与评估后的训练内容一一对应，教具数量不少于120个。</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7、量表详情功能：评估结果能以彩色柱状图的形式呈现每个模块的得分。</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8、筛查导出功能：一键可以导出筛查测试结果，便于老师保存等。</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9、打印功能：评估汇总和历史记录等都具有一键式打印功能。</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三、数据及管理中心参数</w:t>
            </w:r>
            <w:r>
              <w:rPr>
                <w:rStyle w:val="25"/>
                <w:rFonts w:hint="default"/>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1、首页、班级管理、学生管理、教师管理，四大一级模块入口。</w:t>
            </w:r>
            <w:r>
              <w:rPr>
                <w:rStyle w:val="25"/>
                <w:rFonts w:hint="default"/>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2、班级管理，可以一键添加班级。班级列表，可以快速开展编辑及删除行为。</w:t>
            </w:r>
            <w:r>
              <w:rPr>
                <w:rStyle w:val="25"/>
                <w:rFonts w:hint="default"/>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3、学生管理信息，包含姓名、头像、障碍类型、障碍程度、年龄、入学时间及学校等的记录与管理；</w:t>
            </w:r>
            <w:r>
              <w:rPr>
                <w:rStyle w:val="25"/>
                <w:rFonts w:hint="default"/>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4、可批量删除及导入学生信息，信息可以保存在云端，随时导入及调用数据。</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四、硬件配置不低于：</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1、软件安装及说明书一套；</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2、配套教具包包含：视觉感知套装、认知能力套装、语言能力套装、自理能力套装和情绪行为套装；</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3、配套1个不少于20寸收纳工具箱。</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5E3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7C6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5120E06E">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186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52734">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书柜</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D24B">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全松木实木；三个实木架组合；分别尺寸为：高84cm±3%，宽60cm±3%；高110cm±3%，宽60cm±3%;高155cm±3%,宽60cm±3%。</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2A29C">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BA0F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7390152E">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5E7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8355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听觉及视觉训练套件</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4E987">
            <w:pPr>
              <w:widowControl/>
              <w:ind w:left="0" w:leftChars="0" w:firstLine="0" w:firstLineChars="0"/>
              <w:jc w:val="left"/>
              <w:textAlignment w:val="center"/>
              <w:rPr>
                <w:rStyle w:val="24"/>
                <w:rFonts w:hint="default"/>
                <w:color w:val="000000" w:themeColor="text1"/>
                <w:lang w:bidi="ar"/>
                <w14:textFill>
                  <w14:solidFill>
                    <w14:schemeClr w14:val="tx1"/>
                  </w14:solidFill>
                </w14:textFill>
              </w:rPr>
            </w:pPr>
            <w:r>
              <w:rPr>
                <w:rStyle w:val="24"/>
                <w:rFonts w:hint="default"/>
                <w:color w:val="000000" w:themeColor="text1"/>
                <w:lang w:bidi="ar"/>
                <w14:textFill>
                  <w14:solidFill>
                    <w14:schemeClr w14:val="tx1"/>
                  </w14:solidFill>
                </w14:textFill>
              </w:rPr>
              <w:t>听觉及视觉训练套件通过颜色设定和听觉配对游戏，加强对学生的双层感官刺激，培养学生的配对能力、感知能力和集中注意力的能力。</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1、</w:t>
            </w:r>
            <w:r>
              <w:rPr>
                <w:rStyle w:val="26"/>
                <w:rFonts w:eastAsia="方正仿宋_GB2312"/>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t>配置木质游戏板一个，木质板带有不少于10个游戏方格；尺寸：30x24cm±3%；</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2、</w:t>
            </w:r>
            <w:r>
              <w:rPr>
                <w:rStyle w:val="26"/>
                <w:rFonts w:eastAsia="方正仿宋_GB2312"/>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t>配置不少于10个听视觉游戏盒，尺寸5x5x6cm±3%；</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3、</w:t>
            </w:r>
            <w:r>
              <w:rPr>
                <w:rStyle w:val="26"/>
                <w:rFonts w:eastAsia="方正仿宋_GB2312"/>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t>听视觉游戏盒底部为半透明的彩色亚克力，摇动可以发出不同的声响；</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4、</w:t>
            </w:r>
            <w:r>
              <w:rPr>
                <w:rStyle w:val="26"/>
                <w:rFonts w:eastAsia="方正仿宋_GB2312"/>
                <w:color w:val="000000" w:themeColor="text1"/>
                <w:lang w:bidi="ar"/>
                <w14:textFill>
                  <w14:solidFill>
                    <w14:schemeClr w14:val="tx1"/>
                  </w14:solidFill>
                </w14:textFill>
              </w:rPr>
              <w:t xml:space="preserve"> </w:t>
            </w:r>
            <w:r>
              <w:rPr>
                <w:rStyle w:val="24"/>
                <w:rFonts w:hint="default"/>
                <w:color w:val="000000" w:themeColor="text1"/>
                <w:lang w:bidi="ar"/>
                <w14:textFill>
                  <w14:solidFill>
                    <w14:schemeClr w14:val="tx1"/>
                  </w14:solidFill>
                </w14:textFill>
              </w:rPr>
              <w:t>听视觉游戏盒可以根据相同的声音或颜色进行配对游戏。</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产品须符合GB6675-2014《玩具安全》系列标准</w:t>
            </w:r>
          </w:p>
          <w:p w14:paraId="11345DFA">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提供具有CMA标识检测报告</w:t>
            </w:r>
            <w:r>
              <w:rPr>
                <w:rStyle w:val="24"/>
                <w:rFonts w:hint="default"/>
                <w:color w:val="000000" w:themeColor="text1"/>
                <w:lang w:bidi="ar"/>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3187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9EADC">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2B4895D9">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24C4">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905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学生智力测评系统</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DF07">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系统包括儿童生长发育测评、儿童智力能力测评、儿童注意生发展综合评价力多动症测评、儿童感觉统合能力发展测评、儿童心理健康测评等。</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一、儿童智力（IQ）测评</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1、图片词汇PPVT智力测试：根据国内常模，采用电脑语音阅读词汇，被测者点击高灵敏度触摸屏同步显示的图片，电脑自动评分，测试准确快捷。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2、联合型瑞文CRT智商测试：采用最新常模，通过图形推理，判断儿童逻辑推理、计算等多方面智力水平。题目由简入难，能在很大程度上反映儿童思维从直观形象到抽象推理的渐进过程。</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绘人MOD智能测试：绘人测验又称为画人测验，该系统配合高灵敏度触摸屏，儿童直接在显示屏上作画，是一种简便易行的智能评估工具，有时也用来评估人格。画人测验只要求画一个人像，简单易行，能引起儿童的兴趣，不易产生疲劳，因而能使儿童较好地表现出实际的智能水平。</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智能综合Gesell测试：测试从动作能、应物能、言语能及应人能4个方面进行检查，并把4周、16周、28周、40周、52周、18个月、24个月、36个月作为8个“枢纽年龄”，即在这些阶段显示出特殊飞跃进展。所测得的结果，以发育商数（DQ）来表示。</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5、丹佛小儿智能发育筛查DDST： DDST由四个分测验组成，即个人与社会行为、细动作与适应行为、语言和大运动等。DDST主要应用于以下几个方面:作为常规的发育筛查工具，对临床上无明显症状而在发育上可能有问题儿童进行筛查；对可疑儿童进行初步判定；对有高危因素儿童进行发育监测；观察早期治疗和干预训练的效果。</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小儿神经心理发育检查表：分析影响婴幼儿发育商的因素，及时发现孩子的长处或不足，为儿保医生保健指导和幼儿园早期发展训练提供依据；同时通过提高家长育儿技能，帮助建立良好的亲子关系，促进儿童早期健康、和谐、全面发展。</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团体智力测试9、脑瘫儿童精细运动能力测试量表（FMFM）：主要用于跟踪观察脑瘫儿童精细运动功能的发育状况，分析和预测不同类型不同分级脑瘫儿童精细运动发育轨迹和结局。判断各种干预和治疗方法对脑瘫儿童精细运动的影响，以及各种方法之间的疗效对比。和其他评价指导相结合，全面的分析影响运动功能因素，有效地促进脑瘫儿童运动发育和运动控制研究。</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10、脑瘫粗大运动功能评定量表（GMFM）：主要用于评估脑瘫儿童粗大运动功能，具有正常运动功能在5岁以内能完成所有的项目。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二、儿童注意力（CQ）测评与训练（3-16岁）</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1、图形划销注意力测试：在规定时间内，以儿童点击某图形的正确数量，来判断儿童注意力集中程度。采用触摸屏系统，使测试准确，快捷。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2、字母划销注意力测试：在规定时间内，以儿童点击某字母的正确数量，来判断儿童注意力集中程度。采用触摸屏系统，使测试准确，快捷。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3、数字划销注意力测试：在规定时间内，以儿童点击某特殊数字组合的正确数量，来判断儿童注意力集中程度。采用触摸屏系统，使测试准确，快捷。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舒尔特方格训练：舒尔特方格不但可以简单测量注意力水平，而且还是专业的注意力训练方法，包括3*3，5*5，7*7三组。儿童短时瞬时记忆力训练（3岁-16岁）：让测试者在2秒钟内观看一组数字（如47826），然后让测试者用鼠标或者手指按一遍，自动显示在小方框里。</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三、儿童生长发育测评（身高0-18岁，体重0-10岁，BMI0-18岁）</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1、体格测评（年龄/身高，年龄/体重、BMI体质指数0-19岁，同时具有国内卫生部2009生长发育0-7岁标准和国际WHO2007生长发育0-19岁新标准）： 采用国内卫生部最新生长发育0-7岁标准和国际WHO2007生长发育0-19岁新标准，同时可输入儿童前囟等信息，自动分析测量结果，为儿童生长发育提供准确的科学依据2、儿童未来身高预测：根据人口统计学资料、在知道父母身高的前提下，结合孩子当前的实际身高，可较准确的预测子女未来的身高。</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3、儿童常用中成药数据库。</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4、常用临床检验、检测数据库。</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四、儿童心理健康测评</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1、感觉统合能力（SBB）测评。</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2、儿童气质测评（0～7岁儿童）3、儿童孤独症评定量表（CARS）。</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4、儿童自我意识量表（PHCSS）。</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5、上海市儿童多动症行为量表。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6、康奈尔儿童多动症诊断行为量表。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7、儿童行为问卷。</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8、中学生心理健康量表（MHT）。</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9、青少年气质量表。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10、青少年忧郁情绪自我检视表。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11、网络成瘾测试。</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12、90症状清单（SCL-90）。</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13、克氏行为量表。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14、儿童行为量表（CBCL）。</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15、儿童心理健康测试（3--6岁）。</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17、学龄前儿童活动调查表。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18、汉密尔顿抑郁量表HAMD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19、新生儿不少于20项行为神经评定心理量表20、儿童学习障碍筛查表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21、艾森克人格个性测试（EPQ）。</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22、儿童孤独症评定量表。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23、婴儿-初中生社会生活能力量表。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24、家长用儿童行为量表。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25、儿童气质问卷26、考试焦虑量表（TAS）。</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27、家庭环境量表。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28、卡特尔16种人格因素测验29、青少年生活事件心理量表（ASLEC）。</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30、威廉斯创造力倾向测量表。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31、儿童抑郁自评量表SDS。</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32、儿童抑郁状态问卷DSI。</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33、儿童忧郁情绪自我检核表。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34、孤独症儿童行为家长评定量表（ABC）。</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35、教师用儿童行为量表。</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36、自杀态度问卷（QSA）。</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37、家庭功能评定量表（FAD）。                                                                                                                                                         硬件配置：平板电脑二合一触屏电脑，屏幕不低于11.6英寸，内存不小于4G+128G，磁吸键盘，分辨率：不低于1920*1080dpi，CPU核数：2.4GHz。</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4451">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C7F9">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套</w:t>
            </w:r>
          </w:p>
        </w:tc>
      </w:tr>
      <w:tr w14:paraId="485E6356">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77C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BD46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特殊教育素材</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A337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益智认知、心理健康、运动康复及感统训练等卡片类别不少于 110 份。适用于自闭症、发育迟缓等儿童。</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E0A1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00D7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43A2DED6">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E46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D92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倒计时沙漏</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B719">
            <w:pPr>
              <w:widowControl/>
              <w:ind w:left="0" w:leftChars="0" w:firstLine="0" w:firstLineChars="0"/>
              <w:jc w:val="left"/>
              <w:textAlignment w:val="center"/>
              <w:rPr>
                <w:rFonts w:hint="default" w:ascii="方正仿宋_GB2312" w:hAnsi="方正仿宋_GB2312" w:eastAsia="方正仿宋_GB2312" w:cs="方正仿宋_GB2312"/>
                <w:color w:val="000000" w:themeColor="text1"/>
                <w:sz w:val="20"/>
                <w:szCs w:val="20"/>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高度不小于20cm。</w:t>
            </w: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计时时间定。</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364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F5B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个</w:t>
            </w:r>
          </w:p>
        </w:tc>
      </w:tr>
      <w:tr w14:paraId="34D240D4">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428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2C7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数字游戏板</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DACB">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数字游戏板主要是锻炼学生的精细动作，在游戏过程训练。产品尺寸：475x265x25mm±3%；材质:环保夹板、磁铁、PVC塑料；画笔、沙耙、杆子和磁性接头的柱子各一个；</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所有外表面平整、光滑、不得有毛刺和锈蚀现象，表面涂漆牢固、光滑、色泽均匀。</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产品须符合GB6675-2014《玩具安全》系列标准（</w:t>
            </w:r>
            <w:r>
              <w:rPr>
                <w:rFonts w:hint="eastAsia" w:ascii="方正仿宋_GB2312" w:hAnsi="方正仿宋_GB2312" w:eastAsia="方正仿宋_GB2312" w:cs="方正仿宋_GB2312"/>
                <w:color w:val="000000" w:themeColor="text1"/>
                <w:kern w:val="0"/>
                <w:sz w:val="20"/>
                <w:szCs w:val="20"/>
                <w:u w:val="single"/>
                <w:lang w:bidi="ar"/>
                <w14:textFill>
                  <w14:solidFill>
                    <w14:schemeClr w14:val="tx1"/>
                  </w14:solidFill>
                </w14:textFill>
              </w:rPr>
              <w:t>提供具有CMA标识检测报告</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708A">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D71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240DDF1A">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EB1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10</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7F855">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言语功能评估训练卡片</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C7D5E">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用于矫正呼吸、发声、共鸣障碍的强化训练，还可用于构音语音能力、构音音位对比能力的评估与训练和口部构音运动能力的训练。</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本用具包括：呼吸训练卡片册、发声训练卡片册、共鸣训练卡片册、构音语音能力评估卡片册、构音音位对比能力评估卡片册、口部构音运动能力训练卡片册、构音语音能力评估记录词表、构音音位对比能力评估记录词表、使用说明手册等。</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71CC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B309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4E85BA6F">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4D54">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295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太阳系八大星星系列</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891C">
            <w:pPr>
              <w:widowControl/>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Style w:val="24"/>
                <w:rFonts w:hint="default"/>
                <w:color w:val="000000" w:themeColor="text1"/>
                <w:lang w:bidi="ar"/>
                <w14:textFill>
                  <w14:solidFill>
                    <w14:schemeClr w14:val="tx1"/>
                  </w14:solidFill>
                </w14:textFill>
              </w:rPr>
              <w:t>主要材质：</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底座：ABS产品重量：约0.9KG±3%</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用于太阳系天体的构成及其运转的学习和探究</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包含数字星空CD光盘</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发光的太阳</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八大行星包括水星，金星，地球，火星，木星，土星，天王星，海王星</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自动旋转</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语音交互</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46D7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6CE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2BA4DA0B">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EBEC">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12</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AA07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视觉提示沟通板</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70FE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产品组成：</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 沟通板尺寸不小于：30x20x4cm；材料为亚克力、实木夹板、和金属磁板；</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 沟通板由三层组成：（1）表面为透明亚克力材料，厚度不小于2mm；（2）中间层为9格的键盘框；（3）底层为插沟通卡的区域，沟通卡的尺寸不小于25x15cm；</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 配有磁力笔1支，可将金属磁板吸入相应的9个键盘框中，完成沟通及游戏动作；</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 全套有不少于3种不同颜色的功能区，共不少于12块金属磁板；</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 全套配有不少于100张沟通卡，沟通词汇不少于不少于900个；配有日常用品、天气、情绪、动物、乐器、交通工具、人物和自然模块；</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 具有不少于10张游戏卡，包含认识数量、比较多少、图形认知、空间位置、健康食物、分类、物体属性、找影子和轮廓匹配等内容，可自动生成答案。</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63DF1">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1F001">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套</w:t>
            </w:r>
          </w:p>
        </w:tc>
      </w:tr>
      <w:tr w14:paraId="6148F20B">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E0FA">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1B1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数字化多媒体互动评估训练--便携版</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3616">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1、平台分为：用户数据管理系统、认知评定与训练、上肢评定与训练、评定量表、益智与娱乐和学习模块。</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2、用户数据管理系统：包含用户的查询、新增、修改、删除、清空及登录等功能，可以对用户的常规信息进行管理。</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3、训练前的方案定制：软件后台可以定制选择用户的训练方案、训练时间及训练级别，用户可以一键进入训练模式。</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4、历史记录模块：历史记录模块会记录用户的训练时间及训练模块，历史记录模块中具有训练情况报告单，包含训练内容、图表分析和支持打印功能。</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认知评定与训练模块：针对认知障碍的训练者，系统包含了（1）数字计算训练：从四个可能的答案中选择正确的答案；（2）反应协调训练：尽量打到敌人飞机，和躲避敌机子弹；（3）水果认知：根据文字提示，选择对应的水果；（4）运算符号训练：选择一个符号来补全和解决这个问题；（5）视觉分析训练：在规定时间内连接颜色相同且位置相邻的物体；（6）移动协调训练：根据数字与箭头轨迹提示画完显示形状；（7）亮度区分训练：在规定时间内点击发亮的色块；（8）动物认知：根据下方的文字提示选择对应动物；（9）颜色区分训练：根据提示找出对应颜色的图片；（10）辨别认知训练：交换相邻两个物体的位置，使得行或列相同物体的个数大于等于3；（11）分类认知训练：找出并点击上方所提示的物品；（12）排序判断训练：按照从小到大的顺序依次把卡片从左到右拖入对应框内；（13）形状认知：根据下方的文字提示，选择对应的形状；（14）快速记忆训练：记住之前出现的几张扑克，依次点击；（15）快速反应训练：根据上面的滑动条点击屏幕使物体跳转到下一个台阶；（16）分类辨别训练：点击屏幕上飞动的虫子；（17）定向认知训练：根据数字与箭头轨迹提示画完显示字母形状；（18）纵向强化训练：上下滑动使兔子躲避障碍物；（19）数水果：内容中的数字被不同的图片替代了，图片的数量代表了整个数字的值；（20）找相同训练游戏：请找出与小人手上一样的图片。本模块将训练和游戏结合，调动训练者训练的主观能动性和积极性。</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6、认知评定与训练模块可以进行训练长短的设置，包含1分钟、3分钟、5分钟、10分钟和20分钟五种时间设置。其中反应协调训练和分类认知训练可以进行难度级别的设置。</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上肢评定与训练模块：训练者在训练中需随轨迹移动肢体或控制物体移动速度，通过对训练中物体控制达到上肢功能的控制，系统包含了（1）目标追踪训练：点击屏幕，使球拍左右移动，接住乒乓球；（2）连贯性训练：根据数字与箭头轨迹提示画完显示形状；（3）运动协调训练：点击屏幕发射出不同颜色的小球打击移动过来对应颜色的大球；（4）手眼协调训练：将水果移动到篮子里面；（5）速度训练：点击水管，使每一节水管连接起来；（6）注意力训练：找到相邻或行和列相同物体个数大于或等于三；（7）视空间训练：移动小图片使它成为一张完整的图片；（8）反应训练：在对方出拳后快速点击正确的结果；（9）辨别训练：移动下方的汉堡，根据上方提示的物体个数，去接住对应的物体，个数完成后接住汉堡盖就完成一个汉堡的制作，个数完成之前尽量不要接住汉堡；（10）左右手协调训练：分别用左手和右手点击两边（L）与（R）按钮使彩色的管子移动，使物体掉落时与管子颜色一样；（11）运动协调性训练：快速点击显示出来地鼠的位置;(12)运动控制训练：移动手指，使整张图片都显示出来;(13)空间失认重建：点击屏幕会朝向点击的方向发射子弹,阻止红色的物体靠近自己;(14)空间辨别训练：滑动屏幕使虚线对准篮球，放手投篮;(15)删除训练：随意拖动一个物体，放在另一个位置使得相同物体个数大于或等于3;(16)运动启动训练：按住小球所在的位置，直到重新生成位置;(17)运动强化训练：选择下方的文字使之与上方提示组成一个成语;(18)纵向协调训练：上下滑动使人物躲避障碍;(19)视觉追踪训练：移动下方的物体接住上方掉下来的食物，尽量避免触碰食物。</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8、评定量表模块系统：训练报告自动生成保存，跟踪训练效果；指导师可对报告进行编辑，可在报告中写入评语等。系统包含（1）Barthel指数评定；（2）焦虑自评（SAS）；（3）Fugl-meyer平衡功能评定；（4）Glasgow昏迷评定表；（5）Berg平衡量表；（6）额叶功能评定表；（7）智能状态检查表；（8）行为记忆功能评定；（9）Brunnstrom脑卒中恢复分；（10）HACHINSKI缺血指数量表；（11）伯恩斯忧郁清单(BDC)；（12）长谷川式智力检查表；（13）社会功能活动问卷（FAQ)；（14）利手评定表；（15）才藤氏吞咽障碍评价表；（16）简式TOKEN测量表;(17)上肢Fugl-Meyer；沟通场景覆盖：包含情绪表达、生活需求、社交互动、日常活动等24类高频场景图标，支持图标定制更换，另外包含6个定制化录音按钮，可以按压按钮进行个性化录制沟通语音，内容可以随洗随录。</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一共30个图标按钮，按压可输出语音，按钮为内嵌式设计，便于学生按压，语音输出：按下按键播放对应图标场景语音，音量支持4级调节。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硬件配置：平板电脑二合一触屏电脑，屏幕不低于11.6英寸，内存不小于4G+128G，磁吸键盘，分辨率：不低于1920*1080dpi，CPU核数：2.4GHz。</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26AA">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3D7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0D8462E5">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B7E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14</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5A32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迷你缝纫机</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A8DA8">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加强型迷你小型台式锁边电动缝纫机。</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F69C5">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A404C">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台</w:t>
            </w:r>
          </w:p>
        </w:tc>
      </w:tr>
      <w:tr w14:paraId="62594977">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8FE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F7DC">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手工线插板</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8C65">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不少于39色缝纫线</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A90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B1C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05A66864">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5D3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092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手平衡协调训练器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9499">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30×27×8.5cm±3%</w:t>
            </w:r>
          </w:p>
          <w:p w14:paraId="17C89CD7">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木质或塑料</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功能手眼协调训练</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419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48F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59049843">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552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C91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肌力训练弹力带</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925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Style w:val="24"/>
                <w:rFonts w:hint="default"/>
                <w:color w:val="000000" w:themeColor="text1"/>
                <w:lang w:bidi="ar"/>
                <w14:textFill>
                  <w14:solidFill>
                    <w14:schemeClr w14:val="tx1"/>
                  </w14:solidFill>
                </w14:textFill>
              </w:rPr>
              <w:t>肌力训练弹力带属于康复训练器械，用于颈后臂、大腿、二头肌、后背、三角肌等训练，外形尺寸/</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：150*3cm±3%，108*3cm±3%，每组肌力训练弹力带由不少于两件组成，橡筋绳含不同段数，不同段数不同阻力。</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5E5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424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0246A9A3">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F46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6813">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沙袋（绑式）</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A16B">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进行肌力和医疗体操训练，肌力训练，耐力训练，60×33×78cm±3%,, 袋重量（kg）及个数不少于：0.5（2）、0.75（2）、1（2个）、1.5（2个）、2（2个）、2.5（2个）共12个。</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7C8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E49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1AFACC6A">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5A9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35EA">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踝关节矫正训练器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183D">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71×64×94～154cm±3%,可调握手杆调节范围0～50cm±3%，角度调节不小于8°，20°，30°，40°</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3CC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548C">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71324AEB">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2C8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63B6">
            <w:pPr>
              <w:widowControl/>
              <w:ind w:left="0" w:leftChars="0" w:firstLine="0" w:firstLineChars="0"/>
              <w:jc w:val="both"/>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股四头肌训练椅</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7679">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外形尺寸（长×宽×高）：100.5×107×120cm±3%、座面高度：620mm±3%、座面深度：480mm±3%、座面宽度：540mm±3%、升降支架可调距离：150mm±3%、小腿垫可调距离：0-43cm±3%、助力手柄可调距离：285mm±3%、手柄直径：Φ30mm±3%、小腿支架摆动角度：≥130°±3%，配重块每块不小于1.5kg（每侧3块共6块）。</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稳定性要求：按照《GB/T 26346-2010 股四头肌训练椅》标准检测，前倾、后倾、侧倾和着地稳定性都符合国家标准要求（</w:t>
            </w:r>
            <w:r>
              <w:rPr>
                <w:rFonts w:hint="eastAsia" w:ascii="方正仿宋_GB2312" w:hAnsi="方正仿宋_GB2312" w:eastAsia="方正仿宋_GB2312" w:cs="方正仿宋_GB2312"/>
                <w:color w:val="000000" w:themeColor="text1"/>
                <w:kern w:val="0"/>
                <w:sz w:val="20"/>
                <w:szCs w:val="20"/>
                <w:u w:val="single"/>
                <w:lang w:bidi="ar"/>
                <w14:textFill>
                  <w14:solidFill>
                    <w14:schemeClr w14:val="tx1"/>
                  </w14:solidFill>
                </w14:textFill>
              </w:rPr>
              <w:t>提供具有CMA标识检测报告</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374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D03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台</w:t>
            </w:r>
          </w:p>
        </w:tc>
      </w:tr>
      <w:tr w14:paraId="2B6CECE0">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EDF0">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0DA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主动式上肢关节训练椅（可调式肘关节牵引）</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B8F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牵引的质量及方向、座椅高度、固定部位均可调节。</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外形尺寸/cm：92.5×144×115±3%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升降支架调节距离：0～13cm±3%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3：前臂垫调节距离：0～18cm±3%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4：角度调节支架调节角度：0°-15°±3%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5：靠背垫调节角度：90°-100°±3%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6:前臂支架调节角度：0°-150°±3%</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哑铃片质量及数量：不少于1.5kg/块，共6块。</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疲劳强度要求：按照《MZ/T 152-2020  康复训练器械 主动式上肢关节训练器通用技术条件》中6.11项标准，检测循环次数不少于100000次，器械应能正常使用（</w:t>
            </w:r>
            <w:r>
              <w:rPr>
                <w:rFonts w:hint="eastAsia" w:ascii="方正仿宋_GB2312" w:hAnsi="方正仿宋_GB2312" w:eastAsia="方正仿宋_GB2312" w:cs="方正仿宋_GB2312"/>
                <w:color w:val="000000" w:themeColor="text1"/>
                <w:kern w:val="0"/>
                <w:sz w:val="20"/>
                <w:szCs w:val="20"/>
                <w:u w:val="single"/>
                <w:lang w:bidi="ar"/>
                <w14:textFill>
                  <w14:solidFill>
                    <w14:schemeClr w14:val="tx1"/>
                  </w14:solidFill>
                </w14:textFill>
              </w:rPr>
              <w:t>提供具有CMA标识检测报告</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2A8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E3B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125EE82E">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8A65">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833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液压踏步器</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FB09">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下肢关节活动度及肌力训练，68×61×99.5±3%, 扶手杆宽54cm±3%,高扶手杆高82cm±3%，低扶手杆高69cm±3%,油缸阻力12档可调，液压踏步器属于康复训练器械。</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4192">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CB94">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台</w:t>
            </w:r>
          </w:p>
        </w:tc>
      </w:tr>
      <w:tr w14:paraId="2AEEA78B">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298C">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57F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主动训练脚踏车</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F764">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Style w:val="24"/>
                <w:rFonts w:hint="default"/>
                <w:color w:val="000000" w:themeColor="text1"/>
                <w:lang w:bidi="ar"/>
                <w14:textFill>
                  <w14:solidFill>
                    <w14:schemeClr w14:val="tx1"/>
                  </w14:solidFill>
                </w14:textFill>
              </w:rPr>
              <w:t>外形尺寸（长×宽×高）：</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80</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×52×120</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±3%</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座位上下调节范围：62</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t>～66</w:t>
            </w:r>
            <w:r>
              <w:rPr>
                <w:rStyle w:val="25"/>
                <w:rFonts w:hint="default"/>
                <w:color w:val="000000" w:themeColor="text1"/>
                <w:lang w:bidi="ar"/>
                <w14:textFill>
                  <w14:solidFill>
                    <w14:schemeClr w14:val="tx1"/>
                  </w14:solidFill>
                </w14:textFill>
              </w:rPr>
              <w:t>㎝</w:t>
            </w:r>
            <w:r>
              <w:rPr>
                <w:rStyle w:val="24"/>
                <w:rFonts w:hint="default"/>
                <w:color w:val="000000" w:themeColor="text1"/>
                <w:lang w:bidi="ar"/>
                <w14:textFill>
                  <w14:solidFill>
                    <w14:schemeClr w14:val="tx1"/>
                  </w14:solidFill>
                </w14:textFill>
              </w:rPr>
              <w:br w:type="textWrapping"/>
            </w:r>
            <w:r>
              <w:rPr>
                <w:rStyle w:val="24"/>
                <w:rFonts w:hint="default"/>
                <w:color w:val="000000" w:themeColor="text1"/>
                <w:lang w:bidi="ar"/>
                <w14:textFill>
                  <w14:solidFill>
                    <w14:schemeClr w14:val="tx1"/>
                  </w14:solidFill>
                </w14:textFill>
              </w:rPr>
              <w:t>阻尼调节档数：不低于7档</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B6CF">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42C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台</w:t>
            </w:r>
          </w:p>
        </w:tc>
      </w:tr>
      <w:tr w14:paraId="45333A1F">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ECD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19A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高跷组合</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17EC">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1.本产品带踩压形状的塑料底座，合成橡胶的手柄。由不低于4个塑料部分制成；                                                                               2.尺寸：260x160x700mm±3%；材料：PP 塑料, TPE合成橡胶。</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8B05">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B67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2BB063E5">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0FA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098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智能游戏地垫</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DE9A">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材质为PVC+EVA，尺寸为50x50cm。耐温范围: -20°C 至 +60°C，抗压强度: ≥ 30MPa，抗拉强度: ≥ 5MPa，防火等级: B1级。</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7A7B">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8CF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块</w:t>
            </w:r>
          </w:p>
        </w:tc>
      </w:tr>
      <w:tr w14:paraId="4B69E85F">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CEB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DDC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悬浮板</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1C5A">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尺寸：Φ35cm；</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材质：无添加塑胶PVC；</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两种不同的触感设计。一面可当坐垫，一面可提供触觉按摩刺激，协助端正坐姿，也是触觉刺激的实用工具，可以充气及放气。</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685A">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F297">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个</w:t>
            </w:r>
          </w:p>
        </w:tc>
      </w:tr>
      <w:tr w14:paraId="25C2EABD">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6898">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B15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光面大笼球</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2E7D">
            <w:pPr>
              <w:widowControl/>
              <w:ind w:left="0" w:leftChars="0" w:firstLine="0" w:firstLineChars="0"/>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材质：环保塑料；</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负载：最大可承受100kg；</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 xml:space="preserve">内容及尺寸：直径不小于52cm球一个；颜色：蓝色、红色、黄色不等。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涂层牢度要求：按照《充气玩具通用技术要求  GB/T 27708-2011》标准检测，产品表面涂层和薄膜表面涂层牢度符合标准要求</w:t>
            </w:r>
          </w:p>
          <w:p w14:paraId="2DD33243">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u w:val="single"/>
                <w:lang w:bidi="ar"/>
                <w14:textFill>
                  <w14:solidFill>
                    <w14:schemeClr w14:val="tx1"/>
                  </w14:solidFill>
                </w14:textFill>
              </w:rPr>
              <w:t>提供具有CMA标识检测报告</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548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16F6">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个</w:t>
            </w:r>
          </w:p>
        </w:tc>
      </w:tr>
      <w:tr w14:paraId="7046F53B">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7645">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D24D">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光面花生球</w:t>
            </w:r>
          </w:p>
        </w:tc>
        <w:tc>
          <w:tcPr>
            <w:tcW w:w="7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0E1E">
            <w:pPr>
              <w:widowControl/>
              <w:jc w:val="left"/>
              <w:textAlignment w:val="cente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材质：环保塑料；</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内容及尺寸：直径不小于30×L70cm的花生球1个。</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颜色：紫色、蓝色不等。</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涂层牢度要求：按照《充气玩具通用技术要求  GB/T 27708-2011》标准检测，产品表面涂层和薄膜表面涂层牢度符合标准要求</w:t>
            </w:r>
          </w:p>
          <w:p w14:paraId="1DB72EE2">
            <w:pPr>
              <w:widowControl/>
              <w:ind w:left="0" w:leftChars="0" w:firstLine="0" w:firstLineChars="0"/>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r>
              <w:rPr>
                <w:rFonts w:hint="eastAsia" w:ascii="方正仿宋_GB2312" w:hAnsi="方正仿宋_GB2312" w:eastAsia="方正仿宋_GB2312" w:cs="方正仿宋_GB2312"/>
                <w:color w:val="000000" w:themeColor="text1"/>
                <w:kern w:val="0"/>
                <w:sz w:val="20"/>
                <w:szCs w:val="20"/>
                <w:u w:val="single"/>
                <w:lang w:bidi="ar"/>
                <w14:textFill>
                  <w14:solidFill>
                    <w14:schemeClr w14:val="tx1"/>
                  </w14:solidFill>
                </w14:textFill>
              </w:rPr>
              <w:t>提供具有CMA标识检测报告</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B521">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8463">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套</w:t>
            </w:r>
          </w:p>
        </w:tc>
      </w:tr>
      <w:tr w14:paraId="62D68DB0">
        <w:tblPrEx>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74AE">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29</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FF109">
            <w:pPr>
              <w:widowControl/>
              <w:jc w:val="center"/>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心理沙盘</w:t>
            </w:r>
          </w:p>
        </w:tc>
        <w:tc>
          <w:tcPr>
            <w:tcW w:w="72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B0632">
            <w:pPr>
              <w:widowControl/>
              <w:jc w:val="left"/>
              <w:textAlignment w:val="center"/>
              <w:rPr>
                <w:rFonts w:hint="eastAsia" w:ascii="方正仿宋_GB2312" w:hAnsi="方正仿宋_GB2312" w:eastAsia="方正仿宋_GB2312" w:cs="方正仿宋_GB2312"/>
                <w:color w:val="000000" w:themeColor="text1"/>
                <w:sz w:val="20"/>
                <w:szCs w:val="20"/>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1、1个个体实木心理沙盘，尺寸：≥长 720mm×宽 570mm×深70mm。专用三底两面环保漆；内侧底与边框、底部为蓝色，外部为实木色，表面光滑不伤手、防水、耐磨不掉色。</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2、1个实木沙具柜，沙具柜规格：≥1600mm×300mm×800mm，柜体采用5层9阶设计。</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3、≥600个沙具，种类≥20类。</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4、精选海沙30公斤，颗粒光滑、大小均匀、高温消毒 。</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5、心理沙盘视频培训剪辑光碟1张。</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6、沙盘游戏指导手册1本。</w:t>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br w:type="textWrapping"/>
            </w:r>
            <w:r>
              <w:rPr>
                <w:rFonts w:hint="eastAsia" w:ascii="方正仿宋_GB2312" w:hAnsi="方正仿宋_GB2312" w:eastAsia="方正仿宋_GB2312" w:cs="方正仿宋_GB2312"/>
                <w:color w:val="000000" w:themeColor="text1"/>
                <w:kern w:val="0"/>
                <w:sz w:val="20"/>
                <w:szCs w:val="20"/>
                <w:lang w:bidi="ar"/>
                <w14:textFill>
                  <w14:solidFill>
                    <w14:schemeClr w14:val="tx1"/>
                  </w14:solidFill>
                </w14:textFill>
              </w:rPr>
              <w:t>7、沙刮1个、沙铲1个。</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AFDA7">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85C85">
            <w:pPr>
              <w:widowControl/>
              <w:jc w:val="center"/>
              <w:textAlignment w:val="center"/>
              <w:rPr>
                <w:rFonts w:hint="eastAsia" w:ascii="方正仿宋_GB2312" w:hAnsi="方正仿宋_GB2312" w:eastAsia="方正仿宋_GB2312" w:cs="方正仿宋_GB2312"/>
                <w:color w:val="000000" w:themeColor="text1"/>
                <w:sz w:val="20"/>
                <w:szCs w:val="20"/>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0"/>
                <w:sz w:val="20"/>
                <w:szCs w:val="20"/>
                <w:lang w:val="en-US" w:eastAsia="zh-CN" w:bidi="ar"/>
                <w14:textFill>
                  <w14:solidFill>
                    <w14:schemeClr w14:val="tx1"/>
                  </w14:solidFill>
                </w14:textFill>
              </w:rPr>
              <w:t>个</w:t>
            </w:r>
          </w:p>
        </w:tc>
      </w:tr>
    </w:tbl>
    <w:p w14:paraId="7D2E1260">
      <w:pPr>
        <w:bidi w:val="0"/>
        <w:ind w:left="0" w:leftChars="0" w:firstLine="0" w:firstLineChars="0"/>
        <w:rPr>
          <w:rFonts w:hint="eastAsia" w:ascii="仿宋_GB2312" w:hAnsi="仿宋_GB2312" w:eastAsia="仿宋_GB2312" w:cs="仿宋_GB2312"/>
          <w:sz w:val="28"/>
          <w:szCs w:val="28"/>
        </w:rPr>
      </w:pPr>
    </w:p>
    <w:p w14:paraId="6441C971">
      <w:pPr>
        <w:bidi w:val="0"/>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交货期：合同签订后</w:t>
      </w:r>
      <w:r>
        <w:rPr>
          <w:rFonts w:hint="eastAsia" w:ascii="仿宋_GB2312" w:hAnsi="仿宋_GB2312" w:eastAsia="仿宋_GB2312" w:cs="仿宋_GB2312"/>
          <w:sz w:val="28"/>
          <w:szCs w:val="28"/>
          <w:lang w:val="en-US" w:eastAsia="zh-CN"/>
        </w:rPr>
        <w:t>30个日历日</w:t>
      </w:r>
      <w:r>
        <w:rPr>
          <w:rFonts w:hint="eastAsia" w:ascii="仿宋_GB2312" w:hAnsi="仿宋_GB2312" w:eastAsia="仿宋_GB2312" w:cs="仿宋_GB2312"/>
          <w:sz w:val="28"/>
          <w:szCs w:val="28"/>
        </w:rPr>
        <w:t>；</w:t>
      </w:r>
    </w:p>
    <w:p w14:paraId="7B7CBD6D">
      <w:pPr>
        <w:bidi w:val="0"/>
        <w:ind w:left="0" w:leftChars="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交货地点：</w:t>
      </w:r>
      <w:r>
        <w:rPr>
          <w:rFonts w:hint="eastAsia" w:ascii="仿宋_GB2312" w:hAnsi="仿宋_GB2312" w:eastAsia="仿宋_GB2312" w:cs="仿宋_GB2312"/>
          <w:sz w:val="28"/>
          <w:szCs w:val="28"/>
          <w:lang w:val="en-US" w:eastAsia="zh-CN"/>
        </w:rPr>
        <w:t>采购人指定地点</w:t>
      </w:r>
      <w:r>
        <w:rPr>
          <w:rFonts w:hint="eastAsia" w:ascii="仿宋_GB2312" w:hAnsi="仿宋_GB2312" w:eastAsia="仿宋_GB2312" w:cs="仿宋_GB2312"/>
          <w:sz w:val="28"/>
          <w:szCs w:val="28"/>
        </w:rPr>
        <w:t>。</w:t>
      </w:r>
    </w:p>
    <w:p w14:paraId="6C7A06C2">
      <w:pPr>
        <w:bidi w:val="0"/>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质量保证期：</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p>
    <w:p w14:paraId="32CC0D9D">
      <w:pPr>
        <w:rPr>
          <w:rFonts w:hint="eastAsia" w:ascii="仿宋_GB2312" w:hAnsi="仿宋_GB2312" w:eastAsia="仿宋_GB2312" w:cs="仿宋_GB2312"/>
          <w:sz w:val="28"/>
          <w:szCs w:val="28"/>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40929BE-0CC8-4E05-8C13-A5946B83269E}"/>
  </w:font>
  <w:font w:name="黑体">
    <w:panose1 w:val="02010609060101010101"/>
    <w:charset w:val="86"/>
    <w:family w:val="auto"/>
    <w:pitch w:val="default"/>
    <w:sig w:usb0="800002BF" w:usb1="38CF7CFA" w:usb2="00000016" w:usb3="00000000" w:csb0="00040001" w:csb1="00000000"/>
    <w:embedRegular r:id="rId2" w:fontKey="{9438BF1C-07D1-4FDB-8960-34D0453E023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49C8810-6682-44CE-9BA7-99ECAAD65BBC}"/>
  </w:font>
  <w:font w:name="Cambria">
    <w:panose1 w:val="02040503050406030204"/>
    <w:charset w:val="00"/>
    <w:family w:val="roman"/>
    <w:pitch w:val="default"/>
    <w:sig w:usb0="E00002FF" w:usb1="400004FF" w:usb2="00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4" w:fontKey="{C3308FF4-A02D-43EF-99AF-925661466CFF}"/>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C5E37113-2380-4D2E-9B90-3297DEC0481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8C77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6E87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C6E87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2EAAB"/>
    <w:multiLevelType w:val="singleLevel"/>
    <w:tmpl w:val="97A2EAAB"/>
    <w:lvl w:ilvl="0" w:tentative="0">
      <w:start w:val="4"/>
      <w:numFmt w:val="decimal"/>
      <w:lvlText w:val="%1."/>
      <w:lvlJc w:val="left"/>
      <w:pPr>
        <w:tabs>
          <w:tab w:val="left" w:pos="312"/>
        </w:tabs>
      </w:pPr>
    </w:lvl>
  </w:abstractNum>
  <w:abstractNum w:abstractNumId="1">
    <w:nsid w:val="0FB009EC"/>
    <w:multiLevelType w:val="singleLevel"/>
    <w:tmpl w:val="0FB009EC"/>
    <w:lvl w:ilvl="0" w:tentative="0">
      <w:start w:val="1"/>
      <w:numFmt w:val="chineseCounting"/>
      <w:suff w:val="nothing"/>
      <w:lvlText w:val="%1、"/>
      <w:lvlJc w:val="left"/>
      <w:rPr>
        <w:rFonts w:hint="eastAsia"/>
      </w:rPr>
    </w:lvl>
  </w:abstractNum>
  <w:abstractNum w:abstractNumId="2">
    <w:nsid w:val="43CF1BB3"/>
    <w:multiLevelType w:val="singleLevel"/>
    <w:tmpl w:val="43CF1BB3"/>
    <w:lvl w:ilvl="0" w:tentative="0">
      <w:start w:val="1"/>
      <w:numFmt w:val="chineseCounting"/>
      <w:suff w:val="nothing"/>
      <w:lvlText w:val="%1、"/>
      <w:lvlJc w:val="left"/>
      <w:rPr>
        <w:rFonts w:hint="eastAsia"/>
      </w:rPr>
    </w:lvl>
  </w:abstractNum>
  <w:abstractNum w:abstractNumId="3">
    <w:nsid w:val="4BB7F0DD"/>
    <w:multiLevelType w:val="singleLevel"/>
    <w:tmpl w:val="4BB7F0DD"/>
    <w:lvl w:ilvl="0" w:tentative="0">
      <w:start w:val="9"/>
      <w:numFmt w:val="decimal"/>
      <w:suff w:val="space"/>
      <w:lvlText w:val="（%1）"/>
      <w:lvlJc w:val="left"/>
    </w:lvl>
  </w:abstractNum>
  <w:abstractNum w:abstractNumId="4">
    <w:nsid w:val="73F411B6"/>
    <w:multiLevelType w:val="singleLevel"/>
    <w:tmpl w:val="73F411B6"/>
    <w:lvl w:ilvl="0" w:tentative="0">
      <w:start w:val="1"/>
      <w:numFmt w:val="chineseCounting"/>
      <w:suff w:val="space"/>
      <w:lvlText w:val="第%1部分"/>
      <w:lvlJc w:val="left"/>
      <w:rPr>
        <w:rFonts w:hint="eastAsia"/>
      </w:rPr>
    </w:lvl>
  </w:abstractNum>
  <w:abstractNum w:abstractNumId="5">
    <w:nsid w:val="7C585C7E"/>
    <w:multiLevelType w:val="singleLevel"/>
    <w:tmpl w:val="7C585C7E"/>
    <w:lvl w:ilvl="0" w:tentative="0">
      <w:start w:val="6"/>
      <w:numFmt w:val="chineseCounting"/>
      <w:suff w:val="nothing"/>
      <w:lvlText w:val="%1、"/>
      <w:lvlJc w:val="left"/>
      <w:rPr>
        <w:rFonts w:hint="eastAsia"/>
      </w:r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40554"/>
    <w:rsid w:val="06E41A23"/>
    <w:rsid w:val="06E635A4"/>
    <w:rsid w:val="082A74C0"/>
    <w:rsid w:val="16036DDF"/>
    <w:rsid w:val="1BE84A7B"/>
    <w:rsid w:val="1F845660"/>
    <w:rsid w:val="24635969"/>
    <w:rsid w:val="27427F2B"/>
    <w:rsid w:val="2B5E554F"/>
    <w:rsid w:val="2EC56B1D"/>
    <w:rsid w:val="32265023"/>
    <w:rsid w:val="348363A9"/>
    <w:rsid w:val="34D14658"/>
    <w:rsid w:val="3D8906D6"/>
    <w:rsid w:val="3F500FCB"/>
    <w:rsid w:val="416B1B76"/>
    <w:rsid w:val="44C14C36"/>
    <w:rsid w:val="49F95987"/>
    <w:rsid w:val="4F7603B4"/>
    <w:rsid w:val="52202220"/>
    <w:rsid w:val="53CF375F"/>
    <w:rsid w:val="56E10BED"/>
    <w:rsid w:val="612764F3"/>
    <w:rsid w:val="649209F5"/>
    <w:rsid w:val="69194FA4"/>
    <w:rsid w:val="78865DA9"/>
    <w:rsid w:val="7D827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next w:val="1"/>
    <w:qFormat/>
    <w:uiPriority w:val="0"/>
    <w:pPr>
      <w:keepNext/>
      <w:keepLines/>
      <w:snapToGrid w:val="0"/>
      <w:spacing w:line="400" w:lineRule="atLeast"/>
      <w:jc w:val="center"/>
      <w:outlineLvl w:val="0"/>
    </w:pPr>
    <w:rPr>
      <w:rFonts w:ascii="宋体" w:hAnsi="Times New Roman" w:eastAsia="宋体" w:cs="Times New Roman"/>
      <w:b/>
      <w:kern w:val="28"/>
      <w:sz w:val="36"/>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after="120" w:afterLines="0"/>
    </w:pPr>
    <w:rPr>
      <w:sz w:val="21"/>
    </w:rPr>
  </w:style>
  <w:style w:type="paragraph" w:styleId="6">
    <w:name w:val="Plain Text"/>
    <w:basedOn w:val="1"/>
    <w:qFormat/>
    <w:uiPriority w:val="0"/>
    <w:rPr>
      <w:rFonts w:ascii="宋体" w:hAnsi="Courier New"/>
      <w:szCs w:val="20"/>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qFormat/>
    <w:uiPriority w:val="0"/>
    <w:pPr>
      <w:spacing w:after="120" w:afterLines="0" w:line="480" w:lineRule="auto"/>
    </w:pPr>
    <w:rPr>
      <w:sz w:val="21"/>
      <w:szCs w:val="20"/>
    </w:rPr>
  </w:style>
  <w:style w:type="paragraph" w:styleId="13">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4">
    <w:name w:val="Title"/>
    <w:basedOn w:val="1"/>
    <w:next w:val="1"/>
    <w:qFormat/>
    <w:uiPriority w:val="0"/>
    <w:pPr>
      <w:spacing w:before="240" w:after="60"/>
      <w:jc w:val="center"/>
      <w:outlineLvl w:val="0"/>
    </w:pPr>
    <w:rPr>
      <w:rFonts w:ascii="Cambria" w:hAnsi="Cambria" w:eastAsia="宋体" w:cs="Times New Roman"/>
      <w:b/>
      <w:bCs/>
      <w:sz w:val="36"/>
      <w:szCs w:val="32"/>
    </w:rPr>
  </w:style>
  <w:style w:type="paragraph" w:customStyle="1" w:styleId="17">
    <w:name w:val="WPSOffice手动目录 1"/>
    <w:qFormat/>
    <w:uiPriority w:val="0"/>
    <w:pPr>
      <w:ind w:leftChars="0"/>
    </w:pPr>
    <w:rPr>
      <w:rFonts w:asciiTheme="minorHAnsi" w:hAnsiTheme="minorHAnsi" w:eastAsiaTheme="minorEastAsia" w:cstheme="minorBidi"/>
      <w:sz w:val="20"/>
      <w:szCs w:val="20"/>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 w:type="paragraph" w:customStyle="1" w:styleId="19">
    <w:name w:val="WPSOffice手动目录 3"/>
    <w:qFormat/>
    <w:uiPriority w:val="0"/>
    <w:pPr>
      <w:ind w:leftChars="400"/>
    </w:pPr>
    <w:rPr>
      <w:rFonts w:asciiTheme="minorHAnsi" w:hAnsiTheme="minorHAnsi" w:eastAsiaTheme="minorEastAsia" w:cstheme="minorBidi"/>
      <w:sz w:val="20"/>
      <w:szCs w:val="20"/>
    </w:rPr>
  </w:style>
  <w:style w:type="paragraph" w:customStyle="1" w:styleId="20">
    <w:name w:val="*正文"/>
    <w:basedOn w:val="1"/>
    <w:qFormat/>
    <w:uiPriority w:val="0"/>
    <w:pPr>
      <w:spacing w:line="240" w:lineRule="auto"/>
      <w:ind w:firstLine="480"/>
    </w:pPr>
    <w:rPr>
      <w:rFonts w:ascii="宋体" w:hAnsi="宋体"/>
      <w:kern w:val="0"/>
      <w:sz w:val="21"/>
      <w:szCs w:val="20"/>
    </w:rPr>
  </w:style>
  <w:style w:type="character" w:customStyle="1" w:styleId="21">
    <w:name w:val="font61"/>
    <w:basedOn w:val="16"/>
    <w:qFormat/>
    <w:uiPriority w:val="0"/>
    <w:rPr>
      <w:rFonts w:hint="eastAsia" w:ascii="方正仿宋_GB2312" w:hAnsi="方正仿宋_GB2312" w:eastAsia="方正仿宋_GB2312" w:cs="方正仿宋_GB2312"/>
      <w:color w:val="000000"/>
      <w:sz w:val="20"/>
      <w:szCs w:val="20"/>
      <w:u w:val="none"/>
    </w:rPr>
  </w:style>
  <w:style w:type="character" w:customStyle="1" w:styleId="22">
    <w:name w:val="font21"/>
    <w:basedOn w:val="16"/>
    <w:qFormat/>
    <w:uiPriority w:val="0"/>
    <w:rPr>
      <w:rFonts w:hint="eastAsia" w:ascii="方正仿宋_GB2312" w:hAnsi="方正仿宋_GB2312" w:eastAsia="方正仿宋_GB2312" w:cs="方正仿宋_GB2312"/>
      <w:b/>
      <w:bCs/>
      <w:color w:val="000000"/>
      <w:sz w:val="20"/>
      <w:szCs w:val="20"/>
      <w:u w:val="none"/>
    </w:rPr>
  </w:style>
  <w:style w:type="character" w:customStyle="1" w:styleId="23">
    <w:name w:val="font31"/>
    <w:basedOn w:val="16"/>
    <w:qFormat/>
    <w:uiPriority w:val="0"/>
    <w:rPr>
      <w:rFonts w:hint="eastAsia" w:ascii="宋体" w:hAnsi="宋体" w:eastAsia="宋体" w:cs="宋体"/>
      <w:color w:val="000000"/>
      <w:sz w:val="20"/>
      <w:szCs w:val="20"/>
      <w:u w:val="none"/>
    </w:rPr>
  </w:style>
  <w:style w:type="character" w:customStyle="1" w:styleId="24">
    <w:name w:val="font51"/>
    <w:basedOn w:val="16"/>
    <w:qFormat/>
    <w:uiPriority w:val="0"/>
    <w:rPr>
      <w:rFonts w:hint="eastAsia" w:ascii="方正仿宋_GB2312" w:hAnsi="方正仿宋_GB2312" w:eastAsia="方正仿宋_GB2312" w:cs="方正仿宋_GB2312"/>
      <w:color w:val="000000"/>
      <w:sz w:val="20"/>
      <w:szCs w:val="20"/>
      <w:u w:val="none"/>
    </w:rPr>
  </w:style>
  <w:style w:type="character" w:customStyle="1" w:styleId="25">
    <w:name w:val="font101"/>
    <w:basedOn w:val="16"/>
    <w:qFormat/>
    <w:uiPriority w:val="0"/>
    <w:rPr>
      <w:rFonts w:hint="eastAsia" w:ascii="宋体" w:hAnsi="宋体" w:eastAsia="宋体" w:cs="宋体"/>
      <w:color w:val="000000"/>
      <w:sz w:val="20"/>
      <w:szCs w:val="20"/>
      <w:u w:val="none"/>
    </w:rPr>
  </w:style>
  <w:style w:type="character" w:customStyle="1" w:styleId="26">
    <w:name w:val="font112"/>
    <w:basedOn w:val="16"/>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56908</Words>
  <Characters>61094</Characters>
  <Lines>0</Lines>
  <Paragraphs>0</Paragraphs>
  <TotalTime>5</TotalTime>
  <ScaleCrop>false</ScaleCrop>
  <LinksUpToDate>false</LinksUpToDate>
  <CharactersWithSpaces>63201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2026-05-20T07:56:00Z</dcterms:created>
  <dc:creator>lenovo</dc:creator>
  <cp:lastModifiedBy>田为民</cp:lastModifiedBy>
  <cp:lastPrinted>2026-06-11T06:46:00Z</cp:lastPrinted>
  <dcterms:modified xsi:type="dcterms:W3CDTF">2026-06-16T08:50:44Z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eyJoZGlkIjoiZWFlMGFjNGZmNmI5YWFmYTczMWQ1MDc2ZjVmN2Q5NzYiLCJ1c2VySWQiOiIxMTQ4OTIyNDAzIn0=</vt:lpwstr>
  </property>
  <property fmtid="{D5CDD505-2E9C-101B-9397-08002B2CF9AE}" pid="4" name="ICV">
    <vt:lpwstr>9874836699264F728ACB016B57584717_13</vt:lpwstr>
  </property>
</Properties>
</file>