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7CBCFF">
      <w:pPr>
        <w:spacing w:line="276" w:lineRule="auto"/>
        <w:jc w:val="center"/>
        <w:rPr>
          <w:rFonts w:hint="eastAsia" w:ascii="宋体" w:hAnsi="宋体" w:eastAsia="宋体" w:cs="宋体"/>
          <w:b/>
          <w:bCs/>
          <w:color w:val="auto"/>
          <w:sz w:val="44"/>
          <w:szCs w:val="44"/>
          <w:highlight w:val="none"/>
          <w:lang w:eastAsia="zh-CN"/>
        </w:rPr>
      </w:pPr>
    </w:p>
    <w:p w14:paraId="1082FD40">
      <w:pPr>
        <w:spacing w:line="276" w:lineRule="auto"/>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南京市江宁医院</w:t>
      </w:r>
    </w:p>
    <w:p w14:paraId="2A736D5B">
      <w:pPr>
        <w:spacing w:line="276" w:lineRule="auto"/>
        <w:jc w:val="center"/>
        <w:rPr>
          <w:rFonts w:ascii="宋体" w:hAnsi="宋体" w:cs="宋体"/>
          <w:b/>
          <w:bCs/>
          <w:color w:val="auto"/>
          <w:sz w:val="44"/>
          <w:szCs w:val="44"/>
          <w:highlight w:val="none"/>
        </w:rPr>
      </w:pPr>
      <w:r>
        <w:rPr>
          <w:rFonts w:hint="eastAsia" w:ascii="宋体" w:hAnsi="宋体" w:cs="宋体"/>
          <w:b/>
          <w:bCs/>
          <w:color w:val="auto"/>
          <w:sz w:val="44"/>
          <w:szCs w:val="44"/>
          <w:highlight w:val="none"/>
          <w:u w:val="single"/>
        </w:rPr>
        <w:t>医疗设备维保服务采购项目</w:t>
      </w:r>
    </w:p>
    <w:p w14:paraId="301973D1">
      <w:pPr>
        <w:spacing w:line="276" w:lineRule="auto"/>
        <w:jc w:val="center"/>
        <w:rPr>
          <w:rFonts w:ascii="宋体" w:hAnsi="宋体" w:cs="宋体"/>
          <w:b/>
          <w:bCs/>
          <w:color w:val="auto"/>
          <w:sz w:val="44"/>
          <w:szCs w:val="44"/>
          <w:highlight w:val="none"/>
        </w:rPr>
      </w:pPr>
    </w:p>
    <w:p w14:paraId="29DCFFC6">
      <w:pPr>
        <w:spacing w:line="276" w:lineRule="auto"/>
        <w:jc w:val="center"/>
        <w:rPr>
          <w:rFonts w:ascii="宋体" w:hAnsi="宋体" w:cs="宋体"/>
          <w:b/>
          <w:bCs/>
          <w:snapToGrid w:val="0"/>
          <w:color w:val="auto"/>
          <w:sz w:val="36"/>
          <w:highlight w:val="none"/>
        </w:rPr>
      </w:pPr>
    </w:p>
    <w:p w14:paraId="35C99DE4">
      <w:pPr>
        <w:spacing w:line="276" w:lineRule="auto"/>
        <w:jc w:val="center"/>
        <w:rPr>
          <w:rFonts w:ascii="宋体" w:hAnsi="宋体" w:cs="宋体"/>
          <w:b/>
          <w:bCs/>
          <w:snapToGrid w:val="0"/>
          <w:color w:val="auto"/>
          <w:sz w:val="36"/>
          <w:highlight w:val="none"/>
        </w:rPr>
      </w:pPr>
    </w:p>
    <w:p w14:paraId="11B2E7E1">
      <w:pPr>
        <w:spacing w:line="276" w:lineRule="auto"/>
        <w:jc w:val="center"/>
        <w:rPr>
          <w:rFonts w:ascii="宋体" w:hAnsi="宋体" w:cs="宋体"/>
          <w:b/>
          <w:bCs/>
          <w:color w:val="auto"/>
          <w:sz w:val="96"/>
          <w:szCs w:val="72"/>
          <w:highlight w:val="none"/>
        </w:rPr>
      </w:pPr>
      <w:r>
        <w:rPr>
          <w:rFonts w:hint="eastAsia" w:ascii="宋体" w:hAnsi="宋体" w:cs="宋体"/>
          <w:b/>
          <w:bCs/>
          <w:color w:val="auto"/>
          <w:sz w:val="96"/>
          <w:szCs w:val="72"/>
          <w:highlight w:val="none"/>
        </w:rPr>
        <w:t>招标文件</w:t>
      </w:r>
    </w:p>
    <w:p w14:paraId="5EC10B0C">
      <w:pPr>
        <w:spacing w:line="276" w:lineRule="auto"/>
        <w:rPr>
          <w:rFonts w:ascii="宋体" w:hAnsi="宋体" w:cs="宋体"/>
          <w:b/>
          <w:bCs/>
          <w:color w:val="auto"/>
          <w:sz w:val="36"/>
          <w:highlight w:val="none"/>
        </w:rPr>
      </w:pPr>
    </w:p>
    <w:p w14:paraId="5821CBBD">
      <w:pPr>
        <w:spacing w:line="360" w:lineRule="auto"/>
        <w:ind w:right="120"/>
        <w:jc w:val="center"/>
        <w:rPr>
          <w:rFonts w:hint="eastAsia" w:ascii="仿宋" w:hAnsi="仿宋" w:eastAsia="仿宋" w:cs="仿宋"/>
          <w:color w:val="auto"/>
          <w:kern w:val="0"/>
          <w:sz w:val="40"/>
          <w:szCs w:val="40"/>
          <w:highlight w:val="none"/>
          <w:lang w:eastAsia="zh-CN"/>
        </w:rPr>
      </w:pPr>
      <w:r>
        <w:rPr>
          <w:rFonts w:hint="eastAsia" w:ascii="仿宋" w:hAnsi="仿宋" w:eastAsia="仿宋" w:cs="仿宋"/>
          <w:color w:val="auto"/>
          <w:kern w:val="0"/>
          <w:sz w:val="40"/>
          <w:szCs w:val="40"/>
          <w:highlight w:val="none"/>
          <w:lang w:eastAsia="zh-CN"/>
        </w:rPr>
        <w:t>项目编号：JSZC-320115-SHGK-G2026-0054</w:t>
      </w:r>
    </w:p>
    <w:p w14:paraId="1B9CBA1A">
      <w:pPr>
        <w:spacing w:line="360" w:lineRule="auto"/>
        <w:ind w:right="120"/>
        <w:jc w:val="center"/>
        <w:rPr>
          <w:rFonts w:ascii="仿宋" w:hAnsi="仿宋" w:eastAsia="仿宋" w:cs="仿宋"/>
          <w:color w:val="auto"/>
          <w:kern w:val="0"/>
          <w:sz w:val="40"/>
          <w:szCs w:val="40"/>
          <w:highlight w:val="none"/>
        </w:rPr>
      </w:pPr>
      <w:r>
        <w:rPr>
          <w:rFonts w:hint="eastAsia" w:ascii="仿宋" w:hAnsi="仿宋" w:eastAsia="仿宋" w:cs="仿宋"/>
          <w:color w:val="auto"/>
          <w:kern w:val="0"/>
          <w:sz w:val="40"/>
          <w:szCs w:val="40"/>
          <w:highlight w:val="none"/>
        </w:rPr>
        <w:t>代理机构编号：1214-264205260WWF</w:t>
      </w:r>
    </w:p>
    <w:p w14:paraId="5F27BB41">
      <w:pPr>
        <w:spacing w:line="276" w:lineRule="auto"/>
        <w:jc w:val="center"/>
        <w:rPr>
          <w:rFonts w:ascii="宋体" w:hAnsi="宋体" w:cs="宋体"/>
          <w:b/>
          <w:bCs/>
          <w:color w:val="auto"/>
          <w:sz w:val="36"/>
          <w:highlight w:val="none"/>
        </w:rPr>
      </w:pPr>
    </w:p>
    <w:p w14:paraId="6B42C3E9">
      <w:pPr>
        <w:spacing w:line="276" w:lineRule="auto"/>
        <w:jc w:val="center"/>
        <w:rPr>
          <w:rFonts w:ascii="宋体" w:hAnsi="宋体" w:cs="宋体"/>
          <w:b/>
          <w:bCs/>
          <w:snapToGrid w:val="0"/>
          <w:color w:val="auto"/>
          <w:sz w:val="36"/>
          <w:highlight w:val="none"/>
        </w:rPr>
      </w:pPr>
      <w:r>
        <w:rPr>
          <w:rFonts w:ascii="仿宋" w:hAnsi="仿宋" w:eastAsia="仿宋" w:cs="仿宋"/>
          <w:color w:val="auto"/>
          <w:sz w:val="40"/>
          <w:szCs w:val="40"/>
          <w:highlight w:val="none"/>
        </w:rPr>
        <w:t>（</w:t>
      </w:r>
      <w:r>
        <w:rPr>
          <w:rFonts w:hint="eastAsia" w:ascii="仿宋" w:hAnsi="仿宋" w:eastAsia="仿宋" w:cs="仿宋"/>
          <w:color w:val="auto"/>
          <w:sz w:val="40"/>
          <w:szCs w:val="40"/>
          <w:highlight w:val="none"/>
        </w:rPr>
        <w:t>服务</w:t>
      </w:r>
      <w:r>
        <w:rPr>
          <w:rFonts w:ascii="仿宋" w:hAnsi="仿宋" w:eastAsia="仿宋" w:cs="仿宋"/>
          <w:color w:val="auto"/>
          <w:sz w:val="40"/>
          <w:szCs w:val="40"/>
          <w:highlight w:val="none"/>
        </w:rPr>
        <w:t>类项目，</w:t>
      </w:r>
      <w:r>
        <w:rPr>
          <w:rFonts w:ascii="仿宋" w:hAnsi="仿宋" w:eastAsia="仿宋" w:cs="仿宋"/>
          <w:color w:val="auto"/>
          <w:sz w:val="40"/>
          <w:szCs w:val="40"/>
          <w:highlight w:val="none"/>
          <w:u w:val="single"/>
        </w:rPr>
        <w:t xml:space="preserve">  </w:t>
      </w:r>
      <w:r>
        <w:rPr>
          <w:rFonts w:hint="eastAsia" w:ascii="仿宋" w:hAnsi="仿宋" w:eastAsia="仿宋" w:cs="仿宋"/>
          <w:color w:val="auto"/>
          <w:sz w:val="40"/>
          <w:szCs w:val="40"/>
          <w:highlight w:val="none"/>
          <w:u w:val="single"/>
        </w:rPr>
        <w:t>非</w:t>
      </w:r>
      <w:r>
        <w:rPr>
          <w:rFonts w:ascii="仿宋" w:hAnsi="仿宋" w:eastAsia="仿宋" w:cs="仿宋"/>
          <w:color w:val="auto"/>
          <w:sz w:val="40"/>
          <w:szCs w:val="40"/>
          <w:highlight w:val="none"/>
          <w:u w:val="single"/>
        </w:rPr>
        <w:t xml:space="preserve">  </w:t>
      </w:r>
      <w:r>
        <w:rPr>
          <w:rFonts w:ascii="仿宋" w:hAnsi="仿宋" w:eastAsia="仿宋" w:cs="仿宋"/>
          <w:color w:val="auto"/>
          <w:sz w:val="40"/>
          <w:szCs w:val="40"/>
          <w:highlight w:val="none"/>
        </w:rPr>
        <w:t>专门面向中小企业）</w:t>
      </w:r>
    </w:p>
    <w:p w14:paraId="66589971">
      <w:pPr>
        <w:spacing w:line="276" w:lineRule="auto"/>
        <w:rPr>
          <w:rFonts w:ascii="宋体" w:hAnsi="宋体" w:cs="宋体"/>
          <w:b/>
          <w:bCs/>
          <w:snapToGrid w:val="0"/>
          <w:color w:val="auto"/>
          <w:sz w:val="36"/>
          <w:highlight w:val="none"/>
        </w:rPr>
      </w:pPr>
    </w:p>
    <w:p w14:paraId="078DF676">
      <w:pPr>
        <w:spacing w:line="276" w:lineRule="auto"/>
        <w:rPr>
          <w:rFonts w:ascii="宋体" w:hAnsi="宋体" w:cs="宋体"/>
          <w:b/>
          <w:bCs/>
          <w:snapToGrid w:val="0"/>
          <w:color w:val="auto"/>
          <w:sz w:val="36"/>
          <w:highlight w:val="none"/>
        </w:rPr>
      </w:pPr>
    </w:p>
    <w:p w14:paraId="085C951E">
      <w:pPr>
        <w:spacing w:line="276" w:lineRule="auto"/>
        <w:rPr>
          <w:rFonts w:ascii="宋体" w:hAnsi="宋体" w:cs="宋体"/>
          <w:b/>
          <w:bCs/>
          <w:snapToGrid w:val="0"/>
          <w:color w:val="auto"/>
          <w:sz w:val="36"/>
          <w:highlight w:val="none"/>
        </w:rPr>
      </w:pPr>
    </w:p>
    <w:p w14:paraId="45B44BE6">
      <w:pPr>
        <w:spacing w:line="276" w:lineRule="auto"/>
        <w:rPr>
          <w:rFonts w:ascii="宋体" w:hAnsi="宋体" w:cs="宋体"/>
          <w:b/>
          <w:bCs/>
          <w:snapToGrid w:val="0"/>
          <w:color w:val="auto"/>
          <w:sz w:val="36"/>
          <w:highlight w:val="none"/>
        </w:rPr>
      </w:pPr>
    </w:p>
    <w:p w14:paraId="31AF4870">
      <w:pPr>
        <w:spacing w:line="276" w:lineRule="auto"/>
        <w:jc w:val="center"/>
        <w:rPr>
          <w:rFonts w:ascii="宋体" w:hAnsi="宋体" w:cs="宋体"/>
          <w:snapToGrid w:val="0"/>
          <w:color w:val="auto"/>
          <w:sz w:val="36"/>
          <w:highlight w:val="none"/>
        </w:rPr>
      </w:pPr>
      <w:r>
        <w:rPr>
          <w:rFonts w:hint="eastAsia" w:ascii="宋体" w:hAnsi="宋体" w:cs="宋体"/>
          <w:snapToGrid w:val="0"/>
          <w:color w:val="auto"/>
          <w:sz w:val="36"/>
          <w:highlight w:val="none"/>
        </w:rPr>
        <w:t>江苏苏豪创新科技集团高科有限公司</w:t>
      </w:r>
    </w:p>
    <w:p w14:paraId="4632BEE6">
      <w:pPr>
        <w:spacing w:line="276" w:lineRule="auto"/>
        <w:ind w:firstLine="720" w:firstLineChars="200"/>
        <w:jc w:val="center"/>
        <w:rPr>
          <w:rFonts w:ascii="宋体" w:hAnsi="宋体" w:cs="宋体"/>
          <w:bCs/>
          <w:color w:val="auto"/>
          <w:sz w:val="28"/>
          <w:szCs w:val="28"/>
          <w:highlight w:val="none"/>
        </w:rPr>
      </w:pPr>
      <w:r>
        <w:rPr>
          <w:rFonts w:hint="eastAsia" w:ascii="宋体" w:hAnsi="宋体" w:cs="宋体"/>
          <w:snapToGrid w:val="0"/>
          <w:color w:val="auto"/>
          <w:sz w:val="36"/>
          <w:highlight w:val="none"/>
        </w:rPr>
        <w:t>2026年0</w:t>
      </w:r>
      <w:r>
        <w:rPr>
          <w:rFonts w:hint="eastAsia" w:ascii="宋体" w:hAnsi="宋体" w:cs="宋体"/>
          <w:snapToGrid w:val="0"/>
          <w:color w:val="auto"/>
          <w:sz w:val="36"/>
          <w:highlight w:val="none"/>
          <w:lang w:val="en-US" w:eastAsia="zh-CN"/>
        </w:rPr>
        <w:t>6</w:t>
      </w:r>
      <w:r>
        <w:rPr>
          <w:rFonts w:hint="eastAsia" w:ascii="宋体" w:hAnsi="宋体" w:cs="宋体"/>
          <w:snapToGrid w:val="0"/>
          <w:color w:val="auto"/>
          <w:sz w:val="36"/>
          <w:highlight w:val="none"/>
        </w:rPr>
        <w:t>月</w:t>
      </w:r>
    </w:p>
    <w:sdt>
      <w:sdtPr>
        <w:rPr>
          <w:rFonts w:ascii="宋体" w:hAnsi="宋体"/>
          <w:color w:val="auto"/>
          <w:highlight w:val="none"/>
        </w:rPr>
        <w:id w:val="147477200"/>
        <w15:color w:val="DBDBDB"/>
        <w:docPartObj>
          <w:docPartGallery w:val="Table of Contents"/>
          <w:docPartUnique/>
        </w:docPartObj>
      </w:sdtPr>
      <w:sdtEndPr>
        <w:rPr>
          <w:rFonts w:ascii="宋体" w:hAnsi="宋体" w:cs="宋体"/>
          <w:color w:val="auto"/>
          <w:szCs w:val="20"/>
          <w:highlight w:val="none"/>
        </w:rPr>
      </w:sdtEndPr>
      <w:sdtContent>
        <w:p w14:paraId="058ABB9A">
          <w:pPr>
            <w:jc w:val="center"/>
            <w:rPr>
              <w:rFonts w:ascii="宋体" w:hAnsi="宋体"/>
              <w:color w:val="auto"/>
              <w:highlight w:val="none"/>
            </w:rPr>
          </w:pPr>
        </w:p>
        <w:p w14:paraId="24D1DCAE">
          <w:pPr>
            <w:rPr>
              <w:rFonts w:ascii="宋体" w:hAnsi="宋体"/>
              <w:color w:val="auto"/>
              <w:highlight w:val="none"/>
            </w:rPr>
          </w:pPr>
          <w:r>
            <w:rPr>
              <w:rFonts w:ascii="宋体" w:hAnsi="宋体"/>
              <w:color w:val="auto"/>
              <w:highlight w:val="none"/>
            </w:rPr>
            <w:br w:type="page"/>
          </w:r>
        </w:p>
        <w:p w14:paraId="58BF565E">
          <w:pPr>
            <w:spacing w:before="312" w:after="312"/>
            <w:jc w:val="center"/>
            <w:rPr>
              <w:rFonts w:ascii="黑体" w:hAnsi="黑体" w:eastAsia="黑体" w:cs="黑体"/>
              <w:b/>
              <w:color w:val="auto"/>
              <w:kern w:val="0"/>
              <w:sz w:val="44"/>
              <w:szCs w:val="44"/>
              <w:highlight w:val="none"/>
            </w:rPr>
          </w:pPr>
          <w:r>
            <w:rPr>
              <w:rFonts w:hint="eastAsia" w:ascii="黑体" w:hAnsi="黑体" w:eastAsia="黑体" w:cs="黑体"/>
              <w:b/>
              <w:color w:val="auto"/>
              <w:kern w:val="0"/>
              <w:sz w:val="44"/>
              <w:szCs w:val="44"/>
              <w:highlight w:val="none"/>
            </w:rPr>
            <w:t>目  录</w:t>
          </w:r>
        </w:p>
        <w:p w14:paraId="2F023B6C">
          <w:pPr>
            <w:pStyle w:val="21"/>
            <w:tabs>
              <w:tab w:val="right" w:leader="dot" w:pos="9072"/>
            </w:tabs>
            <w:rPr>
              <w:color w:val="auto"/>
              <w:highlight w:val="none"/>
            </w:rPr>
          </w:pPr>
          <w:r>
            <w:rPr>
              <w:rFonts w:ascii="宋体" w:hAnsi="宋体" w:cs="宋体"/>
              <w:color w:val="auto"/>
              <w:szCs w:val="20"/>
              <w:highlight w:val="none"/>
            </w:rPr>
            <w:fldChar w:fldCharType="begin"/>
          </w:r>
          <w:r>
            <w:rPr>
              <w:rFonts w:ascii="宋体" w:hAnsi="宋体" w:cs="宋体"/>
              <w:color w:val="auto"/>
              <w:szCs w:val="20"/>
              <w:highlight w:val="none"/>
            </w:rPr>
            <w:instrText xml:space="preserve">TOC \o "1-1" \h \u </w:instrText>
          </w:r>
          <w:r>
            <w:rPr>
              <w:rFonts w:ascii="宋体" w:hAnsi="宋体" w:cs="宋体"/>
              <w:color w:val="auto"/>
              <w:szCs w:val="20"/>
              <w:highlight w:val="none"/>
            </w:rPr>
            <w:fldChar w:fldCharType="separate"/>
          </w:r>
          <w:r>
            <w:rPr>
              <w:rFonts w:ascii="宋体" w:hAnsi="宋体" w:cs="宋体"/>
              <w:color w:val="auto"/>
              <w:szCs w:val="20"/>
              <w:highlight w:val="none"/>
            </w:rPr>
            <w:fldChar w:fldCharType="begin"/>
          </w:r>
          <w:r>
            <w:rPr>
              <w:rFonts w:ascii="宋体" w:hAnsi="宋体" w:cs="宋体"/>
              <w:color w:val="auto"/>
              <w:szCs w:val="20"/>
              <w:highlight w:val="none"/>
            </w:rPr>
            <w:instrText xml:space="preserve"> HYPERLINK \l _Toc3556 </w:instrText>
          </w:r>
          <w:r>
            <w:rPr>
              <w:rFonts w:ascii="宋体" w:hAnsi="宋体" w:cs="宋体"/>
              <w:color w:val="auto"/>
              <w:szCs w:val="20"/>
              <w:highlight w:val="none"/>
            </w:rPr>
            <w:fldChar w:fldCharType="separate"/>
          </w:r>
          <w:r>
            <w:rPr>
              <w:rFonts w:hint="eastAsia" w:ascii="宋体" w:hAnsi="宋体" w:cs="宋体"/>
              <w:color w:val="auto"/>
              <w:szCs w:val="32"/>
              <w:highlight w:val="none"/>
            </w:rPr>
            <w:t>第一章  投标邀请</w:t>
          </w:r>
          <w:r>
            <w:rPr>
              <w:color w:val="auto"/>
              <w:highlight w:val="none"/>
            </w:rPr>
            <w:tab/>
          </w:r>
          <w:r>
            <w:rPr>
              <w:color w:val="auto"/>
              <w:highlight w:val="none"/>
            </w:rPr>
            <w:fldChar w:fldCharType="begin"/>
          </w:r>
          <w:r>
            <w:rPr>
              <w:color w:val="auto"/>
              <w:highlight w:val="none"/>
            </w:rPr>
            <w:instrText xml:space="preserve"> PAGEREF _Toc3556 \h </w:instrText>
          </w:r>
          <w:r>
            <w:rPr>
              <w:color w:val="auto"/>
              <w:highlight w:val="none"/>
            </w:rPr>
            <w:fldChar w:fldCharType="separate"/>
          </w:r>
          <w:r>
            <w:rPr>
              <w:color w:val="auto"/>
              <w:highlight w:val="none"/>
            </w:rPr>
            <w:t>3</w:t>
          </w:r>
          <w:r>
            <w:rPr>
              <w:color w:val="auto"/>
              <w:highlight w:val="none"/>
            </w:rPr>
            <w:fldChar w:fldCharType="end"/>
          </w:r>
          <w:r>
            <w:rPr>
              <w:rFonts w:ascii="宋体" w:hAnsi="宋体" w:cs="宋体"/>
              <w:color w:val="auto"/>
              <w:szCs w:val="20"/>
              <w:highlight w:val="none"/>
            </w:rPr>
            <w:fldChar w:fldCharType="end"/>
          </w:r>
        </w:p>
        <w:p w14:paraId="63C72B32">
          <w:pPr>
            <w:pStyle w:val="21"/>
            <w:tabs>
              <w:tab w:val="right" w:leader="dot" w:pos="9072"/>
            </w:tabs>
            <w:spacing w:line="360" w:lineRule="auto"/>
            <w:rPr>
              <w:color w:val="auto"/>
              <w:highlight w:val="none"/>
            </w:rPr>
          </w:pPr>
          <w:r>
            <w:rPr>
              <w:rFonts w:ascii="宋体" w:hAnsi="宋体" w:cs="宋体"/>
              <w:color w:val="auto"/>
              <w:szCs w:val="20"/>
              <w:highlight w:val="none"/>
            </w:rPr>
            <w:fldChar w:fldCharType="begin"/>
          </w:r>
          <w:r>
            <w:rPr>
              <w:rFonts w:ascii="宋体" w:hAnsi="宋体" w:cs="宋体"/>
              <w:color w:val="auto"/>
              <w:szCs w:val="20"/>
              <w:highlight w:val="none"/>
            </w:rPr>
            <w:instrText xml:space="preserve"> HYPERLINK \l _Toc15222 </w:instrText>
          </w:r>
          <w:r>
            <w:rPr>
              <w:rFonts w:ascii="宋体" w:hAnsi="宋体" w:cs="宋体"/>
              <w:color w:val="auto"/>
              <w:szCs w:val="20"/>
              <w:highlight w:val="none"/>
            </w:rPr>
            <w:fldChar w:fldCharType="separate"/>
          </w:r>
          <w:r>
            <w:rPr>
              <w:rFonts w:hint="eastAsia" w:ascii="宋体" w:hAnsi="宋体" w:cs="宋体"/>
              <w:color w:val="auto"/>
              <w:szCs w:val="32"/>
              <w:highlight w:val="none"/>
            </w:rPr>
            <w:t>第二章  投标人须知</w:t>
          </w:r>
          <w:r>
            <w:rPr>
              <w:color w:val="auto"/>
              <w:highlight w:val="none"/>
            </w:rPr>
            <w:tab/>
          </w:r>
          <w:r>
            <w:rPr>
              <w:color w:val="auto"/>
              <w:highlight w:val="none"/>
            </w:rPr>
            <w:fldChar w:fldCharType="begin"/>
          </w:r>
          <w:r>
            <w:rPr>
              <w:color w:val="auto"/>
              <w:highlight w:val="none"/>
            </w:rPr>
            <w:instrText xml:space="preserve"> PAGEREF _Toc15222 \h </w:instrText>
          </w:r>
          <w:r>
            <w:rPr>
              <w:color w:val="auto"/>
              <w:highlight w:val="none"/>
            </w:rPr>
            <w:fldChar w:fldCharType="separate"/>
          </w:r>
          <w:r>
            <w:rPr>
              <w:color w:val="auto"/>
              <w:highlight w:val="none"/>
            </w:rPr>
            <w:t>8</w:t>
          </w:r>
          <w:r>
            <w:rPr>
              <w:color w:val="auto"/>
              <w:highlight w:val="none"/>
            </w:rPr>
            <w:fldChar w:fldCharType="end"/>
          </w:r>
          <w:r>
            <w:rPr>
              <w:rFonts w:ascii="宋体" w:hAnsi="宋体" w:cs="宋体"/>
              <w:color w:val="auto"/>
              <w:szCs w:val="20"/>
              <w:highlight w:val="none"/>
            </w:rPr>
            <w:fldChar w:fldCharType="end"/>
          </w:r>
        </w:p>
        <w:p w14:paraId="0ADDA23C">
          <w:pPr>
            <w:pStyle w:val="21"/>
            <w:tabs>
              <w:tab w:val="right" w:leader="dot" w:pos="9072"/>
            </w:tabs>
            <w:spacing w:line="360" w:lineRule="auto"/>
            <w:rPr>
              <w:color w:val="auto"/>
              <w:highlight w:val="none"/>
            </w:rPr>
          </w:pPr>
          <w:r>
            <w:rPr>
              <w:rFonts w:ascii="宋体" w:hAnsi="宋体" w:cs="宋体"/>
              <w:color w:val="auto"/>
              <w:szCs w:val="20"/>
              <w:highlight w:val="none"/>
            </w:rPr>
            <w:fldChar w:fldCharType="begin"/>
          </w:r>
          <w:r>
            <w:rPr>
              <w:rFonts w:ascii="宋体" w:hAnsi="宋体" w:cs="宋体"/>
              <w:color w:val="auto"/>
              <w:szCs w:val="20"/>
              <w:highlight w:val="none"/>
            </w:rPr>
            <w:instrText xml:space="preserve"> HYPERLINK \l _Toc29020 </w:instrText>
          </w:r>
          <w:r>
            <w:rPr>
              <w:rFonts w:ascii="宋体" w:hAnsi="宋体" w:cs="宋体"/>
              <w:color w:val="auto"/>
              <w:szCs w:val="20"/>
              <w:highlight w:val="none"/>
            </w:rPr>
            <w:fldChar w:fldCharType="separate"/>
          </w:r>
          <w:r>
            <w:rPr>
              <w:rFonts w:hint="eastAsia" w:ascii="宋体" w:hAnsi="宋体" w:cs="宋体"/>
              <w:color w:val="auto"/>
              <w:highlight w:val="none"/>
            </w:rPr>
            <w:t>第三章  合同文本</w:t>
          </w:r>
          <w:r>
            <w:rPr>
              <w:color w:val="auto"/>
              <w:highlight w:val="none"/>
            </w:rPr>
            <w:tab/>
          </w:r>
          <w:r>
            <w:rPr>
              <w:color w:val="auto"/>
              <w:highlight w:val="none"/>
            </w:rPr>
            <w:fldChar w:fldCharType="begin"/>
          </w:r>
          <w:r>
            <w:rPr>
              <w:color w:val="auto"/>
              <w:highlight w:val="none"/>
            </w:rPr>
            <w:instrText xml:space="preserve"> PAGEREF _Toc29020 \h </w:instrText>
          </w:r>
          <w:r>
            <w:rPr>
              <w:color w:val="auto"/>
              <w:highlight w:val="none"/>
            </w:rPr>
            <w:fldChar w:fldCharType="separate"/>
          </w:r>
          <w:r>
            <w:rPr>
              <w:color w:val="auto"/>
              <w:highlight w:val="none"/>
            </w:rPr>
            <w:t>18</w:t>
          </w:r>
          <w:r>
            <w:rPr>
              <w:color w:val="auto"/>
              <w:highlight w:val="none"/>
            </w:rPr>
            <w:fldChar w:fldCharType="end"/>
          </w:r>
          <w:r>
            <w:rPr>
              <w:rFonts w:ascii="宋体" w:hAnsi="宋体" w:cs="宋体"/>
              <w:color w:val="auto"/>
              <w:szCs w:val="20"/>
              <w:highlight w:val="none"/>
            </w:rPr>
            <w:fldChar w:fldCharType="end"/>
          </w:r>
        </w:p>
        <w:p w14:paraId="459D049F">
          <w:pPr>
            <w:pStyle w:val="21"/>
            <w:tabs>
              <w:tab w:val="right" w:leader="dot" w:pos="9072"/>
            </w:tabs>
            <w:spacing w:line="360" w:lineRule="auto"/>
            <w:rPr>
              <w:color w:val="auto"/>
              <w:highlight w:val="none"/>
            </w:rPr>
          </w:pPr>
          <w:r>
            <w:rPr>
              <w:rFonts w:ascii="宋体" w:hAnsi="宋体" w:cs="宋体"/>
              <w:color w:val="auto"/>
              <w:szCs w:val="20"/>
              <w:highlight w:val="none"/>
            </w:rPr>
            <w:fldChar w:fldCharType="begin"/>
          </w:r>
          <w:r>
            <w:rPr>
              <w:rFonts w:ascii="宋体" w:hAnsi="宋体" w:cs="宋体"/>
              <w:color w:val="auto"/>
              <w:szCs w:val="20"/>
              <w:highlight w:val="none"/>
            </w:rPr>
            <w:instrText xml:space="preserve"> HYPERLINK \l _Toc11659 </w:instrText>
          </w:r>
          <w:r>
            <w:rPr>
              <w:rFonts w:ascii="宋体" w:hAnsi="宋体" w:cs="宋体"/>
              <w:color w:val="auto"/>
              <w:szCs w:val="20"/>
              <w:highlight w:val="none"/>
            </w:rPr>
            <w:fldChar w:fldCharType="separate"/>
          </w:r>
          <w:r>
            <w:rPr>
              <w:rFonts w:hint="eastAsia" w:ascii="宋体" w:hAnsi="宋体" w:cs="宋体"/>
              <w:color w:val="auto"/>
              <w:szCs w:val="32"/>
              <w:highlight w:val="none"/>
            </w:rPr>
            <w:t>第四章  采购需求</w:t>
          </w:r>
          <w:r>
            <w:rPr>
              <w:color w:val="auto"/>
              <w:highlight w:val="none"/>
            </w:rPr>
            <w:tab/>
          </w:r>
          <w:r>
            <w:rPr>
              <w:color w:val="auto"/>
              <w:highlight w:val="none"/>
            </w:rPr>
            <w:fldChar w:fldCharType="begin"/>
          </w:r>
          <w:r>
            <w:rPr>
              <w:color w:val="auto"/>
              <w:highlight w:val="none"/>
            </w:rPr>
            <w:instrText xml:space="preserve"> PAGEREF _Toc11659 \h </w:instrText>
          </w:r>
          <w:r>
            <w:rPr>
              <w:color w:val="auto"/>
              <w:highlight w:val="none"/>
            </w:rPr>
            <w:fldChar w:fldCharType="separate"/>
          </w:r>
          <w:r>
            <w:rPr>
              <w:color w:val="auto"/>
              <w:highlight w:val="none"/>
            </w:rPr>
            <w:t>23</w:t>
          </w:r>
          <w:r>
            <w:rPr>
              <w:color w:val="auto"/>
              <w:highlight w:val="none"/>
            </w:rPr>
            <w:fldChar w:fldCharType="end"/>
          </w:r>
          <w:r>
            <w:rPr>
              <w:rFonts w:ascii="宋体" w:hAnsi="宋体" w:cs="宋体"/>
              <w:color w:val="auto"/>
              <w:szCs w:val="20"/>
              <w:highlight w:val="none"/>
            </w:rPr>
            <w:fldChar w:fldCharType="end"/>
          </w:r>
        </w:p>
        <w:p w14:paraId="11D69D42">
          <w:pPr>
            <w:pStyle w:val="21"/>
            <w:tabs>
              <w:tab w:val="right" w:leader="dot" w:pos="9072"/>
            </w:tabs>
            <w:spacing w:line="360" w:lineRule="auto"/>
            <w:rPr>
              <w:color w:val="auto"/>
              <w:highlight w:val="none"/>
            </w:rPr>
          </w:pPr>
          <w:r>
            <w:rPr>
              <w:rFonts w:ascii="宋体" w:hAnsi="宋体" w:cs="宋体"/>
              <w:color w:val="auto"/>
              <w:szCs w:val="20"/>
              <w:highlight w:val="none"/>
            </w:rPr>
            <w:fldChar w:fldCharType="begin"/>
          </w:r>
          <w:r>
            <w:rPr>
              <w:rFonts w:ascii="宋体" w:hAnsi="宋体" w:cs="宋体"/>
              <w:color w:val="auto"/>
              <w:szCs w:val="20"/>
              <w:highlight w:val="none"/>
            </w:rPr>
            <w:instrText xml:space="preserve"> HYPERLINK \l _Toc21069 </w:instrText>
          </w:r>
          <w:r>
            <w:rPr>
              <w:rFonts w:ascii="宋体" w:hAnsi="宋体" w:cs="宋体"/>
              <w:color w:val="auto"/>
              <w:szCs w:val="20"/>
              <w:highlight w:val="none"/>
            </w:rPr>
            <w:fldChar w:fldCharType="separate"/>
          </w:r>
          <w:r>
            <w:rPr>
              <w:rFonts w:hint="eastAsia" w:ascii="宋体" w:hAnsi="宋体" w:cs="宋体"/>
              <w:color w:val="auto"/>
              <w:szCs w:val="32"/>
              <w:highlight w:val="none"/>
            </w:rPr>
            <w:t>第五章  评标方法与评标标准</w:t>
          </w:r>
          <w:r>
            <w:rPr>
              <w:color w:val="auto"/>
              <w:highlight w:val="none"/>
            </w:rPr>
            <w:tab/>
          </w:r>
          <w:r>
            <w:rPr>
              <w:color w:val="auto"/>
              <w:highlight w:val="none"/>
            </w:rPr>
            <w:fldChar w:fldCharType="begin"/>
          </w:r>
          <w:r>
            <w:rPr>
              <w:color w:val="auto"/>
              <w:highlight w:val="none"/>
            </w:rPr>
            <w:instrText xml:space="preserve"> PAGEREF _Toc21069 \h </w:instrText>
          </w:r>
          <w:r>
            <w:rPr>
              <w:color w:val="auto"/>
              <w:highlight w:val="none"/>
            </w:rPr>
            <w:fldChar w:fldCharType="separate"/>
          </w:r>
          <w:r>
            <w:rPr>
              <w:color w:val="auto"/>
              <w:highlight w:val="none"/>
            </w:rPr>
            <w:t>31</w:t>
          </w:r>
          <w:r>
            <w:rPr>
              <w:color w:val="auto"/>
              <w:highlight w:val="none"/>
            </w:rPr>
            <w:fldChar w:fldCharType="end"/>
          </w:r>
          <w:r>
            <w:rPr>
              <w:rFonts w:ascii="宋体" w:hAnsi="宋体" w:cs="宋体"/>
              <w:color w:val="auto"/>
              <w:szCs w:val="20"/>
              <w:highlight w:val="none"/>
            </w:rPr>
            <w:fldChar w:fldCharType="end"/>
          </w:r>
        </w:p>
        <w:p w14:paraId="18B091BA">
          <w:pPr>
            <w:pStyle w:val="21"/>
            <w:tabs>
              <w:tab w:val="right" w:leader="dot" w:pos="9072"/>
            </w:tabs>
            <w:spacing w:line="360" w:lineRule="auto"/>
            <w:rPr>
              <w:color w:val="auto"/>
              <w:highlight w:val="none"/>
            </w:rPr>
          </w:pPr>
          <w:r>
            <w:rPr>
              <w:rFonts w:ascii="宋体" w:hAnsi="宋体" w:cs="宋体"/>
              <w:color w:val="auto"/>
              <w:szCs w:val="20"/>
              <w:highlight w:val="none"/>
            </w:rPr>
            <w:fldChar w:fldCharType="begin"/>
          </w:r>
          <w:r>
            <w:rPr>
              <w:rFonts w:ascii="宋体" w:hAnsi="宋体" w:cs="宋体"/>
              <w:color w:val="auto"/>
              <w:szCs w:val="20"/>
              <w:highlight w:val="none"/>
            </w:rPr>
            <w:instrText xml:space="preserve"> HYPERLINK \l _Toc16197 </w:instrText>
          </w:r>
          <w:r>
            <w:rPr>
              <w:rFonts w:ascii="宋体" w:hAnsi="宋体" w:cs="宋体"/>
              <w:color w:val="auto"/>
              <w:szCs w:val="20"/>
              <w:highlight w:val="none"/>
            </w:rPr>
            <w:fldChar w:fldCharType="separate"/>
          </w:r>
          <w:r>
            <w:rPr>
              <w:rFonts w:hint="eastAsia" w:ascii="宋体" w:hAnsi="宋体" w:cs="宋体"/>
              <w:color w:val="auto"/>
              <w:szCs w:val="32"/>
              <w:highlight w:val="none"/>
            </w:rPr>
            <w:t>第六章  投标文件格式</w:t>
          </w:r>
          <w:r>
            <w:rPr>
              <w:color w:val="auto"/>
              <w:highlight w:val="none"/>
            </w:rPr>
            <w:tab/>
          </w:r>
          <w:r>
            <w:rPr>
              <w:color w:val="auto"/>
              <w:highlight w:val="none"/>
            </w:rPr>
            <w:fldChar w:fldCharType="begin"/>
          </w:r>
          <w:r>
            <w:rPr>
              <w:color w:val="auto"/>
              <w:highlight w:val="none"/>
            </w:rPr>
            <w:instrText xml:space="preserve"> PAGEREF _Toc16197 \h </w:instrText>
          </w:r>
          <w:r>
            <w:rPr>
              <w:color w:val="auto"/>
              <w:highlight w:val="none"/>
            </w:rPr>
            <w:fldChar w:fldCharType="separate"/>
          </w:r>
          <w:r>
            <w:rPr>
              <w:color w:val="auto"/>
              <w:highlight w:val="none"/>
            </w:rPr>
            <w:t>35</w:t>
          </w:r>
          <w:r>
            <w:rPr>
              <w:color w:val="auto"/>
              <w:highlight w:val="none"/>
            </w:rPr>
            <w:fldChar w:fldCharType="end"/>
          </w:r>
          <w:r>
            <w:rPr>
              <w:rFonts w:ascii="宋体" w:hAnsi="宋体" w:cs="宋体"/>
              <w:color w:val="auto"/>
              <w:szCs w:val="20"/>
              <w:highlight w:val="none"/>
            </w:rPr>
            <w:fldChar w:fldCharType="end"/>
          </w:r>
        </w:p>
        <w:p w14:paraId="32B91F3A">
          <w:pPr>
            <w:spacing w:line="276" w:lineRule="auto"/>
            <w:ind w:firstLine="420" w:firstLineChars="200"/>
            <w:rPr>
              <w:rFonts w:ascii="宋体" w:hAnsi="宋体" w:cs="宋体"/>
              <w:color w:val="auto"/>
              <w:szCs w:val="20"/>
              <w:highlight w:val="none"/>
            </w:rPr>
          </w:pPr>
          <w:r>
            <w:rPr>
              <w:rFonts w:ascii="宋体" w:hAnsi="宋体" w:cs="宋体"/>
              <w:color w:val="auto"/>
              <w:szCs w:val="20"/>
              <w:highlight w:val="none"/>
            </w:rPr>
            <w:fldChar w:fldCharType="end"/>
          </w:r>
        </w:p>
      </w:sdtContent>
    </w:sdt>
    <w:p w14:paraId="6A7B5126">
      <w:pPr>
        <w:spacing w:line="276" w:lineRule="auto"/>
        <w:ind w:firstLine="420" w:firstLineChars="200"/>
        <w:rPr>
          <w:rFonts w:ascii="宋体" w:hAnsi="宋体" w:cs="宋体"/>
          <w:color w:val="auto"/>
          <w:szCs w:val="20"/>
          <w:highlight w:val="none"/>
        </w:rPr>
      </w:pPr>
    </w:p>
    <w:p w14:paraId="1792231A">
      <w:pPr>
        <w:spacing w:line="276" w:lineRule="auto"/>
        <w:ind w:firstLine="420" w:firstLineChars="200"/>
        <w:rPr>
          <w:rFonts w:ascii="宋体" w:hAnsi="宋体" w:cs="宋体"/>
          <w:color w:val="auto"/>
          <w:szCs w:val="20"/>
          <w:highlight w:val="none"/>
        </w:rPr>
      </w:pPr>
    </w:p>
    <w:p w14:paraId="4D547077">
      <w:pPr>
        <w:spacing w:line="276" w:lineRule="auto"/>
        <w:ind w:firstLine="420" w:firstLineChars="200"/>
        <w:rPr>
          <w:rFonts w:ascii="宋体" w:hAnsi="宋体" w:cs="宋体"/>
          <w:color w:val="auto"/>
          <w:szCs w:val="20"/>
          <w:highlight w:val="none"/>
        </w:rPr>
        <w:sectPr>
          <w:headerReference r:id="rId3" w:type="default"/>
          <w:footerReference r:id="rId4" w:type="default"/>
          <w:pgSz w:w="11906" w:h="16838"/>
          <w:pgMar w:top="1543" w:right="1417" w:bottom="850" w:left="1417" w:header="850" w:footer="992" w:gutter="0"/>
          <w:cols w:space="0" w:num="1"/>
          <w:docGrid w:type="lines" w:linePitch="323" w:charSpace="0"/>
        </w:sectPr>
      </w:pPr>
    </w:p>
    <w:p w14:paraId="6A5B41F7">
      <w:pPr>
        <w:tabs>
          <w:tab w:val="left" w:pos="1180"/>
          <w:tab w:val="center" w:pos="4536"/>
        </w:tabs>
        <w:spacing w:line="276" w:lineRule="auto"/>
        <w:jc w:val="left"/>
        <w:outlineLvl w:val="0"/>
        <w:rPr>
          <w:rFonts w:ascii="宋体" w:hAnsi="宋体" w:cs="宋体"/>
          <w:b/>
          <w:color w:val="auto"/>
          <w:sz w:val="32"/>
          <w:szCs w:val="32"/>
          <w:highlight w:val="none"/>
        </w:rPr>
      </w:pPr>
      <w:r>
        <w:rPr>
          <w:rFonts w:ascii="宋体" w:hAnsi="宋体" w:cs="宋体"/>
          <w:b/>
          <w:color w:val="auto"/>
          <w:sz w:val="32"/>
          <w:szCs w:val="32"/>
          <w:highlight w:val="none"/>
        </w:rPr>
        <w:tab/>
      </w:r>
      <w:r>
        <w:rPr>
          <w:rFonts w:ascii="宋体" w:hAnsi="宋体" w:cs="宋体"/>
          <w:b/>
          <w:color w:val="auto"/>
          <w:sz w:val="32"/>
          <w:szCs w:val="32"/>
          <w:highlight w:val="none"/>
        </w:rPr>
        <w:tab/>
      </w:r>
      <w:bookmarkStart w:id="0" w:name="_Toc17810"/>
      <w:bookmarkStart w:id="1" w:name="_Toc3556"/>
      <w:r>
        <w:rPr>
          <w:rFonts w:hint="eastAsia" w:ascii="宋体" w:hAnsi="宋体" w:cs="宋体"/>
          <w:b/>
          <w:color w:val="auto"/>
          <w:sz w:val="32"/>
          <w:szCs w:val="32"/>
          <w:highlight w:val="none"/>
        </w:rPr>
        <w:t>第一章  投标邀请</w:t>
      </w:r>
      <w:bookmarkEnd w:id="0"/>
      <w:bookmarkEnd w:id="1"/>
    </w:p>
    <w:p w14:paraId="3A7FFFF4">
      <w:pPr>
        <w:spacing w:line="276" w:lineRule="auto"/>
        <w:rPr>
          <w:rFonts w:ascii="宋体" w:hAnsi="宋体" w:cs="宋体"/>
          <w:color w:val="auto"/>
          <w:sz w:val="24"/>
          <w:highlight w:val="none"/>
        </w:rPr>
      </w:pPr>
    </w:p>
    <w:p w14:paraId="499F8B56">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s="宋体"/>
          <w:color w:val="auto"/>
          <w:sz w:val="24"/>
          <w:highlight w:val="none"/>
        </w:rPr>
      </w:pPr>
      <w:r>
        <w:rPr>
          <w:rFonts w:hint="eastAsia" w:ascii="宋体" w:hAnsi="宋体" w:cs="宋体"/>
          <w:bCs/>
          <w:iCs/>
          <w:color w:val="auto"/>
          <w:sz w:val="24"/>
          <w:highlight w:val="none"/>
        </w:rPr>
        <w:t>项目概况</w:t>
      </w:r>
    </w:p>
    <w:p w14:paraId="21861D10">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s="宋体"/>
          <w:color w:val="auto"/>
          <w:sz w:val="24"/>
          <w:highlight w:val="none"/>
        </w:rPr>
      </w:pPr>
      <w:r>
        <w:rPr>
          <w:rFonts w:hint="eastAsia" w:ascii="宋体" w:hAnsi="宋体" w:cs="宋体"/>
          <w:color w:val="auto"/>
          <w:sz w:val="24"/>
          <w:highlight w:val="none"/>
          <w:u w:val="single"/>
        </w:rPr>
        <w:t>南京市江宁医院</w:t>
      </w:r>
      <w:r>
        <w:rPr>
          <w:rFonts w:hint="eastAsia" w:ascii="宋体" w:hAnsi="宋体" w:cs="宋体"/>
          <w:color w:val="auto"/>
          <w:sz w:val="24"/>
          <w:highlight w:val="none"/>
          <w:u w:val="single"/>
          <w:lang w:val="en-US" w:eastAsia="zh-CN"/>
        </w:rPr>
        <w:t>2026年大型影像类</w:t>
      </w:r>
      <w:r>
        <w:rPr>
          <w:rFonts w:hint="eastAsia" w:ascii="宋体" w:hAnsi="宋体" w:cs="宋体"/>
          <w:color w:val="auto"/>
          <w:sz w:val="24"/>
          <w:highlight w:val="none"/>
          <w:u w:val="single"/>
        </w:rPr>
        <w:t>医疗设备维保服务</w:t>
      </w:r>
      <w:r>
        <w:rPr>
          <w:rFonts w:hint="eastAsia" w:ascii="宋体" w:hAnsi="宋体" w:cs="宋体"/>
          <w:bCs/>
          <w:iCs/>
          <w:color w:val="auto"/>
          <w:sz w:val="24"/>
          <w:highlight w:val="none"/>
        </w:rPr>
        <w:t>招标项目的潜在投标人应在“苏采云”系统内免费下载（投标人必须在苏采云系统中获取采购文件，方能参与政府采购项目）获取招标文件，并于</w:t>
      </w:r>
      <w:r>
        <w:rPr>
          <w:rFonts w:hint="eastAsia" w:ascii="宋体" w:hAnsi="宋体" w:cs="宋体"/>
          <w:b/>
          <w:bCs w:val="0"/>
          <w:iCs/>
          <w:color w:val="auto"/>
          <w:sz w:val="24"/>
          <w:highlight w:val="none"/>
          <w:u w:val="single"/>
        </w:rPr>
        <w:t>2026年</w:t>
      </w:r>
      <w:r>
        <w:rPr>
          <w:rFonts w:hint="eastAsia" w:ascii="宋体" w:hAnsi="宋体" w:cs="宋体"/>
          <w:b/>
          <w:bCs w:val="0"/>
          <w:iCs/>
          <w:color w:val="auto"/>
          <w:sz w:val="24"/>
          <w:highlight w:val="none"/>
          <w:u w:val="single"/>
          <w:lang w:val="en-US" w:eastAsia="zh-CN"/>
        </w:rPr>
        <w:t>7</w:t>
      </w:r>
      <w:r>
        <w:rPr>
          <w:rFonts w:hint="eastAsia" w:ascii="宋体" w:hAnsi="宋体" w:cs="宋体"/>
          <w:b/>
          <w:bCs w:val="0"/>
          <w:iCs/>
          <w:color w:val="auto"/>
          <w:sz w:val="24"/>
          <w:highlight w:val="none"/>
          <w:u w:val="single"/>
        </w:rPr>
        <w:t>月</w:t>
      </w:r>
      <w:r>
        <w:rPr>
          <w:rFonts w:hint="eastAsia" w:ascii="宋体" w:hAnsi="宋体" w:cs="宋体"/>
          <w:b/>
          <w:bCs w:val="0"/>
          <w:iCs/>
          <w:color w:val="auto"/>
          <w:sz w:val="24"/>
          <w:highlight w:val="none"/>
          <w:u w:val="single"/>
          <w:lang w:val="en-US" w:eastAsia="zh-CN"/>
        </w:rPr>
        <w:t>9</w:t>
      </w:r>
      <w:r>
        <w:rPr>
          <w:rFonts w:hint="eastAsia" w:ascii="宋体" w:hAnsi="宋体" w:cs="宋体"/>
          <w:b/>
          <w:bCs w:val="0"/>
          <w:iCs/>
          <w:color w:val="auto"/>
          <w:sz w:val="24"/>
          <w:highlight w:val="none"/>
          <w:u w:val="single"/>
        </w:rPr>
        <w:t>日</w:t>
      </w:r>
      <w:r>
        <w:rPr>
          <w:rFonts w:hint="eastAsia" w:ascii="宋体" w:hAnsi="宋体" w:cs="宋体"/>
          <w:b/>
          <w:bCs w:val="0"/>
          <w:iCs/>
          <w:color w:val="auto"/>
          <w:sz w:val="24"/>
          <w:highlight w:val="none"/>
          <w:u w:val="single"/>
          <w:lang w:val="en-US" w:eastAsia="zh-CN"/>
        </w:rPr>
        <w:t>9</w:t>
      </w:r>
      <w:r>
        <w:rPr>
          <w:rFonts w:hint="eastAsia" w:ascii="宋体" w:hAnsi="宋体" w:cs="宋体"/>
          <w:b/>
          <w:bCs w:val="0"/>
          <w:iCs/>
          <w:color w:val="auto"/>
          <w:sz w:val="24"/>
          <w:highlight w:val="none"/>
          <w:u w:val="single"/>
        </w:rPr>
        <w:t>时</w:t>
      </w:r>
      <w:r>
        <w:rPr>
          <w:rFonts w:hint="eastAsia" w:ascii="宋体" w:hAnsi="宋体" w:cs="宋体"/>
          <w:b/>
          <w:bCs w:val="0"/>
          <w:iCs/>
          <w:color w:val="auto"/>
          <w:sz w:val="24"/>
          <w:highlight w:val="none"/>
          <w:u w:val="single"/>
          <w:lang w:val="en-US" w:eastAsia="zh-CN"/>
        </w:rPr>
        <w:t>30</w:t>
      </w:r>
      <w:r>
        <w:rPr>
          <w:rFonts w:hint="eastAsia" w:ascii="宋体" w:hAnsi="宋体" w:cs="宋体"/>
          <w:b/>
          <w:bCs w:val="0"/>
          <w:iCs/>
          <w:color w:val="auto"/>
          <w:sz w:val="24"/>
          <w:highlight w:val="none"/>
          <w:u w:val="single"/>
        </w:rPr>
        <w:t>分（北京时间</w:t>
      </w:r>
      <w:r>
        <w:rPr>
          <w:rFonts w:hint="eastAsia" w:ascii="宋体" w:hAnsi="宋体" w:cs="宋体"/>
          <w:bCs/>
          <w:iCs/>
          <w:color w:val="auto"/>
          <w:sz w:val="24"/>
          <w:highlight w:val="none"/>
          <w:u w:val="single"/>
        </w:rPr>
        <w:t>）</w:t>
      </w:r>
      <w:r>
        <w:rPr>
          <w:rFonts w:hint="eastAsia" w:ascii="宋体" w:hAnsi="宋体" w:cs="宋体"/>
          <w:bCs/>
          <w:iCs/>
          <w:color w:val="auto"/>
          <w:sz w:val="24"/>
          <w:highlight w:val="none"/>
        </w:rPr>
        <w:t>前递交投标文件。</w:t>
      </w:r>
    </w:p>
    <w:p w14:paraId="2EC3387A">
      <w:pPr>
        <w:spacing w:line="276" w:lineRule="auto"/>
        <w:rPr>
          <w:rFonts w:ascii="宋体" w:hAnsi="宋体" w:cs="宋体"/>
          <w:color w:val="auto"/>
          <w:sz w:val="24"/>
          <w:highlight w:val="none"/>
        </w:rPr>
      </w:pPr>
    </w:p>
    <w:p w14:paraId="527BABEB">
      <w:pPr>
        <w:spacing w:line="276" w:lineRule="auto"/>
        <w:ind w:firstLine="482" w:firstLineChars="200"/>
        <w:outlineLvl w:val="1"/>
        <w:rPr>
          <w:rFonts w:ascii="宋体" w:hAnsi="宋体" w:cs="宋体"/>
          <w:b/>
          <w:color w:val="auto"/>
          <w:sz w:val="24"/>
          <w:highlight w:val="none"/>
        </w:rPr>
      </w:pPr>
      <w:bookmarkStart w:id="2" w:name="_Toc35393621"/>
      <w:bookmarkStart w:id="3" w:name="_Toc28359079"/>
      <w:bookmarkStart w:id="4" w:name="_Toc28359002"/>
      <w:bookmarkStart w:id="5" w:name="_Toc184129761"/>
      <w:bookmarkStart w:id="6" w:name="_Toc35393790"/>
      <w:bookmarkStart w:id="7" w:name="_Hlk24379207"/>
      <w:r>
        <w:rPr>
          <w:rFonts w:hint="eastAsia" w:ascii="宋体" w:hAnsi="宋体" w:cs="宋体"/>
          <w:b/>
          <w:color w:val="auto"/>
          <w:sz w:val="24"/>
          <w:highlight w:val="none"/>
        </w:rPr>
        <w:t>一、项目基本情况</w:t>
      </w:r>
      <w:bookmarkEnd w:id="2"/>
      <w:bookmarkEnd w:id="3"/>
      <w:bookmarkEnd w:id="4"/>
      <w:bookmarkEnd w:id="5"/>
      <w:bookmarkEnd w:id="6"/>
    </w:p>
    <w:p w14:paraId="63C15369">
      <w:pPr>
        <w:spacing w:line="276"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w:t>
      </w:r>
      <w:r>
        <w:rPr>
          <w:rFonts w:hint="eastAsia" w:ascii="宋体" w:hAnsi="宋体" w:cs="宋体"/>
          <w:color w:val="auto"/>
          <w:sz w:val="24"/>
          <w:highlight w:val="none"/>
          <w:lang w:eastAsia="zh-CN"/>
        </w:rPr>
        <w:t>项目编号：JSZC-320115-SHGK-G2026-0054</w:t>
      </w:r>
    </w:p>
    <w:p w14:paraId="2437DB2E">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2、项目名称：南京市江宁医院医疗设备维保服务采购项目</w:t>
      </w:r>
    </w:p>
    <w:bookmarkEnd w:id="7"/>
    <w:p w14:paraId="43263840">
      <w:pPr>
        <w:spacing w:line="276"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3、预算金额：</w:t>
      </w:r>
    </w:p>
    <w:p w14:paraId="639E8DB1">
      <w:pPr>
        <w:keepNext w:val="0"/>
        <w:keepLines w:val="0"/>
        <w:pageBreakBefore w:val="0"/>
        <w:widowControl w:val="0"/>
        <w:kinsoku/>
        <w:wordWrap/>
        <w:overflowPunct/>
        <w:topLinePunct w:val="0"/>
        <w:autoSpaceDE/>
        <w:autoSpaceDN/>
        <w:bidi w:val="0"/>
        <w:adjustRightInd/>
        <w:snapToGrid/>
        <w:spacing w:line="276" w:lineRule="auto"/>
        <w:ind w:firstLine="480" w:firstLineChars="200"/>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采购包</w:t>
      </w:r>
      <w:r>
        <w:rPr>
          <w:rFonts w:hint="eastAsia" w:ascii="宋体" w:hAnsi="宋体" w:eastAsia="宋体" w:cs="宋体"/>
          <w:color w:val="auto"/>
          <w:sz w:val="24"/>
          <w:highlight w:val="none"/>
          <w:lang w:val="en-US" w:eastAsia="zh-CN"/>
        </w:rPr>
        <w:t>1：</w:t>
      </w:r>
      <w:r>
        <w:rPr>
          <w:rFonts w:hint="default" w:ascii="宋体" w:hAnsi="宋体" w:eastAsia="宋体" w:cs="宋体"/>
          <w:color w:val="auto"/>
          <w:sz w:val="24"/>
          <w:highlight w:val="none"/>
          <w:lang w:val="en-US" w:eastAsia="zh-CN"/>
        </w:rPr>
        <w:t>1558万元</w:t>
      </w:r>
    </w:p>
    <w:p w14:paraId="6C448CE9">
      <w:pPr>
        <w:keepNext w:val="0"/>
        <w:keepLines w:val="0"/>
        <w:pageBreakBefore w:val="0"/>
        <w:widowControl w:val="0"/>
        <w:kinsoku/>
        <w:wordWrap/>
        <w:overflowPunct/>
        <w:topLinePunct w:val="0"/>
        <w:autoSpaceDE/>
        <w:autoSpaceDN/>
        <w:bidi w:val="0"/>
        <w:adjustRightInd/>
        <w:snapToGrid/>
        <w:spacing w:line="276" w:lineRule="auto"/>
        <w:ind w:firstLine="480" w:firstLineChars="200"/>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采购包2：</w:t>
      </w:r>
      <w:r>
        <w:rPr>
          <w:rFonts w:hint="default" w:ascii="宋体" w:hAnsi="宋体" w:eastAsia="宋体" w:cs="宋体"/>
          <w:color w:val="auto"/>
          <w:sz w:val="24"/>
          <w:highlight w:val="none"/>
          <w:lang w:val="en-US" w:eastAsia="zh-CN"/>
        </w:rPr>
        <w:t>470万元</w:t>
      </w:r>
    </w:p>
    <w:p w14:paraId="2FF4EFE4">
      <w:pPr>
        <w:keepNext w:val="0"/>
        <w:keepLines w:val="0"/>
        <w:pageBreakBefore w:val="0"/>
        <w:widowControl w:val="0"/>
        <w:kinsoku/>
        <w:wordWrap/>
        <w:overflowPunct/>
        <w:topLinePunct w:val="0"/>
        <w:autoSpaceDE/>
        <w:autoSpaceDN/>
        <w:bidi w:val="0"/>
        <w:adjustRightInd/>
        <w:snapToGrid/>
        <w:spacing w:line="276" w:lineRule="auto"/>
        <w:ind w:firstLine="480" w:firstLineChars="200"/>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采购包3：</w:t>
      </w:r>
      <w:r>
        <w:rPr>
          <w:rFonts w:hint="default" w:ascii="宋体" w:hAnsi="宋体" w:eastAsia="宋体" w:cs="宋体"/>
          <w:color w:val="auto"/>
          <w:sz w:val="24"/>
          <w:highlight w:val="none"/>
          <w:lang w:val="en-US" w:eastAsia="zh-CN"/>
        </w:rPr>
        <w:t>270万元</w:t>
      </w:r>
    </w:p>
    <w:p w14:paraId="186D3DD4">
      <w:pPr>
        <w:numPr>
          <w:ilvl w:val="0"/>
          <w:numId w:val="5"/>
        </w:numPr>
        <w:spacing w:line="276"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最高限价：</w:t>
      </w:r>
    </w:p>
    <w:p w14:paraId="27A23642">
      <w:pPr>
        <w:numPr>
          <w:ilvl w:val="0"/>
          <w:numId w:val="0"/>
        </w:numPr>
        <w:spacing w:line="276" w:lineRule="auto"/>
        <w:ind w:firstLine="480" w:firstLineChars="20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采购包</w:t>
      </w:r>
      <w:r>
        <w:rPr>
          <w:rFonts w:hint="eastAsia" w:ascii="宋体" w:hAnsi="宋体" w:eastAsia="宋体" w:cs="宋体"/>
          <w:color w:val="auto"/>
          <w:sz w:val="24"/>
          <w:highlight w:val="none"/>
          <w:lang w:val="en-US" w:eastAsia="zh-CN"/>
        </w:rPr>
        <w:t>1：</w:t>
      </w:r>
      <w:r>
        <w:rPr>
          <w:rFonts w:hint="default" w:ascii="宋体" w:hAnsi="宋体" w:eastAsia="宋体" w:cs="宋体"/>
          <w:color w:val="auto"/>
          <w:sz w:val="24"/>
          <w:highlight w:val="none"/>
          <w:lang w:val="en-US" w:eastAsia="zh-CN"/>
        </w:rPr>
        <w:t>1558万元</w:t>
      </w:r>
    </w:p>
    <w:p w14:paraId="5291725B">
      <w:pPr>
        <w:spacing w:line="276" w:lineRule="auto"/>
        <w:ind w:firstLine="480" w:firstLineChars="20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采购包2：</w:t>
      </w:r>
      <w:r>
        <w:rPr>
          <w:rFonts w:hint="default" w:ascii="宋体" w:hAnsi="宋体" w:eastAsia="宋体" w:cs="宋体"/>
          <w:color w:val="auto"/>
          <w:sz w:val="24"/>
          <w:highlight w:val="none"/>
          <w:lang w:val="en-US" w:eastAsia="zh-CN"/>
        </w:rPr>
        <w:t>470万元</w:t>
      </w:r>
    </w:p>
    <w:p w14:paraId="6D52A9FC">
      <w:pPr>
        <w:spacing w:line="276" w:lineRule="auto"/>
        <w:ind w:firstLine="480" w:firstLineChars="200"/>
        <w:rPr>
          <w:rFonts w:ascii="宋体" w:hAnsi="宋体" w:cs="宋体"/>
          <w:color w:val="auto"/>
          <w:sz w:val="24"/>
          <w:highlight w:val="none"/>
        </w:rPr>
      </w:pPr>
      <w:r>
        <w:rPr>
          <w:rFonts w:hint="eastAsia" w:ascii="宋体" w:hAnsi="宋体" w:eastAsia="宋体" w:cs="宋体"/>
          <w:color w:val="auto"/>
          <w:sz w:val="24"/>
          <w:highlight w:val="none"/>
          <w:lang w:val="en-US" w:eastAsia="zh-CN"/>
        </w:rPr>
        <w:t>采购包3：</w:t>
      </w:r>
      <w:r>
        <w:rPr>
          <w:rFonts w:hint="default" w:ascii="宋体" w:hAnsi="宋体" w:eastAsia="宋体" w:cs="宋体"/>
          <w:color w:val="auto"/>
          <w:sz w:val="24"/>
          <w:highlight w:val="none"/>
          <w:lang w:val="en-US" w:eastAsia="zh-CN"/>
        </w:rPr>
        <w:t>270万元</w:t>
      </w:r>
    </w:p>
    <w:p w14:paraId="3094D573">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5、采购需求：南京市江宁医院所需影像设备维保服务，具体要求详见《第四章 采购需求》。</w:t>
      </w:r>
    </w:p>
    <w:p w14:paraId="467C0864">
      <w:pPr>
        <w:spacing w:line="276"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6、服务期限：</w:t>
      </w:r>
      <w:r>
        <w:rPr>
          <w:rFonts w:hint="eastAsia" w:ascii="宋体" w:hAnsi="宋体" w:cs="宋体"/>
          <w:color w:val="auto"/>
          <w:sz w:val="24"/>
          <w:highlight w:val="none"/>
        </w:rPr>
        <w:t>详见《第四章 采购需求》</w:t>
      </w:r>
      <w:r>
        <w:rPr>
          <w:rFonts w:hint="eastAsia" w:ascii="宋体" w:hAnsi="宋体" w:cs="宋体"/>
          <w:bCs/>
          <w:color w:val="auto"/>
          <w:sz w:val="24"/>
          <w:highlight w:val="none"/>
        </w:rPr>
        <w:t>。</w:t>
      </w:r>
    </w:p>
    <w:p w14:paraId="1C9FD2E7">
      <w:pPr>
        <w:spacing w:line="276" w:lineRule="auto"/>
        <w:ind w:firstLine="480" w:firstLineChars="200"/>
        <w:rPr>
          <w:rFonts w:ascii="宋体" w:hAnsi="宋体" w:cs="宋体"/>
          <w:color w:val="auto"/>
          <w:sz w:val="24"/>
          <w:highlight w:val="none"/>
        </w:rPr>
      </w:pPr>
      <w:r>
        <w:rPr>
          <w:rFonts w:ascii="宋体" w:hAnsi="宋体" w:cs="宋体"/>
          <w:bCs/>
          <w:color w:val="auto"/>
          <w:sz w:val="24"/>
          <w:highlight w:val="none"/>
        </w:rPr>
        <w:t>7</w:t>
      </w:r>
      <w:r>
        <w:rPr>
          <w:rFonts w:hint="eastAsia" w:ascii="宋体" w:hAnsi="宋体" w:cs="宋体"/>
          <w:bCs/>
          <w:color w:val="auto"/>
          <w:sz w:val="24"/>
          <w:highlight w:val="none"/>
        </w:rPr>
        <w:t>、本项目不接受联合体参与投标</w:t>
      </w:r>
    </w:p>
    <w:p w14:paraId="7C873023">
      <w:pPr>
        <w:numPr>
          <w:ilvl w:val="0"/>
          <w:numId w:val="6"/>
        </w:numPr>
        <w:spacing w:line="276" w:lineRule="auto"/>
        <w:ind w:firstLine="482" w:firstLineChars="200"/>
        <w:outlineLvl w:val="1"/>
        <w:rPr>
          <w:rFonts w:ascii="宋体" w:hAnsi="宋体" w:cs="宋体"/>
          <w:b/>
          <w:color w:val="auto"/>
          <w:sz w:val="24"/>
          <w:highlight w:val="none"/>
        </w:rPr>
      </w:pPr>
      <w:bookmarkStart w:id="8" w:name="_Toc28359003"/>
      <w:bookmarkStart w:id="9" w:name="_Toc28359080"/>
      <w:bookmarkStart w:id="10" w:name="_Toc35393791"/>
      <w:bookmarkStart w:id="11" w:name="_Toc184129762"/>
      <w:bookmarkStart w:id="12" w:name="_Toc35393622"/>
      <w:r>
        <w:rPr>
          <w:rFonts w:hint="eastAsia" w:ascii="宋体" w:hAnsi="宋体" w:cs="宋体"/>
          <w:b/>
          <w:color w:val="auto"/>
          <w:sz w:val="24"/>
          <w:highlight w:val="none"/>
        </w:rPr>
        <w:t>申请人的资格要求</w:t>
      </w:r>
      <w:bookmarkEnd w:id="8"/>
      <w:bookmarkEnd w:id="9"/>
      <w:bookmarkEnd w:id="10"/>
      <w:bookmarkEnd w:id="11"/>
      <w:bookmarkEnd w:id="12"/>
    </w:p>
    <w:p w14:paraId="10E5E7D7">
      <w:pPr>
        <w:spacing w:line="360" w:lineRule="auto"/>
        <w:ind w:firstLine="482" w:firstLineChars="200"/>
        <w:rPr>
          <w:b/>
          <w:bCs/>
          <w:color w:val="auto"/>
          <w:sz w:val="24"/>
          <w:highlight w:val="none"/>
        </w:rPr>
      </w:pPr>
      <w:r>
        <w:rPr>
          <w:rFonts w:hint="eastAsia"/>
          <w:b/>
          <w:bCs/>
          <w:color w:val="auto"/>
          <w:sz w:val="24"/>
          <w:highlight w:val="none"/>
        </w:rPr>
        <w:t>1、满足《中华人民共和国政府采购法》第二十二条规定:</w:t>
      </w:r>
    </w:p>
    <w:p w14:paraId="51C7BD73">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1.1根据《中华人民共和国政府采购法》第二十二条规定，投标人可提供《南京市政府采购供应商信用记录表暨信用承诺书》。</w:t>
      </w:r>
    </w:p>
    <w:p w14:paraId="13715E19">
      <w:pPr>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其中不适用信用承诺的情形:</w:t>
      </w:r>
    </w:p>
    <w:p w14:paraId="292F6EEE">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1）供应商被列入严重失信主体名单；</w:t>
      </w:r>
    </w:p>
    <w:p w14:paraId="10FD205F">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2）被相关监督部门作出行政处罚且尚处在处罚有效期内；</w:t>
      </w:r>
    </w:p>
    <w:p w14:paraId="0842A7AA">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3）其他法律、行政法规规定的不适用信用承诺的情形。</w:t>
      </w:r>
    </w:p>
    <w:p w14:paraId="0E577286">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1.2投标人提供在有效经营期内的营业执照。</w:t>
      </w:r>
    </w:p>
    <w:p w14:paraId="3578D26B">
      <w:pPr>
        <w:spacing w:line="360" w:lineRule="auto"/>
        <w:ind w:firstLine="482" w:firstLineChars="200"/>
        <w:rPr>
          <w:rFonts w:ascii="宋体" w:hAnsi="宋体"/>
          <w:color w:val="auto"/>
          <w:sz w:val="24"/>
          <w:highlight w:val="none"/>
        </w:rPr>
      </w:pPr>
      <w:r>
        <w:rPr>
          <w:rFonts w:hint="eastAsia" w:ascii="宋体" w:hAnsi="宋体"/>
          <w:b/>
          <w:bCs/>
          <w:color w:val="auto"/>
          <w:sz w:val="24"/>
          <w:highlight w:val="none"/>
        </w:rPr>
        <w:t>2、落实政府采购政策需满足的资格要求：</w:t>
      </w:r>
      <w:r>
        <w:rPr>
          <w:rFonts w:hint="eastAsia" w:ascii="宋体" w:hAnsi="宋体"/>
          <w:color w:val="auto"/>
          <w:sz w:val="24"/>
          <w:highlight w:val="none"/>
        </w:rPr>
        <w:t>本项目不专门面向中小微企业或监狱企业或残疾人福利性单位采购。</w:t>
      </w:r>
    </w:p>
    <w:p w14:paraId="042A1FAE">
      <w:pPr>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3、本项目的特定资格要求：：</w:t>
      </w:r>
    </w:p>
    <w:p w14:paraId="601F085E">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1）投标人须</w:t>
      </w:r>
      <w:r>
        <w:rPr>
          <w:rFonts w:hint="eastAsia" w:ascii="宋体" w:hAnsi="宋体"/>
          <w:color w:val="auto"/>
          <w:sz w:val="24"/>
          <w:highlight w:val="none"/>
          <w:lang w:eastAsia="zh-CN"/>
        </w:rPr>
        <w:t>具备有效的</w:t>
      </w:r>
      <w:r>
        <w:rPr>
          <w:rFonts w:hint="eastAsia" w:ascii="宋体" w:hAnsi="宋体"/>
          <w:color w:val="auto"/>
          <w:sz w:val="24"/>
          <w:highlight w:val="none"/>
        </w:rPr>
        <w:t>《医疗器械经营许可证》</w:t>
      </w:r>
    </w:p>
    <w:p w14:paraId="127F7887">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2）投标人须</w:t>
      </w:r>
      <w:r>
        <w:rPr>
          <w:rFonts w:hint="eastAsia" w:ascii="宋体" w:hAnsi="宋体"/>
          <w:color w:val="auto"/>
          <w:sz w:val="24"/>
          <w:highlight w:val="none"/>
          <w:lang w:eastAsia="zh-CN"/>
        </w:rPr>
        <w:t>具备有效的</w:t>
      </w:r>
      <w:r>
        <w:rPr>
          <w:rFonts w:hint="eastAsia" w:ascii="宋体" w:hAnsi="宋体"/>
          <w:color w:val="auto"/>
          <w:sz w:val="24"/>
          <w:highlight w:val="none"/>
        </w:rPr>
        <w:t>《辐射安全许可证》</w:t>
      </w:r>
    </w:p>
    <w:p w14:paraId="61F6C589">
      <w:pPr>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4、拒绝下述供应商参加本次采购活动的情形：</w:t>
      </w:r>
    </w:p>
    <w:p w14:paraId="7019D557">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1）供应商单位负责人为同一人或者存在直接控股、管理关系的不同供应商，不得参加同一合同项下的政府采购活动；</w:t>
      </w:r>
    </w:p>
    <w:p w14:paraId="2EF1FB2E">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2）凡为采购项目提供整体设计、规范编制或者项目管理、监理、检测等服务的供应商，不得再参加本项目的采购活动；</w:t>
      </w:r>
    </w:p>
    <w:p w14:paraId="0282C219">
      <w:pPr>
        <w:pStyle w:val="128"/>
        <w:spacing w:line="360" w:lineRule="auto"/>
        <w:ind w:firstLine="480" w:firstLineChars="200"/>
        <w:rPr>
          <w:rFonts w:ascii="宋体" w:hAnsi="宋体"/>
          <w:b w:val="0"/>
          <w:color w:val="auto"/>
          <w:highlight w:val="none"/>
        </w:rPr>
      </w:pPr>
      <w:r>
        <w:rPr>
          <w:rFonts w:hint="eastAsia" w:ascii="宋体" w:hAnsi="宋体"/>
          <w:b w:val="0"/>
          <w:color w:val="auto"/>
          <w:highlight w:val="none"/>
        </w:rPr>
        <w:t>3）在“信用中国”网站(www.creditchina.gov.cn)查询，被列入失信被执行人、重大税收违法案件当事人名单、政府采购严重失信行为记录名单及其他不符合《中华人民共和国政府采购法》第二十二条规定条件的信用记录。</w:t>
      </w:r>
    </w:p>
    <w:p w14:paraId="6B8B5004">
      <w:pPr>
        <w:rPr>
          <w:color w:val="auto"/>
          <w:highlight w:val="none"/>
        </w:rPr>
      </w:pPr>
    </w:p>
    <w:p w14:paraId="14BD7C87">
      <w:pPr>
        <w:spacing w:line="276" w:lineRule="auto"/>
        <w:ind w:firstLine="482" w:firstLineChars="200"/>
        <w:outlineLvl w:val="1"/>
        <w:rPr>
          <w:rFonts w:ascii="宋体" w:hAnsi="宋体" w:cs="宋体"/>
          <w:b/>
          <w:color w:val="auto"/>
          <w:sz w:val="24"/>
          <w:highlight w:val="none"/>
        </w:rPr>
      </w:pPr>
      <w:bookmarkStart w:id="13" w:name="_Toc35393623"/>
      <w:bookmarkStart w:id="14" w:name="_Toc28359004"/>
      <w:bookmarkStart w:id="15" w:name="_Toc184129763"/>
      <w:bookmarkStart w:id="16" w:name="_Toc35393792"/>
      <w:bookmarkStart w:id="17" w:name="_Toc28359081"/>
      <w:r>
        <w:rPr>
          <w:rFonts w:hint="eastAsia" w:ascii="宋体" w:hAnsi="宋体" w:cs="宋体"/>
          <w:b/>
          <w:color w:val="auto"/>
          <w:sz w:val="24"/>
          <w:highlight w:val="none"/>
        </w:rPr>
        <w:t>三、获取招标文件</w:t>
      </w:r>
      <w:bookmarkEnd w:id="13"/>
      <w:bookmarkEnd w:id="14"/>
      <w:bookmarkEnd w:id="15"/>
      <w:bookmarkEnd w:id="16"/>
      <w:bookmarkEnd w:id="17"/>
    </w:p>
    <w:p w14:paraId="0E65DD84">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1、时间：自招标文件公告发布之日起</w:t>
      </w:r>
      <w:r>
        <w:rPr>
          <w:rFonts w:ascii="宋体" w:hAnsi="宋体" w:cs="宋体"/>
          <w:color w:val="auto"/>
          <w:sz w:val="24"/>
          <w:highlight w:val="none"/>
        </w:rPr>
        <w:t>5</w:t>
      </w:r>
      <w:r>
        <w:rPr>
          <w:rFonts w:hint="eastAsia" w:ascii="宋体" w:hAnsi="宋体" w:cs="宋体"/>
          <w:color w:val="auto"/>
          <w:sz w:val="24"/>
          <w:highlight w:val="none"/>
        </w:rPr>
        <w:t>个工作日</w:t>
      </w:r>
    </w:p>
    <w:p w14:paraId="6EF69E97">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2、地点：“苏采云”系统内免费下载（投标人必须在苏采云系统中获取采购文件，方能参与政府采购项目）</w:t>
      </w:r>
    </w:p>
    <w:p w14:paraId="4611170A">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3、售价：0.00元。</w:t>
      </w:r>
    </w:p>
    <w:p w14:paraId="0BA14B52">
      <w:pPr>
        <w:spacing w:line="276" w:lineRule="auto"/>
        <w:ind w:firstLine="480" w:firstLineChars="200"/>
        <w:rPr>
          <w:rFonts w:ascii="宋体" w:hAnsi="宋体" w:cs="宋体"/>
          <w:color w:val="auto"/>
          <w:sz w:val="24"/>
          <w:highlight w:val="none"/>
        </w:rPr>
      </w:pPr>
    </w:p>
    <w:p w14:paraId="32830C74">
      <w:pPr>
        <w:spacing w:line="276" w:lineRule="auto"/>
        <w:ind w:firstLine="482" w:firstLineChars="200"/>
        <w:outlineLvl w:val="1"/>
        <w:rPr>
          <w:rFonts w:ascii="宋体" w:hAnsi="宋体" w:cs="宋体"/>
          <w:b/>
          <w:color w:val="auto"/>
          <w:sz w:val="24"/>
          <w:highlight w:val="none"/>
        </w:rPr>
      </w:pPr>
      <w:bookmarkStart w:id="18" w:name="_Toc184129764"/>
      <w:r>
        <w:rPr>
          <w:rFonts w:hint="eastAsia" w:ascii="宋体" w:hAnsi="宋体" w:cs="宋体"/>
          <w:b/>
          <w:color w:val="auto"/>
          <w:sz w:val="24"/>
          <w:highlight w:val="none"/>
        </w:rPr>
        <w:t>四、提交投标文件截止时间、开标时间和地点</w:t>
      </w:r>
      <w:bookmarkEnd w:id="18"/>
    </w:p>
    <w:p w14:paraId="120F0B1A">
      <w:pPr>
        <w:spacing w:line="276" w:lineRule="auto"/>
        <w:ind w:firstLine="480" w:firstLineChars="200"/>
        <w:rPr>
          <w:rFonts w:ascii="宋体" w:hAnsi="宋体" w:cs="宋体"/>
          <w:iCs/>
          <w:color w:val="auto"/>
          <w:sz w:val="24"/>
          <w:highlight w:val="none"/>
        </w:rPr>
      </w:pPr>
      <w:r>
        <w:rPr>
          <w:rFonts w:hint="eastAsia" w:ascii="宋体" w:hAnsi="宋体" w:cs="宋体"/>
          <w:iCs/>
          <w:color w:val="auto"/>
          <w:sz w:val="24"/>
          <w:highlight w:val="none"/>
        </w:rPr>
        <w:t>1.投标文件接收截止时间（北京时间）：</w:t>
      </w:r>
      <w:r>
        <w:rPr>
          <w:rFonts w:hint="eastAsia" w:ascii="宋体" w:hAnsi="宋体" w:cs="宋体"/>
          <w:iCs/>
          <w:color w:val="auto"/>
          <w:sz w:val="24"/>
          <w:highlight w:val="none"/>
          <w:u w:val="single"/>
        </w:rPr>
        <w:t>2026年</w:t>
      </w:r>
      <w:r>
        <w:rPr>
          <w:rFonts w:hint="eastAsia" w:ascii="宋体" w:hAnsi="宋体" w:cs="宋体"/>
          <w:iCs/>
          <w:color w:val="auto"/>
          <w:sz w:val="24"/>
          <w:highlight w:val="none"/>
          <w:u w:val="single"/>
          <w:lang w:val="en-US" w:eastAsia="zh-CN"/>
        </w:rPr>
        <w:t>7</w:t>
      </w:r>
      <w:r>
        <w:rPr>
          <w:rFonts w:hint="eastAsia" w:ascii="宋体" w:hAnsi="宋体" w:cs="宋体"/>
          <w:iCs/>
          <w:color w:val="auto"/>
          <w:sz w:val="24"/>
          <w:highlight w:val="none"/>
          <w:u w:val="single"/>
        </w:rPr>
        <w:t>月</w:t>
      </w:r>
      <w:r>
        <w:rPr>
          <w:rFonts w:hint="eastAsia" w:ascii="宋体" w:hAnsi="宋体" w:cs="宋体"/>
          <w:iCs/>
          <w:color w:val="auto"/>
          <w:sz w:val="24"/>
          <w:highlight w:val="none"/>
          <w:u w:val="single"/>
          <w:lang w:val="en-US" w:eastAsia="zh-CN"/>
        </w:rPr>
        <w:t>9</w:t>
      </w:r>
      <w:r>
        <w:rPr>
          <w:rFonts w:hint="eastAsia" w:ascii="宋体" w:hAnsi="宋体" w:cs="宋体"/>
          <w:iCs/>
          <w:color w:val="auto"/>
          <w:sz w:val="24"/>
          <w:highlight w:val="none"/>
          <w:u w:val="single"/>
        </w:rPr>
        <w:t>日</w:t>
      </w:r>
      <w:r>
        <w:rPr>
          <w:rFonts w:hint="eastAsia" w:ascii="宋体" w:hAnsi="宋体" w:cs="宋体"/>
          <w:iCs/>
          <w:color w:val="auto"/>
          <w:sz w:val="24"/>
          <w:highlight w:val="none"/>
          <w:u w:val="single"/>
          <w:lang w:val="en-US" w:eastAsia="zh-CN"/>
        </w:rPr>
        <w:t>9</w:t>
      </w:r>
      <w:r>
        <w:rPr>
          <w:rFonts w:hint="eastAsia" w:ascii="宋体" w:hAnsi="宋体" w:cs="宋体"/>
          <w:iCs/>
          <w:color w:val="auto"/>
          <w:sz w:val="24"/>
          <w:highlight w:val="none"/>
          <w:u w:val="single"/>
        </w:rPr>
        <w:t>时</w:t>
      </w:r>
      <w:r>
        <w:rPr>
          <w:rFonts w:hint="eastAsia" w:ascii="宋体" w:hAnsi="宋体" w:cs="宋体"/>
          <w:iCs/>
          <w:color w:val="auto"/>
          <w:sz w:val="24"/>
          <w:highlight w:val="none"/>
          <w:u w:val="single"/>
          <w:lang w:val="en-US" w:eastAsia="zh-CN"/>
        </w:rPr>
        <w:t>30</w:t>
      </w:r>
      <w:r>
        <w:rPr>
          <w:rFonts w:hint="eastAsia" w:ascii="宋体" w:hAnsi="宋体" w:cs="宋体"/>
          <w:iCs/>
          <w:color w:val="auto"/>
          <w:sz w:val="24"/>
          <w:highlight w:val="none"/>
          <w:u w:val="single"/>
        </w:rPr>
        <w:t>分（北京时间）</w:t>
      </w:r>
      <w:r>
        <w:rPr>
          <w:rFonts w:hint="eastAsia" w:ascii="宋体" w:hAnsi="宋体" w:cs="宋体"/>
          <w:iCs/>
          <w:color w:val="auto"/>
          <w:sz w:val="24"/>
          <w:highlight w:val="none"/>
        </w:rPr>
        <w:t>。</w:t>
      </w:r>
    </w:p>
    <w:p w14:paraId="7BFF5242">
      <w:pPr>
        <w:spacing w:line="276" w:lineRule="auto"/>
        <w:ind w:firstLine="480" w:firstLineChars="200"/>
        <w:rPr>
          <w:rFonts w:ascii="宋体" w:hAnsi="宋体" w:cs="宋体"/>
          <w:iCs/>
          <w:color w:val="auto"/>
          <w:sz w:val="24"/>
          <w:highlight w:val="none"/>
        </w:rPr>
      </w:pPr>
      <w:r>
        <w:rPr>
          <w:rFonts w:hint="eastAsia" w:ascii="宋体" w:hAnsi="宋体" w:cs="宋体"/>
          <w:iCs/>
          <w:color w:val="auto"/>
          <w:sz w:val="24"/>
          <w:highlight w:val="none"/>
        </w:rPr>
        <w:t>2.地点：</w:t>
      </w:r>
      <w:bookmarkStart w:id="19" w:name="EB5915918a541e40afa5d8d4e64ad5179a"/>
      <w:r>
        <w:rPr>
          <w:rFonts w:hint="eastAsia" w:ascii="宋体" w:hAnsi="宋体" w:cs="宋体"/>
          <w:iCs/>
          <w:color w:val="auto"/>
          <w:sz w:val="24"/>
          <w:highlight w:val="none"/>
        </w:rPr>
        <w:t>江苏省政府采购交易系统（苏采云系统）网上开标大厅。</w:t>
      </w:r>
      <w:bookmarkEnd w:id="19"/>
    </w:p>
    <w:p w14:paraId="0EC6A8BF">
      <w:pPr>
        <w:spacing w:line="276" w:lineRule="auto"/>
        <w:ind w:firstLine="480" w:firstLineChars="200"/>
        <w:rPr>
          <w:rFonts w:ascii="宋体" w:hAnsi="宋体" w:cs="宋体"/>
          <w:color w:val="auto"/>
          <w:sz w:val="24"/>
          <w:highlight w:val="none"/>
        </w:rPr>
      </w:pPr>
    </w:p>
    <w:p w14:paraId="50F4421A">
      <w:pPr>
        <w:spacing w:line="276" w:lineRule="auto"/>
        <w:ind w:firstLine="482" w:firstLineChars="200"/>
        <w:outlineLvl w:val="1"/>
        <w:rPr>
          <w:rFonts w:ascii="宋体" w:hAnsi="宋体" w:cs="宋体"/>
          <w:b/>
          <w:color w:val="auto"/>
          <w:sz w:val="24"/>
          <w:highlight w:val="none"/>
        </w:rPr>
      </w:pPr>
      <w:bookmarkStart w:id="20" w:name="_Toc184129765"/>
      <w:r>
        <w:rPr>
          <w:rFonts w:hint="eastAsia" w:ascii="宋体" w:hAnsi="宋体" w:cs="宋体"/>
          <w:b/>
          <w:color w:val="auto"/>
          <w:sz w:val="24"/>
          <w:highlight w:val="none"/>
        </w:rPr>
        <w:t>五、公告期限</w:t>
      </w:r>
      <w:bookmarkEnd w:id="20"/>
    </w:p>
    <w:p w14:paraId="14D923F2">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招标公告及招标文件公告期限为自本公告发布之日起5个工作日。</w:t>
      </w:r>
    </w:p>
    <w:p w14:paraId="21940197">
      <w:pPr>
        <w:spacing w:line="276" w:lineRule="auto"/>
        <w:ind w:firstLine="480" w:firstLineChars="200"/>
        <w:rPr>
          <w:rFonts w:ascii="宋体" w:hAnsi="宋体" w:cs="宋体"/>
          <w:color w:val="auto"/>
          <w:sz w:val="24"/>
          <w:highlight w:val="none"/>
        </w:rPr>
      </w:pPr>
    </w:p>
    <w:p w14:paraId="3CEBFF6F">
      <w:pPr>
        <w:spacing w:line="276" w:lineRule="auto"/>
        <w:ind w:firstLine="482" w:firstLineChars="200"/>
        <w:outlineLvl w:val="1"/>
        <w:rPr>
          <w:rFonts w:ascii="宋体" w:hAnsi="宋体" w:cs="宋体"/>
          <w:b/>
          <w:color w:val="auto"/>
          <w:sz w:val="24"/>
          <w:highlight w:val="none"/>
        </w:rPr>
      </w:pPr>
      <w:bookmarkStart w:id="21" w:name="_Toc184129766"/>
      <w:r>
        <w:rPr>
          <w:rFonts w:hint="eastAsia" w:ascii="宋体" w:hAnsi="宋体" w:cs="宋体"/>
          <w:b/>
          <w:color w:val="auto"/>
          <w:sz w:val="24"/>
          <w:highlight w:val="none"/>
        </w:rPr>
        <w:t>六、其他补充事宜</w:t>
      </w:r>
      <w:bookmarkEnd w:id="21"/>
    </w:p>
    <w:p w14:paraId="6B42341A">
      <w:pPr>
        <w:spacing w:line="500" w:lineRule="exact"/>
        <w:ind w:firstLine="480"/>
        <w:rPr>
          <w:rFonts w:cs="仿宋" w:asciiTheme="minorEastAsia" w:hAnsiTheme="minorEastAsia" w:eastAsiaTheme="minorEastAsia"/>
          <w:color w:val="auto"/>
          <w:kern w:val="0"/>
          <w:sz w:val="24"/>
          <w:highlight w:val="none"/>
        </w:rPr>
      </w:pPr>
      <w:bookmarkStart w:id="22" w:name="_Toc184129767"/>
      <w:r>
        <w:rPr>
          <w:rFonts w:hint="eastAsia" w:cs="仿宋" w:asciiTheme="minorEastAsia" w:hAnsiTheme="minorEastAsia" w:eastAsiaTheme="minorEastAsia"/>
          <w:color w:val="auto"/>
          <w:kern w:val="0"/>
          <w:sz w:val="24"/>
          <w:highlight w:val="none"/>
        </w:rPr>
        <w:t>1、本项目公告媒体：江苏省政府采购网（http://www.ccgp-jiangsu.gov.cn/）、南京公共采购信息网（https://njgc.jfh.com/）</w:t>
      </w:r>
    </w:p>
    <w:p w14:paraId="19D852AE">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65CF389E">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http://www.ccgp-jiangsu.gov.cn/jiangsu/zlxz/ee/ee3a4bc5a3454aa2b0d9312230633ce9.html。</w:t>
      </w:r>
    </w:p>
    <w:p w14:paraId="75AD8C4A">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p>
    <w:p w14:paraId="298189D7">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p>
    <w:p w14:paraId="2E8E2313">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4、有关本次招标的事项若存在变动或修改，敬请及时关注在“江苏政府采购网”、“南京公共采购信息网”发布的更正公告。</w:t>
      </w:r>
    </w:p>
    <w:p w14:paraId="38E1BA1E">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5、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p>
    <w:p w14:paraId="5971E525">
      <w:pPr>
        <w:wordWrap w:val="0"/>
        <w:spacing w:line="500" w:lineRule="exact"/>
        <w:ind w:firstLine="482"/>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6、政府采购信用承诺：根据《关于在政府采购活动中推行信用承诺制的通知》宁财购通〔2021〕5号规定， 参加南京地区政府采购活动的投标人，应以书面形式向采购人或政府采购代理机构作出信用承诺。信用承诺以《南京市政府采购投标人信用记录表暨信用承诺书》体现。投标人应尽早做好承诺书工作，点击‘南京公共采购信息网’首页（https://njgc.jfh.com/）‘南京市政府采购投标人诚信档案’系统链接打开系统页面（http://180.101.238.212:8280/hodeframe2018_cxda/index.action;jsessionid=769BA9C8E1729422E7173B991C8EC1E5）登录（未注册的投标人应先点击‘投标人注册点这里’并按要求完成注册），然后在“信用记录”模块页面点击“信用记录打印”下载本单位信用记录表，由法定代表人签字并盖单位公章。</w:t>
      </w:r>
    </w:p>
    <w:p w14:paraId="239BFE7C">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在政府采购资格审查环节，投标人只需提供书面《南京市政府采购投标人信用记录表暨信用承诺书》，即可替代以下证明材料：</w:t>
      </w:r>
    </w:p>
    <w:p w14:paraId="45056728">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（1）符合国家相关规定的财务状况报告；</w:t>
      </w:r>
    </w:p>
    <w:p w14:paraId="14A73D57">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（2）依法缴纳税收的证明材料；</w:t>
      </w:r>
    </w:p>
    <w:p w14:paraId="3EA46B7A">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（3）依法缴纳社会保障资金的证明材料；</w:t>
      </w:r>
    </w:p>
    <w:p w14:paraId="37F1DC6A">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（4）具备履行政府采购合同所必需的设备和专业技术能力的证明材料；</w:t>
      </w:r>
    </w:p>
    <w:p w14:paraId="1F98F628">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（5）参加政府采购活动前三年内在经营活动中没有重大违法记录的证明材料；</w:t>
      </w:r>
    </w:p>
    <w:p w14:paraId="053808AD">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（6）未被列入失信被执行人、重大税收违法失信主体、政府采购严重违法失信行为记录名单的证明材料。</w:t>
      </w:r>
    </w:p>
    <w:p w14:paraId="58F5FB9A">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投标人在中标（成交）后，应上述由信用承诺书替代的证明材料，加盖公章提交采购人或采购代理机构核验。经核验无误后，由采购人或采购代理机构发出中标（成交）通知书。</w:t>
      </w:r>
    </w:p>
    <w:p w14:paraId="407ADC34">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投标人涉及以下情形的，不适用信用承诺，仍须提供上述证明材料：</w:t>
      </w:r>
    </w:p>
    <w:p w14:paraId="5B5A43F8">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（1）投标人被列入严重失信主体名单；</w:t>
      </w:r>
    </w:p>
    <w:p w14:paraId="59751715">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（2）被相关监管部门作出行政处罚且尚在处罚有效期内；</w:t>
      </w:r>
    </w:p>
    <w:p w14:paraId="1C1FB47B">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（3）其他法律、行政法规规定的不适用信用承诺的情形。</w:t>
      </w:r>
    </w:p>
    <w:p w14:paraId="17B326CF">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投标人对信用承诺内容的真实性、合法性、有效性负责。如作出虚假信用承诺，视同为“提供虚假材料谋取中标、成交”的违法行为。</w:t>
      </w:r>
    </w:p>
    <w:p w14:paraId="71F854EF">
      <w:pPr>
        <w:spacing w:line="500" w:lineRule="exact"/>
        <w:ind w:firstLine="480"/>
        <w:rPr>
          <w:rFonts w:cs="仿宋" w:asciiTheme="minorEastAsia" w:hAnsiTheme="minorEastAsia" w:eastAsiaTheme="minorEastAsia"/>
          <w:color w:val="auto"/>
          <w:kern w:val="0"/>
          <w:sz w:val="24"/>
          <w:highlight w:val="none"/>
        </w:rPr>
      </w:pPr>
    </w:p>
    <w:p w14:paraId="287A4379">
      <w:pPr>
        <w:spacing w:line="276" w:lineRule="auto"/>
        <w:ind w:firstLine="482" w:firstLineChars="200"/>
        <w:outlineLvl w:val="1"/>
        <w:rPr>
          <w:rFonts w:ascii="宋体" w:hAnsi="宋体" w:cs="宋体"/>
          <w:b/>
          <w:color w:val="auto"/>
          <w:sz w:val="24"/>
          <w:highlight w:val="none"/>
        </w:rPr>
      </w:pPr>
      <w:r>
        <w:rPr>
          <w:rFonts w:hint="eastAsia" w:ascii="宋体" w:hAnsi="宋体" w:cs="宋体"/>
          <w:b/>
          <w:color w:val="auto"/>
          <w:sz w:val="24"/>
          <w:highlight w:val="none"/>
        </w:rPr>
        <w:t>七、对本次招标提出询问，请按以下方式联系</w:t>
      </w:r>
      <w:bookmarkEnd w:id="22"/>
    </w:p>
    <w:p w14:paraId="338A4EF4">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1、采购人信息</w:t>
      </w:r>
    </w:p>
    <w:p w14:paraId="0899D184">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采 购 人：南京市江宁医院</w:t>
      </w:r>
    </w:p>
    <w:p w14:paraId="333E2DEC">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联系地址：南京市江宁区湖山路169号</w:t>
      </w:r>
    </w:p>
    <w:p w14:paraId="433C5C48">
      <w:pPr>
        <w:spacing w:line="500" w:lineRule="exact"/>
        <w:ind w:firstLine="480"/>
        <w:rPr>
          <w:rFonts w:hint="eastAsia" w:cs="仿宋" w:asciiTheme="minorEastAsia" w:hAnsiTheme="minorEastAsia" w:eastAsiaTheme="minorEastAsia"/>
          <w:color w:val="auto"/>
          <w:kern w:val="0"/>
          <w:sz w:val="24"/>
          <w:highlight w:val="none"/>
          <w:lang w:eastAsia="zh-CN"/>
        </w:rPr>
      </w:pPr>
      <w:r>
        <w:rPr>
          <w:rFonts w:hint="eastAsia" w:cs="仿宋" w:asciiTheme="minorEastAsia" w:hAnsiTheme="minorEastAsia" w:eastAsiaTheme="minorEastAsia"/>
          <w:color w:val="auto"/>
          <w:kern w:val="0"/>
          <w:sz w:val="24"/>
          <w:highlight w:val="none"/>
        </w:rPr>
        <w:t>联 系 人：</w:t>
      </w:r>
      <w:r>
        <w:rPr>
          <w:rFonts w:hint="eastAsia" w:cs="仿宋" w:asciiTheme="minorEastAsia" w:hAnsiTheme="minorEastAsia" w:eastAsiaTheme="minorEastAsia"/>
          <w:color w:val="auto"/>
          <w:kern w:val="0"/>
          <w:sz w:val="24"/>
          <w:highlight w:val="none"/>
          <w:lang w:eastAsia="zh-CN"/>
        </w:rPr>
        <w:t>李静</w:t>
      </w:r>
    </w:p>
    <w:p w14:paraId="70DC77CB">
      <w:pPr>
        <w:spacing w:line="500" w:lineRule="exact"/>
        <w:ind w:firstLine="480"/>
        <w:rPr>
          <w:rFonts w:hint="default" w:cs="仿宋" w:asciiTheme="minorEastAsia" w:hAnsiTheme="minorEastAsia" w:eastAsiaTheme="minorEastAsia"/>
          <w:color w:val="auto"/>
          <w:kern w:val="0"/>
          <w:sz w:val="24"/>
          <w:highlight w:val="none"/>
          <w:lang w:val="en-US" w:eastAsia="zh-CN"/>
        </w:rPr>
      </w:pPr>
      <w:r>
        <w:rPr>
          <w:rFonts w:hint="eastAsia" w:cs="仿宋" w:asciiTheme="minorEastAsia" w:hAnsiTheme="minorEastAsia" w:eastAsiaTheme="minorEastAsia"/>
          <w:color w:val="auto"/>
          <w:kern w:val="0"/>
          <w:sz w:val="24"/>
          <w:highlight w:val="none"/>
        </w:rPr>
        <w:t>联系电话：</w:t>
      </w:r>
      <w:r>
        <w:rPr>
          <w:rFonts w:hint="eastAsia" w:cs="仿宋" w:asciiTheme="minorEastAsia" w:hAnsiTheme="minorEastAsia" w:eastAsiaTheme="minorEastAsia"/>
          <w:color w:val="auto"/>
          <w:kern w:val="0"/>
          <w:sz w:val="24"/>
          <w:highlight w:val="none"/>
          <w:lang w:val="en-US" w:eastAsia="zh-CN"/>
        </w:rPr>
        <w:t>025-52087688</w:t>
      </w:r>
    </w:p>
    <w:p w14:paraId="2C816F38">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2、采购代理机构：江苏苏豪创新科技集团高科有限公司</w:t>
      </w:r>
    </w:p>
    <w:p w14:paraId="687C0138">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联系地址：南京市雨花台区软件大道21号苏豪国际广场北园C座616室</w:t>
      </w:r>
    </w:p>
    <w:p w14:paraId="641554C2">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项目联系人：王凡（项目经理）、魏欣倩（商务）、王慧（标书）</w:t>
      </w:r>
    </w:p>
    <w:p w14:paraId="30B10425">
      <w:pPr>
        <w:spacing w:line="500" w:lineRule="exact"/>
        <w:ind w:firstLine="480"/>
        <w:rPr>
          <w:rFonts w:cs="仿宋" w:asciiTheme="minorEastAsia" w:hAnsiTheme="minorEastAsia" w:eastAsiaTheme="minorEastAsia"/>
          <w:color w:val="auto"/>
          <w:kern w:val="0"/>
          <w:sz w:val="24"/>
          <w:highlight w:val="none"/>
        </w:rPr>
      </w:pPr>
      <w:r>
        <w:rPr>
          <w:rFonts w:hint="eastAsia" w:cs="仿宋" w:asciiTheme="minorEastAsia" w:hAnsiTheme="minorEastAsia" w:eastAsiaTheme="minorEastAsia"/>
          <w:color w:val="auto"/>
          <w:kern w:val="0"/>
          <w:sz w:val="24"/>
          <w:highlight w:val="none"/>
        </w:rPr>
        <w:t xml:space="preserve">电话：025-52874022、52875946、025-52875825 </w:t>
      </w:r>
    </w:p>
    <w:p w14:paraId="00A85C85">
      <w:pPr>
        <w:spacing w:line="500" w:lineRule="exact"/>
        <w:ind w:firstLine="480"/>
        <w:rPr>
          <w:rFonts w:cs="仿宋" w:asciiTheme="minorEastAsia" w:hAnsiTheme="minorEastAsia" w:eastAsiaTheme="minorEastAsia"/>
          <w:color w:val="auto"/>
          <w:kern w:val="0"/>
          <w:sz w:val="24"/>
          <w:highlight w:val="none"/>
        </w:rPr>
      </w:pPr>
      <w:bookmarkStart w:id="23" w:name="_Toc120614211"/>
      <w:bookmarkStart w:id="24" w:name="_Toc15878"/>
      <w:r>
        <w:rPr>
          <w:rFonts w:hint="eastAsia" w:cs="仿宋" w:asciiTheme="minorEastAsia" w:hAnsiTheme="minorEastAsia" w:eastAsiaTheme="minorEastAsia"/>
          <w:color w:val="auto"/>
          <w:kern w:val="0"/>
          <w:sz w:val="24"/>
          <w:highlight w:val="none"/>
        </w:rPr>
        <w:br w:type="page"/>
      </w:r>
    </w:p>
    <w:p w14:paraId="65C7DAE9">
      <w:pPr>
        <w:spacing w:line="276" w:lineRule="auto"/>
        <w:jc w:val="center"/>
        <w:outlineLvl w:val="0"/>
        <w:rPr>
          <w:rFonts w:ascii="宋体" w:hAnsi="宋体" w:cs="宋体"/>
          <w:b/>
          <w:color w:val="auto"/>
          <w:sz w:val="32"/>
          <w:szCs w:val="32"/>
          <w:highlight w:val="none"/>
        </w:rPr>
      </w:pPr>
      <w:bookmarkStart w:id="25" w:name="_Toc15222"/>
      <w:r>
        <w:rPr>
          <w:rFonts w:hint="eastAsia" w:ascii="宋体" w:hAnsi="宋体" w:cs="宋体"/>
          <w:b/>
          <w:color w:val="auto"/>
          <w:sz w:val="32"/>
          <w:szCs w:val="32"/>
          <w:highlight w:val="none"/>
        </w:rPr>
        <w:t xml:space="preserve">第二章  </w:t>
      </w:r>
      <w:bookmarkEnd w:id="23"/>
      <w:bookmarkStart w:id="26" w:name="_Toc513029202"/>
      <w:bookmarkStart w:id="27" w:name="_Toc20823274"/>
      <w:bookmarkStart w:id="28" w:name="_Toc120614213"/>
      <w:bookmarkStart w:id="29" w:name="_Toc16938518"/>
      <w:r>
        <w:rPr>
          <w:rFonts w:hint="eastAsia" w:ascii="宋体" w:hAnsi="宋体" w:cs="宋体"/>
          <w:b/>
          <w:color w:val="auto"/>
          <w:sz w:val="32"/>
          <w:szCs w:val="32"/>
          <w:highlight w:val="none"/>
        </w:rPr>
        <w:t>投标人须知</w:t>
      </w:r>
      <w:bookmarkEnd w:id="24"/>
      <w:bookmarkEnd w:id="25"/>
      <w:bookmarkEnd w:id="26"/>
      <w:bookmarkEnd w:id="27"/>
      <w:bookmarkEnd w:id="28"/>
      <w:bookmarkEnd w:id="29"/>
    </w:p>
    <w:p w14:paraId="261805BF">
      <w:pPr>
        <w:spacing w:line="276" w:lineRule="auto"/>
        <w:rPr>
          <w:rFonts w:ascii="宋体" w:hAnsi="宋体" w:cs="宋体"/>
          <w:color w:val="auto"/>
          <w:sz w:val="24"/>
          <w:highlight w:val="none"/>
        </w:rPr>
      </w:pPr>
    </w:p>
    <w:p w14:paraId="09B57268">
      <w:pPr>
        <w:spacing w:line="276" w:lineRule="auto"/>
        <w:outlineLvl w:val="1"/>
        <w:rPr>
          <w:rFonts w:ascii="宋体" w:hAnsi="宋体" w:cs="宋体"/>
          <w:b/>
          <w:bCs/>
          <w:color w:val="auto"/>
          <w:sz w:val="24"/>
          <w:highlight w:val="none"/>
        </w:rPr>
      </w:pPr>
      <w:bookmarkStart w:id="30" w:name="_Toc20823275"/>
      <w:bookmarkStart w:id="31" w:name="_Toc120614214"/>
      <w:bookmarkStart w:id="32" w:name="_Toc513029203"/>
      <w:bookmarkStart w:id="33" w:name="_Toc184129770"/>
      <w:bookmarkStart w:id="34" w:name="_Toc16938519"/>
      <w:r>
        <w:rPr>
          <w:rFonts w:hint="eastAsia" w:ascii="宋体" w:hAnsi="宋体" w:cs="宋体"/>
          <w:b/>
          <w:bCs/>
          <w:color w:val="auto"/>
          <w:sz w:val="24"/>
          <w:highlight w:val="none"/>
        </w:rPr>
        <w:t>一、总则</w:t>
      </w:r>
      <w:bookmarkEnd w:id="30"/>
      <w:bookmarkEnd w:id="31"/>
      <w:bookmarkEnd w:id="32"/>
      <w:bookmarkEnd w:id="33"/>
      <w:bookmarkEnd w:id="34"/>
    </w:p>
    <w:p w14:paraId="1C067D2C">
      <w:pPr>
        <w:spacing w:before="161" w:beforeLines="50" w:line="276" w:lineRule="auto"/>
        <w:ind w:firstLine="482" w:firstLineChars="200"/>
        <w:rPr>
          <w:rFonts w:ascii="宋体" w:hAnsi="宋体" w:cs="宋体"/>
          <w:b/>
          <w:bCs/>
          <w:color w:val="auto"/>
          <w:sz w:val="24"/>
          <w:highlight w:val="none"/>
        </w:rPr>
      </w:pPr>
      <w:bookmarkStart w:id="35" w:name="_Hlt16619475"/>
      <w:bookmarkEnd w:id="35"/>
      <w:bookmarkStart w:id="36" w:name="_Toc458694821"/>
      <w:bookmarkStart w:id="37" w:name="_Toc513029204"/>
      <w:bookmarkStart w:id="38" w:name="_Toc20823276"/>
      <w:bookmarkStart w:id="39" w:name="_Toc16938520"/>
      <w:r>
        <w:rPr>
          <w:rFonts w:hint="eastAsia" w:ascii="宋体" w:hAnsi="宋体" w:cs="宋体"/>
          <w:b/>
          <w:bCs/>
          <w:color w:val="auto"/>
          <w:sz w:val="24"/>
          <w:highlight w:val="none"/>
        </w:rPr>
        <w:t>1</w:t>
      </w:r>
      <w:bookmarkEnd w:id="36"/>
      <w:r>
        <w:rPr>
          <w:rFonts w:hint="eastAsia" w:ascii="宋体" w:hAnsi="宋体" w:cs="宋体"/>
          <w:b/>
          <w:bCs/>
          <w:color w:val="auto"/>
          <w:sz w:val="24"/>
          <w:highlight w:val="none"/>
        </w:rPr>
        <w:t>、招标方式</w:t>
      </w:r>
      <w:bookmarkEnd w:id="37"/>
      <w:bookmarkEnd w:id="38"/>
      <w:bookmarkEnd w:id="39"/>
    </w:p>
    <w:p w14:paraId="39A64325">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1.1 本次招标采取公开招标方式，本招标文件仅适用于招标公告中所述项目。</w:t>
      </w:r>
    </w:p>
    <w:p w14:paraId="3D950108">
      <w:pPr>
        <w:spacing w:before="161" w:beforeLines="50" w:line="276" w:lineRule="auto"/>
        <w:ind w:firstLine="482" w:firstLineChars="200"/>
        <w:rPr>
          <w:rFonts w:ascii="宋体" w:hAnsi="宋体" w:cs="宋体"/>
          <w:b/>
          <w:bCs/>
          <w:color w:val="auto"/>
          <w:sz w:val="24"/>
          <w:highlight w:val="none"/>
        </w:rPr>
      </w:pPr>
      <w:bookmarkStart w:id="40" w:name="_Toc16938521"/>
      <w:bookmarkStart w:id="41" w:name="_Toc513029205"/>
      <w:bookmarkStart w:id="42" w:name="_Toc20823277"/>
      <w:r>
        <w:rPr>
          <w:rFonts w:hint="eastAsia" w:ascii="宋体" w:hAnsi="宋体" w:cs="宋体"/>
          <w:b/>
          <w:bCs/>
          <w:color w:val="auto"/>
          <w:sz w:val="24"/>
          <w:highlight w:val="none"/>
        </w:rPr>
        <w:t>2、合格的投标人</w:t>
      </w:r>
      <w:bookmarkEnd w:id="40"/>
      <w:bookmarkEnd w:id="41"/>
      <w:bookmarkEnd w:id="42"/>
    </w:p>
    <w:p w14:paraId="34CFC095">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2.1 满足招标公告中供应商的资格要求的规定。</w:t>
      </w:r>
    </w:p>
    <w:p w14:paraId="098C29B9">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2.2 满足本文件实质性要求和条件的规定。</w:t>
      </w:r>
    </w:p>
    <w:p w14:paraId="44195696">
      <w:pPr>
        <w:spacing w:before="161" w:beforeLines="50" w:line="276" w:lineRule="auto"/>
        <w:ind w:firstLine="482" w:firstLineChars="200"/>
        <w:rPr>
          <w:rFonts w:ascii="宋体" w:hAnsi="宋体" w:cs="宋体"/>
          <w:b/>
          <w:bCs/>
          <w:color w:val="auto"/>
          <w:sz w:val="24"/>
          <w:highlight w:val="none"/>
        </w:rPr>
      </w:pPr>
      <w:bookmarkStart w:id="43" w:name="_Toc513029206"/>
      <w:bookmarkStart w:id="44" w:name="_Toc20823278"/>
      <w:bookmarkStart w:id="45" w:name="_Toc16938522"/>
      <w:r>
        <w:rPr>
          <w:rFonts w:hint="eastAsia" w:ascii="宋体" w:hAnsi="宋体" w:cs="宋体"/>
          <w:b/>
          <w:bCs/>
          <w:color w:val="auto"/>
          <w:sz w:val="24"/>
          <w:highlight w:val="none"/>
        </w:rPr>
        <w:t>3、适用法律</w:t>
      </w:r>
      <w:bookmarkEnd w:id="43"/>
      <w:bookmarkEnd w:id="44"/>
      <w:bookmarkEnd w:id="45"/>
    </w:p>
    <w:p w14:paraId="703B0967">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3.1 本次招标及由此产生的合同受中华人民共和国有关的法律法规制约和保护。</w:t>
      </w:r>
    </w:p>
    <w:p w14:paraId="153B9D3F">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3.2 本招标项目执行《中华人民共和国政府采购法》《中华人民共和国政府采购法实施条例》《中华人民共和国财政部令第87号》《财库（2017）141号》《财库（2014）68号》《财库（2020）46号》《苏财购〔2020〕52号》《财库（2004）185号》（节能环保）、《苏财购〔2022〕45号》</w:t>
      </w:r>
    </w:p>
    <w:p w14:paraId="0BB7025B">
      <w:pPr>
        <w:spacing w:before="161" w:beforeLines="50" w:line="276" w:lineRule="auto"/>
        <w:ind w:firstLine="482" w:firstLineChars="200"/>
        <w:rPr>
          <w:rFonts w:ascii="宋体" w:hAnsi="宋体" w:cs="宋体"/>
          <w:b/>
          <w:bCs/>
          <w:color w:val="auto"/>
          <w:sz w:val="24"/>
          <w:highlight w:val="none"/>
        </w:rPr>
      </w:pPr>
      <w:bookmarkStart w:id="46" w:name="_Toc20823279"/>
      <w:bookmarkStart w:id="47" w:name="_Toc16938523"/>
      <w:bookmarkStart w:id="48" w:name="_Toc462564067"/>
      <w:bookmarkStart w:id="49" w:name="_Toc513029207"/>
      <w:r>
        <w:rPr>
          <w:rFonts w:hint="eastAsia" w:ascii="宋体" w:hAnsi="宋体" w:cs="宋体"/>
          <w:b/>
          <w:bCs/>
          <w:color w:val="auto"/>
          <w:sz w:val="24"/>
          <w:highlight w:val="none"/>
        </w:rPr>
        <w:t>4、投标费用</w:t>
      </w:r>
      <w:bookmarkEnd w:id="46"/>
      <w:bookmarkEnd w:id="47"/>
      <w:bookmarkEnd w:id="48"/>
      <w:bookmarkEnd w:id="49"/>
    </w:p>
    <w:p w14:paraId="2729C320">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4.1 投标人应自行承担所有与参加投标有关的费用，无论投标过程中的做法和结果如何，</w:t>
      </w:r>
      <w:r>
        <w:rPr>
          <w:rFonts w:hint="eastAsia" w:ascii="宋体" w:hAnsi="宋体" w:cs="宋体"/>
          <w:b/>
          <w:bCs/>
          <w:color w:val="auto"/>
          <w:sz w:val="24"/>
          <w:highlight w:val="none"/>
        </w:rPr>
        <w:t>江苏苏豪创新科技集团高科有限公司（以下简称采购代理机构）</w:t>
      </w:r>
      <w:r>
        <w:rPr>
          <w:rFonts w:hint="eastAsia" w:ascii="宋体" w:hAnsi="宋体" w:cs="宋体"/>
          <w:color w:val="auto"/>
          <w:sz w:val="24"/>
          <w:highlight w:val="none"/>
        </w:rPr>
        <w:t>在任何情况下均无义务和责任承担这些费用。</w:t>
      </w:r>
    </w:p>
    <w:p w14:paraId="7EA8163F">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4.2 本次招标</w:t>
      </w:r>
      <w:r>
        <w:rPr>
          <w:rFonts w:hint="eastAsia" w:ascii="宋体" w:hAnsi="宋体" w:cs="宋体"/>
          <w:b/>
          <w:bCs/>
          <w:color w:val="auto"/>
          <w:sz w:val="24"/>
          <w:highlight w:val="none"/>
        </w:rPr>
        <w:t>采购代理机构</w:t>
      </w:r>
      <w:r>
        <w:rPr>
          <w:rFonts w:hint="eastAsia" w:ascii="宋体" w:hAnsi="宋体" w:cs="宋体"/>
          <w:color w:val="auto"/>
          <w:sz w:val="24"/>
          <w:highlight w:val="none"/>
        </w:rPr>
        <w:t>不收取标书工本费。</w:t>
      </w:r>
    </w:p>
    <w:p w14:paraId="26485766">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4.3 招标服务费收费标准：</w:t>
      </w:r>
    </w:p>
    <w:p w14:paraId="0FDC0B1A">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w:t>
      </w:r>
      <w:r>
        <w:rPr>
          <w:rFonts w:ascii="宋体" w:hAnsi="宋体" w:cs="宋体"/>
          <w:color w:val="auto"/>
          <w:sz w:val="24"/>
          <w:highlight w:val="none"/>
        </w:rPr>
        <w:t>.3.1</w:t>
      </w:r>
      <w:r>
        <w:rPr>
          <w:rFonts w:hint="eastAsia" w:ascii="宋体" w:hAnsi="宋体" w:cs="宋体"/>
          <w:color w:val="auto"/>
          <w:sz w:val="24"/>
          <w:highlight w:val="none"/>
        </w:rPr>
        <w:t>中标人向采购代理机构支付招标服务费，中标人领取中标通知书前向采购代理机构支付中标服务费，服务费参照国家发展计划委员会计价格（2002）1980号文件招标收费标准计取，应在领取中标通知书前缴纳。</w:t>
      </w:r>
    </w:p>
    <w:p w14:paraId="16AC449F">
      <w:pPr>
        <w:spacing w:line="276" w:lineRule="auto"/>
        <w:ind w:firstLine="480" w:firstLineChars="200"/>
        <w:rPr>
          <w:rFonts w:ascii="宋体" w:hAnsi="宋体" w:cs="宋体"/>
          <w:color w:val="auto"/>
          <w:sz w:val="24"/>
          <w:highlight w:val="none"/>
        </w:rPr>
      </w:pPr>
      <w:r>
        <w:rPr>
          <w:rFonts w:ascii="宋体" w:hAnsi="宋体" w:cs="宋体"/>
          <w:color w:val="auto"/>
          <w:sz w:val="24"/>
          <w:highlight w:val="none"/>
        </w:rPr>
        <w:t>4.3.2</w:t>
      </w:r>
      <w:r>
        <w:rPr>
          <w:rFonts w:hint="eastAsia" w:ascii="宋体" w:hAnsi="宋体" w:cs="宋体"/>
          <w:color w:val="auto"/>
          <w:sz w:val="24"/>
          <w:highlight w:val="none"/>
        </w:rPr>
        <w:t>服务费汇款地址：</w:t>
      </w:r>
    </w:p>
    <w:p w14:paraId="17D3E7EB">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开户名：江苏苏豪创新科技集团高科有限公司</w:t>
      </w:r>
    </w:p>
    <w:p w14:paraId="35CEC104">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开户行：工行南京市白下支行</w:t>
      </w:r>
    </w:p>
    <w:p w14:paraId="0A1AEA42">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账  号：4301013119100888895</w:t>
      </w:r>
    </w:p>
    <w:p w14:paraId="42405DF3">
      <w:pPr>
        <w:spacing w:line="276"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5、招标文件的约束力</w:t>
      </w:r>
    </w:p>
    <w:p w14:paraId="091CDF9A">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5.1 投标人一旦参加本项目采购活动，即被认为接受了本招标文件的规定和约束。</w:t>
      </w:r>
    </w:p>
    <w:p w14:paraId="1C234902">
      <w:pPr>
        <w:spacing w:line="276" w:lineRule="auto"/>
        <w:ind w:firstLine="482" w:firstLineChars="200"/>
        <w:rPr>
          <w:rFonts w:ascii="宋体" w:hAnsi="宋体" w:cs="宋体"/>
          <w:b/>
          <w:bCs/>
          <w:color w:val="auto"/>
          <w:sz w:val="24"/>
          <w:highlight w:val="none"/>
        </w:rPr>
      </w:pPr>
      <w:bookmarkStart w:id="50" w:name="_Toc513029209"/>
      <w:bookmarkStart w:id="51" w:name="_Toc16938525"/>
      <w:bookmarkStart w:id="52" w:name="_Toc120614215"/>
      <w:bookmarkStart w:id="53" w:name="_Toc20823281"/>
    </w:p>
    <w:p w14:paraId="549C57DA">
      <w:pPr>
        <w:spacing w:line="276" w:lineRule="auto"/>
        <w:outlineLvl w:val="1"/>
        <w:rPr>
          <w:rFonts w:ascii="宋体" w:hAnsi="宋体" w:cs="宋体"/>
          <w:b/>
          <w:bCs/>
          <w:color w:val="auto"/>
          <w:sz w:val="24"/>
          <w:highlight w:val="none"/>
        </w:rPr>
      </w:pPr>
      <w:bookmarkStart w:id="54" w:name="_Toc184129771"/>
      <w:r>
        <w:rPr>
          <w:rFonts w:hint="eastAsia" w:ascii="宋体" w:hAnsi="宋体" w:cs="宋体"/>
          <w:b/>
          <w:bCs/>
          <w:color w:val="auto"/>
          <w:sz w:val="24"/>
          <w:highlight w:val="none"/>
        </w:rPr>
        <w:t>二、招标文件</w:t>
      </w:r>
      <w:bookmarkEnd w:id="50"/>
      <w:bookmarkEnd w:id="51"/>
      <w:bookmarkEnd w:id="52"/>
      <w:bookmarkEnd w:id="53"/>
      <w:bookmarkEnd w:id="54"/>
    </w:p>
    <w:p w14:paraId="6CE0E006">
      <w:pPr>
        <w:spacing w:before="161" w:beforeLines="50" w:line="276" w:lineRule="auto"/>
        <w:ind w:firstLine="482" w:firstLineChars="200"/>
        <w:rPr>
          <w:rFonts w:ascii="宋体" w:hAnsi="宋体" w:cs="宋体"/>
          <w:b/>
          <w:bCs/>
          <w:color w:val="auto"/>
          <w:sz w:val="24"/>
          <w:highlight w:val="none"/>
        </w:rPr>
      </w:pPr>
      <w:bookmarkStart w:id="55" w:name="_Toc20823282"/>
      <w:bookmarkStart w:id="56" w:name="_Toc16938526"/>
      <w:bookmarkStart w:id="57" w:name="_Toc513029210"/>
      <w:r>
        <w:rPr>
          <w:rFonts w:hint="eastAsia" w:ascii="宋体" w:hAnsi="宋体" w:cs="宋体"/>
          <w:b/>
          <w:bCs/>
          <w:color w:val="auto"/>
          <w:sz w:val="24"/>
          <w:highlight w:val="none"/>
        </w:rPr>
        <w:t>6、招标文件构成</w:t>
      </w:r>
      <w:bookmarkEnd w:id="55"/>
      <w:bookmarkEnd w:id="56"/>
      <w:bookmarkEnd w:id="57"/>
    </w:p>
    <w:p w14:paraId="369901C5">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6.1 招标文件由以下部分组成：</w:t>
      </w:r>
    </w:p>
    <w:p w14:paraId="21271C60">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（1）投标邀请</w:t>
      </w:r>
    </w:p>
    <w:p w14:paraId="7F5FE325">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（2）投标人须知</w:t>
      </w:r>
    </w:p>
    <w:p w14:paraId="35F4AAE1">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（3）合同文本</w:t>
      </w:r>
    </w:p>
    <w:p w14:paraId="314F80DD">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（4）采购需求</w:t>
      </w:r>
    </w:p>
    <w:p w14:paraId="482E4F1A">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（5）评标方法与评标标准</w:t>
      </w:r>
    </w:p>
    <w:p w14:paraId="681A6FF6">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（6）投标文件格式</w:t>
      </w:r>
    </w:p>
    <w:p w14:paraId="3CB3AD56">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请仔细检查招标文件是否齐全，如有缺漏请立即与</w:t>
      </w:r>
      <w:r>
        <w:rPr>
          <w:rFonts w:hint="eastAsia" w:ascii="宋体" w:hAnsi="宋体" w:cs="宋体"/>
          <w:color w:val="auto"/>
          <w:sz w:val="24"/>
          <w:highlight w:val="none"/>
          <w:u w:val="single"/>
        </w:rPr>
        <w:t>采购代理机构</w:t>
      </w:r>
      <w:r>
        <w:rPr>
          <w:rFonts w:hint="eastAsia" w:ascii="宋体" w:hAnsi="宋体" w:cs="宋体"/>
          <w:color w:val="auto"/>
          <w:sz w:val="24"/>
          <w:highlight w:val="none"/>
        </w:rPr>
        <w:t>联系解决。</w:t>
      </w:r>
    </w:p>
    <w:p w14:paraId="26A8E311">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D0B71C6">
      <w:pPr>
        <w:spacing w:before="161" w:beforeLines="50" w:line="276" w:lineRule="auto"/>
        <w:ind w:firstLine="482" w:firstLineChars="200"/>
        <w:rPr>
          <w:rFonts w:ascii="宋体" w:hAnsi="宋体" w:cs="宋体"/>
          <w:b/>
          <w:bCs/>
          <w:color w:val="auto"/>
          <w:sz w:val="24"/>
          <w:highlight w:val="none"/>
        </w:rPr>
      </w:pPr>
      <w:bookmarkStart w:id="58" w:name="_Toc16938527"/>
      <w:bookmarkStart w:id="59" w:name="_Toc20823283"/>
      <w:bookmarkStart w:id="60" w:name="_Toc513029211"/>
      <w:bookmarkStart w:id="61" w:name="_Toc462564070"/>
      <w:r>
        <w:rPr>
          <w:rFonts w:hint="eastAsia" w:ascii="宋体" w:hAnsi="宋体" w:cs="宋体"/>
          <w:b/>
          <w:bCs/>
          <w:color w:val="auto"/>
          <w:sz w:val="24"/>
          <w:highlight w:val="none"/>
        </w:rPr>
        <w:t>7、招标文件的澄清</w:t>
      </w:r>
      <w:bookmarkEnd w:id="58"/>
      <w:bookmarkEnd w:id="59"/>
      <w:bookmarkEnd w:id="60"/>
      <w:bookmarkEnd w:id="61"/>
    </w:p>
    <w:p w14:paraId="26998C5E">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7.1 任何要求对招标文件进行澄清的投标人，应在投标截止期15日前按招标公告中的通讯地址，以书面形式通知</w:t>
      </w:r>
      <w:r>
        <w:rPr>
          <w:rFonts w:hint="eastAsia" w:ascii="宋体" w:hAnsi="宋体" w:cs="宋体"/>
          <w:color w:val="auto"/>
          <w:sz w:val="24"/>
          <w:highlight w:val="none"/>
          <w:u w:val="single"/>
        </w:rPr>
        <w:t>采购代理机构</w:t>
      </w:r>
      <w:r>
        <w:rPr>
          <w:rFonts w:hint="eastAsia" w:ascii="宋体" w:hAnsi="宋体" w:cs="宋体"/>
          <w:color w:val="auto"/>
          <w:sz w:val="24"/>
          <w:highlight w:val="none"/>
        </w:rPr>
        <w:t>。</w:t>
      </w:r>
    </w:p>
    <w:p w14:paraId="599E1E5A">
      <w:pPr>
        <w:spacing w:before="161" w:beforeLines="50" w:line="276" w:lineRule="auto"/>
        <w:ind w:firstLine="482" w:firstLineChars="200"/>
        <w:rPr>
          <w:rFonts w:ascii="宋体" w:hAnsi="宋体" w:cs="宋体"/>
          <w:b/>
          <w:bCs/>
          <w:color w:val="auto"/>
          <w:sz w:val="24"/>
          <w:highlight w:val="none"/>
        </w:rPr>
      </w:pPr>
      <w:bookmarkStart w:id="62" w:name="_Toc20823284"/>
      <w:bookmarkStart w:id="63" w:name="_Toc513029212"/>
      <w:bookmarkStart w:id="64" w:name="_Toc462564071"/>
      <w:bookmarkStart w:id="65" w:name="_Toc16938528"/>
      <w:r>
        <w:rPr>
          <w:rFonts w:hint="eastAsia" w:ascii="宋体" w:hAnsi="宋体" w:cs="宋体"/>
          <w:b/>
          <w:bCs/>
          <w:color w:val="auto"/>
          <w:sz w:val="24"/>
          <w:highlight w:val="none"/>
        </w:rPr>
        <w:t>8、招标文件的修改</w:t>
      </w:r>
      <w:bookmarkEnd w:id="62"/>
      <w:bookmarkEnd w:id="63"/>
      <w:bookmarkEnd w:id="64"/>
      <w:bookmarkEnd w:id="65"/>
    </w:p>
    <w:p w14:paraId="1E0ADA06">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8.1 在投标截止时间前，</w:t>
      </w:r>
      <w:r>
        <w:rPr>
          <w:rFonts w:hint="eastAsia" w:ascii="宋体" w:hAnsi="宋体" w:cs="宋体"/>
          <w:color w:val="auto"/>
          <w:sz w:val="24"/>
          <w:highlight w:val="none"/>
          <w:u w:val="single"/>
        </w:rPr>
        <w:t>采购代理机构</w:t>
      </w:r>
      <w:r>
        <w:rPr>
          <w:rFonts w:hint="eastAsia" w:ascii="宋体" w:hAnsi="宋体" w:cs="宋体"/>
          <w:color w:val="auto"/>
          <w:sz w:val="24"/>
          <w:highlight w:val="none"/>
        </w:rPr>
        <w:t>可以对招标文件进行修改。</w:t>
      </w:r>
    </w:p>
    <w:p w14:paraId="7E36D76F">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8.2 </w:t>
      </w:r>
      <w:r>
        <w:rPr>
          <w:rFonts w:hint="eastAsia" w:ascii="宋体" w:hAnsi="宋体" w:cs="宋体"/>
          <w:color w:val="auto"/>
          <w:sz w:val="24"/>
          <w:highlight w:val="none"/>
          <w:u w:val="single"/>
        </w:rPr>
        <w:t>采购代理机构</w:t>
      </w:r>
      <w:r>
        <w:rPr>
          <w:rFonts w:hint="eastAsia" w:ascii="宋体" w:hAnsi="宋体" w:cs="宋体"/>
          <w:color w:val="auto"/>
          <w:sz w:val="24"/>
          <w:highlight w:val="none"/>
        </w:rPr>
        <w:t>有权按照法定的要求推迟投标截止日期和开标日期。</w:t>
      </w:r>
    </w:p>
    <w:p w14:paraId="214AF9D2">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8.3 招标文件的修改将在江苏政府采购网公布，补充文件将作为招标文件的组成部分，并对投标人具有约束力。</w:t>
      </w:r>
    </w:p>
    <w:p w14:paraId="13263260">
      <w:pPr>
        <w:spacing w:line="276" w:lineRule="auto"/>
        <w:ind w:firstLine="480" w:firstLineChars="200"/>
        <w:rPr>
          <w:rFonts w:ascii="宋体" w:hAnsi="宋体"/>
          <w:bCs/>
          <w:color w:val="auto"/>
          <w:sz w:val="24"/>
          <w:szCs w:val="21"/>
          <w:highlight w:val="none"/>
        </w:rPr>
      </w:pPr>
    </w:p>
    <w:p w14:paraId="2B80A0EE">
      <w:pPr>
        <w:spacing w:line="276" w:lineRule="auto"/>
        <w:outlineLvl w:val="1"/>
        <w:rPr>
          <w:rFonts w:ascii="宋体" w:hAnsi="宋体" w:cs="宋体"/>
          <w:b/>
          <w:bCs/>
          <w:color w:val="auto"/>
          <w:sz w:val="24"/>
          <w:highlight w:val="none"/>
        </w:rPr>
      </w:pPr>
      <w:bookmarkStart w:id="66" w:name="_Toc513029213"/>
      <w:bookmarkStart w:id="67" w:name="_Toc120614216"/>
      <w:bookmarkStart w:id="68" w:name="_Toc184129772"/>
      <w:bookmarkStart w:id="69" w:name="_Toc16938529"/>
      <w:bookmarkStart w:id="70" w:name="_Toc20823285"/>
      <w:bookmarkStart w:id="71" w:name="_Toc462564072"/>
      <w:r>
        <w:rPr>
          <w:rFonts w:hint="eastAsia" w:ascii="宋体" w:hAnsi="宋体" w:cs="宋体"/>
          <w:b/>
          <w:bCs/>
          <w:color w:val="auto"/>
          <w:sz w:val="24"/>
          <w:highlight w:val="none"/>
        </w:rPr>
        <w:t>三、投标文件的编制</w:t>
      </w:r>
      <w:bookmarkEnd w:id="66"/>
      <w:bookmarkEnd w:id="67"/>
      <w:bookmarkEnd w:id="68"/>
      <w:bookmarkEnd w:id="69"/>
      <w:bookmarkEnd w:id="70"/>
      <w:bookmarkEnd w:id="71"/>
    </w:p>
    <w:p w14:paraId="51039B20">
      <w:pPr>
        <w:spacing w:before="161" w:beforeLines="50" w:line="276" w:lineRule="auto"/>
        <w:ind w:firstLine="482" w:firstLineChars="200"/>
        <w:rPr>
          <w:rFonts w:ascii="宋体" w:hAnsi="宋体" w:cs="宋体"/>
          <w:b/>
          <w:bCs/>
          <w:color w:val="auto"/>
          <w:sz w:val="24"/>
          <w:highlight w:val="none"/>
        </w:rPr>
      </w:pPr>
      <w:bookmarkStart w:id="72" w:name="_Toc513029214"/>
      <w:bookmarkStart w:id="73" w:name="_Toc16938530"/>
      <w:bookmarkStart w:id="74" w:name="_Toc462564073"/>
      <w:bookmarkStart w:id="75" w:name="_Toc20823286"/>
      <w:r>
        <w:rPr>
          <w:rFonts w:hint="eastAsia" w:ascii="宋体" w:hAnsi="宋体" w:cs="宋体"/>
          <w:b/>
          <w:bCs/>
          <w:color w:val="auto"/>
          <w:sz w:val="24"/>
          <w:highlight w:val="none"/>
        </w:rPr>
        <w:t>9、投标文件的语言及度量衡单位</w:t>
      </w:r>
      <w:bookmarkEnd w:id="72"/>
      <w:bookmarkEnd w:id="73"/>
      <w:bookmarkEnd w:id="74"/>
      <w:bookmarkEnd w:id="75"/>
    </w:p>
    <w:p w14:paraId="76C411BC">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9.1 投标人提交的投标文件以及投标人与</w:t>
      </w:r>
      <w:r>
        <w:rPr>
          <w:rFonts w:hint="eastAsia" w:ascii="宋体" w:hAnsi="宋体" w:cs="宋体"/>
          <w:color w:val="auto"/>
          <w:sz w:val="24"/>
          <w:highlight w:val="none"/>
          <w:u w:val="single"/>
        </w:rPr>
        <w:t>采购代理机构</w:t>
      </w:r>
      <w:r>
        <w:rPr>
          <w:rFonts w:hint="eastAsia" w:ascii="宋体" w:hAnsi="宋体" w:cs="宋体"/>
          <w:color w:val="auto"/>
          <w:sz w:val="24"/>
          <w:highlight w:val="none"/>
        </w:rPr>
        <w:t>就有关投标的所有来往通知、函件和文件均应使用</w:t>
      </w:r>
      <w:r>
        <w:rPr>
          <w:rFonts w:hint="eastAsia" w:ascii="宋体" w:hAnsi="宋体" w:cs="宋体"/>
          <w:b/>
          <w:bCs/>
          <w:color w:val="auto"/>
          <w:sz w:val="24"/>
          <w:highlight w:val="none"/>
        </w:rPr>
        <w:t>简体中文</w:t>
      </w:r>
      <w:r>
        <w:rPr>
          <w:rFonts w:hint="eastAsia" w:ascii="宋体" w:hAnsi="宋体" w:cs="宋体"/>
          <w:color w:val="auto"/>
          <w:sz w:val="24"/>
          <w:highlight w:val="none"/>
        </w:rPr>
        <w:t>。</w:t>
      </w:r>
    </w:p>
    <w:p w14:paraId="67A094F0">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9.2 除技术性能另有规定外，投标文件所使用的度量衡单位，均须采用国家法定计量单位。</w:t>
      </w:r>
    </w:p>
    <w:p w14:paraId="3909DE77">
      <w:pPr>
        <w:spacing w:before="161" w:beforeLines="50" w:line="276" w:lineRule="auto"/>
        <w:ind w:firstLine="482" w:firstLineChars="200"/>
        <w:rPr>
          <w:rFonts w:ascii="宋体" w:hAnsi="宋体" w:cs="宋体"/>
          <w:b/>
          <w:bCs/>
          <w:color w:val="auto"/>
          <w:sz w:val="24"/>
          <w:highlight w:val="none"/>
        </w:rPr>
      </w:pPr>
      <w:bookmarkStart w:id="76" w:name="_Toc513029215"/>
      <w:bookmarkStart w:id="77" w:name="_Toc462564074"/>
      <w:bookmarkStart w:id="78" w:name="_Toc16938531"/>
      <w:bookmarkStart w:id="79" w:name="_Toc20823287"/>
      <w:r>
        <w:rPr>
          <w:rFonts w:hint="eastAsia" w:ascii="宋体" w:hAnsi="宋体" w:cs="宋体"/>
          <w:b/>
          <w:bCs/>
          <w:color w:val="auto"/>
          <w:sz w:val="24"/>
          <w:highlight w:val="none"/>
        </w:rPr>
        <w:t>10、投标文件构成</w:t>
      </w:r>
      <w:bookmarkEnd w:id="76"/>
      <w:bookmarkEnd w:id="77"/>
      <w:bookmarkEnd w:id="78"/>
      <w:bookmarkEnd w:id="79"/>
    </w:p>
    <w:p w14:paraId="62E3F486">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10.1 投标人编写的投标文件应包括资格证明文件、符合性证明文件、投标分项报价表、技术要求响应及偏离表、商务要求响应及偏离表、其他证明文件、投标函、开标一览表等部分。</w:t>
      </w:r>
    </w:p>
    <w:p w14:paraId="0F94B077">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10.2 如标书制作工具中格式和内容与“江苏政府采购网”发布的招标文件不一致，请以“江苏政府采购网”发布的招标文件为准。</w:t>
      </w:r>
    </w:p>
    <w:p w14:paraId="246774EC">
      <w:pPr>
        <w:spacing w:before="161" w:beforeLines="50" w:line="276" w:lineRule="auto"/>
        <w:ind w:firstLine="482" w:firstLineChars="200"/>
        <w:rPr>
          <w:rFonts w:ascii="宋体" w:hAnsi="宋体" w:cs="宋体"/>
          <w:b/>
          <w:bCs/>
          <w:color w:val="auto"/>
          <w:sz w:val="24"/>
          <w:highlight w:val="none"/>
        </w:rPr>
      </w:pPr>
      <w:bookmarkStart w:id="80" w:name="_Hlt26954838"/>
      <w:bookmarkEnd w:id="80"/>
      <w:bookmarkStart w:id="81" w:name="_Hlt26670360"/>
      <w:bookmarkEnd w:id="81"/>
      <w:bookmarkStart w:id="82" w:name="_Hlt26668975"/>
      <w:bookmarkEnd w:id="82"/>
      <w:bookmarkStart w:id="83" w:name="_Toc49090509"/>
      <w:bookmarkStart w:id="84" w:name="_Toc14577357"/>
      <w:bookmarkStart w:id="85" w:name="_Toc513029219"/>
      <w:bookmarkStart w:id="86" w:name="_Toc513029216"/>
      <w:bookmarkStart w:id="87" w:name="_Toc14577354"/>
      <w:bookmarkStart w:id="88" w:name="_Toc49090507"/>
      <w:bookmarkStart w:id="89" w:name="_Toc49090508"/>
      <w:bookmarkStart w:id="90" w:name="_Toc14577355"/>
      <w:r>
        <w:rPr>
          <w:rFonts w:hint="eastAsia" w:ascii="宋体" w:hAnsi="宋体" w:cs="宋体"/>
          <w:b/>
          <w:bCs/>
          <w:color w:val="auto"/>
          <w:sz w:val="24"/>
          <w:highlight w:val="none"/>
        </w:rPr>
        <w:t>11、证明投标人及投标标的符合招标文件规定的文件</w:t>
      </w:r>
      <w:bookmarkEnd w:id="83"/>
      <w:bookmarkEnd w:id="84"/>
      <w:bookmarkEnd w:id="85"/>
    </w:p>
    <w:bookmarkEnd w:id="86"/>
    <w:bookmarkEnd w:id="87"/>
    <w:bookmarkEnd w:id="88"/>
    <w:p w14:paraId="2B4C2E84">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11.1 投标人应按照招标文件要求提交证明文件，证明其及投标标的符合招标文件规定。</w:t>
      </w:r>
    </w:p>
    <w:p w14:paraId="2BDAB5AF">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11.2招标文件对证明文件无明确形式要求的，证明文件可以以文字资料、图纸和数据等形式提交。</w:t>
      </w:r>
    </w:p>
    <w:bookmarkEnd w:id="89"/>
    <w:bookmarkEnd w:id="90"/>
    <w:p w14:paraId="1DD563FB">
      <w:pPr>
        <w:spacing w:before="161" w:beforeLines="50" w:line="276"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12、投标分项报价表</w:t>
      </w:r>
    </w:p>
    <w:p w14:paraId="7219A232">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12.1 投标人应按照招标文件规定格式填报投标分项报价表。</w:t>
      </w:r>
    </w:p>
    <w:p w14:paraId="101BCC40">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12.2投标货币。投标文件中的单价和总价无特殊规定的采用人民币报价，以元为单位标注。招标文件中另有规定的按规定执行。</w:t>
      </w:r>
    </w:p>
    <w:p w14:paraId="5B16EC16">
      <w:pPr>
        <w:spacing w:before="161" w:beforeLines="50" w:line="276" w:lineRule="auto"/>
        <w:ind w:firstLine="482" w:firstLineChars="200"/>
        <w:rPr>
          <w:rFonts w:ascii="宋体" w:hAnsi="宋体" w:cs="宋体"/>
          <w:b/>
          <w:bCs/>
          <w:color w:val="auto"/>
          <w:sz w:val="24"/>
          <w:highlight w:val="none"/>
        </w:rPr>
      </w:pPr>
      <w:bookmarkStart w:id="91" w:name="_Hlt26670486"/>
      <w:bookmarkEnd w:id="91"/>
      <w:bookmarkStart w:id="92" w:name="_Hlt26670482"/>
      <w:bookmarkEnd w:id="92"/>
      <w:bookmarkStart w:id="93" w:name="_Hlt26954848"/>
      <w:bookmarkEnd w:id="93"/>
      <w:bookmarkStart w:id="94" w:name="_Hlt26954731"/>
      <w:bookmarkEnd w:id="94"/>
      <w:bookmarkStart w:id="95" w:name="_Hlt26954846"/>
      <w:bookmarkEnd w:id="95"/>
      <w:r>
        <w:rPr>
          <w:rFonts w:hint="eastAsia" w:ascii="宋体" w:hAnsi="宋体" w:cs="宋体"/>
          <w:b/>
          <w:bCs/>
          <w:color w:val="auto"/>
          <w:sz w:val="24"/>
          <w:highlight w:val="none"/>
        </w:rPr>
        <w:t>13、技术要求响应及偏离表、商务要求响应及偏离表</w:t>
      </w:r>
    </w:p>
    <w:p w14:paraId="2B669902">
      <w:pPr>
        <w:spacing w:line="276" w:lineRule="auto"/>
        <w:ind w:firstLine="480" w:firstLineChars="200"/>
        <w:rPr>
          <w:rFonts w:ascii="宋体" w:hAnsi="宋体" w:cs="宋体"/>
          <w:color w:val="auto"/>
          <w:sz w:val="24"/>
          <w:highlight w:val="none"/>
          <w:lang w:val="zh-CN"/>
        </w:rPr>
      </w:pPr>
      <w:r>
        <w:rPr>
          <w:rFonts w:hint="eastAsia" w:ascii="宋体" w:hAnsi="宋体" w:cs="宋体"/>
          <w:color w:val="auto"/>
          <w:sz w:val="24"/>
          <w:highlight w:val="none"/>
          <w:lang w:val="zh-CN"/>
        </w:rPr>
        <w:t>13.1 投标人需对招标文件中的</w:t>
      </w:r>
      <w:r>
        <w:rPr>
          <w:rFonts w:hint="eastAsia" w:ascii="宋体" w:hAnsi="宋体" w:cs="宋体"/>
          <w:color w:val="auto"/>
          <w:sz w:val="24"/>
          <w:highlight w:val="none"/>
        </w:rPr>
        <w:t>技术</w:t>
      </w:r>
      <w:r>
        <w:rPr>
          <w:rFonts w:hint="eastAsia" w:ascii="宋体" w:hAnsi="宋体" w:cs="宋体"/>
          <w:color w:val="auto"/>
          <w:sz w:val="24"/>
          <w:highlight w:val="none"/>
          <w:lang w:val="zh-CN"/>
        </w:rPr>
        <w:t>要求与商务要求逐项作出响应或偏离，并说明原因。</w:t>
      </w:r>
    </w:p>
    <w:p w14:paraId="0E8567F3">
      <w:pPr>
        <w:spacing w:line="276" w:lineRule="auto"/>
        <w:ind w:firstLine="480" w:firstLineChars="200"/>
        <w:rPr>
          <w:rFonts w:ascii="宋体" w:hAnsi="宋体" w:cs="宋体"/>
          <w:color w:val="auto"/>
          <w:sz w:val="24"/>
          <w:highlight w:val="none"/>
          <w:lang w:val="zh-CN"/>
        </w:rPr>
      </w:pPr>
      <w:r>
        <w:rPr>
          <w:rFonts w:hint="eastAsia" w:ascii="宋体" w:hAnsi="宋体" w:cs="宋体"/>
          <w:color w:val="auto"/>
          <w:sz w:val="24"/>
          <w:highlight w:val="none"/>
          <w:lang w:val="zh-CN"/>
        </w:rPr>
        <w:t>13.2 投标人可在投标文件中提供认为需要的其他技术文件或说明。</w:t>
      </w:r>
    </w:p>
    <w:p w14:paraId="6EC190A0">
      <w:pPr>
        <w:spacing w:before="161" w:beforeLines="50" w:line="276"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14、服务承诺、培训计划、人员安排及其他</w:t>
      </w:r>
    </w:p>
    <w:p w14:paraId="1F7071CA">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14.1 投标人需根据招标文件要求提供有关售后服务的管理制度，售后服务机构的分布情况，售后服务人员的数量、素质、技术水平及售后服务的反应能力等。</w:t>
      </w:r>
    </w:p>
    <w:p w14:paraId="135ED070">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14.2 投标人需根据招标文件要求提供培训计划。</w:t>
      </w:r>
    </w:p>
    <w:p w14:paraId="4EA70F2A">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14.3 投标人需根据招标文件要求提供</w:t>
      </w:r>
      <w:r>
        <w:rPr>
          <w:rFonts w:hint="eastAsia" w:ascii="宋体" w:hAnsi="宋体" w:cs="宋体"/>
          <w:color w:val="auto"/>
          <w:sz w:val="24"/>
          <w:highlight w:val="none"/>
          <w:lang w:val="zh-CN"/>
        </w:rPr>
        <w:t>所投标的的主要组成部分、功能设计、实现思路及关键技术等。</w:t>
      </w:r>
    </w:p>
    <w:p w14:paraId="51D004BA">
      <w:pPr>
        <w:spacing w:before="161" w:beforeLines="50" w:line="276" w:lineRule="auto"/>
        <w:ind w:firstLine="482" w:firstLineChars="200"/>
        <w:rPr>
          <w:rFonts w:ascii="宋体" w:hAnsi="宋体" w:cs="宋体"/>
          <w:b/>
          <w:bCs/>
          <w:color w:val="auto"/>
          <w:sz w:val="24"/>
          <w:highlight w:val="none"/>
        </w:rPr>
      </w:pPr>
      <w:bookmarkStart w:id="96" w:name="_Toc49090510"/>
      <w:bookmarkStart w:id="97" w:name="_Toc14577359"/>
      <w:r>
        <w:rPr>
          <w:rFonts w:hint="eastAsia" w:ascii="宋体" w:hAnsi="宋体" w:cs="宋体"/>
          <w:b/>
          <w:bCs/>
          <w:color w:val="auto"/>
          <w:sz w:val="24"/>
          <w:highlight w:val="none"/>
        </w:rPr>
        <w:t>15、投标函和开标一览表</w:t>
      </w:r>
    </w:p>
    <w:p w14:paraId="59863525">
      <w:pPr>
        <w:ind w:firstLine="480" w:firstLineChars="200"/>
        <w:rPr>
          <w:rFonts w:ascii="宋体" w:hAnsi="宋体" w:cs="宋体"/>
          <w:color w:val="auto"/>
          <w:sz w:val="24"/>
          <w:highlight w:val="none"/>
        </w:rPr>
      </w:pPr>
      <w:r>
        <w:rPr>
          <w:rFonts w:hint="eastAsia" w:ascii="宋体" w:hAnsi="宋体" w:cs="宋体"/>
          <w:color w:val="auto"/>
          <w:sz w:val="24"/>
          <w:highlight w:val="none"/>
        </w:rPr>
        <w:t>15.1 投标人应按照招标文件中提供的格式完整、正确填写投标函、开标一览表。</w:t>
      </w:r>
    </w:p>
    <w:p w14:paraId="79726898">
      <w:pPr>
        <w:ind w:firstLine="480" w:firstLineChars="200"/>
        <w:rPr>
          <w:color w:val="auto"/>
          <w:sz w:val="24"/>
          <w:highlight w:val="none"/>
        </w:rPr>
      </w:pPr>
      <w:r>
        <w:rPr>
          <w:rFonts w:hint="eastAsia" w:ascii="宋体" w:hAnsi="宋体" w:cs="宋体"/>
          <w:color w:val="auto"/>
          <w:sz w:val="24"/>
          <w:highlight w:val="none"/>
        </w:rPr>
        <w:t>1</w:t>
      </w:r>
      <w:r>
        <w:rPr>
          <w:rFonts w:ascii="宋体" w:hAnsi="宋体" w:cs="宋体"/>
          <w:color w:val="auto"/>
          <w:sz w:val="24"/>
          <w:highlight w:val="none"/>
        </w:rPr>
        <w:t>5.2</w:t>
      </w:r>
      <w:r>
        <w:rPr>
          <w:rFonts w:hint="eastAsia" w:ascii="宋体" w:hAnsi="宋体" w:cs="宋体"/>
          <w:color w:val="auto"/>
          <w:sz w:val="24"/>
          <w:highlight w:val="none"/>
        </w:rPr>
        <w:t>对于采用货币报价的项目，开标一览表中的投标总报价应与投标分项报价表中的投</w:t>
      </w:r>
      <w:r>
        <w:rPr>
          <w:rFonts w:hint="eastAsia"/>
          <w:color w:val="auto"/>
          <w:sz w:val="24"/>
          <w:highlight w:val="none"/>
        </w:rPr>
        <w:t>标总报价一致，如不一致，不作为无效投标处理，但评标时按开标一览表中价格为准。</w:t>
      </w:r>
    </w:p>
    <w:bookmarkEnd w:id="96"/>
    <w:bookmarkEnd w:id="97"/>
    <w:p w14:paraId="799ADE04">
      <w:pPr>
        <w:numPr>
          <w:ilvl w:val="0"/>
          <w:numId w:val="7"/>
        </w:numPr>
        <w:spacing w:before="161" w:beforeLines="50" w:line="276" w:lineRule="auto"/>
        <w:ind w:firstLine="482" w:firstLineChars="200"/>
        <w:rPr>
          <w:rFonts w:ascii="宋体" w:hAnsi="宋体" w:cs="宋体"/>
          <w:b/>
          <w:bCs/>
          <w:color w:val="auto"/>
          <w:sz w:val="24"/>
          <w:highlight w:val="none"/>
        </w:rPr>
      </w:pPr>
      <w:bookmarkStart w:id="98" w:name="_Toc49090511"/>
      <w:bookmarkStart w:id="99" w:name="_Toc14577360"/>
      <w:r>
        <w:rPr>
          <w:rFonts w:hint="eastAsia" w:ascii="宋体" w:hAnsi="宋体" w:cs="宋体"/>
          <w:b/>
          <w:bCs/>
          <w:color w:val="auto"/>
          <w:sz w:val="24"/>
          <w:highlight w:val="none"/>
        </w:rPr>
        <w:t>投标</w:t>
      </w:r>
      <w:bookmarkEnd w:id="98"/>
      <w:bookmarkEnd w:id="99"/>
    </w:p>
    <w:p w14:paraId="4EB6B4A9">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16.1投标有效期为采购代理机构规定的开标之日后</w:t>
      </w:r>
      <w:r>
        <w:rPr>
          <w:rFonts w:hint="eastAsia" w:ascii="仿宋_GB2312" w:hAnsi="仿宋_GB2312"/>
          <w:b/>
          <w:color w:val="auto"/>
          <w:sz w:val="24"/>
          <w:szCs w:val="21"/>
          <w:highlight w:val="none"/>
          <w:u w:val="single"/>
        </w:rPr>
        <w:t>六十（60）天</w:t>
      </w:r>
      <w:r>
        <w:rPr>
          <w:rFonts w:hint="eastAsia" w:ascii="宋体" w:hAnsi="宋体"/>
          <w:bCs/>
          <w:color w:val="auto"/>
          <w:sz w:val="24"/>
          <w:szCs w:val="21"/>
          <w:highlight w:val="none"/>
        </w:rPr>
        <w:t>。投标有效期比规定短的将被视为未实质性响应招标文件而予以拒绝。</w:t>
      </w:r>
    </w:p>
    <w:p w14:paraId="3834FC53">
      <w:pPr>
        <w:spacing w:before="161" w:beforeLines="50" w:line="276"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17、投标有效期的延长</w:t>
      </w:r>
    </w:p>
    <w:p w14:paraId="12F97670">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color w:val="auto"/>
          <w:sz w:val="24"/>
          <w:highlight w:val="none"/>
        </w:rPr>
        <w:t>受投标有效期约束的所有权利与义务均延长至新的有效期</w:t>
      </w:r>
      <w:r>
        <w:rPr>
          <w:rFonts w:hint="eastAsia" w:ascii="宋体" w:hAnsi="宋体"/>
          <w:bCs/>
          <w:color w:val="auto"/>
          <w:sz w:val="24"/>
          <w:szCs w:val="21"/>
          <w:highlight w:val="none"/>
        </w:rPr>
        <w:t>。</w:t>
      </w:r>
    </w:p>
    <w:p w14:paraId="650D8045">
      <w:pPr>
        <w:spacing w:line="276" w:lineRule="auto"/>
        <w:ind w:firstLine="480" w:firstLineChars="200"/>
        <w:rPr>
          <w:rFonts w:ascii="宋体" w:hAnsi="宋体"/>
          <w:bCs/>
          <w:color w:val="auto"/>
          <w:sz w:val="24"/>
          <w:szCs w:val="21"/>
          <w:highlight w:val="none"/>
        </w:rPr>
      </w:pPr>
    </w:p>
    <w:p w14:paraId="51030885">
      <w:pPr>
        <w:spacing w:line="276" w:lineRule="auto"/>
        <w:outlineLvl w:val="1"/>
        <w:rPr>
          <w:rFonts w:ascii="宋体" w:hAnsi="宋体" w:cs="宋体"/>
          <w:b/>
          <w:bCs/>
          <w:color w:val="auto"/>
          <w:sz w:val="24"/>
          <w:highlight w:val="none"/>
        </w:rPr>
      </w:pPr>
      <w:bookmarkStart w:id="100" w:name="_Hlt26954739"/>
      <w:bookmarkEnd w:id="100"/>
      <w:bookmarkStart w:id="101" w:name="_Hlt26954852"/>
      <w:bookmarkEnd w:id="101"/>
      <w:bookmarkStart w:id="102" w:name="_Toc16938540"/>
      <w:bookmarkStart w:id="103" w:name="_Toc184129773"/>
      <w:bookmarkStart w:id="104" w:name="_Toc20823296"/>
      <w:bookmarkStart w:id="105" w:name="_Toc120614217"/>
      <w:bookmarkStart w:id="106" w:name="_Toc513029224"/>
      <w:r>
        <w:rPr>
          <w:rFonts w:hint="eastAsia" w:ascii="宋体" w:hAnsi="宋体" w:cs="宋体"/>
          <w:b/>
          <w:bCs/>
          <w:color w:val="auto"/>
          <w:sz w:val="24"/>
          <w:highlight w:val="none"/>
        </w:rPr>
        <w:t>四、投标文件的递交</w:t>
      </w:r>
      <w:bookmarkEnd w:id="102"/>
      <w:bookmarkEnd w:id="103"/>
      <w:bookmarkEnd w:id="104"/>
      <w:bookmarkEnd w:id="105"/>
      <w:bookmarkEnd w:id="106"/>
    </w:p>
    <w:p w14:paraId="2BD7EBA0">
      <w:pPr>
        <w:spacing w:before="161" w:beforeLines="50" w:line="276" w:lineRule="auto"/>
        <w:ind w:firstLine="482" w:firstLineChars="200"/>
        <w:rPr>
          <w:rFonts w:ascii="宋体" w:hAnsi="宋体" w:cs="宋体"/>
          <w:b/>
          <w:bCs/>
          <w:color w:val="auto"/>
          <w:sz w:val="24"/>
          <w:highlight w:val="none"/>
        </w:rPr>
      </w:pPr>
      <w:bookmarkStart w:id="107" w:name="_Toc462564084"/>
      <w:bookmarkStart w:id="108" w:name="_Toc20823297"/>
      <w:bookmarkStart w:id="109" w:name="_Toc513029225"/>
      <w:bookmarkStart w:id="110" w:name="_Toc16938541"/>
      <w:r>
        <w:rPr>
          <w:rFonts w:hint="eastAsia" w:ascii="宋体" w:hAnsi="宋体" w:cs="宋体"/>
          <w:b/>
          <w:bCs/>
          <w:color w:val="auto"/>
          <w:sz w:val="24"/>
          <w:highlight w:val="none"/>
        </w:rPr>
        <w:t>18、电子投标文件</w:t>
      </w:r>
      <w:bookmarkEnd w:id="107"/>
      <w:bookmarkEnd w:id="108"/>
      <w:bookmarkEnd w:id="109"/>
      <w:bookmarkEnd w:id="110"/>
      <w:r>
        <w:rPr>
          <w:rFonts w:hint="eastAsia" w:ascii="宋体" w:hAnsi="宋体" w:cs="宋体"/>
          <w:b/>
          <w:bCs/>
          <w:color w:val="auto"/>
          <w:sz w:val="24"/>
          <w:highlight w:val="none"/>
        </w:rPr>
        <w:t>的递交</w:t>
      </w:r>
    </w:p>
    <w:p w14:paraId="4848515F">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18.1投标人应当按照《操作手册》规定，在投标截止时间前制作并上传电子投标文件。</w:t>
      </w:r>
      <w:bookmarkStart w:id="111" w:name="_Toc16938542"/>
      <w:bookmarkStart w:id="112" w:name="_Toc513029226"/>
      <w:bookmarkStart w:id="113" w:name="_Toc20823298"/>
    </w:p>
    <w:p w14:paraId="4DBE080C">
      <w:pPr>
        <w:spacing w:before="161" w:beforeLines="50" w:line="276"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19、投标截止日期</w:t>
      </w:r>
      <w:bookmarkEnd w:id="111"/>
      <w:bookmarkEnd w:id="112"/>
      <w:bookmarkEnd w:id="113"/>
    </w:p>
    <w:p w14:paraId="571A3CF8">
      <w:pPr>
        <w:spacing w:line="276" w:lineRule="auto"/>
        <w:ind w:firstLine="482" w:firstLineChars="200"/>
        <w:rPr>
          <w:rFonts w:ascii="宋体" w:hAnsi="宋体"/>
          <w:b/>
          <w:bCs/>
          <w:color w:val="auto"/>
          <w:sz w:val="24"/>
          <w:szCs w:val="21"/>
          <w:highlight w:val="none"/>
        </w:rPr>
      </w:pPr>
      <w:r>
        <w:rPr>
          <w:rFonts w:hint="eastAsia" w:ascii="宋体" w:hAnsi="宋体"/>
          <w:b/>
          <w:bCs/>
          <w:color w:val="auto"/>
          <w:sz w:val="24"/>
          <w:szCs w:val="21"/>
          <w:highlight w:val="none"/>
        </w:rPr>
        <w:t>19.1 投标人上传电子投标文件的时间不得迟于招标公告中规定的投标截止时间。</w:t>
      </w:r>
    </w:p>
    <w:p w14:paraId="5E2F2B07">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投标人应充分考虑到网络环境、网络带宽等风险因素，如因投标人自身原因造成的电子投标文件上传不成功的按照本招标文件第二章第</w:t>
      </w:r>
      <w:r>
        <w:rPr>
          <w:rFonts w:hint="eastAsia" w:ascii="宋体" w:hAnsi="宋体"/>
          <w:b/>
          <w:bCs/>
          <w:color w:val="auto"/>
          <w:sz w:val="24"/>
          <w:szCs w:val="21"/>
          <w:highlight w:val="none"/>
        </w:rPr>
        <w:t>27.1.2条规定做无效投标处理</w:t>
      </w:r>
      <w:r>
        <w:rPr>
          <w:rFonts w:hint="eastAsia" w:ascii="宋体" w:hAnsi="宋体"/>
          <w:bCs/>
          <w:color w:val="auto"/>
          <w:sz w:val="24"/>
          <w:szCs w:val="21"/>
          <w:highlight w:val="none"/>
        </w:rPr>
        <w:t>。</w:t>
      </w:r>
    </w:p>
    <w:p w14:paraId="7B3646EA">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 xml:space="preserve">19.2 </w:t>
      </w:r>
      <w:r>
        <w:rPr>
          <w:rFonts w:hint="eastAsia" w:ascii="宋体" w:hAnsi="宋体"/>
          <w:bCs/>
          <w:color w:val="auto"/>
          <w:sz w:val="24"/>
          <w:szCs w:val="21"/>
          <w:highlight w:val="none"/>
          <w:u w:val="single"/>
        </w:rPr>
        <w:t>采购代理机构</w:t>
      </w:r>
      <w:r>
        <w:rPr>
          <w:rFonts w:hint="eastAsia" w:ascii="宋体" w:hAnsi="宋体"/>
          <w:bCs/>
          <w:color w:val="auto"/>
          <w:sz w:val="24"/>
          <w:szCs w:val="21"/>
          <w:highlight w:val="none"/>
        </w:rPr>
        <w:t>可以按照规定，通过修改招标文件酌情延长投标截止日期，在此情况下，投标人的所有权利和义务以及投标人受制的截止日期均应以延长后新的截止日期为准。</w:t>
      </w:r>
    </w:p>
    <w:p w14:paraId="101037C1">
      <w:pPr>
        <w:spacing w:before="161" w:beforeLines="50" w:line="276" w:lineRule="auto"/>
        <w:ind w:firstLine="482" w:firstLineChars="200"/>
        <w:rPr>
          <w:rFonts w:ascii="宋体" w:hAnsi="宋体" w:cs="宋体"/>
          <w:b/>
          <w:bCs/>
          <w:color w:val="auto"/>
          <w:sz w:val="24"/>
          <w:highlight w:val="none"/>
        </w:rPr>
      </w:pPr>
      <w:bookmarkStart w:id="114" w:name="_Toc16938543"/>
      <w:bookmarkStart w:id="115" w:name="_Toc20823299"/>
      <w:bookmarkStart w:id="116" w:name="_Toc513029227"/>
      <w:r>
        <w:rPr>
          <w:rFonts w:hint="eastAsia" w:ascii="宋体" w:hAnsi="宋体" w:cs="宋体"/>
          <w:b/>
          <w:bCs/>
          <w:color w:val="auto"/>
          <w:sz w:val="24"/>
          <w:highlight w:val="none"/>
        </w:rPr>
        <w:t>20、投标文件</w:t>
      </w:r>
      <w:bookmarkEnd w:id="114"/>
      <w:bookmarkEnd w:id="115"/>
      <w:bookmarkEnd w:id="116"/>
      <w:r>
        <w:rPr>
          <w:rFonts w:hint="eastAsia" w:ascii="宋体" w:hAnsi="宋体" w:cs="宋体"/>
          <w:b/>
          <w:bCs/>
          <w:color w:val="auto"/>
          <w:sz w:val="24"/>
          <w:highlight w:val="none"/>
        </w:rPr>
        <w:t>的拒收</w:t>
      </w:r>
    </w:p>
    <w:p w14:paraId="06EC9CAD">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20.1 采购代理机构拒绝接收在其规定的投标截止时间后上传的任何投标文件。</w:t>
      </w:r>
    </w:p>
    <w:p w14:paraId="4D15ED42">
      <w:pPr>
        <w:spacing w:before="161" w:beforeLines="50" w:line="276" w:lineRule="auto"/>
        <w:ind w:firstLine="482" w:firstLineChars="200"/>
        <w:rPr>
          <w:rFonts w:ascii="宋体" w:hAnsi="宋体" w:cs="宋体"/>
          <w:b/>
          <w:bCs/>
          <w:color w:val="auto"/>
          <w:sz w:val="24"/>
          <w:highlight w:val="none"/>
        </w:rPr>
      </w:pPr>
      <w:bookmarkStart w:id="117" w:name="_Toc16938544"/>
      <w:bookmarkStart w:id="118" w:name="_Toc513029228"/>
      <w:bookmarkStart w:id="119" w:name="_Toc20823300"/>
      <w:r>
        <w:rPr>
          <w:rFonts w:hint="eastAsia" w:ascii="宋体" w:hAnsi="宋体" w:cs="宋体"/>
          <w:b/>
          <w:bCs/>
          <w:color w:val="auto"/>
          <w:sz w:val="24"/>
          <w:highlight w:val="none"/>
        </w:rPr>
        <w:t>21、投标文件的撤回和修改</w:t>
      </w:r>
      <w:bookmarkEnd w:id="117"/>
      <w:bookmarkEnd w:id="118"/>
      <w:bookmarkEnd w:id="119"/>
    </w:p>
    <w:p w14:paraId="134D57E9">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21.1 投标文件的撤回</w:t>
      </w:r>
    </w:p>
    <w:p w14:paraId="7022005E">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21.1.1 电子投标文件的撤回</w:t>
      </w:r>
    </w:p>
    <w:p w14:paraId="2B6D3FE1">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投标人可在投标截止时间前，撤回其电子投标文件，具体操作方法见《操作手册》。</w:t>
      </w:r>
    </w:p>
    <w:p w14:paraId="0C746FBB">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21.1.2 投标人撤回电子投标文件，则认为其不再参与本项目投标活动。</w:t>
      </w:r>
    </w:p>
    <w:p w14:paraId="5C0B174C">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21.2 投标文件的修改</w:t>
      </w:r>
    </w:p>
    <w:p w14:paraId="35328717">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21.2.1投标人可在投标截止时间前，对其电子投标文件进行修改，具体操作方法见《操作手册》。</w:t>
      </w:r>
    </w:p>
    <w:p w14:paraId="33719841">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21.2.2 在投标截止时间之后，投标人不得对其电子投标文件作任何修改。</w:t>
      </w:r>
    </w:p>
    <w:p w14:paraId="0819F512">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21.3 在投标截止时间至招标文件中规定的投标有效期满之间的这段时间内，投标人不得撤回其投标。</w:t>
      </w:r>
    </w:p>
    <w:p w14:paraId="310096B9">
      <w:pPr>
        <w:spacing w:line="276" w:lineRule="auto"/>
        <w:rPr>
          <w:rFonts w:ascii="宋体" w:hAnsi="宋体" w:cs="宋体"/>
          <w:b/>
          <w:bCs/>
          <w:color w:val="auto"/>
          <w:sz w:val="24"/>
          <w:highlight w:val="none"/>
        </w:rPr>
      </w:pPr>
      <w:bookmarkStart w:id="120" w:name="_Toc513029229"/>
      <w:bookmarkStart w:id="121" w:name="_Toc20823301"/>
      <w:bookmarkStart w:id="122" w:name="_Toc120614218"/>
      <w:bookmarkStart w:id="123" w:name="_Toc16938545"/>
    </w:p>
    <w:p w14:paraId="702BB050">
      <w:pPr>
        <w:spacing w:line="276" w:lineRule="auto"/>
        <w:outlineLvl w:val="1"/>
        <w:rPr>
          <w:rFonts w:ascii="宋体" w:hAnsi="宋体" w:cs="宋体"/>
          <w:b/>
          <w:bCs/>
          <w:color w:val="auto"/>
          <w:sz w:val="24"/>
          <w:highlight w:val="none"/>
        </w:rPr>
      </w:pPr>
      <w:bookmarkStart w:id="124" w:name="_Toc184129774"/>
      <w:r>
        <w:rPr>
          <w:rFonts w:hint="eastAsia" w:ascii="宋体" w:hAnsi="宋体" w:cs="宋体"/>
          <w:b/>
          <w:bCs/>
          <w:color w:val="auto"/>
          <w:sz w:val="24"/>
          <w:highlight w:val="none"/>
        </w:rPr>
        <w:t>五、开标与评标</w:t>
      </w:r>
      <w:bookmarkEnd w:id="120"/>
      <w:bookmarkEnd w:id="121"/>
      <w:bookmarkEnd w:id="122"/>
      <w:bookmarkEnd w:id="123"/>
      <w:bookmarkEnd w:id="124"/>
    </w:p>
    <w:p w14:paraId="4DDB6ED5">
      <w:pPr>
        <w:spacing w:before="161" w:beforeLines="50" w:line="276" w:lineRule="auto"/>
        <w:ind w:firstLine="482" w:firstLineChars="200"/>
        <w:rPr>
          <w:rFonts w:ascii="宋体" w:hAnsi="宋体" w:cs="宋体"/>
          <w:b/>
          <w:bCs/>
          <w:color w:val="auto"/>
          <w:sz w:val="24"/>
          <w:highlight w:val="none"/>
        </w:rPr>
      </w:pPr>
      <w:bookmarkStart w:id="125" w:name="_Toc16938546"/>
      <w:bookmarkStart w:id="126" w:name="_Toc20823302"/>
      <w:bookmarkStart w:id="127" w:name="_Toc513029230"/>
      <w:r>
        <w:rPr>
          <w:rFonts w:hint="eastAsia" w:ascii="宋体" w:hAnsi="宋体" w:cs="宋体"/>
          <w:b/>
          <w:bCs/>
          <w:color w:val="auto"/>
          <w:sz w:val="24"/>
          <w:highlight w:val="none"/>
        </w:rPr>
        <w:t>22、开标</w:t>
      </w:r>
      <w:bookmarkEnd w:id="125"/>
      <w:bookmarkEnd w:id="126"/>
      <w:bookmarkEnd w:id="127"/>
    </w:p>
    <w:p w14:paraId="23C1E24A">
      <w:pPr>
        <w:spacing w:line="276" w:lineRule="auto"/>
        <w:ind w:firstLine="480" w:firstLineChars="200"/>
        <w:rPr>
          <w:color w:val="auto"/>
          <w:sz w:val="24"/>
          <w:highlight w:val="none"/>
        </w:rPr>
      </w:pPr>
      <w:r>
        <w:rPr>
          <w:rFonts w:hint="eastAsia" w:ascii="宋体" w:hAnsi="宋体"/>
          <w:color w:val="auto"/>
          <w:sz w:val="24"/>
          <w:highlight w:val="none"/>
        </w:rPr>
        <w:t>2</w:t>
      </w:r>
      <w:r>
        <w:rPr>
          <w:rFonts w:ascii="宋体" w:hAnsi="宋体"/>
          <w:color w:val="auto"/>
          <w:sz w:val="24"/>
          <w:highlight w:val="none"/>
        </w:rPr>
        <w:t>2</w:t>
      </w:r>
      <w:r>
        <w:rPr>
          <w:rFonts w:hint="eastAsia" w:ascii="宋体" w:hAnsi="宋体"/>
          <w:color w:val="auto"/>
          <w:sz w:val="24"/>
          <w:highlight w:val="none"/>
        </w:rPr>
        <w:t>.1</w:t>
      </w:r>
      <w:r>
        <w:rPr>
          <w:rFonts w:hint="eastAsia" w:ascii="宋体" w:hAnsi="宋体"/>
          <w:bCs/>
          <w:color w:val="auto"/>
          <w:sz w:val="24"/>
          <w:highlight w:val="none"/>
        </w:rPr>
        <w:t xml:space="preserve"> 采购代理机构将在招标公告中规定的时间和地点组织公开开标</w:t>
      </w:r>
      <w:r>
        <w:rPr>
          <w:rFonts w:hint="eastAsia" w:ascii="宋体" w:hAnsi="宋体"/>
          <w:color w:val="auto"/>
          <w:sz w:val="24"/>
          <w:highlight w:val="none"/>
        </w:rPr>
        <w:t>。投标人应当按照《操作手册》规定，</w:t>
      </w:r>
      <w:r>
        <w:rPr>
          <w:rFonts w:ascii="宋体" w:hAnsi="宋体"/>
          <w:color w:val="auto"/>
          <w:sz w:val="24"/>
          <w:highlight w:val="none"/>
        </w:rPr>
        <w:t>参加开标活动</w:t>
      </w:r>
      <w:r>
        <w:rPr>
          <w:rFonts w:hint="eastAsia" w:ascii="宋体" w:hAnsi="宋体"/>
          <w:color w:val="auto"/>
          <w:sz w:val="24"/>
          <w:highlight w:val="none"/>
        </w:rPr>
        <w:t>和在苏采云系统规定的时间内对投标文件进行解密。</w:t>
      </w:r>
    </w:p>
    <w:p w14:paraId="5DA64C95">
      <w:pPr>
        <w:spacing w:line="276" w:lineRule="auto"/>
        <w:ind w:firstLine="480" w:firstLineChars="200"/>
        <w:rPr>
          <w:rFonts w:ascii="宋体" w:hAnsi="宋体"/>
          <w:color w:val="auto"/>
          <w:sz w:val="24"/>
          <w:highlight w:val="none"/>
        </w:rPr>
      </w:pPr>
      <w:r>
        <w:rPr>
          <w:rFonts w:hint="eastAsia" w:ascii="宋体" w:hAnsi="宋体"/>
          <w:bCs/>
          <w:color w:val="auto"/>
          <w:sz w:val="24"/>
          <w:highlight w:val="none"/>
        </w:rPr>
        <w:t>2</w:t>
      </w:r>
      <w:r>
        <w:rPr>
          <w:rFonts w:ascii="宋体" w:hAnsi="宋体"/>
          <w:bCs/>
          <w:color w:val="auto"/>
          <w:sz w:val="24"/>
          <w:highlight w:val="none"/>
        </w:rPr>
        <w:t>2</w:t>
      </w:r>
      <w:r>
        <w:rPr>
          <w:rFonts w:hint="eastAsia" w:ascii="宋体" w:hAnsi="宋体"/>
          <w:bCs/>
          <w:color w:val="auto"/>
          <w:sz w:val="24"/>
          <w:highlight w:val="none"/>
        </w:rPr>
        <w:t xml:space="preserve">.2 </w:t>
      </w:r>
      <w:r>
        <w:rPr>
          <w:rFonts w:hint="eastAsia" w:ascii="宋体" w:hAnsi="宋体"/>
          <w:color w:val="auto"/>
          <w:sz w:val="24"/>
          <w:highlight w:val="none"/>
        </w:rPr>
        <w:t>开标仪式由采购代理机构组织。苏采云系统将自动对</w:t>
      </w:r>
      <w:r>
        <w:rPr>
          <w:rFonts w:ascii="宋体" w:hAnsi="宋体"/>
          <w:color w:val="auto"/>
          <w:sz w:val="24"/>
          <w:highlight w:val="none"/>
        </w:rPr>
        <w:t>项目进行开标，</w:t>
      </w:r>
      <w:r>
        <w:rPr>
          <w:rFonts w:hint="eastAsia" w:ascii="宋体" w:hAnsi="宋体"/>
          <w:color w:val="auto"/>
          <w:sz w:val="24"/>
          <w:highlight w:val="none"/>
        </w:rPr>
        <w:t>并宣布各投标人名称和投标价格。</w:t>
      </w:r>
    </w:p>
    <w:p w14:paraId="5F7E2269">
      <w:pPr>
        <w:spacing w:line="276" w:lineRule="auto"/>
        <w:ind w:firstLine="480" w:firstLineChars="200"/>
        <w:rPr>
          <w:rFonts w:ascii="宋体" w:hAnsi="宋体"/>
          <w:color w:val="auto"/>
          <w:sz w:val="24"/>
          <w:highlight w:val="none"/>
        </w:rPr>
      </w:pPr>
      <w:r>
        <w:rPr>
          <w:rFonts w:hint="eastAsia" w:ascii="宋体" w:hAnsi="宋体"/>
          <w:bCs/>
          <w:color w:val="auto"/>
          <w:sz w:val="24"/>
          <w:highlight w:val="none"/>
        </w:rPr>
        <w:t>2</w:t>
      </w:r>
      <w:r>
        <w:rPr>
          <w:rFonts w:ascii="宋体" w:hAnsi="宋体"/>
          <w:bCs/>
          <w:color w:val="auto"/>
          <w:sz w:val="24"/>
          <w:highlight w:val="none"/>
        </w:rPr>
        <w:t>2</w:t>
      </w:r>
      <w:r>
        <w:rPr>
          <w:rFonts w:hint="eastAsia" w:ascii="宋体" w:hAnsi="宋体"/>
          <w:bCs/>
          <w:color w:val="auto"/>
          <w:sz w:val="24"/>
          <w:highlight w:val="none"/>
        </w:rPr>
        <w:t>.3 投标人在开标过程中涉及到的投标文件解密、开标结果确认等工作，应按照《操作手册》规定执行。</w:t>
      </w:r>
    </w:p>
    <w:p w14:paraId="307CE6D3">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2</w:t>
      </w:r>
      <w:r>
        <w:rPr>
          <w:rFonts w:hint="eastAsia" w:ascii="宋体" w:hAnsi="宋体"/>
          <w:color w:val="auto"/>
          <w:sz w:val="24"/>
          <w:highlight w:val="none"/>
        </w:rPr>
        <w:t>.4 投标人如果对开标过程和开标记录有疑义，应当根据《操作手册》规定提出，如 苏采云系统中《开标记录表》宣布后5分钟内未提出的，视同认可开标结果。</w:t>
      </w:r>
    </w:p>
    <w:p w14:paraId="60D03B93">
      <w:pPr>
        <w:spacing w:before="161" w:beforeLines="50" w:line="276" w:lineRule="auto"/>
        <w:ind w:firstLine="482" w:firstLineChars="200"/>
        <w:rPr>
          <w:rFonts w:ascii="宋体" w:hAnsi="宋体" w:cs="宋体"/>
          <w:b/>
          <w:bCs/>
          <w:color w:val="auto"/>
          <w:sz w:val="24"/>
          <w:highlight w:val="none"/>
        </w:rPr>
      </w:pPr>
      <w:bookmarkStart w:id="128" w:name="_Toc20823303"/>
      <w:bookmarkStart w:id="129" w:name="_Toc16938547"/>
      <w:bookmarkStart w:id="130" w:name="_Toc513029231"/>
      <w:r>
        <w:rPr>
          <w:rFonts w:hint="eastAsia" w:ascii="宋体" w:hAnsi="宋体" w:cs="宋体"/>
          <w:b/>
          <w:bCs/>
          <w:color w:val="auto"/>
          <w:sz w:val="24"/>
          <w:highlight w:val="none"/>
        </w:rPr>
        <w:t>23、评标委员会</w:t>
      </w:r>
    </w:p>
    <w:p w14:paraId="7518A726">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3</w:t>
      </w:r>
      <w:r>
        <w:rPr>
          <w:rFonts w:hint="eastAsia" w:ascii="宋体" w:hAnsi="宋体"/>
          <w:color w:val="auto"/>
          <w:sz w:val="24"/>
          <w:highlight w:val="none"/>
        </w:rPr>
        <w:t>.1</w:t>
      </w:r>
      <w:r>
        <w:rPr>
          <w:rFonts w:hint="eastAsia" w:ascii="宋体" w:hAnsi="宋体"/>
          <w:b/>
          <w:color w:val="auto"/>
          <w:sz w:val="24"/>
          <w:highlight w:val="none"/>
        </w:rPr>
        <w:t xml:space="preserve"> </w:t>
      </w:r>
      <w:r>
        <w:rPr>
          <w:rFonts w:hint="eastAsia" w:ascii="宋体" w:hAnsi="宋体"/>
          <w:color w:val="auto"/>
          <w:sz w:val="24"/>
          <w:highlight w:val="none"/>
        </w:rPr>
        <w:t>开标后，采购代理机构将立即组织评标委员会（以下简称评委会）进行评标。</w:t>
      </w:r>
    </w:p>
    <w:p w14:paraId="02218BDE">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3</w:t>
      </w:r>
      <w:r>
        <w:rPr>
          <w:rFonts w:hint="eastAsia" w:ascii="宋体" w:hAnsi="宋体"/>
          <w:color w:val="auto"/>
          <w:sz w:val="24"/>
          <w:highlight w:val="none"/>
        </w:rPr>
        <w:t>.2 评委会由采购人代表和有关技术、经济等方面的专家组成，且人员构成符合政府采购有关规定。</w:t>
      </w:r>
    </w:p>
    <w:p w14:paraId="79A0E1FA">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3</w:t>
      </w:r>
      <w:r>
        <w:rPr>
          <w:rFonts w:hint="eastAsia" w:ascii="宋体" w:hAnsi="宋体"/>
          <w:color w:val="auto"/>
          <w:sz w:val="24"/>
          <w:highlight w:val="none"/>
        </w:rPr>
        <w:t>.3评委会独立工作，负责评审所有投标文件并确定中标候选人。</w:t>
      </w:r>
    </w:p>
    <w:p w14:paraId="1A3892BC">
      <w:pPr>
        <w:spacing w:before="161" w:beforeLines="50" w:line="276"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24．评标过程的保密与公正</w:t>
      </w:r>
    </w:p>
    <w:bookmarkEnd w:id="128"/>
    <w:bookmarkEnd w:id="129"/>
    <w:bookmarkEnd w:id="130"/>
    <w:p w14:paraId="53791A29">
      <w:pPr>
        <w:spacing w:line="276" w:lineRule="auto"/>
        <w:ind w:firstLine="480" w:firstLineChars="200"/>
        <w:rPr>
          <w:rFonts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4</w:t>
      </w:r>
      <w:r>
        <w:rPr>
          <w:rFonts w:hint="eastAsia" w:ascii="宋体" w:hAnsi="宋体"/>
          <w:color w:val="auto"/>
          <w:sz w:val="24"/>
          <w:szCs w:val="21"/>
          <w:highlight w:val="none"/>
        </w:rPr>
        <w:t xml:space="preserve">.1 </w:t>
      </w:r>
      <w:r>
        <w:rPr>
          <w:rFonts w:hint="eastAsia" w:ascii="宋体" w:hAnsi="宋体"/>
          <w:bCs/>
          <w:color w:val="auto"/>
          <w:sz w:val="24"/>
          <w:szCs w:val="21"/>
          <w:highlight w:val="none"/>
        </w:rPr>
        <w:t>凡是与审查、澄清、评价和比较投标的有关资料以及授标建议等，采购人、评委、采购代理机构均不得向投标人或与评标无关的其他人员透露。</w:t>
      </w:r>
    </w:p>
    <w:p w14:paraId="02D445FE">
      <w:pPr>
        <w:spacing w:line="276" w:lineRule="auto"/>
        <w:ind w:firstLine="480" w:firstLineChars="200"/>
        <w:rPr>
          <w:rFonts w:ascii="宋体" w:hAnsi="宋体"/>
          <w:color w:val="auto"/>
          <w:sz w:val="24"/>
          <w:highlight w:val="none"/>
        </w:rPr>
      </w:pPr>
      <w:r>
        <w:rPr>
          <w:rFonts w:hint="eastAsia" w:ascii="宋体" w:hAnsi="宋体"/>
          <w:color w:val="auto"/>
          <w:sz w:val="24"/>
          <w:szCs w:val="21"/>
          <w:highlight w:val="none"/>
        </w:rPr>
        <w:t>2</w:t>
      </w:r>
      <w:r>
        <w:rPr>
          <w:rFonts w:ascii="宋体" w:hAnsi="宋体"/>
          <w:color w:val="auto"/>
          <w:sz w:val="24"/>
          <w:szCs w:val="21"/>
          <w:highlight w:val="none"/>
        </w:rPr>
        <w:t>4</w:t>
      </w:r>
      <w:r>
        <w:rPr>
          <w:rFonts w:hint="eastAsia" w:ascii="宋体" w:hAnsi="宋体"/>
          <w:color w:val="auto"/>
          <w:sz w:val="24"/>
          <w:szCs w:val="21"/>
          <w:highlight w:val="none"/>
        </w:rPr>
        <w:t xml:space="preserve">.2 </w:t>
      </w:r>
      <w:r>
        <w:rPr>
          <w:rFonts w:hint="eastAsia" w:ascii="宋体" w:hAnsi="宋体"/>
          <w:color w:val="auto"/>
          <w:sz w:val="24"/>
          <w:highlight w:val="none"/>
        </w:rPr>
        <w:t>在评标过程中，投标人不得以任何行为影响评标过程，否则其投标文件将被作为无效投标文件。</w:t>
      </w:r>
    </w:p>
    <w:p w14:paraId="200C8344">
      <w:pPr>
        <w:spacing w:line="276" w:lineRule="auto"/>
        <w:ind w:firstLine="480" w:firstLineChars="200"/>
        <w:rPr>
          <w:rFonts w:ascii="宋体" w:hAnsi="宋体"/>
          <w:color w:val="auto"/>
          <w:sz w:val="24"/>
          <w:highlight w:val="none"/>
        </w:rPr>
      </w:pPr>
      <w:r>
        <w:rPr>
          <w:rFonts w:ascii="宋体" w:hAnsi="宋体"/>
          <w:color w:val="auto"/>
          <w:sz w:val="24"/>
          <w:highlight w:val="none"/>
        </w:rPr>
        <w:t>24</w:t>
      </w:r>
      <w:r>
        <w:rPr>
          <w:rFonts w:hint="eastAsia" w:ascii="宋体" w:hAnsi="宋体"/>
          <w:color w:val="auto"/>
          <w:sz w:val="24"/>
          <w:highlight w:val="none"/>
        </w:rPr>
        <w:t>.</w:t>
      </w:r>
      <w:r>
        <w:rPr>
          <w:rFonts w:ascii="宋体" w:hAnsi="宋体"/>
          <w:color w:val="auto"/>
          <w:sz w:val="24"/>
          <w:highlight w:val="none"/>
        </w:rPr>
        <w:t>3</w:t>
      </w:r>
      <w:r>
        <w:rPr>
          <w:rFonts w:hint="eastAsia" w:ascii="宋体" w:hAnsi="宋体"/>
          <w:color w:val="auto"/>
          <w:sz w:val="24"/>
          <w:highlight w:val="none"/>
        </w:rPr>
        <w:t xml:space="preserve"> 采购代理机构和评标委员会不向未中标的投标人解释未中标原因，也不公布评标过程中的相关细节。</w:t>
      </w:r>
    </w:p>
    <w:p w14:paraId="41CB0DE0">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4</w:t>
      </w:r>
      <w:r>
        <w:rPr>
          <w:rFonts w:hint="eastAsia" w:ascii="宋体" w:hAnsi="宋体"/>
          <w:color w:val="auto"/>
          <w:sz w:val="24"/>
          <w:highlight w:val="none"/>
        </w:rPr>
        <w:t>.</w:t>
      </w:r>
      <w:r>
        <w:rPr>
          <w:rFonts w:ascii="宋体" w:hAnsi="宋体"/>
          <w:color w:val="auto"/>
          <w:sz w:val="24"/>
          <w:highlight w:val="none"/>
        </w:rPr>
        <w:t>4</w:t>
      </w:r>
      <w:r>
        <w:rPr>
          <w:rFonts w:hint="eastAsia" w:ascii="宋体" w:hAnsi="宋体"/>
          <w:color w:val="auto"/>
          <w:sz w:val="24"/>
          <w:highlight w:val="none"/>
        </w:rPr>
        <w:t xml:space="preserve"> 采用综合评分法的项目，未中标的投标人可于中标结果公告期限届满之日起通过苏采云系统查看自己的评审得分及排序情况。</w:t>
      </w:r>
    </w:p>
    <w:p w14:paraId="1568186D">
      <w:pPr>
        <w:spacing w:before="161" w:beforeLines="50" w:line="276" w:lineRule="auto"/>
        <w:ind w:firstLine="482" w:firstLineChars="200"/>
        <w:rPr>
          <w:rFonts w:ascii="宋体" w:hAnsi="宋体" w:cs="宋体"/>
          <w:b/>
          <w:bCs/>
          <w:color w:val="auto"/>
          <w:sz w:val="24"/>
          <w:highlight w:val="none"/>
        </w:rPr>
      </w:pPr>
      <w:bookmarkStart w:id="131" w:name="_Toc20823304"/>
      <w:bookmarkStart w:id="132" w:name="_Toc16938548"/>
      <w:bookmarkStart w:id="133" w:name="_Toc513029232"/>
      <w:r>
        <w:rPr>
          <w:rFonts w:hint="eastAsia" w:ascii="宋体" w:hAnsi="宋体" w:cs="宋体"/>
          <w:b/>
          <w:bCs/>
          <w:color w:val="auto"/>
          <w:sz w:val="24"/>
          <w:highlight w:val="none"/>
        </w:rPr>
        <w:t>25．投标文件的澄清</w:t>
      </w:r>
      <w:bookmarkEnd w:id="131"/>
      <w:bookmarkEnd w:id="132"/>
      <w:bookmarkEnd w:id="133"/>
    </w:p>
    <w:p w14:paraId="0DBC2340">
      <w:pPr>
        <w:spacing w:line="276" w:lineRule="auto"/>
        <w:ind w:firstLine="480" w:firstLineChars="200"/>
        <w:rPr>
          <w:rFonts w:ascii="宋体" w:hAnsi="宋体"/>
          <w:color w:val="auto"/>
          <w:sz w:val="24"/>
          <w:highlight w:val="none"/>
        </w:rPr>
      </w:pPr>
      <w:bookmarkStart w:id="134" w:name="_Toc20823305"/>
      <w:bookmarkStart w:id="135" w:name="_Toc16938549"/>
      <w:bookmarkStart w:id="136" w:name="_Toc513029233"/>
      <w:r>
        <w:rPr>
          <w:rFonts w:ascii="宋体" w:hAnsi="宋体"/>
          <w:color w:val="auto"/>
          <w:sz w:val="24"/>
          <w:highlight w:val="none"/>
        </w:rPr>
        <w:t>25</w:t>
      </w:r>
      <w:r>
        <w:rPr>
          <w:rFonts w:hint="eastAsia" w:ascii="宋体" w:hAnsi="宋体"/>
          <w:color w:val="auto"/>
          <w:sz w:val="24"/>
          <w:highlight w:val="none"/>
        </w:rPr>
        <w:t>.</w:t>
      </w:r>
      <w:r>
        <w:rPr>
          <w:rFonts w:ascii="宋体" w:hAnsi="宋体"/>
          <w:color w:val="auto"/>
          <w:sz w:val="24"/>
          <w:highlight w:val="none"/>
        </w:rPr>
        <w:t>1</w:t>
      </w:r>
      <w:r>
        <w:rPr>
          <w:rFonts w:hint="eastAsia" w:ascii="宋体" w:hAnsi="宋体"/>
          <w:color w:val="auto"/>
          <w:sz w:val="24"/>
          <w:highlight w:val="none"/>
        </w:rPr>
        <w:t>评标期间，评委会对投标文件中含义不明确、同类问题表述不一致或者有明显文字和计算错误的内容</w:t>
      </w:r>
      <w:r>
        <w:rPr>
          <w:rFonts w:ascii="宋体" w:hAnsi="宋体"/>
          <w:color w:val="auto"/>
          <w:sz w:val="24"/>
          <w:highlight w:val="none"/>
        </w:rPr>
        <w:t xml:space="preserve"> </w:t>
      </w:r>
      <w:r>
        <w:rPr>
          <w:rFonts w:hint="eastAsia" w:ascii="宋体" w:hAnsi="宋体"/>
          <w:color w:val="auto"/>
          <w:sz w:val="24"/>
          <w:highlight w:val="none"/>
        </w:rPr>
        <w:t>，有权要求投标人作出必要的澄清、说明或者补正。</w:t>
      </w:r>
    </w:p>
    <w:p w14:paraId="00A70B71">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投标人的澄清、说明或者补正不得超出投标文件的范围或者改变投标文件的实质性内容。</w:t>
      </w:r>
    </w:p>
    <w:p w14:paraId="6C70667F">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评标</w:t>
      </w:r>
      <w:r>
        <w:rPr>
          <w:rFonts w:ascii="宋体" w:hAnsi="宋体"/>
          <w:color w:val="auto"/>
          <w:sz w:val="24"/>
          <w:highlight w:val="none"/>
        </w:rPr>
        <w:t>委员会并非对每个投标人都做澄清要求</w:t>
      </w:r>
      <w:r>
        <w:rPr>
          <w:rFonts w:hint="eastAsia" w:ascii="宋体" w:hAnsi="宋体"/>
          <w:color w:val="auto"/>
          <w:sz w:val="24"/>
          <w:highlight w:val="none"/>
        </w:rPr>
        <w:t>。</w:t>
      </w:r>
    </w:p>
    <w:p w14:paraId="0E40A470">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744B465F">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.3 接到评委会澄清、说明和补正要求的投标人如未按规定做出澄清、说明和补正，其风险由投标人自行承担。</w:t>
      </w:r>
    </w:p>
    <w:p w14:paraId="311D78D7">
      <w:pPr>
        <w:spacing w:before="161" w:beforeLines="50" w:line="276"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26、对投标文件的初审</w:t>
      </w:r>
      <w:bookmarkEnd w:id="134"/>
      <w:bookmarkEnd w:id="135"/>
      <w:bookmarkEnd w:id="136"/>
    </w:p>
    <w:p w14:paraId="087BEBAB">
      <w:pPr>
        <w:spacing w:line="276" w:lineRule="auto"/>
        <w:ind w:firstLine="480" w:firstLineChars="200"/>
        <w:rPr>
          <w:rFonts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 xml:space="preserve">.1 </w:t>
      </w:r>
      <w:r>
        <w:rPr>
          <w:rFonts w:hint="eastAsia" w:ascii="宋体" w:hAnsi="宋体"/>
          <w:bCs/>
          <w:color w:val="auto"/>
          <w:sz w:val="24"/>
          <w:szCs w:val="21"/>
          <w:highlight w:val="none"/>
        </w:rPr>
        <w:t>投标文件初审分为资格审查和符合性审查。</w:t>
      </w:r>
    </w:p>
    <w:p w14:paraId="0E3DDDB4">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6</w:t>
      </w:r>
      <w:r>
        <w:rPr>
          <w:rFonts w:hint="eastAsia" w:ascii="宋体" w:hAnsi="宋体"/>
          <w:bCs/>
          <w:color w:val="auto"/>
          <w:sz w:val="24"/>
          <w:szCs w:val="21"/>
          <w:highlight w:val="none"/>
        </w:rPr>
        <w:t>.1.1 资格审查：依据法律法规和招标文件的规定，由采购人对投标文件中的资格证明文件进行审查。资格审查的结论，采购人以书面形式向评委会进行反馈。</w:t>
      </w:r>
    </w:p>
    <w:p w14:paraId="549ABC0C">
      <w:pPr>
        <w:spacing w:line="276" w:lineRule="auto"/>
        <w:ind w:firstLine="482" w:firstLineChars="200"/>
        <w:rPr>
          <w:rFonts w:ascii="宋体" w:hAnsi="宋体"/>
          <w:b/>
          <w:bCs/>
          <w:color w:val="auto"/>
          <w:sz w:val="24"/>
          <w:szCs w:val="21"/>
          <w:highlight w:val="none"/>
        </w:rPr>
      </w:pPr>
      <w:r>
        <w:rPr>
          <w:rFonts w:hint="eastAsia" w:ascii="宋体" w:hAnsi="宋体"/>
          <w:b/>
          <w:bCs/>
          <w:color w:val="auto"/>
          <w:sz w:val="24"/>
          <w:szCs w:val="21"/>
          <w:highlight w:val="none"/>
        </w:rPr>
        <w:t>采购人在进行资格性审查的同时，将在“信用中国”网站（www.creditchina.gov.cn）查询投标人的信用记录，以确定投标人是否具备投标资格。</w:t>
      </w:r>
    </w:p>
    <w:p w14:paraId="13A8B76E">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77B3D52F">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6</w:t>
      </w:r>
      <w:r>
        <w:rPr>
          <w:rFonts w:hint="eastAsia" w:ascii="宋体" w:hAnsi="宋体"/>
          <w:bCs/>
          <w:color w:val="auto"/>
          <w:sz w:val="24"/>
          <w:szCs w:val="21"/>
          <w:highlight w:val="none"/>
        </w:rPr>
        <w:t>.1.2 符合性审查：依据招标文件的规定，由评委会从投标文件的有效性、完整性和对招标文件的响应程度进行审查，以确定是否对招标文件的实质性要求作出响应。</w:t>
      </w:r>
    </w:p>
    <w:p w14:paraId="01CB954D">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6</w:t>
      </w:r>
      <w:r>
        <w:rPr>
          <w:rFonts w:hint="eastAsia" w:ascii="宋体" w:hAnsi="宋体"/>
          <w:bCs/>
          <w:color w:val="auto"/>
          <w:sz w:val="24"/>
          <w:szCs w:val="21"/>
          <w:highlight w:val="none"/>
        </w:rPr>
        <w:t>.1.3 未通过资格审查或符合性审查的投标人，采购代理机构将在</w:t>
      </w:r>
      <w:r>
        <w:rPr>
          <w:rFonts w:hint="eastAsia" w:ascii="宋体" w:hAnsi="宋体"/>
          <w:color w:val="auto"/>
          <w:sz w:val="24"/>
          <w:highlight w:val="none"/>
        </w:rPr>
        <w:t>苏采云系统</w:t>
      </w:r>
      <w:r>
        <w:rPr>
          <w:rFonts w:hint="eastAsia" w:ascii="宋体" w:hAnsi="宋体"/>
          <w:bCs/>
          <w:color w:val="auto"/>
          <w:sz w:val="24"/>
          <w:szCs w:val="21"/>
          <w:highlight w:val="none"/>
        </w:rPr>
        <w:t>中告知未通过资格审查或符合性审查的原因，评审结束后，采购代理机构将不再告知未通过资格审查或符合性审查的原因。</w:t>
      </w:r>
    </w:p>
    <w:p w14:paraId="1C764F03">
      <w:pPr>
        <w:spacing w:line="276" w:lineRule="auto"/>
        <w:ind w:firstLine="480" w:firstLineChars="200"/>
        <w:rPr>
          <w:rFonts w:ascii="宋体" w:hAnsi="宋体"/>
          <w:color w:val="auto"/>
          <w:sz w:val="24"/>
          <w:highlight w:val="none"/>
        </w:rPr>
      </w:pPr>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.2</w:t>
      </w:r>
      <w:r>
        <w:rPr>
          <w:rFonts w:hint="eastAsia" w:ascii="宋体" w:hAnsi="宋体"/>
          <w:color w:val="auto"/>
          <w:sz w:val="24"/>
          <w:highlight w:val="none"/>
        </w:rPr>
        <w:t>在详细评标之前，评委会将首先审查每份投标文件是否实质性响应了招标文件的要求。实质性响应的投标应该是与招标文件要求的全部条款、条件和规格相符，没有重大偏离或保留的投标。</w:t>
      </w:r>
    </w:p>
    <w:p w14:paraId="664123D2">
      <w:pPr>
        <w:spacing w:line="276" w:lineRule="auto"/>
        <w:ind w:firstLine="480" w:firstLineChars="200"/>
        <w:rPr>
          <w:rFonts w:ascii="宋体" w:hAnsi="宋体"/>
          <w:bCs/>
          <w:color w:val="auto"/>
          <w:sz w:val="24"/>
          <w:szCs w:val="21"/>
          <w:highlight w:val="none"/>
        </w:rPr>
      </w:pPr>
      <w:r>
        <w:rPr>
          <w:rFonts w:hint="eastAsia" w:ascii="宋体" w:hAnsi="宋体"/>
          <w:color w:val="auto"/>
          <w:sz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auto"/>
          <w:sz w:val="24"/>
          <w:szCs w:val="21"/>
          <w:highlight w:val="none"/>
        </w:rPr>
        <w:t>评委决定投标文件的响应性只根据投标文件本身的内容，而不寻求外部的证据。</w:t>
      </w:r>
    </w:p>
    <w:p w14:paraId="33E77C0E">
      <w:pPr>
        <w:spacing w:line="276" w:lineRule="auto"/>
        <w:ind w:firstLine="480" w:firstLineChars="200"/>
        <w:rPr>
          <w:rFonts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.3</w:t>
      </w:r>
      <w:r>
        <w:rPr>
          <w:rFonts w:hint="eastAsia" w:ascii="宋体" w:hAnsi="宋体"/>
          <w:bCs/>
          <w:color w:val="auto"/>
          <w:sz w:val="24"/>
          <w:szCs w:val="21"/>
          <w:highlight w:val="none"/>
        </w:rPr>
        <w:t>如果投标文件实质上没有响应招标文件的要求，评委会将予以拒绝，投标人不得通过修改或撤销不合要求的偏离或保留而使其投标成为实质性响应的投标。</w:t>
      </w:r>
    </w:p>
    <w:p w14:paraId="01DD0B7A">
      <w:pPr>
        <w:spacing w:line="276" w:lineRule="auto"/>
        <w:ind w:firstLine="480" w:firstLineChars="200"/>
        <w:rPr>
          <w:rFonts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.4</w:t>
      </w:r>
      <w:r>
        <w:rPr>
          <w:rFonts w:hint="eastAsia" w:ascii="宋体" w:hAnsi="宋体"/>
          <w:bCs/>
          <w:color w:val="auto"/>
          <w:sz w:val="24"/>
          <w:szCs w:val="21"/>
          <w:highlight w:val="none"/>
        </w:rPr>
        <w:t>评委会将对确定为实质性响应的投标进行进一步审核，看其是否有计算上或累加上的算术错误，修正错误的原则如下：</w:t>
      </w:r>
    </w:p>
    <w:p w14:paraId="06100941">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（1）投标文件中开标一览表内容与投标文件中相应内容不一致的，以开标一览表为准。</w:t>
      </w:r>
    </w:p>
    <w:p w14:paraId="1558ACAA">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（2）大写金额和小写金额不一致的，以大写金额为准。</w:t>
      </w:r>
    </w:p>
    <w:p w14:paraId="767ACC1F">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（3） 单价金额小数点或者百分比有明显错位的，以开标一览表的总价为准，并修改单价。</w:t>
      </w:r>
    </w:p>
    <w:p w14:paraId="29FA07AB">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（4）总价金额与按单价汇总金额不一致的，以单价金额计算结果为准。</w:t>
      </w:r>
    </w:p>
    <w:p w14:paraId="07008223">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同时出现两种以上错误的，按照前款规定的顺序修正。</w:t>
      </w:r>
    </w:p>
    <w:p w14:paraId="4D38CDF2">
      <w:pPr>
        <w:spacing w:line="276" w:lineRule="auto"/>
        <w:ind w:firstLine="480" w:firstLineChars="200"/>
        <w:rPr>
          <w:rFonts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.5</w:t>
      </w:r>
      <w:r>
        <w:rPr>
          <w:rFonts w:hint="eastAsia" w:ascii="宋体" w:hAnsi="宋体"/>
          <w:bCs/>
          <w:color w:val="auto"/>
          <w:sz w:val="24"/>
          <w:szCs w:val="21"/>
          <w:highlight w:val="none"/>
        </w:rPr>
        <w:t>评委会将按上述修正错误的方法调整投标文件中的投标报价，并</w:t>
      </w:r>
      <w:r>
        <w:rPr>
          <w:rFonts w:ascii="宋体" w:hAnsi="宋体"/>
          <w:bCs/>
          <w:color w:val="auto"/>
          <w:sz w:val="24"/>
          <w:szCs w:val="21"/>
          <w:highlight w:val="none"/>
        </w:rPr>
        <w:t>通过</w:t>
      </w:r>
      <w:r>
        <w:rPr>
          <w:rFonts w:hint="eastAsia" w:ascii="宋体" w:hAnsi="宋体"/>
          <w:color w:val="auto"/>
          <w:sz w:val="24"/>
          <w:highlight w:val="none"/>
        </w:rPr>
        <w:t>苏采云系统</w:t>
      </w:r>
      <w:r>
        <w:rPr>
          <w:rFonts w:hint="eastAsia" w:ascii="宋体" w:hAnsi="宋体"/>
          <w:bCs/>
          <w:color w:val="auto"/>
          <w:sz w:val="24"/>
          <w:szCs w:val="21"/>
          <w:highlight w:val="none"/>
        </w:rPr>
        <w:t>告知</w:t>
      </w:r>
      <w:r>
        <w:rPr>
          <w:rFonts w:ascii="宋体" w:hAnsi="宋体"/>
          <w:bCs/>
          <w:color w:val="auto"/>
          <w:sz w:val="24"/>
          <w:szCs w:val="21"/>
          <w:highlight w:val="none"/>
        </w:rPr>
        <w:t>投标人，</w:t>
      </w:r>
      <w:r>
        <w:rPr>
          <w:rFonts w:hint="eastAsia" w:ascii="宋体" w:hAnsi="宋体"/>
          <w:bCs/>
          <w:color w:val="auto"/>
          <w:sz w:val="24"/>
          <w:szCs w:val="21"/>
          <w:highlight w:val="none"/>
        </w:rPr>
        <w:t>调整后的价格应对投标人具有约束力。如果投标人不接受修正后的价格，则其投标将被拒绝。</w:t>
      </w:r>
    </w:p>
    <w:p w14:paraId="0642A811">
      <w:pPr>
        <w:spacing w:line="276" w:lineRule="auto"/>
        <w:ind w:firstLine="480" w:firstLineChars="200"/>
        <w:rPr>
          <w:rFonts w:ascii="宋体" w:hAnsi="宋体"/>
          <w:color w:val="auto"/>
          <w:sz w:val="24"/>
          <w:szCs w:val="21"/>
          <w:highlight w:val="none"/>
        </w:rPr>
      </w:pPr>
      <w:bookmarkStart w:id="137" w:name="_Toc513029234"/>
      <w:bookmarkStart w:id="138" w:name="_Toc16938550"/>
      <w:bookmarkStart w:id="139" w:name="_Toc20823306"/>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.6</w:t>
      </w:r>
      <w:r>
        <w:rPr>
          <w:rFonts w:ascii="宋体" w:hAnsi="宋体"/>
          <w:color w:val="auto"/>
          <w:sz w:val="24"/>
          <w:szCs w:val="21"/>
          <w:highlight w:val="none"/>
        </w:rPr>
        <w:t>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szCs w:val="21"/>
          <w:highlight w:val="none"/>
        </w:rPr>
        <w:t>按照招标文件规定的方式（招标文件未规定的通过</w:t>
      </w:r>
      <w:r>
        <w:rPr>
          <w:rFonts w:ascii="宋体" w:hAnsi="宋体"/>
          <w:color w:val="auto"/>
          <w:sz w:val="24"/>
          <w:szCs w:val="21"/>
          <w:highlight w:val="none"/>
        </w:rPr>
        <w:t>随机抽取</w:t>
      </w:r>
      <w:r>
        <w:rPr>
          <w:rFonts w:hint="eastAsia" w:ascii="宋体" w:hAnsi="宋体"/>
          <w:color w:val="auto"/>
          <w:sz w:val="24"/>
          <w:szCs w:val="21"/>
          <w:highlight w:val="none"/>
        </w:rPr>
        <w:t>的</w:t>
      </w:r>
      <w:r>
        <w:rPr>
          <w:rFonts w:ascii="宋体" w:hAnsi="宋体"/>
          <w:color w:val="auto"/>
          <w:sz w:val="24"/>
          <w:szCs w:val="21"/>
          <w:highlight w:val="none"/>
        </w:rPr>
        <w:t>方式</w:t>
      </w:r>
      <w:r>
        <w:rPr>
          <w:rFonts w:hint="eastAsia" w:ascii="宋体" w:hAnsi="宋体"/>
          <w:color w:val="auto"/>
          <w:sz w:val="24"/>
          <w:szCs w:val="21"/>
          <w:highlight w:val="none"/>
        </w:rPr>
        <w:t>）</w:t>
      </w:r>
      <w:r>
        <w:rPr>
          <w:rFonts w:ascii="宋体" w:hAnsi="宋体"/>
          <w:color w:val="auto"/>
          <w:sz w:val="24"/>
          <w:szCs w:val="21"/>
          <w:highlight w:val="none"/>
        </w:rPr>
        <w:t>确定一个参加评标的投标人，其他投标无效。</w:t>
      </w:r>
    </w:p>
    <w:p w14:paraId="39710C1E">
      <w:pPr>
        <w:spacing w:line="276" w:lineRule="auto"/>
        <w:ind w:firstLine="480" w:firstLineChars="200"/>
        <w:rPr>
          <w:rFonts w:ascii="宋体" w:hAnsi="宋体"/>
          <w:color w:val="auto"/>
          <w:sz w:val="24"/>
          <w:szCs w:val="21"/>
          <w:highlight w:val="none"/>
        </w:rPr>
      </w:pPr>
      <w:r>
        <w:rPr>
          <w:rFonts w:ascii="宋体" w:hAnsi="宋体"/>
          <w:color w:val="auto"/>
          <w:sz w:val="24"/>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auto"/>
          <w:sz w:val="24"/>
          <w:szCs w:val="21"/>
          <w:highlight w:val="none"/>
        </w:rPr>
        <w:t>根据招标文件规定的方式（招标文件未规定的采取随机抽取的方式）</w:t>
      </w:r>
      <w:r>
        <w:rPr>
          <w:rFonts w:ascii="宋体" w:hAnsi="宋体"/>
          <w:color w:val="auto"/>
          <w:sz w:val="24"/>
          <w:szCs w:val="21"/>
          <w:highlight w:val="none"/>
        </w:rPr>
        <w:t>确定</w:t>
      </w:r>
      <w:r>
        <w:rPr>
          <w:rFonts w:hint="eastAsia" w:ascii="宋体" w:hAnsi="宋体"/>
          <w:color w:val="auto"/>
          <w:sz w:val="24"/>
          <w:szCs w:val="21"/>
          <w:highlight w:val="none"/>
        </w:rPr>
        <w:t>一个中标候选人</w:t>
      </w:r>
      <w:r>
        <w:rPr>
          <w:rFonts w:ascii="宋体" w:hAnsi="宋体"/>
          <w:color w:val="auto"/>
          <w:sz w:val="24"/>
          <w:szCs w:val="21"/>
          <w:highlight w:val="none"/>
        </w:rPr>
        <w:t>，其他同品牌投标人不作为中标候选人。</w:t>
      </w:r>
    </w:p>
    <w:p w14:paraId="4F994DDB">
      <w:pPr>
        <w:spacing w:line="276" w:lineRule="auto"/>
        <w:ind w:firstLine="480" w:firstLineChars="200"/>
        <w:rPr>
          <w:rFonts w:ascii="宋体" w:hAnsi="宋体"/>
          <w:color w:val="auto"/>
          <w:sz w:val="24"/>
          <w:szCs w:val="21"/>
          <w:highlight w:val="none"/>
        </w:rPr>
      </w:pPr>
      <w:r>
        <w:rPr>
          <w:rFonts w:ascii="宋体" w:hAnsi="宋体"/>
          <w:color w:val="auto"/>
          <w:sz w:val="24"/>
          <w:szCs w:val="21"/>
          <w:highlight w:val="none"/>
        </w:rPr>
        <w:t>非单一产品采购项目，招标文件中</w:t>
      </w:r>
      <w:r>
        <w:rPr>
          <w:rFonts w:hint="eastAsia" w:ascii="宋体" w:hAnsi="宋体"/>
          <w:color w:val="auto"/>
          <w:sz w:val="24"/>
          <w:szCs w:val="21"/>
          <w:highlight w:val="none"/>
        </w:rPr>
        <w:t>将载明其中的核心产品</w:t>
      </w:r>
      <w:r>
        <w:rPr>
          <w:rFonts w:ascii="宋体" w:hAnsi="宋体"/>
          <w:color w:val="auto"/>
          <w:sz w:val="24"/>
          <w:szCs w:val="21"/>
          <w:highlight w:val="none"/>
        </w:rPr>
        <w:t>。多家投标人提供的核心产品品牌相同的，按前两款规定处理。</w:t>
      </w:r>
    </w:p>
    <w:p w14:paraId="7C80F568">
      <w:pPr>
        <w:spacing w:line="276" w:lineRule="auto"/>
        <w:ind w:firstLine="480" w:firstLineChars="200"/>
        <w:rPr>
          <w:rFonts w:ascii="宋体" w:hAnsi="宋体"/>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.7投标人在开、评标全过程中应保持通讯畅通，及时登录</w:t>
      </w:r>
      <w:r>
        <w:rPr>
          <w:rFonts w:hint="eastAsia" w:ascii="宋体" w:hAnsi="宋体"/>
          <w:color w:val="auto"/>
          <w:sz w:val="24"/>
          <w:highlight w:val="none"/>
        </w:rPr>
        <w:t>苏采云系统</w:t>
      </w:r>
      <w:r>
        <w:rPr>
          <w:rFonts w:hint="eastAsia" w:ascii="宋体" w:hAnsi="宋体"/>
          <w:color w:val="auto"/>
          <w:sz w:val="24"/>
          <w:szCs w:val="21"/>
          <w:highlight w:val="none"/>
        </w:rPr>
        <w:t>查阅</w:t>
      </w:r>
      <w:r>
        <w:rPr>
          <w:rFonts w:ascii="宋体" w:hAnsi="宋体"/>
          <w:color w:val="auto"/>
          <w:sz w:val="24"/>
          <w:szCs w:val="21"/>
          <w:highlight w:val="none"/>
        </w:rPr>
        <w:t>、答复相关</w:t>
      </w:r>
      <w:r>
        <w:rPr>
          <w:rFonts w:hint="eastAsia" w:ascii="宋体" w:hAnsi="宋体"/>
          <w:color w:val="auto"/>
          <w:sz w:val="24"/>
          <w:szCs w:val="21"/>
          <w:highlight w:val="none"/>
        </w:rPr>
        <w:t>信息</w:t>
      </w:r>
      <w:r>
        <w:rPr>
          <w:rFonts w:ascii="宋体" w:hAnsi="宋体"/>
          <w:color w:val="auto"/>
          <w:sz w:val="24"/>
          <w:szCs w:val="21"/>
          <w:highlight w:val="none"/>
        </w:rPr>
        <w:t>，</w:t>
      </w:r>
      <w:r>
        <w:rPr>
          <w:rFonts w:hint="eastAsia" w:ascii="宋体" w:hAnsi="宋体"/>
          <w:color w:val="auto"/>
          <w:sz w:val="24"/>
          <w:szCs w:val="21"/>
          <w:highlight w:val="none"/>
        </w:rPr>
        <w:t>并安排专人与采购代理机构及评标委员会联系。</w:t>
      </w:r>
    </w:p>
    <w:p w14:paraId="2F53A659">
      <w:pPr>
        <w:spacing w:before="161" w:beforeLines="50" w:line="276"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27、</w:t>
      </w:r>
      <w:bookmarkEnd w:id="137"/>
      <w:bookmarkEnd w:id="138"/>
      <w:bookmarkEnd w:id="139"/>
      <w:r>
        <w:rPr>
          <w:rFonts w:hint="eastAsia" w:ascii="宋体" w:hAnsi="宋体" w:cs="宋体"/>
          <w:b/>
          <w:bCs/>
          <w:color w:val="auto"/>
          <w:sz w:val="24"/>
          <w:highlight w:val="none"/>
        </w:rPr>
        <w:t>无效投标条款和废标条款</w:t>
      </w:r>
    </w:p>
    <w:p w14:paraId="3E9FA53A">
      <w:pPr>
        <w:spacing w:line="276" w:lineRule="auto"/>
        <w:ind w:firstLine="480" w:firstLineChars="200"/>
        <w:rPr>
          <w:rFonts w:ascii="宋体" w:hAnsi="宋体"/>
          <w:bCs/>
          <w:color w:val="auto"/>
          <w:sz w:val="24"/>
          <w:szCs w:val="21"/>
          <w:highlight w:val="none"/>
        </w:rPr>
      </w:pPr>
      <w:bookmarkStart w:id="140" w:name="_Toc513029235"/>
      <w:bookmarkStart w:id="141" w:name="_Toc20823307"/>
      <w:bookmarkStart w:id="142" w:name="_Toc16938551"/>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 无效投标条款</w:t>
      </w:r>
    </w:p>
    <w:p w14:paraId="47F4AED8">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.1.1 投标人在</w:t>
      </w:r>
      <w:r>
        <w:rPr>
          <w:rFonts w:hint="eastAsia" w:ascii="宋体" w:hAnsi="宋体"/>
          <w:color w:val="auto"/>
          <w:sz w:val="24"/>
          <w:highlight w:val="none"/>
        </w:rPr>
        <w:t>苏采云系统</w:t>
      </w:r>
      <w:r>
        <w:rPr>
          <w:rFonts w:hint="eastAsia" w:ascii="宋体" w:hAnsi="宋体"/>
          <w:bCs/>
          <w:color w:val="auto"/>
          <w:sz w:val="24"/>
          <w:szCs w:val="21"/>
          <w:highlight w:val="none"/>
        </w:rPr>
        <w:t>规定的时间内未成功解密电子投标文件的。</w:t>
      </w:r>
    </w:p>
    <w:p w14:paraId="37125FB5">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w:t>
      </w:r>
      <w:r>
        <w:rPr>
          <w:rFonts w:ascii="宋体" w:hAnsi="宋体"/>
          <w:bCs/>
          <w:color w:val="auto"/>
          <w:sz w:val="24"/>
          <w:szCs w:val="21"/>
          <w:highlight w:val="none"/>
        </w:rPr>
        <w:t>2</w:t>
      </w:r>
      <w:r>
        <w:rPr>
          <w:rFonts w:hint="eastAsia" w:ascii="宋体" w:hAnsi="宋体"/>
          <w:bCs/>
          <w:color w:val="auto"/>
          <w:sz w:val="24"/>
          <w:szCs w:val="21"/>
          <w:highlight w:val="none"/>
        </w:rPr>
        <w:t xml:space="preserve"> 投标人未按照招标文件要求上传电子投标文件的。</w:t>
      </w:r>
    </w:p>
    <w:p w14:paraId="2C7B113F">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w:t>
      </w:r>
      <w:r>
        <w:rPr>
          <w:rFonts w:ascii="宋体" w:hAnsi="宋体"/>
          <w:bCs/>
          <w:color w:val="auto"/>
          <w:sz w:val="24"/>
          <w:szCs w:val="21"/>
          <w:highlight w:val="none"/>
        </w:rPr>
        <w:t>3</w:t>
      </w:r>
      <w:r>
        <w:rPr>
          <w:rFonts w:hint="eastAsia" w:ascii="宋体" w:hAnsi="宋体"/>
          <w:bCs/>
          <w:color w:val="auto"/>
          <w:sz w:val="24"/>
          <w:szCs w:val="21"/>
          <w:highlight w:val="none"/>
        </w:rPr>
        <w:t xml:space="preserve"> 同一投标人提交两个</w:t>
      </w:r>
      <w:r>
        <w:rPr>
          <w:rFonts w:ascii="宋体" w:hAnsi="宋体"/>
          <w:bCs/>
          <w:color w:val="auto"/>
          <w:sz w:val="24"/>
          <w:szCs w:val="21"/>
          <w:highlight w:val="none"/>
        </w:rPr>
        <w:t>（</w:t>
      </w:r>
      <w:r>
        <w:rPr>
          <w:rFonts w:hint="eastAsia" w:ascii="宋体" w:hAnsi="宋体"/>
          <w:bCs/>
          <w:color w:val="auto"/>
          <w:sz w:val="24"/>
          <w:szCs w:val="21"/>
          <w:highlight w:val="none"/>
        </w:rPr>
        <w:t>含</w:t>
      </w:r>
      <w:r>
        <w:rPr>
          <w:rFonts w:ascii="宋体" w:hAnsi="宋体"/>
          <w:bCs/>
          <w:color w:val="auto"/>
          <w:sz w:val="24"/>
          <w:szCs w:val="21"/>
          <w:highlight w:val="none"/>
        </w:rPr>
        <w:t>两个）</w:t>
      </w:r>
      <w:r>
        <w:rPr>
          <w:rFonts w:hint="eastAsia" w:ascii="宋体" w:hAnsi="宋体"/>
          <w:bCs/>
          <w:color w:val="auto"/>
          <w:sz w:val="24"/>
          <w:szCs w:val="21"/>
          <w:highlight w:val="none"/>
        </w:rPr>
        <w:t>以上不同的</w:t>
      </w:r>
      <w:r>
        <w:rPr>
          <w:rFonts w:ascii="宋体" w:hAnsi="宋体"/>
          <w:bCs/>
          <w:color w:val="auto"/>
          <w:sz w:val="24"/>
          <w:szCs w:val="21"/>
          <w:highlight w:val="none"/>
        </w:rPr>
        <w:t>投标报价的。</w:t>
      </w:r>
    </w:p>
    <w:p w14:paraId="61440D29">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w:t>
      </w:r>
      <w:r>
        <w:rPr>
          <w:rFonts w:ascii="宋体" w:hAnsi="宋体"/>
          <w:bCs/>
          <w:color w:val="auto"/>
          <w:sz w:val="24"/>
          <w:szCs w:val="21"/>
          <w:highlight w:val="none"/>
        </w:rPr>
        <w:t>4</w:t>
      </w:r>
      <w:r>
        <w:rPr>
          <w:rFonts w:hint="eastAsia" w:ascii="宋体" w:hAnsi="宋体"/>
          <w:bCs/>
          <w:color w:val="auto"/>
          <w:sz w:val="24"/>
          <w:szCs w:val="21"/>
          <w:highlight w:val="none"/>
        </w:rPr>
        <w:t xml:space="preserve"> 投标人不具备招标文件中规定资格要求的。</w:t>
      </w:r>
    </w:p>
    <w:p w14:paraId="253216FE">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w:t>
      </w:r>
      <w:r>
        <w:rPr>
          <w:rFonts w:ascii="宋体" w:hAnsi="宋体"/>
          <w:bCs/>
          <w:color w:val="auto"/>
          <w:sz w:val="24"/>
          <w:szCs w:val="21"/>
          <w:highlight w:val="none"/>
        </w:rPr>
        <w:t>5</w:t>
      </w:r>
      <w:r>
        <w:rPr>
          <w:rFonts w:hint="eastAsia" w:ascii="宋体" w:hAnsi="宋体"/>
          <w:bCs/>
          <w:color w:val="auto"/>
          <w:sz w:val="24"/>
          <w:szCs w:val="21"/>
          <w:highlight w:val="none"/>
        </w:rPr>
        <w:t xml:space="preserve"> 投标人的报价超过了采购预算或最高限价的。</w:t>
      </w:r>
    </w:p>
    <w:p w14:paraId="5FA598B4">
      <w:pPr>
        <w:spacing w:line="276" w:lineRule="auto"/>
        <w:ind w:firstLine="480" w:firstLineChars="200"/>
        <w:rPr>
          <w:rFonts w:ascii="宋体" w:hAnsi="宋体"/>
          <w:bCs/>
          <w:i/>
          <w:color w:val="auto"/>
          <w:sz w:val="24"/>
          <w:szCs w:val="21"/>
          <w:highlight w:val="none"/>
          <w:u w:val="singl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w:t>
      </w:r>
      <w:r>
        <w:rPr>
          <w:rFonts w:ascii="宋体" w:hAnsi="宋体"/>
          <w:bCs/>
          <w:color w:val="auto"/>
          <w:sz w:val="24"/>
          <w:szCs w:val="21"/>
          <w:highlight w:val="none"/>
        </w:rPr>
        <w:t>6</w:t>
      </w:r>
      <w:r>
        <w:rPr>
          <w:rFonts w:hint="eastAsia" w:ascii="宋体" w:hAnsi="宋体"/>
          <w:bCs/>
          <w:color w:val="auto"/>
          <w:sz w:val="24"/>
          <w:szCs w:val="21"/>
          <w:highlight w:val="none"/>
        </w:rPr>
        <w:t xml:space="preserve"> 未通过符合性审查的。</w:t>
      </w:r>
    </w:p>
    <w:p w14:paraId="6D2C394C">
      <w:pPr>
        <w:spacing w:line="276" w:lineRule="auto"/>
        <w:ind w:firstLine="480" w:firstLineChars="200"/>
        <w:rPr>
          <w:rFonts w:ascii="宋体" w:hAnsi="宋体"/>
          <w:bCs/>
          <w:i/>
          <w:color w:val="auto"/>
          <w:sz w:val="24"/>
          <w:szCs w:val="21"/>
          <w:highlight w:val="none"/>
          <w:u w:val="singl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w:t>
      </w:r>
      <w:r>
        <w:rPr>
          <w:rFonts w:ascii="宋体" w:hAnsi="宋体"/>
          <w:bCs/>
          <w:color w:val="auto"/>
          <w:sz w:val="24"/>
          <w:szCs w:val="21"/>
          <w:highlight w:val="none"/>
        </w:rPr>
        <w:t>7</w:t>
      </w:r>
      <w:r>
        <w:rPr>
          <w:rFonts w:hint="eastAsia" w:ascii="宋体" w:hAnsi="宋体"/>
          <w:bCs/>
          <w:color w:val="auto"/>
          <w:sz w:val="24"/>
          <w:szCs w:val="21"/>
          <w:highlight w:val="none"/>
        </w:rPr>
        <w:t>不符合招标文件中规定的实质性要求和条件的。</w:t>
      </w:r>
    </w:p>
    <w:p w14:paraId="34DCDF19">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w:t>
      </w:r>
      <w:r>
        <w:rPr>
          <w:rFonts w:ascii="宋体" w:hAnsi="宋体"/>
          <w:bCs/>
          <w:color w:val="auto"/>
          <w:sz w:val="24"/>
          <w:szCs w:val="21"/>
          <w:highlight w:val="none"/>
        </w:rPr>
        <w:t>8</w:t>
      </w:r>
      <w:r>
        <w:rPr>
          <w:rFonts w:hint="eastAsia" w:ascii="宋体" w:hAnsi="宋体"/>
          <w:bCs/>
          <w:color w:val="auto"/>
          <w:sz w:val="24"/>
          <w:szCs w:val="21"/>
          <w:highlight w:val="none"/>
        </w:rPr>
        <w:t xml:space="preserve">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39676E2">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w:t>
      </w:r>
      <w:r>
        <w:rPr>
          <w:rFonts w:ascii="宋体" w:hAnsi="宋体"/>
          <w:bCs/>
          <w:color w:val="auto"/>
          <w:sz w:val="24"/>
          <w:szCs w:val="21"/>
          <w:highlight w:val="none"/>
        </w:rPr>
        <w:t>9</w:t>
      </w:r>
      <w:r>
        <w:rPr>
          <w:rFonts w:hint="eastAsia" w:ascii="宋体" w:hAnsi="宋体"/>
          <w:bCs/>
          <w:color w:val="auto"/>
          <w:sz w:val="24"/>
          <w:szCs w:val="21"/>
          <w:highlight w:val="none"/>
        </w:rPr>
        <w:t xml:space="preserve"> 投标文件含有采购人不能接受的附加条件的。</w:t>
      </w:r>
    </w:p>
    <w:p w14:paraId="568EDC10">
      <w:pPr>
        <w:spacing w:line="276" w:lineRule="auto"/>
        <w:ind w:firstLine="480" w:firstLineChars="200"/>
        <w:rPr>
          <w:rFonts w:ascii="宋体" w:hAnsi="宋体"/>
          <w:bCs/>
          <w:color w:val="auto"/>
          <w:sz w:val="24"/>
          <w:szCs w:val="21"/>
          <w:highlight w:val="none"/>
          <w:u w:val="singl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w:t>
      </w:r>
      <w:r>
        <w:rPr>
          <w:rFonts w:ascii="宋体" w:hAnsi="宋体"/>
          <w:bCs/>
          <w:color w:val="auto"/>
          <w:sz w:val="24"/>
          <w:szCs w:val="21"/>
          <w:highlight w:val="none"/>
        </w:rPr>
        <w:t>10</w:t>
      </w:r>
      <w:r>
        <w:rPr>
          <w:rFonts w:hint="eastAsia" w:ascii="宋体" w:hAnsi="宋体"/>
          <w:bCs/>
          <w:color w:val="auto"/>
          <w:sz w:val="24"/>
          <w:szCs w:val="21"/>
          <w:highlight w:val="none"/>
        </w:rPr>
        <w:t xml:space="preserve"> </w:t>
      </w:r>
      <w:r>
        <w:rPr>
          <w:rFonts w:hint="eastAsia" w:ascii="宋体" w:hAnsi="宋体"/>
          <w:bCs/>
          <w:color w:val="auto"/>
          <w:sz w:val="24"/>
          <w:szCs w:val="21"/>
          <w:highlight w:val="none"/>
          <w:u w:val="single"/>
        </w:rPr>
        <w:t>评审过程中出现下列情形之一的，评审委员会应当启动异常低价投标(响应)审查程序：</w:t>
      </w:r>
    </w:p>
    <w:p w14:paraId="6F1E0665">
      <w:pPr>
        <w:spacing w:line="276" w:lineRule="auto"/>
        <w:ind w:firstLine="480" w:firstLineChars="200"/>
        <w:rPr>
          <w:rFonts w:ascii="宋体" w:hAnsi="宋体"/>
          <w:bCs/>
          <w:color w:val="auto"/>
          <w:sz w:val="24"/>
          <w:szCs w:val="21"/>
          <w:highlight w:val="none"/>
          <w:u w:val="single"/>
        </w:rPr>
      </w:pPr>
      <w:r>
        <w:rPr>
          <w:rFonts w:hint="eastAsia" w:ascii="宋体" w:hAnsi="宋体"/>
          <w:bCs/>
          <w:color w:val="auto"/>
          <w:sz w:val="24"/>
          <w:szCs w:val="21"/>
          <w:highlight w:val="none"/>
          <w:u w:val="single"/>
        </w:rPr>
        <w:t>（1）投标（响应）报价低于全部通过符合性审查供应商投标（响应）报价平均值50%的，即投标（响应）报价&lt;全部通过符合性审查供应商投标（响应）报价平均值×50%；</w:t>
      </w:r>
    </w:p>
    <w:p w14:paraId="6652C245">
      <w:pPr>
        <w:spacing w:line="276" w:lineRule="auto"/>
        <w:ind w:firstLine="480" w:firstLineChars="200"/>
        <w:rPr>
          <w:rFonts w:ascii="宋体" w:hAnsi="宋体"/>
          <w:bCs/>
          <w:color w:val="auto"/>
          <w:sz w:val="24"/>
          <w:szCs w:val="21"/>
          <w:highlight w:val="none"/>
          <w:u w:val="single"/>
        </w:rPr>
      </w:pPr>
      <w:r>
        <w:rPr>
          <w:rFonts w:hint="eastAsia" w:ascii="宋体" w:hAnsi="宋体"/>
          <w:bCs/>
          <w:color w:val="auto"/>
          <w:sz w:val="24"/>
          <w:szCs w:val="21"/>
          <w:highlight w:val="none"/>
          <w:u w:val="single"/>
        </w:rPr>
        <w:t>（2）投标（响应）报价低于通过符合性审查的次低报价供应商投标（响应）报价50%的，即投标（响应）报价&lt;通过符合性审查的次低报价供应商投标（响应）报价×50%；</w:t>
      </w:r>
    </w:p>
    <w:p w14:paraId="188BC150">
      <w:pPr>
        <w:spacing w:line="276" w:lineRule="auto"/>
        <w:ind w:firstLine="480" w:firstLineChars="200"/>
        <w:rPr>
          <w:rFonts w:ascii="宋体" w:hAnsi="宋体"/>
          <w:bCs/>
          <w:color w:val="auto"/>
          <w:sz w:val="24"/>
          <w:szCs w:val="21"/>
          <w:highlight w:val="none"/>
          <w:u w:val="single"/>
        </w:rPr>
      </w:pPr>
      <w:r>
        <w:rPr>
          <w:rFonts w:hint="eastAsia" w:ascii="宋体" w:hAnsi="宋体"/>
          <w:bCs/>
          <w:color w:val="auto"/>
          <w:sz w:val="24"/>
          <w:szCs w:val="21"/>
          <w:highlight w:val="none"/>
          <w:u w:val="single"/>
        </w:rPr>
        <w:t>（3）投标（响应）报价低于采购项目最高限价45%的，即投标（响应）报价&lt;采购项目最高限价×45%；</w:t>
      </w:r>
    </w:p>
    <w:p w14:paraId="00F44133">
      <w:pPr>
        <w:spacing w:line="276" w:lineRule="auto"/>
        <w:ind w:firstLine="480" w:firstLineChars="200"/>
        <w:rPr>
          <w:rFonts w:ascii="宋体" w:hAnsi="宋体"/>
          <w:bCs/>
          <w:color w:val="auto"/>
          <w:sz w:val="24"/>
          <w:szCs w:val="21"/>
          <w:highlight w:val="none"/>
          <w:u w:val="single"/>
        </w:rPr>
      </w:pPr>
      <w:r>
        <w:rPr>
          <w:rFonts w:hint="eastAsia" w:ascii="宋体" w:hAnsi="宋体"/>
          <w:bCs/>
          <w:color w:val="auto"/>
          <w:sz w:val="24"/>
          <w:szCs w:val="21"/>
          <w:highlight w:val="none"/>
          <w:u w:val="single"/>
        </w:rPr>
        <w:t>（4）评审委员会基于专业判断，认为供应商报价过低，有可能影响产品质量或者不能诚信履约的其他情形。</w:t>
      </w:r>
    </w:p>
    <w:p w14:paraId="6301436D">
      <w:pPr>
        <w:spacing w:line="276" w:lineRule="auto"/>
        <w:ind w:firstLine="480" w:firstLineChars="200"/>
        <w:rPr>
          <w:rFonts w:ascii="宋体" w:hAnsi="宋体"/>
          <w:bCs/>
          <w:color w:val="auto"/>
          <w:sz w:val="24"/>
          <w:szCs w:val="21"/>
          <w:highlight w:val="none"/>
          <w:u w:val="single"/>
        </w:rPr>
      </w:pPr>
      <w:r>
        <w:rPr>
          <w:rFonts w:hint="eastAsia" w:ascii="宋体" w:hAnsi="宋体"/>
          <w:bCs/>
          <w:color w:val="auto"/>
          <w:sz w:val="24"/>
          <w:szCs w:val="21"/>
          <w:highlight w:val="none"/>
          <w:u w:val="singl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p>
    <w:p w14:paraId="16987FED">
      <w:pPr>
        <w:spacing w:line="276" w:lineRule="auto"/>
        <w:ind w:firstLine="480" w:firstLineChars="200"/>
        <w:rPr>
          <w:rFonts w:ascii="宋体" w:hAnsi="宋体"/>
          <w:bCs/>
          <w:color w:val="auto"/>
          <w:sz w:val="24"/>
          <w:szCs w:val="21"/>
          <w:highlight w:val="none"/>
          <w:u w:val="single"/>
        </w:rPr>
      </w:pPr>
      <w:r>
        <w:rPr>
          <w:rFonts w:hint="eastAsia" w:ascii="宋体" w:hAnsi="宋体"/>
          <w:bCs/>
          <w:color w:val="auto"/>
          <w:sz w:val="24"/>
          <w:szCs w:val="21"/>
          <w:highlight w:val="none"/>
          <w:u w:val="single"/>
        </w:rPr>
        <w:t>3.5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D97C39A">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.1.1</w:t>
      </w:r>
      <w:r>
        <w:rPr>
          <w:rFonts w:ascii="宋体" w:hAnsi="宋体"/>
          <w:bCs/>
          <w:color w:val="auto"/>
          <w:sz w:val="24"/>
          <w:szCs w:val="21"/>
          <w:highlight w:val="none"/>
        </w:rPr>
        <w:t>1</w:t>
      </w:r>
      <w:r>
        <w:rPr>
          <w:rFonts w:hint="eastAsia" w:ascii="宋体" w:hAnsi="宋体"/>
          <w:bCs/>
          <w:color w:val="auto"/>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21F2A7E8">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.1.1</w:t>
      </w:r>
      <w:r>
        <w:rPr>
          <w:rFonts w:ascii="宋体" w:hAnsi="宋体"/>
          <w:bCs/>
          <w:color w:val="auto"/>
          <w:sz w:val="24"/>
          <w:szCs w:val="21"/>
          <w:highlight w:val="none"/>
        </w:rPr>
        <w:t>2</w:t>
      </w:r>
      <w:r>
        <w:rPr>
          <w:rFonts w:hint="eastAsia" w:ascii="宋体" w:hAnsi="宋体"/>
          <w:bCs/>
          <w:color w:val="auto"/>
          <w:sz w:val="24"/>
          <w:szCs w:val="21"/>
          <w:highlight w:val="none"/>
        </w:rPr>
        <w:t xml:space="preserve"> 投标文件未按照招标文件要求加盖CA电子公章的。</w:t>
      </w:r>
    </w:p>
    <w:p w14:paraId="155CF96F">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.1.1</w:t>
      </w:r>
      <w:r>
        <w:rPr>
          <w:rFonts w:ascii="宋体" w:hAnsi="宋体"/>
          <w:bCs/>
          <w:color w:val="auto"/>
          <w:sz w:val="24"/>
          <w:szCs w:val="21"/>
          <w:highlight w:val="none"/>
        </w:rPr>
        <w:t>3</w:t>
      </w:r>
      <w:r>
        <w:rPr>
          <w:rFonts w:hint="eastAsia" w:ascii="宋体" w:hAnsi="宋体"/>
          <w:bCs/>
          <w:color w:val="auto"/>
          <w:sz w:val="24"/>
          <w:szCs w:val="21"/>
          <w:highlight w:val="none"/>
        </w:rPr>
        <w:t xml:space="preserve"> 其他法律、法规及本招标文件规定的属无效投标的情形。</w:t>
      </w:r>
    </w:p>
    <w:p w14:paraId="083E1D32">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.2 废标条款</w:t>
      </w:r>
    </w:p>
    <w:p w14:paraId="5F2A7A31">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.2.1 符合专业条件的供应商或者对招标文件作实质响应的供应商不足三家的。</w:t>
      </w:r>
    </w:p>
    <w:p w14:paraId="790CE4A9">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.2.2出现影响采购公正的违法、违规行为的。</w:t>
      </w:r>
    </w:p>
    <w:p w14:paraId="2FFFF244">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.2.3 因重大变故，采购任务取消的。</w:t>
      </w:r>
    </w:p>
    <w:p w14:paraId="1F9A491F">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.2.4 评标委员会认定招标文件存在歧义、重大缺陷导致评审工作无法进行。</w:t>
      </w:r>
    </w:p>
    <w:p w14:paraId="348BDE42">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.2.5 因</w:t>
      </w:r>
      <w:r>
        <w:rPr>
          <w:rFonts w:hint="eastAsia" w:ascii="宋体" w:hAnsi="宋体"/>
          <w:color w:val="auto"/>
          <w:sz w:val="24"/>
          <w:highlight w:val="none"/>
        </w:rPr>
        <w:t>苏采云系统</w:t>
      </w:r>
      <w:r>
        <w:rPr>
          <w:rFonts w:ascii="宋体" w:hAnsi="宋体"/>
          <w:bCs/>
          <w:color w:val="auto"/>
          <w:sz w:val="24"/>
          <w:szCs w:val="21"/>
          <w:highlight w:val="none"/>
        </w:rPr>
        <w:t>系统故障原因造成开标不成功</w:t>
      </w:r>
      <w:r>
        <w:rPr>
          <w:rFonts w:hint="eastAsia" w:ascii="宋体" w:hAnsi="宋体"/>
          <w:bCs/>
          <w:color w:val="auto"/>
          <w:sz w:val="24"/>
          <w:szCs w:val="21"/>
          <w:highlight w:val="none"/>
        </w:rPr>
        <w:t>的</w:t>
      </w:r>
      <w:r>
        <w:rPr>
          <w:rFonts w:ascii="宋体" w:hAnsi="宋体"/>
          <w:bCs/>
          <w:color w:val="auto"/>
          <w:sz w:val="24"/>
          <w:szCs w:val="21"/>
          <w:highlight w:val="none"/>
        </w:rPr>
        <w:t>。</w:t>
      </w:r>
    </w:p>
    <w:p w14:paraId="70E2FC24">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.3 投标截止时间结束后参加投标的供应商不足三家的处理：</w:t>
      </w:r>
    </w:p>
    <w:p w14:paraId="383B9F6D">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7</w:t>
      </w:r>
      <w:r>
        <w:rPr>
          <w:rFonts w:hint="eastAsia" w:ascii="宋体" w:hAnsi="宋体"/>
          <w:bCs/>
          <w:color w:val="auto"/>
          <w:sz w:val="24"/>
          <w:szCs w:val="21"/>
          <w:highlight w:val="none"/>
        </w:rPr>
        <w:t>.3.1 如出现投标截止时间结束后参加投标的供应商或者在评标期间对招标文件做出实质响应的供应商不足三家情况，按政府采购相关规定执行。</w:t>
      </w:r>
    </w:p>
    <w:p w14:paraId="753D40AC">
      <w:pPr>
        <w:spacing w:line="276" w:lineRule="auto"/>
        <w:rPr>
          <w:rFonts w:ascii="宋体" w:hAnsi="宋体" w:cs="宋体"/>
          <w:b/>
          <w:bCs/>
          <w:color w:val="auto"/>
          <w:sz w:val="24"/>
          <w:highlight w:val="none"/>
        </w:rPr>
      </w:pPr>
      <w:bookmarkStart w:id="143" w:name="_Toc120614219"/>
    </w:p>
    <w:p w14:paraId="5824712E">
      <w:pPr>
        <w:spacing w:line="276" w:lineRule="auto"/>
        <w:outlineLvl w:val="1"/>
        <w:rPr>
          <w:rFonts w:ascii="宋体" w:hAnsi="宋体" w:cs="宋体"/>
          <w:b/>
          <w:bCs/>
          <w:color w:val="auto"/>
          <w:sz w:val="24"/>
          <w:highlight w:val="none"/>
        </w:rPr>
      </w:pPr>
      <w:bookmarkStart w:id="144" w:name="_Toc184129775"/>
      <w:r>
        <w:rPr>
          <w:rFonts w:hint="eastAsia" w:ascii="宋体" w:hAnsi="宋体" w:cs="宋体"/>
          <w:b/>
          <w:bCs/>
          <w:color w:val="auto"/>
          <w:sz w:val="24"/>
          <w:highlight w:val="none"/>
        </w:rPr>
        <w:t>六、</w:t>
      </w:r>
      <w:bookmarkEnd w:id="140"/>
      <w:bookmarkEnd w:id="141"/>
      <w:bookmarkEnd w:id="142"/>
      <w:r>
        <w:rPr>
          <w:rFonts w:hint="eastAsia" w:ascii="宋体" w:hAnsi="宋体" w:cs="宋体"/>
          <w:b/>
          <w:bCs/>
          <w:color w:val="auto"/>
          <w:sz w:val="24"/>
          <w:highlight w:val="none"/>
        </w:rPr>
        <w:t>定标</w:t>
      </w:r>
      <w:bookmarkEnd w:id="143"/>
      <w:bookmarkEnd w:id="144"/>
    </w:p>
    <w:p w14:paraId="4A53487A">
      <w:pPr>
        <w:spacing w:before="161" w:beforeLines="50" w:line="276" w:lineRule="auto"/>
        <w:ind w:firstLine="482" w:firstLineChars="200"/>
        <w:rPr>
          <w:rFonts w:ascii="宋体" w:hAnsi="宋体" w:cs="宋体"/>
          <w:b/>
          <w:bCs/>
          <w:color w:val="auto"/>
          <w:sz w:val="24"/>
          <w:highlight w:val="none"/>
        </w:rPr>
      </w:pPr>
      <w:bookmarkStart w:id="145" w:name="_Toc513029238"/>
      <w:bookmarkStart w:id="146" w:name="_Toc20823310"/>
      <w:bookmarkStart w:id="147" w:name="_Toc16938554"/>
      <w:r>
        <w:rPr>
          <w:rFonts w:hint="eastAsia" w:ascii="宋体" w:hAnsi="宋体" w:cs="宋体"/>
          <w:b/>
          <w:bCs/>
          <w:color w:val="auto"/>
          <w:sz w:val="24"/>
          <w:highlight w:val="none"/>
        </w:rPr>
        <w:t>28、</w:t>
      </w:r>
      <w:bookmarkEnd w:id="145"/>
      <w:r>
        <w:rPr>
          <w:rFonts w:hint="eastAsia" w:ascii="宋体" w:hAnsi="宋体" w:cs="宋体"/>
          <w:b/>
          <w:bCs/>
          <w:color w:val="auto"/>
          <w:sz w:val="24"/>
          <w:highlight w:val="none"/>
        </w:rPr>
        <w:t>确定</w:t>
      </w:r>
      <w:bookmarkEnd w:id="146"/>
      <w:bookmarkEnd w:id="147"/>
      <w:r>
        <w:rPr>
          <w:rFonts w:hint="eastAsia" w:ascii="宋体" w:hAnsi="宋体" w:cs="宋体"/>
          <w:b/>
          <w:bCs/>
          <w:color w:val="auto"/>
          <w:sz w:val="24"/>
          <w:highlight w:val="none"/>
        </w:rPr>
        <w:t>中标单位</w:t>
      </w:r>
    </w:p>
    <w:p w14:paraId="76535E62">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8</w:t>
      </w:r>
      <w:r>
        <w:rPr>
          <w:rFonts w:hint="eastAsia" w:ascii="宋体" w:hAnsi="宋体"/>
          <w:bCs/>
          <w:color w:val="auto"/>
          <w:sz w:val="24"/>
          <w:szCs w:val="21"/>
          <w:highlight w:val="none"/>
        </w:rPr>
        <w:t xml:space="preserve">.1中标候选人的选取原则和数量见招标文件第五章规定。 </w:t>
      </w:r>
    </w:p>
    <w:p w14:paraId="2F09DF50">
      <w:pPr>
        <w:spacing w:line="276" w:lineRule="auto"/>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8</w:t>
      </w:r>
      <w:r>
        <w:rPr>
          <w:rFonts w:hint="eastAsia" w:ascii="宋体" w:hAnsi="宋体"/>
          <w:bCs/>
          <w:color w:val="auto"/>
          <w:sz w:val="24"/>
          <w:szCs w:val="21"/>
          <w:highlight w:val="none"/>
        </w:rPr>
        <w:t>.2 采购人应根据评委会推荐的中标候选人确定中标人。</w:t>
      </w:r>
    </w:p>
    <w:p w14:paraId="7F894F1F">
      <w:pPr>
        <w:spacing w:line="276" w:lineRule="auto"/>
        <w:ind w:firstLine="480" w:firstLineChars="200"/>
        <w:rPr>
          <w:rFonts w:ascii="宋体" w:hAnsi="宋体"/>
          <w:color w:val="auto"/>
          <w:sz w:val="24"/>
          <w:highlight w:val="none"/>
        </w:rPr>
      </w:pPr>
      <w:r>
        <w:rPr>
          <w:rFonts w:hint="eastAsia" w:ascii="宋体" w:hAnsi="宋体"/>
          <w:bCs/>
          <w:color w:val="auto"/>
          <w:sz w:val="24"/>
          <w:highlight w:val="none"/>
        </w:rPr>
        <w:t>2</w:t>
      </w:r>
      <w:r>
        <w:rPr>
          <w:rFonts w:ascii="宋体" w:hAnsi="宋体"/>
          <w:bCs/>
          <w:color w:val="auto"/>
          <w:sz w:val="24"/>
          <w:highlight w:val="none"/>
        </w:rPr>
        <w:t>8</w:t>
      </w:r>
      <w:r>
        <w:rPr>
          <w:rFonts w:hint="eastAsia" w:ascii="宋体" w:hAnsi="宋体"/>
          <w:bCs/>
          <w:color w:val="auto"/>
          <w:sz w:val="24"/>
          <w:highlight w:val="none"/>
        </w:rPr>
        <w:t xml:space="preserve">.3 </w:t>
      </w:r>
      <w:r>
        <w:rPr>
          <w:rFonts w:hint="eastAsia" w:ascii="宋体" w:hAnsi="宋体"/>
          <w:color w:val="auto"/>
          <w:sz w:val="24"/>
          <w:highlight w:val="none"/>
        </w:rPr>
        <w:t>采购代理机构将在“江苏政府采购网”发布中标公告，公告期限为1个工作日。</w:t>
      </w:r>
    </w:p>
    <w:p w14:paraId="33199C9F">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8</w:t>
      </w:r>
      <w:r>
        <w:rPr>
          <w:rFonts w:hint="eastAsia" w:ascii="宋体" w:hAnsi="宋体"/>
          <w:color w:val="auto"/>
          <w:sz w:val="24"/>
          <w:highlight w:val="none"/>
        </w:rPr>
        <w:t>.4 若有充分证据证明，中标人出现下列情况之一的，一经查实，将被取消中标资格：</w:t>
      </w:r>
    </w:p>
    <w:p w14:paraId="6D5EBB6B">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8</w:t>
      </w:r>
      <w:r>
        <w:rPr>
          <w:rFonts w:hint="eastAsia" w:ascii="宋体" w:hAnsi="宋体"/>
          <w:color w:val="auto"/>
          <w:sz w:val="24"/>
          <w:highlight w:val="none"/>
        </w:rPr>
        <w:t>.4.1 提供虚假材料谋取中标的。</w:t>
      </w:r>
    </w:p>
    <w:p w14:paraId="25AA676C">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8</w:t>
      </w:r>
      <w:r>
        <w:rPr>
          <w:rFonts w:hint="eastAsia" w:ascii="宋体" w:hAnsi="宋体"/>
          <w:color w:val="auto"/>
          <w:sz w:val="24"/>
          <w:highlight w:val="none"/>
        </w:rPr>
        <w:t>.4.2 向采购人、采购代理机构行贿或者提供其他不正当利益的。</w:t>
      </w:r>
    </w:p>
    <w:p w14:paraId="19C76F3B">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8</w:t>
      </w:r>
      <w:r>
        <w:rPr>
          <w:rFonts w:hint="eastAsia" w:ascii="宋体" w:hAnsi="宋体"/>
          <w:color w:val="auto"/>
          <w:sz w:val="24"/>
          <w:highlight w:val="none"/>
        </w:rPr>
        <w:t>.4.3 属于本文件规定的无效条件，但在评标过程中又未被评委会发现的。</w:t>
      </w:r>
    </w:p>
    <w:p w14:paraId="2F18C74F">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8</w:t>
      </w:r>
      <w:r>
        <w:rPr>
          <w:rFonts w:hint="eastAsia" w:ascii="宋体" w:hAnsi="宋体"/>
          <w:color w:val="auto"/>
          <w:sz w:val="24"/>
          <w:highlight w:val="none"/>
        </w:rPr>
        <w:t>.4.4 与采购人或者其他供应商恶意串通的。</w:t>
      </w:r>
    </w:p>
    <w:p w14:paraId="65E6F4C6">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8</w:t>
      </w:r>
      <w:r>
        <w:rPr>
          <w:rFonts w:hint="eastAsia" w:ascii="宋体" w:hAnsi="宋体"/>
          <w:color w:val="auto"/>
          <w:sz w:val="24"/>
          <w:highlight w:val="none"/>
        </w:rPr>
        <w:t>.4.5 采取不正当手段诋毁、排挤其他供应商的。</w:t>
      </w:r>
    </w:p>
    <w:p w14:paraId="2EEF8921">
      <w:pPr>
        <w:spacing w:line="276" w:lineRule="auto"/>
        <w:ind w:firstLine="480" w:firstLineChars="200"/>
        <w:rPr>
          <w:rFonts w:ascii="宋体" w:hAnsi="宋体"/>
          <w:color w:val="auto"/>
          <w:sz w:val="24"/>
          <w:highlight w:val="none"/>
        </w:rPr>
      </w:pPr>
      <w:bookmarkStart w:id="148" w:name="_Toc200451960"/>
      <w:r>
        <w:rPr>
          <w:rFonts w:hint="eastAsia" w:ascii="宋体" w:hAnsi="宋体"/>
          <w:color w:val="auto"/>
          <w:sz w:val="24"/>
          <w:highlight w:val="none"/>
        </w:rPr>
        <w:t>2</w:t>
      </w:r>
      <w:r>
        <w:rPr>
          <w:rFonts w:ascii="宋体" w:hAnsi="宋体"/>
          <w:color w:val="auto"/>
          <w:sz w:val="24"/>
          <w:highlight w:val="none"/>
        </w:rPr>
        <w:t>8</w:t>
      </w:r>
      <w:r>
        <w:rPr>
          <w:rFonts w:hint="eastAsia" w:ascii="宋体" w:hAnsi="宋体"/>
          <w:color w:val="auto"/>
          <w:sz w:val="24"/>
          <w:highlight w:val="none"/>
        </w:rPr>
        <w:t>.5</w:t>
      </w:r>
      <w:r>
        <w:rPr>
          <w:rFonts w:hint="eastAsia"/>
          <w:color w:val="auto"/>
          <w:szCs w:val="21"/>
          <w:highlight w:val="none"/>
        </w:rPr>
        <w:t xml:space="preserve"> </w:t>
      </w:r>
      <w:r>
        <w:rPr>
          <w:rFonts w:hAnsi="宋体" w:cs="宋体"/>
          <w:color w:val="auto"/>
          <w:sz w:val="24"/>
          <w:highlight w:val="none"/>
        </w:rPr>
        <w:t>有下列情形之一的，</w:t>
      </w:r>
      <w:r>
        <w:rPr>
          <w:rFonts w:hint="eastAsia" w:hAnsi="宋体" w:cs="宋体"/>
          <w:color w:val="auto"/>
          <w:sz w:val="24"/>
          <w:highlight w:val="none"/>
        </w:rPr>
        <w:t>视为投标人</w:t>
      </w:r>
      <w:r>
        <w:rPr>
          <w:rFonts w:hAnsi="宋体" w:cs="宋体"/>
          <w:color w:val="auto"/>
          <w:sz w:val="24"/>
          <w:highlight w:val="none"/>
        </w:rPr>
        <w:t>串通</w:t>
      </w:r>
      <w:r>
        <w:rPr>
          <w:rFonts w:hint="eastAsia" w:hAnsi="宋体" w:cs="宋体"/>
          <w:color w:val="auto"/>
          <w:sz w:val="24"/>
          <w:highlight w:val="none"/>
        </w:rPr>
        <w:t>投标，投标无效：</w:t>
      </w:r>
    </w:p>
    <w:p w14:paraId="42E1FA2B">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8</w:t>
      </w:r>
      <w:r>
        <w:rPr>
          <w:rFonts w:hint="eastAsia" w:ascii="宋体" w:hAnsi="宋体"/>
          <w:color w:val="auto"/>
          <w:sz w:val="24"/>
          <w:highlight w:val="none"/>
        </w:rPr>
        <w:t>.5.1 不同投标人的投标文件由同一单位或者个人编制（包含使用同一MAC 地址的计算机制作电子投标文件的情形）；</w:t>
      </w:r>
    </w:p>
    <w:p w14:paraId="310D6FF5">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8</w:t>
      </w:r>
      <w:r>
        <w:rPr>
          <w:rFonts w:hint="eastAsia" w:ascii="宋体" w:hAnsi="宋体"/>
          <w:color w:val="auto"/>
          <w:sz w:val="24"/>
          <w:highlight w:val="none"/>
        </w:rPr>
        <w:t>.5.2 不同投标人委托同一单位或者个人办理投标事宜（包含使用同一MAC 地址的计算机制作电子投标文件的情形）；</w:t>
      </w:r>
    </w:p>
    <w:p w14:paraId="3A3B1815">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8</w:t>
      </w:r>
      <w:r>
        <w:rPr>
          <w:rFonts w:hint="eastAsia" w:ascii="宋体" w:hAnsi="宋体"/>
          <w:color w:val="auto"/>
          <w:sz w:val="24"/>
          <w:highlight w:val="none"/>
        </w:rPr>
        <w:t>.5.3 不同投标人的投标文件载明的项目管理成员或者联系人员为同一人；</w:t>
      </w:r>
    </w:p>
    <w:p w14:paraId="02113551">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8</w:t>
      </w:r>
      <w:r>
        <w:rPr>
          <w:rFonts w:hint="eastAsia" w:ascii="宋体" w:hAnsi="宋体"/>
          <w:color w:val="auto"/>
          <w:sz w:val="24"/>
          <w:highlight w:val="none"/>
        </w:rPr>
        <w:t>.5.4 不同投标人的投标文件异常一致或者投标报价呈规律性差异；</w:t>
      </w:r>
    </w:p>
    <w:p w14:paraId="0DD73DC3">
      <w:pPr>
        <w:spacing w:before="161" w:beforeLines="50" w:line="276"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29、质疑处理</w:t>
      </w:r>
      <w:bookmarkEnd w:id="148"/>
    </w:p>
    <w:p w14:paraId="406E2D61">
      <w:pPr>
        <w:spacing w:line="276" w:lineRule="auto"/>
        <w:ind w:firstLine="480" w:firstLineChars="200"/>
        <w:rPr>
          <w:rFonts w:ascii="宋体" w:hAnsi="宋体"/>
          <w:color w:val="auto"/>
          <w:sz w:val="24"/>
          <w:highlight w:val="none"/>
        </w:rPr>
      </w:pPr>
      <w:r>
        <w:rPr>
          <w:rFonts w:ascii="宋体" w:hAnsi="宋体"/>
          <w:color w:val="auto"/>
          <w:sz w:val="24"/>
          <w:highlight w:val="none"/>
        </w:rPr>
        <w:t>29</w:t>
      </w:r>
      <w:r>
        <w:rPr>
          <w:rFonts w:hint="eastAsia" w:ascii="宋体" w:hAnsi="宋体"/>
          <w:color w:val="auto"/>
          <w:sz w:val="24"/>
          <w:highlight w:val="none"/>
        </w:rPr>
        <w:t>.1 提出质疑的供应商应当是参与所质疑项目采购活动的供应商。潜在供应商依法获取其可质疑的采购文件的，可以对采购文件提出质疑。</w:t>
      </w:r>
    </w:p>
    <w:p w14:paraId="1B0F7042">
      <w:pPr>
        <w:spacing w:line="276" w:lineRule="auto"/>
        <w:ind w:firstLine="480" w:firstLineChars="200"/>
        <w:rPr>
          <w:rFonts w:ascii="宋体" w:hAnsi="宋体"/>
          <w:color w:val="auto"/>
          <w:sz w:val="24"/>
          <w:highlight w:val="none"/>
        </w:rPr>
      </w:pPr>
      <w:r>
        <w:rPr>
          <w:rFonts w:ascii="宋体" w:hAnsi="宋体"/>
          <w:color w:val="auto"/>
          <w:sz w:val="24"/>
          <w:highlight w:val="none"/>
        </w:rPr>
        <w:t>29</w:t>
      </w:r>
      <w:r>
        <w:rPr>
          <w:rFonts w:hint="eastAsia" w:ascii="宋体" w:hAnsi="宋体"/>
          <w:color w:val="auto"/>
          <w:sz w:val="24"/>
          <w:highlight w:val="none"/>
        </w:rPr>
        <w:t>.2 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561D5847">
      <w:pPr>
        <w:spacing w:line="276" w:lineRule="auto"/>
        <w:ind w:firstLine="480" w:firstLineChars="200"/>
        <w:rPr>
          <w:rFonts w:hAnsi="宋体" w:cs="宋体"/>
          <w:color w:val="auto"/>
          <w:sz w:val="24"/>
          <w:highlight w:val="none"/>
        </w:rPr>
      </w:pPr>
      <w:r>
        <w:rPr>
          <w:rFonts w:ascii="宋体" w:hAnsi="宋体"/>
          <w:color w:val="auto"/>
          <w:sz w:val="24"/>
          <w:highlight w:val="none"/>
        </w:rPr>
        <w:t>29</w:t>
      </w:r>
      <w:r>
        <w:rPr>
          <w:rFonts w:hint="eastAsia" w:ascii="宋体" w:hAnsi="宋体"/>
          <w:color w:val="auto"/>
          <w:sz w:val="24"/>
          <w:highlight w:val="none"/>
        </w:rPr>
        <w:t>.2.1</w:t>
      </w:r>
      <w:r>
        <w:rPr>
          <w:rFonts w:hAnsi="宋体" w:cs="宋体"/>
          <w:color w:val="auto"/>
          <w:sz w:val="24"/>
          <w:highlight w:val="none"/>
        </w:rPr>
        <w:t>对可以质疑的采购文件提出质疑的，为收到采购文件之日或者采购文件公告期限届满之日；</w:t>
      </w:r>
      <w:r>
        <w:rPr>
          <w:rFonts w:hAnsi="宋体" w:cs="宋体"/>
          <w:color w:val="auto"/>
          <w:sz w:val="24"/>
          <w:highlight w:val="none"/>
        </w:rPr>
        <w:br w:type="textWrapping" w:clear="all"/>
      </w:r>
      <w:r>
        <w:rPr>
          <w:rFonts w:hAnsi="宋体" w:cs="宋体"/>
          <w:color w:val="auto"/>
          <w:sz w:val="24"/>
          <w:highlight w:val="none"/>
        </w:rPr>
        <w:t>　　</w:t>
      </w:r>
      <w:r>
        <w:rPr>
          <w:rFonts w:ascii="宋体" w:hAnsi="宋体"/>
          <w:color w:val="auto"/>
          <w:sz w:val="24"/>
          <w:highlight w:val="none"/>
        </w:rPr>
        <w:t>29</w:t>
      </w:r>
      <w:r>
        <w:rPr>
          <w:rFonts w:hint="eastAsia" w:ascii="宋体" w:hAnsi="宋体"/>
          <w:color w:val="auto"/>
          <w:sz w:val="24"/>
          <w:highlight w:val="none"/>
        </w:rPr>
        <w:t>.2.2</w:t>
      </w:r>
      <w:r>
        <w:rPr>
          <w:rFonts w:hAnsi="宋体" w:cs="宋体"/>
          <w:color w:val="auto"/>
          <w:sz w:val="24"/>
          <w:highlight w:val="none"/>
        </w:rPr>
        <w:t>对采购过程提出质疑的，为各采购程序环节结束之日；</w:t>
      </w:r>
      <w:r>
        <w:rPr>
          <w:rFonts w:hAnsi="宋体" w:cs="宋体"/>
          <w:color w:val="auto"/>
          <w:sz w:val="24"/>
          <w:highlight w:val="none"/>
        </w:rPr>
        <w:br w:type="textWrapping" w:clear="all"/>
      </w:r>
      <w:r>
        <w:rPr>
          <w:rFonts w:hAnsi="宋体" w:cs="宋体"/>
          <w:color w:val="auto"/>
          <w:sz w:val="24"/>
          <w:highlight w:val="none"/>
        </w:rPr>
        <w:t>　　</w:t>
      </w:r>
      <w:r>
        <w:rPr>
          <w:rFonts w:ascii="宋体" w:hAnsi="宋体"/>
          <w:color w:val="auto"/>
          <w:sz w:val="24"/>
          <w:highlight w:val="none"/>
        </w:rPr>
        <w:t>29</w:t>
      </w:r>
      <w:r>
        <w:rPr>
          <w:rFonts w:hint="eastAsia" w:ascii="宋体" w:hAnsi="宋体"/>
          <w:color w:val="auto"/>
          <w:sz w:val="24"/>
          <w:highlight w:val="none"/>
        </w:rPr>
        <w:t>.2.3</w:t>
      </w:r>
      <w:r>
        <w:rPr>
          <w:rFonts w:hAnsi="宋体" w:cs="宋体"/>
          <w:color w:val="auto"/>
          <w:sz w:val="24"/>
          <w:highlight w:val="none"/>
        </w:rPr>
        <w:t>对中标或者成交结果提出质疑的，为中标或者成交结果公告期限届满之日。</w:t>
      </w:r>
    </w:p>
    <w:p w14:paraId="798E145A">
      <w:pPr>
        <w:spacing w:line="276" w:lineRule="auto"/>
        <w:ind w:firstLine="480" w:firstLineChars="200"/>
        <w:rPr>
          <w:rFonts w:hAnsi="宋体" w:cs="宋体"/>
          <w:color w:val="auto"/>
          <w:sz w:val="24"/>
          <w:highlight w:val="none"/>
        </w:rPr>
      </w:pPr>
      <w:r>
        <w:rPr>
          <w:rFonts w:hint="eastAsia" w:hAnsi="宋体" w:cs="宋体"/>
          <w:color w:val="auto"/>
          <w:sz w:val="24"/>
          <w:highlight w:val="none"/>
        </w:rPr>
        <w:t>供应商应当在法定质疑期内一次性提出针对同一采购程序环节的质疑。供应商如在法定期限内对同一采购程序环节提出多次质疑的，采购代理机构、</w:t>
      </w:r>
      <w:r>
        <w:rPr>
          <w:rFonts w:hAnsi="宋体" w:cs="宋体"/>
          <w:color w:val="auto"/>
          <w:sz w:val="24"/>
          <w:highlight w:val="none"/>
        </w:rPr>
        <w:t>采购人</w:t>
      </w:r>
      <w:r>
        <w:rPr>
          <w:rFonts w:hint="eastAsia" w:hAnsi="宋体" w:cs="宋体"/>
          <w:color w:val="auto"/>
          <w:sz w:val="24"/>
          <w:highlight w:val="none"/>
        </w:rPr>
        <w:t>将只对供应商第一次质疑作出答复。</w:t>
      </w:r>
    </w:p>
    <w:p w14:paraId="17EDCA02">
      <w:pPr>
        <w:spacing w:line="276" w:lineRule="auto"/>
        <w:ind w:firstLine="480" w:firstLineChars="200"/>
        <w:rPr>
          <w:rFonts w:ascii="宋体" w:hAnsi="宋体"/>
          <w:color w:val="auto"/>
          <w:sz w:val="24"/>
          <w:highlight w:val="none"/>
        </w:rPr>
      </w:pPr>
      <w:r>
        <w:rPr>
          <w:rFonts w:ascii="宋体" w:hAnsi="宋体"/>
          <w:color w:val="auto"/>
          <w:sz w:val="24"/>
          <w:highlight w:val="none"/>
        </w:rPr>
        <w:t>29</w:t>
      </w:r>
      <w:r>
        <w:rPr>
          <w:rFonts w:hint="eastAsia" w:ascii="宋体" w:hAnsi="宋体"/>
          <w:color w:val="auto"/>
          <w:sz w:val="24"/>
          <w:highlight w:val="none"/>
        </w:rPr>
        <w:t>.3 质疑函必须按照本招标文件中《质疑函范本》要求的格式和内容进行填写。供应商如组成联合体参加投标，则《质疑函范本》中要求签字、盖章、加盖公章之处，联合体各方均须按要求签字、盖章、加盖公章。</w:t>
      </w:r>
    </w:p>
    <w:p w14:paraId="2D9E5F05">
      <w:pPr>
        <w:spacing w:line="276" w:lineRule="auto"/>
        <w:ind w:firstLine="480" w:firstLineChars="200"/>
        <w:rPr>
          <w:rFonts w:ascii="宋体" w:hAnsi="宋体"/>
          <w:b/>
          <w:color w:val="auto"/>
          <w:sz w:val="24"/>
          <w:highlight w:val="none"/>
        </w:rPr>
      </w:pPr>
      <w:r>
        <w:rPr>
          <w:rFonts w:ascii="宋体" w:hAnsi="宋体"/>
          <w:color w:val="auto"/>
          <w:sz w:val="24"/>
          <w:highlight w:val="none"/>
        </w:rPr>
        <w:t>29</w:t>
      </w:r>
      <w:r>
        <w:rPr>
          <w:rFonts w:hint="eastAsia" w:ascii="宋体" w:hAnsi="宋体"/>
          <w:color w:val="auto"/>
          <w:sz w:val="24"/>
          <w:highlight w:val="none"/>
        </w:rPr>
        <w:t>.4 供应商（含潜在</w:t>
      </w:r>
      <w:r>
        <w:rPr>
          <w:rFonts w:ascii="宋体" w:hAnsi="宋体"/>
          <w:color w:val="auto"/>
          <w:sz w:val="24"/>
          <w:highlight w:val="none"/>
        </w:rPr>
        <w:t>供应商</w:t>
      </w:r>
      <w:r>
        <w:rPr>
          <w:rFonts w:hint="eastAsia" w:ascii="宋体" w:hAnsi="宋体"/>
          <w:color w:val="auto"/>
          <w:sz w:val="24"/>
          <w:highlight w:val="none"/>
        </w:rPr>
        <w:t>）对与</w:t>
      </w:r>
      <w:r>
        <w:rPr>
          <w:rFonts w:ascii="宋体" w:hAnsi="宋体"/>
          <w:color w:val="auto"/>
          <w:sz w:val="24"/>
          <w:highlight w:val="none"/>
        </w:rPr>
        <w:t>本项目</w:t>
      </w:r>
      <w:r>
        <w:rPr>
          <w:rFonts w:hint="eastAsia" w:ascii="宋体" w:hAnsi="宋体"/>
          <w:color w:val="auto"/>
          <w:sz w:val="24"/>
          <w:highlight w:val="none"/>
        </w:rPr>
        <w:t>有关的</w:t>
      </w:r>
      <w:r>
        <w:rPr>
          <w:rFonts w:ascii="宋体" w:hAnsi="宋体"/>
          <w:color w:val="auto"/>
          <w:sz w:val="24"/>
          <w:highlight w:val="none"/>
        </w:rPr>
        <w:t>所有询问、质疑</w:t>
      </w:r>
      <w:r>
        <w:rPr>
          <w:rFonts w:hint="eastAsia" w:ascii="宋体" w:hAnsi="宋体"/>
          <w:color w:val="auto"/>
          <w:sz w:val="24"/>
          <w:highlight w:val="none"/>
        </w:rPr>
        <w:t>均</w:t>
      </w:r>
      <w:r>
        <w:rPr>
          <w:rFonts w:ascii="宋体" w:hAnsi="宋体"/>
          <w:color w:val="auto"/>
          <w:sz w:val="24"/>
          <w:highlight w:val="none"/>
        </w:rPr>
        <w:t>请向采购人提出，由采购人负责答复。</w:t>
      </w:r>
    </w:p>
    <w:p w14:paraId="016C0FC7">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采购人及采购代理机构只接收以纸质原件形式送达的质疑,建议供应商尽量通过邮寄方式提交质疑（采购人和采购代理机构不接受未填写快递运单的快件）。</w:t>
      </w:r>
    </w:p>
    <w:p w14:paraId="4643F27B">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采购代理机构质疑接收及联系方式见招标文件第一章</w:t>
      </w:r>
    </w:p>
    <w:p w14:paraId="7A57AC9B">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采购人质疑接收人及联系方式见招标文件第一章。</w:t>
      </w:r>
    </w:p>
    <w:p w14:paraId="627DE797">
      <w:pPr>
        <w:spacing w:line="276" w:lineRule="auto"/>
        <w:ind w:firstLine="480" w:firstLineChars="200"/>
        <w:rPr>
          <w:rFonts w:ascii="宋体" w:hAnsi="宋体"/>
          <w:color w:val="auto"/>
          <w:sz w:val="24"/>
          <w:highlight w:val="none"/>
        </w:rPr>
      </w:pPr>
      <w:r>
        <w:rPr>
          <w:rFonts w:ascii="宋体" w:hAnsi="宋体"/>
          <w:color w:val="auto"/>
          <w:sz w:val="24"/>
          <w:highlight w:val="none"/>
        </w:rPr>
        <w:t>29</w:t>
      </w:r>
      <w:r>
        <w:rPr>
          <w:rFonts w:hint="eastAsia" w:ascii="宋体" w:hAnsi="宋体"/>
          <w:color w:val="auto"/>
          <w:sz w:val="24"/>
          <w:highlight w:val="none"/>
        </w:rPr>
        <w:t>.5 以下情形的质疑不予受理</w:t>
      </w:r>
    </w:p>
    <w:p w14:paraId="0B4161F0">
      <w:pPr>
        <w:spacing w:line="276" w:lineRule="auto"/>
        <w:ind w:firstLine="480" w:firstLineChars="200"/>
        <w:rPr>
          <w:rFonts w:ascii="宋体" w:hAnsi="宋体"/>
          <w:color w:val="auto"/>
          <w:sz w:val="24"/>
          <w:highlight w:val="none"/>
        </w:rPr>
      </w:pPr>
      <w:r>
        <w:rPr>
          <w:rFonts w:ascii="宋体" w:hAnsi="宋体"/>
          <w:color w:val="auto"/>
          <w:sz w:val="24"/>
          <w:highlight w:val="none"/>
        </w:rPr>
        <w:t>29</w:t>
      </w:r>
      <w:r>
        <w:rPr>
          <w:rFonts w:hint="eastAsia" w:ascii="宋体" w:hAnsi="宋体"/>
          <w:color w:val="auto"/>
          <w:sz w:val="24"/>
          <w:highlight w:val="none"/>
        </w:rPr>
        <w:t>.5.1 内容不符合《政府采购质疑和投诉办法》第十二条规定的质疑。</w:t>
      </w:r>
    </w:p>
    <w:p w14:paraId="1E914C27">
      <w:pPr>
        <w:spacing w:line="276" w:lineRule="auto"/>
        <w:ind w:firstLine="480" w:firstLineChars="200"/>
        <w:rPr>
          <w:rFonts w:ascii="宋体" w:hAnsi="宋体"/>
          <w:color w:val="auto"/>
          <w:sz w:val="24"/>
          <w:highlight w:val="none"/>
        </w:rPr>
      </w:pPr>
      <w:r>
        <w:rPr>
          <w:rFonts w:ascii="宋体" w:hAnsi="宋体"/>
          <w:color w:val="auto"/>
          <w:sz w:val="24"/>
          <w:highlight w:val="none"/>
        </w:rPr>
        <w:t>29</w:t>
      </w:r>
      <w:r>
        <w:rPr>
          <w:rFonts w:hint="eastAsia" w:ascii="宋体" w:hAnsi="宋体"/>
          <w:color w:val="auto"/>
          <w:sz w:val="24"/>
          <w:highlight w:val="none"/>
        </w:rPr>
        <w:t>.5.2 超出政府采购法定期限的质疑。</w:t>
      </w:r>
    </w:p>
    <w:p w14:paraId="2005941C">
      <w:pPr>
        <w:spacing w:line="276" w:lineRule="auto"/>
        <w:ind w:firstLine="480" w:firstLineChars="200"/>
        <w:rPr>
          <w:rFonts w:ascii="宋体" w:hAnsi="宋体"/>
          <w:color w:val="auto"/>
          <w:sz w:val="24"/>
          <w:highlight w:val="none"/>
        </w:rPr>
      </w:pPr>
      <w:r>
        <w:rPr>
          <w:rFonts w:ascii="宋体" w:hAnsi="宋体"/>
          <w:color w:val="auto"/>
          <w:sz w:val="24"/>
          <w:highlight w:val="none"/>
        </w:rPr>
        <w:t>29</w:t>
      </w:r>
      <w:r>
        <w:rPr>
          <w:rFonts w:hint="eastAsia" w:ascii="宋体" w:hAnsi="宋体"/>
          <w:color w:val="auto"/>
          <w:sz w:val="24"/>
          <w:highlight w:val="none"/>
        </w:rPr>
        <w:t>.5.3 以传真、电子邮件等方式递交的非原件形式的质疑。</w:t>
      </w:r>
    </w:p>
    <w:p w14:paraId="36FB99E0">
      <w:pPr>
        <w:spacing w:line="276" w:lineRule="auto"/>
        <w:ind w:firstLine="480" w:firstLineChars="200"/>
        <w:rPr>
          <w:rFonts w:ascii="宋体" w:hAnsi="宋体"/>
          <w:color w:val="auto"/>
          <w:sz w:val="24"/>
          <w:highlight w:val="none"/>
        </w:rPr>
      </w:pPr>
      <w:r>
        <w:rPr>
          <w:rFonts w:ascii="宋体" w:hAnsi="宋体"/>
          <w:color w:val="auto"/>
          <w:sz w:val="24"/>
          <w:highlight w:val="none"/>
        </w:rPr>
        <w:t>29</w:t>
      </w:r>
      <w:r>
        <w:rPr>
          <w:rFonts w:hint="eastAsia" w:ascii="宋体" w:hAnsi="宋体"/>
          <w:color w:val="auto"/>
          <w:sz w:val="24"/>
          <w:highlight w:val="none"/>
        </w:rPr>
        <w:t>.5.4 未参加投标活动的供应商或在投标活动中自身权益未受到损害的供应商所提出的质疑。</w:t>
      </w:r>
    </w:p>
    <w:p w14:paraId="76DE0E1A">
      <w:pPr>
        <w:spacing w:line="276" w:lineRule="auto"/>
        <w:ind w:firstLine="480" w:firstLineChars="200"/>
        <w:rPr>
          <w:rFonts w:ascii="宋体" w:hAnsi="宋体"/>
          <w:color w:val="auto"/>
          <w:sz w:val="24"/>
          <w:highlight w:val="none"/>
        </w:rPr>
      </w:pPr>
      <w:r>
        <w:rPr>
          <w:rFonts w:ascii="宋体" w:hAnsi="宋体"/>
          <w:color w:val="auto"/>
          <w:sz w:val="24"/>
          <w:highlight w:val="none"/>
        </w:rPr>
        <w:t>29</w:t>
      </w:r>
      <w:r>
        <w:rPr>
          <w:rFonts w:hint="eastAsia" w:ascii="宋体" w:hAnsi="宋体"/>
          <w:color w:val="auto"/>
          <w:sz w:val="24"/>
          <w:highlight w:val="none"/>
        </w:rPr>
        <w:t>.5.5供应商组成联合体参加投标，联合体中任何一方或多方未按要求签字、盖章、加盖公章的质疑。</w:t>
      </w:r>
    </w:p>
    <w:p w14:paraId="192C7310">
      <w:pPr>
        <w:spacing w:line="276" w:lineRule="auto"/>
        <w:ind w:firstLine="480" w:firstLineChars="200"/>
        <w:rPr>
          <w:rFonts w:ascii="宋体" w:hAnsi="宋体"/>
          <w:color w:val="auto"/>
          <w:sz w:val="24"/>
          <w:highlight w:val="none"/>
        </w:rPr>
      </w:pPr>
      <w:r>
        <w:rPr>
          <w:rFonts w:ascii="宋体" w:hAnsi="宋体"/>
          <w:color w:val="auto"/>
          <w:sz w:val="24"/>
          <w:highlight w:val="none"/>
        </w:rPr>
        <w:t>29</w:t>
      </w:r>
      <w:r>
        <w:rPr>
          <w:rFonts w:hint="eastAsia" w:ascii="宋体" w:hAnsi="宋体"/>
          <w:color w:val="auto"/>
          <w:sz w:val="24"/>
          <w:highlight w:val="none"/>
        </w:rPr>
        <w:t>.6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28206E46">
      <w:pPr>
        <w:spacing w:before="161" w:beforeLines="50" w:line="276"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30、中标通知书</w:t>
      </w:r>
    </w:p>
    <w:p w14:paraId="5ED0E1ED">
      <w:pPr>
        <w:spacing w:line="276" w:lineRule="auto"/>
        <w:ind w:firstLine="480" w:firstLineChars="200"/>
        <w:rPr>
          <w:rFonts w:ascii="宋体" w:hAnsi="宋体"/>
          <w:color w:val="auto"/>
          <w:sz w:val="24"/>
          <w:highlight w:val="none"/>
        </w:rPr>
      </w:pPr>
      <w:r>
        <w:rPr>
          <w:rFonts w:ascii="宋体" w:hAnsi="宋体"/>
          <w:color w:val="auto"/>
          <w:sz w:val="24"/>
          <w:highlight w:val="none"/>
        </w:rPr>
        <w:t>30</w:t>
      </w:r>
      <w:r>
        <w:rPr>
          <w:rFonts w:hint="eastAsia" w:ascii="宋体" w:hAnsi="宋体"/>
          <w:color w:val="auto"/>
          <w:sz w:val="24"/>
          <w:highlight w:val="none"/>
        </w:rPr>
        <w:t>.l</w:t>
      </w:r>
      <w:r>
        <w:rPr>
          <w:rFonts w:hint="eastAsia" w:ascii="宋体" w:hAnsi="宋体"/>
          <w:b/>
          <w:color w:val="auto"/>
          <w:sz w:val="24"/>
          <w:highlight w:val="none"/>
        </w:rPr>
        <w:t xml:space="preserve"> </w:t>
      </w:r>
      <w:r>
        <w:rPr>
          <w:rFonts w:hint="eastAsia" w:ascii="宋体" w:hAnsi="宋体"/>
          <w:color w:val="auto"/>
          <w:sz w:val="24"/>
          <w:highlight w:val="none"/>
        </w:rPr>
        <w:t>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0CD92CD">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0</w:t>
      </w:r>
      <w:r>
        <w:rPr>
          <w:rFonts w:hint="eastAsia" w:ascii="宋体" w:hAnsi="宋体"/>
          <w:color w:val="auto"/>
          <w:sz w:val="24"/>
          <w:highlight w:val="none"/>
        </w:rPr>
        <w:t>.2中标通知书将是合同的一个组成部分。对采购人和中标供应商均具有法律效力。中标通知书发出后，采购人改变中标结果的，或者中标供应商放弃中标项目的，应当依法承担法律责任。</w:t>
      </w:r>
    </w:p>
    <w:p w14:paraId="21D358DF">
      <w:pPr>
        <w:spacing w:line="276" w:lineRule="auto"/>
        <w:rPr>
          <w:rFonts w:ascii="宋体" w:hAnsi="宋体" w:cs="宋体"/>
          <w:b/>
          <w:bCs/>
          <w:color w:val="auto"/>
          <w:sz w:val="24"/>
          <w:highlight w:val="none"/>
        </w:rPr>
      </w:pPr>
      <w:bookmarkStart w:id="149" w:name="_Toc120614220"/>
      <w:bookmarkStart w:id="150" w:name="_Toc20823308"/>
      <w:bookmarkStart w:id="151" w:name="_Toc513029236"/>
      <w:bookmarkStart w:id="152" w:name="_Toc16938552"/>
    </w:p>
    <w:p w14:paraId="6EB27F4C">
      <w:pPr>
        <w:spacing w:line="276" w:lineRule="auto"/>
        <w:outlineLvl w:val="1"/>
        <w:rPr>
          <w:rFonts w:ascii="宋体" w:hAnsi="宋体" w:cs="宋体"/>
          <w:b/>
          <w:bCs/>
          <w:color w:val="auto"/>
          <w:sz w:val="24"/>
          <w:highlight w:val="none"/>
        </w:rPr>
      </w:pPr>
      <w:bookmarkStart w:id="153" w:name="_Toc184129776"/>
      <w:r>
        <w:rPr>
          <w:rFonts w:hint="eastAsia" w:ascii="宋体" w:hAnsi="宋体" w:cs="宋体"/>
          <w:b/>
          <w:bCs/>
          <w:color w:val="auto"/>
          <w:sz w:val="24"/>
          <w:highlight w:val="none"/>
        </w:rPr>
        <w:t>七、授予合同</w:t>
      </w:r>
      <w:bookmarkEnd w:id="149"/>
      <w:bookmarkEnd w:id="153"/>
    </w:p>
    <w:bookmarkEnd w:id="150"/>
    <w:bookmarkEnd w:id="151"/>
    <w:bookmarkEnd w:id="152"/>
    <w:p w14:paraId="21958E90">
      <w:pPr>
        <w:spacing w:before="161" w:beforeLines="50" w:line="276" w:lineRule="auto"/>
        <w:ind w:firstLine="482" w:firstLineChars="200"/>
        <w:rPr>
          <w:rFonts w:ascii="宋体" w:hAnsi="宋体" w:cs="宋体"/>
          <w:b/>
          <w:bCs/>
          <w:color w:val="auto"/>
          <w:sz w:val="24"/>
          <w:highlight w:val="none"/>
        </w:rPr>
      </w:pPr>
      <w:bookmarkStart w:id="154" w:name="_Toc20823309"/>
      <w:bookmarkStart w:id="155" w:name="_Toc16938553"/>
      <w:bookmarkStart w:id="156" w:name="_Toc513029237"/>
      <w:r>
        <w:rPr>
          <w:rFonts w:hint="eastAsia" w:ascii="宋体" w:hAnsi="宋体" w:cs="宋体"/>
          <w:b/>
          <w:bCs/>
          <w:color w:val="auto"/>
          <w:sz w:val="24"/>
          <w:highlight w:val="none"/>
        </w:rPr>
        <w:t>31. 签订合同</w:t>
      </w:r>
    </w:p>
    <w:p w14:paraId="323652EE">
      <w:pPr>
        <w:spacing w:line="276" w:lineRule="auto"/>
        <w:ind w:firstLine="480" w:firstLineChars="200"/>
        <w:rPr>
          <w:rFonts w:ascii="宋体" w:hAnsi="宋体"/>
          <w:color w:val="auto"/>
          <w:sz w:val="24"/>
          <w:highlight w:val="none"/>
        </w:rPr>
      </w:pPr>
      <w:r>
        <w:rPr>
          <w:rFonts w:hint="eastAsia" w:ascii="宋体" w:hAnsi="宋体"/>
          <w:bCs/>
          <w:color w:val="auto"/>
          <w:sz w:val="24"/>
          <w:highlight w:val="none"/>
        </w:rPr>
        <w:t>3</w:t>
      </w:r>
      <w:r>
        <w:rPr>
          <w:rFonts w:ascii="宋体" w:hAnsi="宋体"/>
          <w:bCs/>
          <w:color w:val="auto"/>
          <w:sz w:val="24"/>
          <w:highlight w:val="none"/>
        </w:rPr>
        <w:t>1</w:t>
      </w:r>
      <w:r>
        <w:rPr>
          <w:rFonts w:hint="eastAsia" w:ascii="宋体" w:hAnsi="宋体"/>
          <w:color w:val="auto"/>
          <w:sz w:val="24"/>
          <w:highlight w:val="none"/>
        </w:rPr>
        <w:t>.l中标人应当在中标通知书发出之日起三十日内，按照招标文件确定的事项与采购人签订政府采购合同。</w:t>
      </w:r>
    </w:p>
    <w:p w14:paraId="2B7B19FD">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1</w:t>
      </w:r>
      <w:r>
        <w:rPr>
          <w:rFonts w:hint="eastAsia" w:ascii="宋体" w:hAnsi="宋体"/>
          <w:color w:val="auto"/>
          <w:sz w:val="24"/>
          <w:highlight w:val="none"/>
        </w:rPr>
        <w:t>.2</w:t>
      </w:r>
      <w:r>
        <w:rPr>
          <w:rFonts w:hint="eastAsia" w:ascii="宋体" w:hAnsi="宋体"/>
          <w:b/>
          <w:color w:val="auto"/>
          <w:sz w:val="24"/>
          <w:highlight w:val="none"/>
        </w:rPr>
        <w:t xml:space="preserve"> </w:t>
      </w:r>
      <w:r>
        <w:rPr>
          <w:rFonts w:hint="eastAsia" w:ascii="宋体" w:hAnsi="宋体"/>
          <w:color w:val="auto"/>
          <w:sz w:val="24"/>
          <w:highlight w:val="none"/>
        </w:rPr>
        <w:t>招标文件、中标人的投标文件及招标过程中有关澄清、承诺文件均应作为合同附件。</w:t>
      </w:r>
    </w:p>
    <w:p w14:paraId="1D8EFE37">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31.3 签订合同后，</w:t>
      </w:r>
      <w:r>
        <w:rPr>
          <w:rFonts w:hint="eastAsia" w:ascii="宋体" w:hAnsi="宋体"/>
          <w:b/>
          <w:bCs/>
          <w:i/>
          <w:color w:val="auto"/>
          <w:sz w:val="24"/>
          <w:highlight w:val="none"/>
          <w:u w:val="single"/>
        </w:rPr>
        <w:t>中标人不得将合同标的进行转包</w:t>
      </w:r>
      <w:r>
        <w:rPr>
          <w:rFonts w:hint="eastAsia" w:ascii="宋体" w:hAnsi="宋体"/>
          <w:color w:val="auto"/>
          <w:sz w:val="24"/>
          <w:highlight w:val="none"/>
        </w:rPr>
        <w:t>。未经采购人同意，中标人也不得采用分包的形式履行合同，否则采购人有权终止合同。转包或分包造成采购人损失的，中标人应承担相应赔偿责任。</w:t>
      </w:r>
    </w:p>
    <w:p w14:paraId="07109A1A">
      <w:pPr>
        <w:spacing w:before="161" w:beforeLines="50" w:line="276"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32、货物（包含与货物相关的服务）的追加</w:t>
      </w:r>
    </w:p>
    <w:p w14:paraId="1A02E801">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bookmarkEnd w:id="154"/>
    <w:bookmarkEnd w:id="155"/>
    <w:bookmarkEnd w:id="156"/>
    <w:p w14:paraId="1C3CD85C">
      <w:pPr>
        <w:spacing w:before="161" w:beforeLines="50" w:line="276"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33、政府采购履约资金扶持政策</w:t>
      </w:r>
    </w:p>
    <w:p w14:paraId="12237CBA">
      <w:pPr>
        <w:spacing w:line="276" w:lineRule="auto"/>
        <w:ind w:firstLine="480" w:firstLineChars="200"/>
        <w:rPr>
          <w:rFonts w:ascii="宋体" w:hAnsi="宋体"/>
          <w:color w:val="auto"/>
          <w:sz w:val="24"/>
          <w:highlight w:val="none"/>
        </w:rPr>
      </w:pPr>
      <w:r>
        <w:rPr>
          <w:rFonts w:hint="eastAsia" w:ascii="宋体" w:hAnsi="宋体"/>
          <w:color w:val="auto"/>
          <w:sz w:val="24"/>
          <w:highlight w:val="none"/>
        </w:rPr>
        <w:t>中标供应商可凭政府采购合同办理融资贷款，详情请见江苏政府采购网“政采贷”专栏。</w:t>
      </w:r>
    </w:p>
    <w:p w14:paraId="24B9CFCC">
      <w:pPr>
        <w:spacing w:line="276" w:lineRule="auto"/>
        <w:ind w:firstLine="420" w:firstLineChars="200"/>
        <w:rPr>
          <w:rFonts w:ascii="宋体" w:hAnsi="宋体" w:cs="宋体"/>
          <w:color w:val="auto"/>
          <w:szCs w:val="21"/>
          <w:highlight w:val="none"/>
        </w:rPr>
      </w:pPr>
    </w:p>
    <w:p w14:paraId="2D3BF1E6">
      <w:pPr>
        <w:widowControl/>
        <w:spacing w:line="276" w:lineRule="auto"/>
        <w:jc w:val="center"/>
        <w:outlineLvl w:val="0"/>
        <w:rPr>
          <w:rFonts w:ascii="宋体" w:hAnsi="宋体" w:cs="宋体"/>
          <w:b/>
          <w:color w:val="auto"/>
          <w:sz w:val="24"/>
          <w:highlight w:val="none"/>
        </w:rPr>
      </w:pPr>
      <w:r>
        <w:rPr>
          <w:rFonts w:hint="eastAsia" w:ascii="宋体" w:hAnsi="宋体" w:cs="宋体"/>
          <w:color w:val="auto"/>
          <w:szCs w:val="21"/>
          <w:highlight w:val="none"/>
        </w:rPr>
        <w:br w:type="page"/>
      </w:r>
      <w:bookmarkStart w:id="157" w:name="_Toc17709"/>
      <w:bookmarkStart w:id="158" w:name="_Toc29020"/>
      <w:r>
        <w:rPr>
          <w:rFonts w:hint="eastAsia" w:ascii="宋体" w:hAnsi="宋体" w:cs="宋体"/>
          <w:b/>
          <w:color w:val="auto"/>
          <w:sz w:val="32"/>
          <w:szCs w:val="32"/>
          <w:highlight w:val="none"/>
        </w:rPr>
        <w:t>第三章  合同文本</w:t>
      </w:r>
      <w:bookmarkEnd w:id="157"/>
      <w:bookmarkEnd w:id="158"/>
    </w:p>
    <w:p w14:paraId="00FEA7EA">
      <w:pPr>
        <w:ind w:firstLine="480" w:firstLineChars="200"/>
        <w:jc w:val="left"/>
        <w:rPr>
          <w:rFonts w:ascii="宋体" w:hAnsi="宋体"/>
          <w:color w:val="auto"/>
          <w:sz w:val="24"/>
          <w:highlight w:val="none"/>
        </w:rPr>
      </w:pPr>
      <w:r>
        <w:rPr>
          <w:rFonts w:hint="eastAsia" w:ascii="宋体" w:hAnsi="宋体"/>
          <w:color w:val="auto"/>
          <w:sz w:val="24"/>
          <w:highlight w:val="none"/>
        </w:rPr>
        <w:t>（注：本合同仅为框架性条款，中标后需按招标文件及投标文件情况进行细化，招标文件、投标文件及本条款均作为合同的重要组成部分）</w:t>
      </w:r>
    </w:p>
    <w:p w14:paraId="6AB12AEF">
      <w:pPr>
        <w:jc w:val="center"/>
        <w:rPr>
          <w:color w:val="auto"/>
          <w:sz w:val="24"/>
          <w:highlight w:val="none"/>
        </w:rPr>
      </w:pPr>
    </w:p>
    <w:p w14:paraId="27B17347">
      <w:pPr>
        <w:spacing w:line="440" w:lineRule="exact"/>
        <w:rPr>
          <w:rFonts w:ascii="仿宋" w:hAnsi="仿宋" w:eastAsia="仿宋" w:cs="仿宋"/>
          <w:color w:val="auto"/>
          <w:sz w:val="24"/>
          <w:highlight w:val="none"/>
          <w:u w:val="single"/>
        </w:rPr>
      </w:pPr>
      <w:r>
        <w:rPr>
          <w:rFonts w:hint="eastAsia" w:ascii="仿宋" w:hAnsi="仿宋" w:eastAsia="仿宋" w:cs="仿宋"/>
          <w:b/>
          <w:color w:val="auto"/>
          <w:sz w:val="24"/>
          <w:highlight w:val="none"/>
        </w:rPr>
        <w:t>甲方</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b/>
          <w:color w:val="auto"/>
          <w:sz w:val="24"/>
          <w:highlight w:val="none"/>
          <w:u w:val="single"/>
        </w:rPr>
        <w:t xml:space="preserve">   </w:t>
      </w:r>
      <w:r>
        <w:rPr>
          <w:rFonts w:hint="eastAsia" w:ascii="仿宋" w:hAnsi="仿宋" w:eastAsia="仿宋" w:cs="仿宋"/>
          <w:b/>
          <w:color w:val="auto"/>
          <w:sz w:val="24"/>
          <w:highlight w:val="none"/>
        </w:rPr>
        <w:t xml:space="preserve">  </w:t>
      </w:r>
      <w:r>
        <w:rPr>
          <w:rFonts w:hint="eastAsia" w:ascii="仿宋" w:hAnsi="仿宋" w:eastAsia="仿宋" w:cs="仿宋"/>
          <w:color w:val="auto"/>
          <w:sz w:val="24"/>
          <w:highlight w:val="none"/>
        </w:rPr>
        <w:t xml:space="preserve">                     </w:t>
      </w:r>
      <w:r>
        <w:rPr>
          <w:rFonts w:hint="eastAsia" w:ascii="仿宋" w:hAnsi="仿宋" w:eastAsia="仿宋" w:cs="仿宋"/>
          <w:b/>
          <w:color w:val="auto"/>
          <w:sz w:val="24"/>
          <w:highlight w:val="none"/>
        </w:rPr>
        <w:t>乙方</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b/>
          <w:color w:val="auto"/>
          <w:sz w:val="24"/>
          <w:highlight w:val="none"/>
          <w:u w:val="single"/>
        </w:rPr>
        <w:t xml:space="preserve">                     </w:t>
      </w:r>
      <w:r>
        <w:rPr>
          <w:rFonts w:hint="eastAsia" w:ascii="仿宋" w:hAnsi="仿宋" w:eastAsia="仿宋" w:cs="仿宋"/>
          <w:color w:val="auto"/>
          <w:sz w:val="24"/>
          <w:highlight w:val="none"/>
          <w:u w:val="single"/>
        </w:rPr>
        <w:t xml:space="preserve"> </w:t>
      </w:r>
    </w:p>
    <w:p w14:paraId="5C66FB5B">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甲乙双方根据《中华人民共和国民法典》，在平等互利、协商一致的基础上，达成以下设备维保服务合同：</w:t>
      </w:r>
    </w:p>
    <w:p w14:paraId="30EC7269">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一、合同期限：</w:t>
      </w:r>
    </w:p>
    <w:p w14:paraId="0EFB8FC8">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保修期自</w:t>
      </w:r>
      <w:r>
        <w:rPr>
          <w:rFonts w:hint="eastAsia" w:ascii="仿宋" w:hAnsi="仿宋" w:eastAsia="仿宋" w:cs="仿宋"/>
          <w:color w:val="auto"/>
          <w:sz w:val="24"/>
          <w:highlight w:val="none"/>
          <w:u w:val="single"/>
        </w:rPr>
        <w:t>XXXX年XXXX月XXXX日</w:t>
      </w:r>
      <w:r>
        <w:rPr>
          <w:rFonts w:hint="eastAsia" w:ascii="仿宋" w:hAnsi="仿宋" w:eastAsia="仿宋" w:cs="仿宋"/>
          <w:color w:val="auto"/>
          <w:sz w:val="24"/>
          <w:highlight w:val="none"/>
        </w:rPr>
        <w:t>至</w:t>
      </w:r>
      <w:r>
        <w:rPr>
          <w:rFonts w:hint="eastAsia" w:ascii="仿宋" w:hAnsi="仿宋" w:eastAsia="仿宋" w:cs="仿宋"/>
          <w:color w:val="auto"/>
          <w:sz w:val="24"/>
          <w:highlight w:val="none"/>
          <w:u w:val="single"/>
        </w:rPr>
        <w:t>XXXX年XXXX月XXXX日</w:t>
      </w:r>
      <w:r>
        <w:rPr>
          <w:rFonts w:hint="eastAsia" w:ascii="仿宋" w:hAnsi="仿宋" w:eastAsia="仿宋" w:cs="仿宋"/>
          <w:color w:val="auto"/>
          <w:sz w:val="24"/>
          <w:highlight w:val="none"/>
        </w:rPr>
        <w:t>。</w:t>
      </w:r>
    </w:p>
    <w:p w14:paraId="562B47A4">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若由于该设备停止使用的原因，甲方需要解除该合同，甲方可提前30日以书面形式通知乙方，确认设备停用时间，在合同有效期内提前解除合同，费用结算至确认的设备停用时间，当期合同价款按天计算。</w:t>
      </w:r>
    </w:p>
    <w:p w14:paraId="58695A13">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如乙方在维保服务期间和医院合作良好，经双方协商该合同可续保壹年，最长不超过叁年。</w:t>
      </w:r>
    </w:p>
    <w:p w14:paraId="37CCD791">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二、维保服务设备：</w:t>
      </w:r>
    </w:p>
    <w:tbl>
      <w:tblPr>
        <w:tblStyle w:val="30"/>
        <w:tblW w:w="9432"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7"/>
        <w:gridCol w:w="1984"/>
        <w:gridCol w:w="992"/>
        <w:gridCol w:w="993"/>
        <w:gridCol w:w="1701"/>
        <w:gridCol w:w="1134"/>
        <w:gridCol w:w="1351"/>
      </w:tblGrid>
      <w:tr w14:paraId="46810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7" w:type="dxa"/>
            <w:vAlign w:val="center"/>
          </w:tcPr>
          <w:p w14:paraId="72CB2DBB">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设备名称</w:t>
            </w:r>
          </w:p>
        </w:tc>
        <w:tc>
          <w:tcPr>
            <w:tcW w:w="1984" w:type="dxa"/>
            <w:vAlign w:val="center"/>
          </w:tcPr>
          <w:p w14:paraId="57D2A574">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品牌、规格</w:t>
            </w:r>
          </w:p>
          <w:p w14:paraId="7FF22B88">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型号</w:t>
            </w:r>
          </w:p>
        </w:tc>
        <w:tc>
          <w:tcPr>
            <w:tcW w:w="992" w:type="dxa"/>
            <w:vAlign w:val="center"/>
          </w:tcPr>
          <w:p w14:paraId="13091D6E">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序列号</w:t>
            </w:r>
          </w:p>
        </w:tc>
        <w:tc>
          <w:tcPr>
            <w:tcW w:w="993" w:type="dxa"/>
            <w:vAlign w:val="center"/>
          </w:tcPr>
          <w:p w14:paraId="0AF246D1">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数量</w:t>
            </w:r>
          </w:p>
        </w:tc>
        <w:tc>
          <w:tcPr>
            <w:tcW w:w="1701" w:type="dxa"/>
            <w:vAlign w:val="center"/>
          </w:tcPr>
          <w:p w14:paraId="0DDEA29F">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单位</w:t>
            </w:r>
          </w:p>
        </w:tc>
        <w:tc>
          <w:tcPr>
            <w:tcW w:w="1134" w:type="dxa"/>
            <w:vAlign w:val="center"/>
          </w:tcPr>
          <w:p w14:paraId="6A7CDE83">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维保</w:t>
            </w:r>
          </w:p>
          <w:p w14:paraId="5C6BB52E">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单价（元</w:t>
            </w:r>
            <w:r>
              <w:rPr>
                <w:rFonts w:hint="eastAsia" w:ascii="仿宋" w:hAnsi="仿宋" w:eastAsia="仿宋" w:cs="仿宋"/>
                <w:color w:val="auto"/>
                <w:sz w:val="24"/>
                <w:highlight w:val="none"/>
              </w:rPr>
              <w:t>）</w:t>
            </w:r>
          </w:p>
        </w:tc>
        <w:tc>
          <w:tcPr>
            <w:tcW w:w="1351" w:type="dxa"/>
            <w:vAlign w:val="center"/>
          </w:tcPr>
          <w:p w14:paraId="11E29D5B">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维保年限</w:t>
            </w:r>
          </w:p>
        </w:tc>
      </w:tr>
      <w:tr w14:paraId="62736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277" w:type="dxa"/>
          </w:tcPr>
          <w:p w14:paraId="6C91E94E">
            <w:pPr>
              <w:spacing w:line="440" w:lineRule="exact"/>
              <w:jc w:val="center"/>
              <w:rPr>
                <w:rFonts w:ascii="仿宋" w:hAnsi="仿宋" w:eastAsia="仿宋" w:cs="仿宋"/>
                <w:color w:val="auto"/>
                <w:sz w:val="24"/>
                <w:highlight w:val="none"/>
              </w:rPr>
            </w:pPr>
          </w:p>
        </w:tc>
        <w:tc>
          <w:tcPr>
            <w:tcW w:w="1984" w:type="dxa"/>
          </w:tcPr>
          <w:p w14:paraId="6B648368">
            <w:pPr>
              <w:spacing w:line="440" w:lineRule="exact"/>
              <w:jc w:val="center"/>
              <w:rPr>
                <w:rFonts w:ascii="仿宋" w:hAnsi="仿宋" w:eastAsia="仿宋" w:cs="仿宋"/>
                <w:color w:val="auto"/>
                <w:sz w:val="24"/>
                <w:highlight w:val="none"/>
              </w:rPr>
            </w:pPr>
          </w:p>
        </w:tc>
        <w:tc>
          <w:tcPr>
            <w:tcW w:w="992" w:type="dxa"/>
          </w:tcPr>
          <w:p w14:paraId="1BC5073B">
            <w:pPr>
              <w:spacing w:line="440" w:lineRule="exact"/>
              <w:rPr>
                <w:rFonts w:ascii="仿宋" w:hAnsi="仿宋" w:eastAsia="仿宋" w:cs="仿宋"/>
                <w:color w:val="auto"/>
                <w:sz w:val="24"/>
                <w:highlight w:val="none"/>
              </w:rPr>
            </w:pPr>
          </w:p>
        </w:tc>
        <w:tc>
          <w:tcPr>
            <w:tcW w:w="993" w:type="dxa"/>
          </w:tcPr>
          <w:p w14:paraId="6CA0B02F">
            <w:pPr>
              <w:spacing w:line="440" w:lineRule="exact"/>
              <w:ind w:firstLine="240"/>
              <w:jc w:val="center"/>
              <w:rPr>
                <w:rFonts w:ascii="仿宋" w:hAnsi="仿宋" w:eastAsia="仿宋" w:cs="仿宋"/>
                <w:color w:val="auto"/>
                <w:sz w:val="24"/>
                <w:highlight w:val="none"/>
              </w:rPr>
            </w:pPr>
          </w:p>
        </w:tc>
        <w:tc>
          <w:tcPr>
            <w:tcW w:w="1701" w:type="dxa"/>
          </w:tcPr>
          <w:p w14:paraId="0C4BAAEF">
            <w:pPr>
              <w:spacing w:line="440" w:lineRule="exact"/>
              <w:jc w:val="center"/>
              <w:rPr>
                <w:rFonts w:ascii="仿宋" w:hAnsi="仿宋" w:eastAsia="仿宋" w:cs="仿宋"/>
                <w:color w:val="auto"/>
                <w:sz w:val="24"/>
                <w:highlight w:val="none"/>
              </w:rPr>
            </w:pPr>
          </w:p>
        </w:tc>
        <w:tc>
          <w:tcPr>
            <w:tcW w:w="1134" w:type="dxa"/>
          </w:tcPr>
          <w:p w14:paraId="29C3D6C4">
            <w:pPr>
              <w:spacing w:line="440" w:lineRule="exact"/>
              <w:jc w:val="center"/>
              <w:rPr>
                <w:rFonts w:ascii="仿宋" w:hAnsi="仿宋" w:eastAsia="仿宋" w:cs="仿宋"/>
                <w:color w:val="auto"/>
                <w:sz w:val="24"/>
                <w:highlight w:val="none"/>
              </w:rPr>
            </w:pPr>
          </w:p>
        </w:tc>
        <w:tc>
          <w:tcPr>
            <w:tcW w:w="1351" w:type="dxa"/>
          </w:tcPr>
          <w:p w14:paraId="29AB65E4">
            <w:pPr>
              <w:spacing w:line="440" w:lineRule="exact"/>
              <w:jc w:val="center"/>
              <w:rPr>
                <w:rFonts w:ascii="仿宋" w:hAnsi="仿宋" w:eastAsia="仿宋" w:cs="仿宋"/>
                <w:color w:val="auto"/>
                <w:sz w:val="24"/>
                <w:highlight w:val="none"/>
              </w:rPr>
            </w:pPr>
          </w:p>
        </w:tc>
      </w:tr>
      <w:tr w14:paraId="373A0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9432" w:type="dxa"/>
            <w:gridSpan w:val="7"/>
            <w:vAlign w:val="center"/>
          </w:tcPr>
          <w:p w14:paraId="5DE61674">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合计（大写）：（人民币）              小写：￥              元</w:t>
            </w:r>
          </w:p>
          <w:p w14:paraId="02281462">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本价格包含运输、包装、安装、人工以及税费等全部费用，甲方无须支付其他任何费用。 </w:t>
            </w:r>
          </w:p>
        </w:tc>
      </w:tr>
      <w:tr w14:paraId="797CC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277" w:type="dxa"/>
            <w:vAlign w:val="center"/>
          </w:tcPr>
          <w:p w14:paraId="1334C4CF">
            <w:pPr>
              <w:spacing w:line="44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使用科室</w:t>
            </w:r>
          </w:p>
        </w:tc>
        <w:tc>
          <w:tcPr>
            <w:tcW w:w="8155" w:type="dxa"/>
            <w:gridSpan w:val="6"/>
            <w:vAlign w:val="center"/>
          </w:tcPr>
          <w:p w14:paraId="1C2FA69A">
            <w:pPr>
              <w:spacing w:line="440" w:lineRule="exact"/>
              <w:rPr>
                <w:rFonts w:ascii="仿宋" w:hAnsi="仿宋" w:eastAsia="仿宋" w:cs="仿宋"/>
                <w:b/>
                <w:color w:val="auto"/>
                <w:sz w:val="24"/>
                <w:highlight w:val="none"/>
              </w:rPr>
            </w:pPr>
          </w:p>
        </w:tc>
      </w:tr>
    </w:tbl>
    <w:p w14:paraId="4623B350">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三、付款方式</w:t>
      </w:r>
    </w:p>
    <w:p w14:paraId="5BDD3F92">
      <w:pPr>
        <w:spacing w:line="440" w:lineRule="exact"/>
        <w:ind w:firstLine="480"/>
        <w:rPr>
          <w:rFonts w:ascii="仿宋" w:hAnsi="仿宋" w:eastAsia="仿宋" w:cs="仿宋"/>
          <w:color w:val="auto"/>
          <w:sz w:val="24"/>
          <w:highlight w:val="none"/>
        </w:rPr>
      </w:pPr>
      <w:bookmarkStart w:id="159" w:name="_Hlk184061930"/>
      <w:r>
        <w:rPr>
          <w:rFonts w:hint="eastAsia" w:ascii="仿宋" w:hAnsi="仿宋" w:eastAsia="仿宋" w:cs="仿宋"/>
          <w:color w:val="auto"/>
          <w:sz w:val="24"/>
          <w:highlight w:val="none"/>
        </w:rPr>
        <w:t>1、甲方对乙方实行年度考核，每年度得分在90分及以上全额支付当期保修款，具体考核方案见《医疗设备保修服务考核表》，达到考核要求，按约定时间付款，乙方须在约定时间前一个月开具合法有效的发票并经由甲方临床医学工程处工程师和使用科室签字确认，如果乙方未提供合法有效的发票，则甲方有权拒绝支付该部分费用，因此产生的一切损失由乙方自行承担。</w:t>
      </w:r>
      <w:bookmarkEnd w:id="159"/>
    </w:p>
    <w:p w14:paraId="2B3D51F6">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2、付款时间表：</w:t>
      </w:r>
    </w:p>
    <w:p w14:paraId="66A847F2">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合同为固定单价合同，合同价款不因国家税率变更而更改。</w:t>
      </w:r>
    </w:p>
    <w:p w14:paraId="7200FEA5">
      <w:pPr>
        <w:widowControl/>
        <w:spacing w:line="440" w:lineRule="exact"/>
        <w:ind w:firstLine="480"/>
        <w:jc w:val="left"/>
        <w:rPr>
          <w:rFonts w:ascii="仿宋" w:hAnsi="仿宋" w:eastAsia="仿宋" w:cs="仿宋"/>
          <w:color w:val="auto"/>
          <w:sz w:val="24"/>
          <w:highlight w:val="none"/>
          <w:u w:val="single"/>
        </w:rPr>
      </w:pPr>
      <w:r>
        <w:rPr>
          <w:rFonts w:hint="eastAsia" w:ascii="仿宋" w:hAnsi="仿宋" w:eastAsia="仿宋" w:cs="仿宋"/>
          <w:color w:val="auto"/>
          <w:sz w:val="24"/>
          <w:highlight w:val="none"/>
        </w:rPr>
        <w:t>合同总价</w:t>
      </w:r>
      <w:bookmarkStart w:id="160" w:name="_Hlk184062102"/>
      <w:r>
        <w:rPr>
          <w:rFonts w:hint="eastAsia" w:ascii="仿宋" w:hAnsi="仿宋" w:eastAsia="仿宋" w:cs="仿宋"/>
          <w:color w:val="auto"/>
          <w:sz w:val="24"/>
          <w:highlight w:val="none"/>
        </w:rPr>
        <w:t>（人民币）</w:t>
      </w:r>
      <w:r>
        <w:rPr>
          <w:rFonts w:hint="eastAsia" w:ascii="仿宋" w:hAnsi="仿宋" w:eastAsia="仿宋" w:cs="仿宋"/>
          <w:color w:val="auto"/>
          <w:sz w:val="24"/>
          <w:highlight w:val="none"/>
          <w:u w:val="single"/>
        </w:rPr>
        <w:t xml:space="preserve">            （大写：      元整）</w:t>
      </w:r>
      <w:bookmarkEnd w:id="160"/>
    </w:p>
    <w:p w14:paraId="0AFBEDCF">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第壹</w:t>
      </w:r>
      <w:bookmarkStart w:id="161" w:name="_Hlk184059117"/>
      <w:r>
        <w:rPr>
          <w:rFonts w:hint="eastAsia" w:ascii="仿宋" w:hAnsi="仿宋" w:eastAsia="仿宋" w:cs="仿宋"/>
          <w:color w:val="auto"/>
          <w:sz w:val="24"/>
          <w:highlight w:val="none"/>
        </w:rPr>
        <w:t>期</w:t>
      </w:r>
      <w:bookmarkEnd w:id="161"/>
      <w:r>
        <w:rPr>
          <w:rFonts w:hint="eastAsia" w:ascii="仿宋" w:hAnsi="仿宋" w:eastAsia="仿宋" w:cs="仿宋"/>
          <w:color w:val="auto"/>
          <w:sz w:val="24"/>
          <w:highlight w:val="none"/>
        </w:rPr>
        <w:t>付款时间节点：202   年   月  日付清人民币          元（   元整）</w:t>
      </w:r>
    </w:p>
    <w:p w14:paraId="74F13611">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第贰期付款时间节点：202   年   月  日付清人民币          元（   元整）</w:t>
      </w:r>
    </w:p>
    <w:p w14:paraId="7EE84677">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第叁期付款时间节点：202   年   月  日付清人民币          元（   元整）</w:t>
      </w:r>
    </w:p>
    <w:p w14:paraId="437D6E71">
      <w:pPr>
        <w:spacing w:line="440" w:lineRule="exact"/>
        <w:ind w:firstLine="480"/>
        <w:rPr>
          <w:rFonts w:ascii="仿宋" w:hAnsi="仿宋" w:eastAsia="仿宋" w:cs="仿宋"/>
          <w:color w:val="auto"/>
          <w:sz w:val="24"/>
          <w:highlight w:val="none"/>
        </w:rPr>
      </w:pPr>
      <w:bookmarkStart w:id="162" w:name="_Hlk184062969"/>
      <w:r>
        <w:rPr>
          <w:rFonts w:hint="eastAsia" w:ascii="仿宋" w:hAnsi="仿宋" w:eastAsia="仿宋" w:cs="仿宋"/>
          <w:color w:val="auto"/>
          <w:sz w:val="24"/>
          <w:highlight w:val="none"/>
        </w:rPr>
        <w:t>乙方户名：</w:t>
      </w:r>
      <w:r>
        <w:rPr>
          <w:rFonts w:hint="eastAsia" w:ascii="仿宋" w:hAnsi="仿宋" w:eastAsia="仿宋" w:cs="仿宋"/>
          <w:color w:val="auto"/>
          <w:sz w:val="24"/>
          <w:highlight w:val="none"/>
          <w:u w:val="single"/>
        </w:rPr>
        <w:t xml:space="preserve">                                   </w:t>
      </w:r>
    </w:p>
    <w:p w14:paraId="6C2202DD">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乙方开户行：</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p>
    <w:p w14:paraId="7CA8F37A">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乙方账号：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bookmarkEnd w:id="162"/>
      <w:r>
        <w:rPr>
          <w:rFonts w:hint="eastAsia" w:ascii="仿宋" w:hAnsi="仿宋" w:eastAsia="仿宋" w:cs="仿宋"/>
          <w:color w:val="auto"/>
          <w:sz w:val="24"/>
          <w:highlight w:val="none"/>
        </w:rPr>
        <w:t xml:space="preserve"> </w:t>
      </w:r>
    </w:p>
    <w:p w14:paraId="6CFFF293">
      <w:pPr>
        <w:spacing w:line="440" w:lineRule="exact"/>
        <w:rPr>
          <w:rFonts w:ascii="仿宋" w:hAnsi="仿宋" w:eastAsia="仿宋" w:cs="仿宋"/>
          <w:color w:val="auto"/>
          <w:sz w:val="24"/>
          <w:highlight w:val="none"/>
        </w:rPr>
      </w:pPr>
      <w:bookmarkStart w:id="163" w:name="_Hlk184061519"/>
      <w:r>
        <w:rPr>
          <w:rFonts w:hint="eastAsia" w:ascii="仿宋" w:hAnsi="仿宋" w:eastAsia="仿宋" w:cs="仿宋"/>
          <w:color w:val="auto"/>
          <w:sz w:val="24"/>
          <w:highlight w:val="none"/>
        </w:rPr>
        <w:t>四、甲方权利义务</w:t>
      </w:r>
    </w:p>
    <w:p w14:paraId="342D3473">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1、甲方应保证电源质量稳定可靠，并对设备进行日常清洁保养和基本维护工作，做好故障记录。</w:t>
      </w:r>
    </w:p>
    <w:p w14:paraId="5483985C">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2、甲方应按设备使用手册的要求正确操作设备，保证设备的电、气和水的正常供应，同时保证设备开启关闭时的环境处于正常状态。</w:t>
      </w:r>
    </w:p>
    <w:p w14:paraId="0F5D1B54">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3、甲方应按合同约定的方式和时间向乙方支付维保服务费用。</w:t>
      </w:r>
      <w:bookmarkEnd w:id="163"/>
    </w:p>
    <w:p w14:paraId="2A43614C">
      <w:pPr>
        <w:spacing w:line="440" w:lineRule="exact"/>
        <w:rPr>
          <w:rFonts w:ascii="仿宋" w:hAnsi="仿宋" w:eastAsia="仿宋" w:cs="仿宋"/>
          <w:color w:val="auto"/>
          <w:sz w:val="24"/>
          <w:highlight w:val="none"/>
        </w:rPr>
      </w:pPr>
      <w:bookmarkStart w:id="164" w:name="_Hlk184061548"/>
      <w:r>
        <w:rPr>
          <w:rFonts w:hint="eastAsia" w:ascii="仿宋" w:hAnsi="仿宋" w:eastAsia="仿宋" w:cs="仿宋"/>
          <w:color w:val="auto"/>
          <w:sz w:val="24"/>
          <w:highlight w:val="none"/>
        </w:rPr>
        <w:t>五、乙方权利义务</w:t>
      </w:r>
      <w:bookmarkEnd w:id="164"/>
    </w:p>
    <w:p w14:paraId="5BDE3C85">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1、服务时间：7×24小时。</w:t>
      </w:r>
    </w:p>
    <w:p w14:paraId="48E714B7">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2、为保证甲方设备的正常运行，乙方根据设备运行情况提供每年</w:t>
      </w:r>
      <w:r>
        <w:rPr>
          <w:rFonts w:hint="eastAsia" w:ascii="仿宋" w:hAnsi="仿宋" w:eastAsia="仿宋" w:cs="仿宋"/>
          <w:b/>
          <w:bCs/>
          <w:color w:val="auto"/>
          <w:sz w:val="24"/>
          <w:highlight w:val="none"/>
          <w:u w:val="single"/>
        </w:rPr>
        <w:t>XX</w:t>
      </w:r>
      <w:r>
        <w:rPr>
          <w:rFonts w:hint="eastAsia" w:ascii="仿宋" w:hAnsi="仿宋" w:eastAsia="仿宋" w:cs="仿宋"/>
          <w:color w:val="auto"/>
          <w:sz w:val="24"/>
          <w:highlight w:val="none"/>
        </w:rPr>
        <w:t>次定期预防性保养，由原厂工程师或原厂认证合格的工程师根据标准操作流程和测试程序完成。</w:t>
      </w:r>
      <w:bookmarkStart w:id="165" w:name="_Hlk100650363"/>
      <w:r>
        <w:rPr>
          <w:rFonts w:hint="eastAsia" w:ascii="仿宋" w:hAnsi="仿宋" w:eastAsia="仿宋" w:cs="仿宋"/>
          <w:color w:val="auto"/>
          <w:sz w:val="24"/>
          <w:highlight w:val="none"/>
        </w:rPr>
        <w:t>保修期结束前一个月内，乙方通知甲方并安排最后一次预防性保养。</w:t>
      </w:r>
      <w:bookmarkEnd w:id="165"/>
      <w:r>
        <w:rPr>
          <w:rFonts w:hint="eastAsia" w:ascii="仿宋" w:hAnsi="仿宋" w:eastAsia="仿宋" w:cs="仿宋"/>
          <w:color w:val="auto"/>
          <w:sz w:val="24"/>
          <w:highlight w:val="none"/>
        </w:rPr>
        <w:t>乙方工程师向甲方提供定期保养报告，定期的保养服务检测内容需列出检测清单及招标参数的正常范围、实测值。乙方需在预期保养时间之前一周内通知甲方，如因特殊原因导致甲方不能按期执行保养，双方协商另行约定保养时间。</w:t>
      </w:r>
    </w:p>
    <w:p w14:paraId="61062FD3">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3、如设备发生故障，乙方在接到甲方报修电话后1小时之内响应，3小时内到达甲方现场（若本地无维修站点，24小时内到达现场）。如若乙方在48小时内无法修复故障需为甲方免费提供备用机，否则甲方可自行采取必要的措施，由此产生的风险和费用由乙方承担。如有特殊情况，乙方应立即电话通知甲方不能响应的原因，在获得甲方同意后，才可推迟响应时间。</w:t>
      </w:r>
    </w:p>
    <w:p w14:paraId="3FAF4913">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4、乙方在设备故障维修中，必须免费更换保修范围内的设备备件，并承担维修期间的往返费、人工费、维修所需备件的搬运费、安装调试费以及系统软件升级等一切费用。更换的设备备件乙方应提供原设备制造商认可并能用于原设备的相关证件（进口产品需提供报关单），如乙方无法提供原装备件的，经甲方认可后可换用与原装备件质量性能相当的替代备件。</w:t>
      </w:r>
    </w:p>
    <w:p w14:paraId="2EC1D089">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5、乙方承诺：一年内开机率保证在95%以上（365天），停机时间不超过18天，停机每超过1天，维保合同期顺延</w:t>
      </w:r>
      <w:r>
        <w:rPr>
          <w:rFonts w:hint="eastAsia" w:ascii="仿宋" w:hAnsi="仿宋" w:eastAsia="仿宋" w:cs="仿宋"/>
          <w:b/>
          <w:bCs/>
          <w:color w:val="auto"/>
          <w:sz w:val="24"/>
          <w:highlight w:val="none"/>
        </w:rPr>
        <w:t>5</w:t>
      </w:r>
      <w:r>
        <w:rPr>
          <w:rFonts w:hint="eastAsia" w:ascii="仿宋" w:hAnsi="仿宋" w:eastAsia="仿宋" w:cs="仿宋"/>
          <w:color w:val="auto"/>
          <w:sz w:val="24"/>
          <w:highlight w:val="none"/>
        </w:rPr>
        <w:t>天。</w:t>
      </w:r>
    </w:p>
    <w:p w14:paraId="4F1807BD">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6、保修期内，每次故障维修及保养结束后一周内乙方必须提供维修、保养记录、质量检测记录并交甲方医用临床医学工程处备案登记。</w:t>
      </w:r>
    </w:p>
    <w:p w14:paraId="11D6EC50">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7、乙方工程师至甲方维修设备，必须事先与甲方临床医学工程处取得联系，并与甲方工程师共同完成维修工作。否则引起的一切责任由乙方负责。</w:t>
      </w:r>
    </w:p>
    <w:p w14:paraId="2702C030">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8、乙方维修人员在维修期间必须遵守院方在安全、防盗、停车、周围环境卫生及排放污物的有关规定，否则引起的一切责任由乙方负责。</w:t>
      </w:r>
    </w:p>
    <w:p w14:paraId="0EA5789E">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六、违约责任</w:t>
      </w:r>
    </w:p>
    <w:p w14:paraId="35A7D2AD">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1、自本协议生效之日起，双方应严格依约履行。一方违约，应赔偿由此给其他方造成的损失。</w:t>
      </w:r>
    </w:p>
    <w:p w14:paraId="43EEF8A1">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2、如果乙方没有按照合同规定进行维保服务，每逾期一日，乙方应按合同金额的1%计算，但该违约金总额不超过合同总金额的30%。乙方逾期不进行维保服务10日以上的，则视乙方不能提供正常维保，甲方有权因此解除本合同，同时乙方应承担30%的违约金。</w:t>
      </w:r>
    </w:p>
    <w:p w14:paraId="0C4C4974">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3、乙方若违反本合同</w:t>
      </w:r>
      <w:bookmarkStart w:id="166" w:name="_Hlk100650478"/>
      <w:r>
        <w:rPr>
          <w:rFonts w:hint="eastAsia" w:ascii="仿宋" w:hAnsi="仿宋" w:eastAsia="仿宋" w:cs="仿宋"/>
          <w:color w:val="auto"/>
          <w:sz w:val="24"/>
          <w:highlight w:val="none"/>
        </w:rPr>
        <w:t>第六条下相关款项、</w:t>
      </w:r>
      <w:bookmarkEnd w:id="166"/>
      <w:r>
        <w:rPr>
          <w:rFonts w:hint="eastAsia" w:ascii="仿宋" w:hAnsi="仿宋" w:eastAsia="仿宋" w:cs="仿宋"/>
          <w:color w:val="auto"/>
          <w:sz w:val="24"/>
          <w:highlight w:val="none"/>
        </w:rPr>
        <w:t>第八条与第九条视为对本合同的重大违约，甲方随时有权书面通知乙方立即解除本合同。</w:t>
      </w:r>
    </w:p>
    <w:p w14:paraId="5E7B54BF">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4、因乙方的违约行为给甲方造成损失的（包括所有直接或间接损失），如果违约金不足以补偿该损失的，甲方有权继续要求乙方赔偿甲方所有实际损失，并保留申诉的权利。</w:t>
      </w:r>
    </w:p>
    <w:p w14:paraId="5481CB68">
      <w:pPr>
        <w:spacing w:line="440" w:lineRule="exact"/>
        <w:rPr>
          <w:rFonts w:ascii="仿宋" w:hAnsi="仿宋" w:eastAsia="仿宋" w:cs="仿宋"/>
          <w:color w:val="auto"/>
          <w:sz w:val="24"/>
          <w:highlight w:val="none"/>
        </w:rPr>
      </w:pPr>
      <w:bookmarkStart w:id="167" w:name="_Hlk100650496"/>
      <w:r>
        <w:rPr>
          <w:rFonts w:hint="eastAsia" w:ascii="仿宋" w:hAnsi="仿宋" w:eastAsia="仿宋" w:cs="仿宋"/>
          <w:color w:val="auto"/>
          <w:sz w:val="24"/>
          <w:highlight w:val="none"/>
        </w:rPr>
        <w:t>七、不可抗力条款</w:t>
      </w:r>
    </w:p>
    <w:p w14:paraId="64E2AD80">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由于甲乙双方在签订本合同时不可预见的、遭受影响的一方不能克服和不能避免的，对本合同的履行产生影响的不可抗力事件（如火灾、水灾、地震、战争、恐怖事件、禁运、劳工纠纷、暴乱事件、军事行为等）及强制性的政府法案及条例，导致乙方在不可抗力影响的延误期内将暂停履行合同下受该不可抗力事件影响的合同义务时，乙方应及时通知甲方，以减轻可能给甲方造成的损失，并应在其后15个工作日内对该不可抗力事件的发生及其持续时间提供有关机构出具的适当证明。在取得有关机构证明后，甲方允许乙方延期履行、部分履行或不履行合同，并根据情况可部分或全部免除乙方应承担的违约责任。</w:t>
      </w:r>
      <w:bookmarkEnd w:id="167"/>
    </w:p>
    <w:p w14:paraId="5A5718AF">
      <w:pPr>
        <w:tabs>
          <w:tab w:val="left" w:pos="420"/>
        </w:tabs>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八、保密条款</w:t>
      </w:r>
    </w:p>
    <w:p w14:paraId="6A047D79">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1、双方及其雇员对于本协议的签订、本协议的内容、本协议的履行以及因履行本协议而获知的甲方的技术、商务、管理（及甲方患者的）等相关信息应承担保密义务。未经甲方书面同意，不得向任何第三方泄露。法律、行政法规另有规定者除外。</w:t>
      </w:r>
    </w:p>
    <w:p w14:paraId="596D77A6">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2、双方应确保己方人员遵守本条约定保密义务，否则由此产生的一切后果由违约方承担责任。</w:t>
      </w:r>
    </w:p>
    <w:p w14:paraId="509F0B4D">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3、本条约定在本协议解除、终止或被认为无效后仍然有效。</w:t>
      </w:r>
    </w:p>
    <w:p w14:paraId="32ADBA02">
      <w:pPr>
        <w:spacing w:line="440" w:lineRule="exact"/>
        <w:rPr>
          <w:rFonts w:ascii="仿宋" w:hAnsi="仿宋" w:eastAsia="仿宋" w:cs="仿宋"/>
          <w:color w:val="auto"/>
          <w:sz w:val="24"/>
          <w:highlight w:val="none"/>
        </w:rPr>
      </w:pPr>
      <w:bookmarkStart w:id="168" w:name="_Hlk184062763"/>
      <w:r>
        <w:rPr>
          <w:rFonts w:hint="eastAsia" w:ascii="仿宋" w:hAnsi="仿宋" w:eastAsia="仿宋" w:cs="仿宋"/>
          <w:color w:val="auto"/>
          <w:sz w:val="24"/>
          <w:highlight w:val="none"/>
        </w:rPr>
        <w:t>九、争议解决：因本合同签订以及履行过程所产生的任何纠纷，双方友好协商解决，未能协商一致的，可至甲方所在地有管辖权的法院起诉。</w:t>
      </w:r>
      <w:bookmarkEnd w:id="168"/>
    </w:p>
    <w:p w14:paraId="50B0110E">
      <w:pPr>
        <w:spacing w:line="440" w:lineRule="exact"/>
        <w:rPr>
          <w:rFonts w:ascii="仿宋" w:hAnsi="仿宋" w:eastAsia="仿宋" w:cs="仿宋"/>
          <w:color w:val="auto"/>
          <w:sz w:val="24"/>
          <w:highlight w:val="none"/>
        </w:rPr>
      </w:pPr>
      <w:bookmarkStart w:id="169" w:name="_Hlk100650549"/>
      <w:r>
        <w:rPr>
          <w:rFonts w:hint="eastAsia" w:ascii="仿宋" w:hAnsi="仿宋" w:eastAsia="仿宋" w:cs="仿宋"/>
          <w:color w:val="auto"/>
          <w:sz w:val="24"/>
          <w:highlight w:val="none"/>
        </w:rPr>
        <w:t>十、合同的解除条款</w:t>
      </w:r>
    </w:p>
    <w:p w14:paraId="0561EBFC">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本合同第九条下解约事由与法定解约事由出现后，解约方有权提前三个工作日书面通知对方解约，自通知送达之日起，本合同解除。</w:t>
      </w:r>
      <w:bookmarkEnd w:id="169"/>
    </w:p>
    <w:p w14:paraId="789E7BD0">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十一、其他条款</w:t>
      </w:r>
    </w:p>
    <w:p w14:paraId="24EA6503">
      <w:pPr>
        <w:spacing w:line="440" w:lineRule="exact"/>
        <w:ind w:firstLine="480"/>
        <w:rPr>
          <w:rFonts w:ascii="仿宋" w:hAnsi="仿宋" w:eastAsia="仿宋" w:cs="仿宋"/>
          <w:color w:val="auto"/>
          <w:sz w:val="24"/>
          <w:highlight w:val="none"/>
        </w:rPr>
      </w:pPr>
      <w:bookmarkStart w:id="170" w:name="_Hlk100650600"/>
      <w:r>
        <w:rPr>
          <w:rFonts w:hint="eastAsia" w:ascii="仿宋" w:hAnsi="仿宋" w:eastAsia="仿宋" w:cs="仿宋"/>
          <w:color w:val="auto"/>
          <w:sz w:val="24"/>
          <w:highlight w:val="none"/>
        </w:rPr>
        <w:t>1、本项目招标文件、投标文件、合同及其附件、其他承诺为本项目不可分割的组成部分，具有同等法律效力。</w:t>
      </w:r>
      <w:bookmarkEnd w:id="170"/>
    </w:p>
    <w:p w14:paraId="74A7AC48">
      <w:pPr>
        <w:spacing w:line="44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2、本合同一式肆份，甲方执叁份，乙方执壹份，经双方签字盖章并加盖骑缝章后生效，未尽事宜双方协商解决。</w:t>
      </w:r>
    </w:p>
    <w:p w14:paraId="5C615E76">
      <w:pPr>
        <w:spacing w:line="440" w:lineRule="exact"/>
        <w:ind w:firstLine="480"/>
        <w:rPr>
          <w:rFonts w:ascii="仿宋" w:hAnsi="仿宋" w:eastAsia="仿宋" w:cs="仿宋"/>
          <w:color w:val="auto"/>
          <w:sz w:val="24"/>
          <w:highlight w:val="none"/>
        </w:rPr>
      </w:pPr>
      <w:bookmarkStart w:id="171" w:name="_Hlk100650618"/>
      <w:r>
        <w:rPr>
          <w:rFonts w:hint="eastAsia" w:ascii="仿宋" w:hAnsi="仿宋" w:eastAsia="仿宋" w:cs="仿宋"/>
          <w:color w:val="auto"/>
          <w:sz w:val="24"/>
          <w:highlight w:val="none"/>
        </w:rPr>
        <w:t>3、本合同适用的语言文字为汉语文字，本合同适用法律法规为中华人民共和国及其区域内相关法律法规，本合同条款解释语言以中文为准。</w:t>
      </w:r>
      <w:bookmarkEnd w:id="171"/>
    </w:p>
    <w:p w14:paraId="51A30AAE">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甲方：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（盖章）   </w:t>
      </w:r>
      <w:r>
        <w:rPr>
          <w:rFonts w:ascii="仿宋" w:hAnsi="仿宋" w:eastAsia="仿宋" w:cs="仿宋"/>
          <w:color w:val="auto"/>
          <w:sz w:val="24"/>
          <w:highlight w:val="none"/>
        </w:rPr>
        <w:t xml:space="preserve">              </w:t>
      </w:r>
      <w:r>
        <w:rPr>
          <w:rFonts w:hint="eastAsia" w:ascii="仿宋" w:hAnsi="仿宋" w:eastAsia="仿宋" w:cs="仿宋"/>
          <w:color w:val="auto"/>
          <w:sz w:val="24"/>
          <w:highlight w:val="none"/>
        </w:rPr>
        <w:t xml:space="preserve"> 乙方：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（盖章）</w:t>
      </w:r>
    </w:p>
    <w:p w14:paraId="45AA57B5">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甲方法定代表人：                           乙方法定代表人： </w:t>
      </w:r>
    </w:p>
    <w:p w14:paraId="065F2AC1">
      <w:pPr>
        <w:spacing w:line="440" w:lineRule="exact"/>
        <w:jc w:val="left"/>
        <w:rPr>
          <w:rFonts w:ascii="仿宋" w:hAnsi="仿宋" w:eastAsia="仿宋" w:cs="仿宋"/>
          <w:color w:val="auto"/>
          <w:sz w:val="24"/>
          <w:highlight w:val="none"/>
        </w:rPr>
      </w:pPr>
      <w:r>
        <w:rPr>
          <w:rFonts w:hint="eastAsia" w:ascii="仿宋" w:hAnsi="仿宋" w:eastAsia="仿宋" w:cs="仿宋"/>
          <w:color w:val="auto"/>
          <w:sz w:val="24"/>
          <w:highlight w:val="none"/>
        </w:rPr>
        <w:t>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rPr>
          <w:rFonts w:ascii="仿宋" w:hAnsi="仿宋" w:eastAsia="仿宋" w:cs="仿宋"/>
          <w:color w:val="auto"/>
          <w:sz w:val="24"/>
          <w:highlight w:val="none"/>
        </w:rPr>
        <w:t xml:space="preserve">    </w:t>
      </w:r>
      <w:r>
        <w:rPr>
          <w:rFonts w:hint="eastAsia" w:ascii="仿宋" w:hAnsi="仿宋" w:eastAsia="仿宋" w:cs="仿宋"/>
          <w:color w:val="auto"/>
          <w:sz w:val="24"/>
          <w:highlight w:val="none"/>
        </w:rPr>
        <w:t>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p>
    <w:p w14:paraId="30731499">
      <w:pPr>
        <w:spacing w:line="440" w:lineRule="exact"/>
        <w:rPr>
          <w:rFonts w:ascii="仿宋" w:hAnsi="仿宋" w:eastAsia="仿宋" w:cs="仿宋"/>
          <w:color w:val="auto"/>
          <w:sz w:val="24"/>
          <w:highlight w:val="none"/>
          <w:u w:val="singl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日期：</w:t>
      </w:r>
      <w:r>
        <w:rPr>
          <w:rFonts w:hint="eastAsia" w:ascii="仿宋" w:hAnsi="仿宋" w:eastAsia="仿宋" w:cs="仿宋"/>
          <w:color w:val="auto"/>
          <w:sz w:val="24"/>
          <w:highlight w:val="none"/>
          <w:u w:val="single"/>
        </w:rPr>
        <w:t xml:space="preserve">                     </w:t>
      </w:r>
    </w:p>
    <w:p w14:paraId="319F4871">
      <w:pPr>
        <w:spacing w:line="360" w:lineRule="auto"/>
        <w:rPr>
          <w:rFonts w:ascii="仿宋" w:hAnsi="仿宋" w:eastAsia="仿宋" w:cs="仿宋"/>
          <w:color w:val="auto"/>
          <w:szCs w:val="20"/>
          <w:highlight w:val="none"/>
        </w:rPr>
      </w:pPr>
    </w:p>
    <w:p w14:paraId="2DF52DA4">
      <w:pPr>
        <w:spacing w:line="360" w:lineRule="auto"/>
        <w:rPr>
          <w:rFonts w:ascii="仿宋" w:hAnsi="仿宋" w:eastAsia="仿宋" w:cs="仿宋"/>
          <w:color w:val="auto"/>
          <w:szCs w:val="20"/>
          <w:highlight w:val="none"/>
        </w:rPr>
      </w:pPr>
    </w:p>
    <w:p w14:paraId="31219D52">
      <w:pPr>
        <w:spacing w:line="360" w:lineRule="auto"/>
        <w:rPr>
          <w:rFonts w:ascii="仿宋" w:hAnsi="仿宋" w:eastAsia="仿宋" w:cs="仿宋"/>
          <w:color w:val="auto"/>
          <w:szCs w:val="20"/>
          <w:highlight w:val="none"/>
        </w:rPr>
      </w:pPr>
    </w:p>
    <w:p w14:paraId="0543E0F5">
      <w:pPr>
        <w:spacing w:line="360" w:lineRule="auto"/>
        <w:rPr>
          <w:rFonts w:ascii="仿宋" w:hAnsi="仿宋" w:eastAsia="仿宋" w:cs="仿宋"/>
          <w:color w:val="auto"/>
          <w:szCs w:val="20"/>
          <w:highlight w:val="none"/>
        </w:rPr>
      </w:pPr>
    </w:p>
    <w:p w14:paraId="0A208A0F">
      <w:pPr>
        <w:spacing w:line="360" w:lineRule="auto"/>
        <w:rPr>
          <w:rFonts w:ascii="仿宋" w:hAnsi="仿宋" w:eastAsia="仿宋" w:cs="仿宋"/>
          <w:color w:val="auto"/>
          <w:szCs w:val="20"/>
          <w:highlight w:val="none"/>
        </w:rPr>
      </w:pPr>
    </w:p>
    <w:p w14:paraId="6B4A59A3">
      <w:pPr>
        <w:spacing w:line="360" w:lineRule="auto"/>
        <w:rPr>
          <w:rFonts w:ascii="仿宋" w:hAnsi="仿宋" w:eastAsia="仿宋" w:cs="仿宋"/>
          <w:color w:val="auto"/>
          <w:szCs w:val="20"/>
          <w:highlight w:val="none"/>
        </w:rPr>
      </w:pPr>
    </w:p>
    <w:p w14:paraId="4F6568E4">
      <w:pPr>
        <w:spacing w:line="360" w:lineRule="auto"/>
        <w:rPr>
          <w:rFonts w:ascii="仿宋" w:hAnsi="仿宋" w:eastAsia="仿宋" w:cs="仿宋"/>
          <w:color w:val="auto"/>
          <w:szCs w:val="20"/>
          <w:highlight w:val="none"/>
        </w:rPr>
      </w:pPr>
    </w:p>
    <w:p w14:paraId="57B6D8E4">
      <w:pPr>
        <w:spacing w:line="360" w:lineRule="auto"/>
        <w:rPr>
          <w:rFonts w:ascii="仿宋" w:hAnsi="仿宋" w:eastAsia="仿宋" w:cs="仿宋"/>
          <w:color w:val="auto"/>
          <w:szCs w:val="20"/>
          <w:highlight w:val="none"/>
        </w:rPr>
      </w:pPr>
    </w:p>
    <w:p w14:paraId="6041655D">
      <w:pPr>
        <w:spacing w:line="360" w:lineRule="auto"/>
        <w:rPr>
          <w:rFonts w:ascii="仿宋" w:hAnsi="仿宋" w:eastAsia="仿宋" w:cs="仿宋"/>
          <w:color w:val="auto"/>
          <w:szCs w:val="20"/>
          <w:highlight w:val="none"/>
        </w:rPr>
      </w:pPr>
    </w:p>
    <w:p w14:paraId="764656BE">
      <w:pPr>
        <w:spacing w:line="360" w:lineRule="auto"/>
        <w:rPr>
          <w:rFonts w:ascii="仿宋" w:hAnsi="仿宋" w:eastAsia="仿宋" w:cs="仿宋"/>
          <w:color w:val="auto"/>
          <w:sz w:val="24"/>
          <w:highlight w:val="none"/>
        </w:rPr>
      </w:pPr>
    </w:p>
    <w:p w14:paraId="7BB7988D">
      <w:pPr>
        <w:spacing w:line="360" w:lineRule="auto"/>
        <w:rPr>
          <w:rFonts w:ascii="仿宋" w:hAnsi="仿宋" w:eastAsia="仿宋" w:cs="仿宋"/>
          <w:color w:val="auto"/>
          <w:sz w:val="24"/>
          <w:highlight w:val="none"/>
        </w:rPr>
      </w:pPr>
    </w:p>
    <w:p w14:paraId="269074A5">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附件一：    </w:t>
      </w:r>
    </w:p>
    <w:p w14:paraId="3B4F9EFA">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（品牌：     ，数量：          ，设备具体型号、编号详见下表），整机保修。</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2728"/>
        <w:gridCol w:w="2909"/>
        <w:gridCol w:w="2378"/>
      </w:tblGrid>
      <w:tr w14:paraId="7ADE3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1041" w:type="dxa"/>
            <w:vAlign w:val="center"/>
          </w:tcPr>
          <w:p w14:paraId="1D2F4BD6">
            <w:pPr>
              <w:widowControl/>
              <w:spacing w:line="360" w:lineRule="auto"/>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编号</w:t>
            </w:r>
          </w:p>
        </w:tc>
        <w:tc>
          <w:tcPr>
            <w:tcW w:w="2728" w:type="dxa"/>
            <w:noWrap/>
            <w:vAlign w:val="center"/>
          </w:tcPr>
          <w:p w14:paraId="53C59DC4">
            <w:pPr>
              <w:widowControl/>
              <w:spacing w:line="360" w:lineRule="auto"/>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名称</w:t>
            </w:r>
          </w:p>
        </w:tc>
        <w:tc>
          <w:tcPr>
            <w:tcW w:w="2909" w:type="dxa"/>
            <w:noWrap/>
            <w:vAlign w:val="center"/>
          </w:tcPr>
          <w:p w14:paraId="7CCB8735">
            <w:pPr>
              <w:widowControl/>
              <w:spacing w:line="360" w:lineRule="auto"/>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型号</w:t>
            </w:r>
          </w:p>
        </w:tc>
        <w:tc>
          <w:tcPr>
            <w:tcW w:w="2378" w:type="dxa"/>
            <w:noWrap/>
            <w:vAlign w:val="center"/>
          </w:tcPr>
          <w:p w14:paraId="665E1B21">
            <w:pPr>
              <w:widowControl/>
              <w:spacing w:line="360" w:lineRule="auto"/>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SN号</w:t>
            </w:r>
          </w:p>
        </w:tc>
      </w:tr>
      <w:tr w14:paraId="4D8EF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1041" w:type="dxa"/>
            <w:noWrap/>
            <w:vAlign w:val="center"/>
          </w:tcPr>
          <w:p w14:paraId="020957D0">
            <w:pPr>
              <w:widowControl/>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2728" w:type="dxa"/>
            <w:vAlign w:val="center"/>
          </w:tcPr>
          <w:p w14:paraId="43EE6374">
            <w:pPr>
              <w:widowControl/>
              <w:spacing w:line="360" w:lineRule="auto"/>
              <w:jc w:val="center"/>
              <w:rPr>
                <w:rFonts w:ascii="仿宋" w:hAnsi="仿宋" w:eastAsia="仿宋" w:cs="仿宋"/>
                <w:color w:val="auto"/>
                <w:sz w:val="24"/>
                <w:highlight w:val="none"/>
              </w:rPr>
            </w:pPr>
          </w:p>
        </w:tc>
        <w:tc>
          <w:tcPr>
            <w:tcW w:w="2909" w:type="dxa"/>
            <w:noWrap/>
            <w:vAlign w:val="center"/>
          </w:tcPr>
          <w:p w14:paraId="4CAE3737">
            <w:pPr>
              <w:widowControl/>
              <w:spacing w:line="360" w:lineRule="auto"/>
              <w:jc w:val="center"/>
              <w:rPr>
                <w:rFonts w:ascii="仿宋" w:hAnsi="仿宋" w:eastAsia="仿宋" w:cs="仿宋"/>
                <w:color w:val="auto"/>
                <w:sz w:val="24"/>
                <w:highlight w:val="none"/>
              </w:rPr>
            </w:pPr>
          </w:p>
        </w:tc>
        <w:tc>
          <w:tcPr>
            <w:tcW w:w="2378" w:type="dxa"/>
            <w:vAlign w:val="center"/>
          </w:tcPr>
          <w:p w14:paraId="4E1AC9A4">
            <w:pPr>
              <w:widowControl/>
              <w:spacing w:line="360" w:lineRule="auto"/>
              <w:jc w:val="center"/>
              <w:rPr>
                <w:rFonts w:ascii="仿宋" w:hAnsi="仿宋" w:eastAsia="仿宋" w:cs="仿宋"/>
                <w:color w:val="auto"/>
                <w:sz w:val="24"/>
                <w:highlight w:val="none"/>
              </w:rPr>
            </w:pPr>
          </w:p>
        </w:tc>
      </w:tr>
      <w:tr w14:paraId="03619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41" w:type="dxa"/>
            <w:noWrap/>
            <w:vAlign w:val="center"/>
          </w:tcPr>
          <w:p w14:paraId="5CF2E405">
            <w:pPr>
              <w:widowControl/>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2</w:t>
            </w:r>
          </w:p>
        </w:tc>
        <w:tc>
          <w:tcPr>
            <w:tcW w:w="2728" w:type="dxa"/>
            <w:vAlign w:val="center"/>
          </w:tcPr>
          <w:p w14:paraId="35B5F5B5">
            <w:pPr>
              <w:widowControl/>
              <w:spacing w:line="360" w:lineRule="auto"/>
              <w:jc w:val="center"/>
              <w:rPr>
                <w:rFonts w:ascii="仿宋" w:hAnsi="仿宋" w:eastAsia="仿宋" w:cs="仿宋"/>
                <w:color w:val="auto"/>
                <w:sz w:val="24"/>
                <w:highlight w:val="none"/>
              </w:rPr>
            </w:pPr>
          </w:p>
        </w:tc>
        <w:tc>
          <w:tcPr>
            <w:tcW w:w="2909" w:type="dxa"/>
            <w:noWrap/>
            <w:vAlign w:val="center"/>
          </w:tcPr>
          <w:p w14:paraId="4161B55B">
            <w:pPr>
              <w:widowControl/>
              <w:spacing w:line="360" w:lineRule="auto"/>
              <w:jc w:val="center"/>
              <w:rPr>
                <w:rFonts w:ascii="仿宋" w:hAnsi="仿宋" w:eastAsia="仿宋" w:cs="仿宋"/>
                <w:color w:val="auto"/>
                <w:sz w:val="24"/>
                <w:highlight w:val="none"/>
              </w:rPr>
            </w:pPr>
          </w:p>
        </w:tc>
        <w:tc>
          <w:tcPr>
            <w:tcW w:w="2378" w:type="dxa"/>
            <w:vAlign w:val="center"/>
          </w:tcPr>
          <w:p w14:paraId="2E957EBA">
            <w:pPr>
              <w:widowControl/>
              <w:spacing w:line="360" w:lineRule="auto"/>
              <w:jc w:val="center"/>
              <w:rPr>
                <w:rFonts w:ascii="仿宋" w:hAnsi="仿宋" w:eastAsia="仿宋" w:cs="仿宋"/>
                <w:color w:val="auto"/>
                <w:sz w:val="24"/>
                <w:highlight w:val="none"/>
              </w:rPr>
            </w:pPr>
          </w:p>
        </w:tc>
      </w:tr>
      <w:tr w14:paraId="4BC0B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41" w:type="dxa"/>
            <w:noWrap/>
            <w:vAlign w:val="center"/>
          </w:tcPr>
          <w:p w14:paraId="5895139E">
            <w:pPr>
              <w:widowControl/>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3</w:t>
            </w:r>
          </w:p>
        </w:tc>
        <w:tc>
          <w:tcPr>
            <w:tcW w:w="2728" w:type="dxa"/>
            <w:vAlign w:val="center"/>
          </w:tcPr>
          <w:p w14:paraId="45A78811">
            <w:pPr>
              <w:widowControl/>
              <w:spacing w:line="360" w:lineRule="auto"/>
              <w:jc w:val="center"/>
              <w:rPr>
                <w:rFonts w:ascii="仿宋" w:hAnsi="仿宋" w:eastAsia="仿宋" w:cs="仿宋"/>
                <w:color w:val="auto"/>
                <w:sz w:val="24"/>
                <w:highlight w:val="none"/>
              </w:rPr>
            </w:pPr>
          </w:p>
        </w:tc>
        <w:tc>
          <w:tcPr>
            <w:tcW w:w="2909" w:type="dxa"/>
            <w:noWrap/>
            <w:vAlign w:val="center"/>
          </w:tcPr>
          <w:p w14:paraId="51B609BC">
            <w:pPr>
              <w:widowControl/>
              <w:spacing w:line="360" w:lineRule="auto"/>
              <w:jc w:val="center"/>
              <w:rPr>
                <w:rFonts w:ascii="仿宋" w:hAnsi="仿宋" w:eastAsia="仿宋" w:cs="仿宋"/>
                <w:color w:val="auto"/>
                <w:sz w:val="24"/>
                <w:highlight w:val="none"/>
              </w:rPr>
            </w:pPr>
          </w:p>
        </w:tc>
        <w:tc>
          <w:tcPr>
            <w:tcW w:w="2378" w:type="dxa"/>
            <w:vAlign w:val="center"/>
          </w:tcPr>
          <w:p w14:paraId="7DEA5EE2">
            <w:pPr>
              <w:widowControl/>
              <w:spacing w:line="360" w:lineRule="auto"/>
              <w:jc w:val="center"/>
              <w:rPr>
                <w:rFonts w:ascii="仿宋" w:hAnsi="仿宋" w:eastAsia="仿宋" w:cs="仿宋"/>
                <w:color w:val="auto"/>
                <w:sz w:val="24"/>
                <w:highlight w:val="none"/>
              </w:rPr>
            </w:pPr>
          </w:p>
        </w:tc>
      </w:tr>
    </w:tbl>
    <w:p w14:paraId="3EE5025D">
      <w:pPr>
        <w:widowControl/>
        <w:spacing w:line="276" w:lineRule="auto"/>
        <w:jc w:val="center"/>
        <w:outlineLvl w:val="9"/>
        <w:rPr>
          <w:rFonts w:ascii="宋体" w:hAnsi="宋体" w:cs="宋体"/>
          <w:b/>
          <w:color w:val="auto"/>
          <w:sz w:val="32"/>
          <w:szCs w:val="32"/>
          <w:highlight w:val="none"/>
        </w:rPr>
      </w:pPr>
      <w:r>
        <w:rPr>
          <w:rFonts w:hint="eastAsia" w:asciiTheme="majorEastAsia" w:hAnsiTheme="majorEastAsia" w:eastAsiaTheme="majorEastAsia" w:cstheme="majorEastAsia"/>
          <w:color w:val="auto"/>
          <w:sz w:val="24"/>
          <w:highlight w:val="none"/>
        </w:rPr>
        <w:t xml:space="preserve">     </w:t>
      </w:r>
      <w:r>
        <w:rPr>
          <w:rFonts w:hint="eastAsia"/>
          <w:color w:val="auto"/>
          <w:sz w:val="24"/>
          <w:highlight w:val="none"/>
        </w:rPr>
        <w:t xml:space="preserve"> </w:t>
      </w:r>
      <w:r>
        <w:rPr>
          <w:color w:val="auto"/>
          <w:sz w:val="24"/>
          <w:highlight w:val="none"/>
        </w:rPr>
        <w:br w:type="page"/>
      </w:r>
    </w:p>
    <w:p w14:paraId="7AC10F0E">
      <w:pPr>
        <w:widowControl/>
        <w:spacing w:line="276"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第四章  采购需求</w:t>
      </w:r>
    </w:p>
    <w:p w14:paraId="1D0D68E9">
      <w:pPr>
        <w:spacing w:line="276" w:lineRule="auto"/>
        <w:jc w:val="left"/>
        <w:rPr>
          <w:rFonts w:hint="eastAsia" w:ascii="宋体" w:hAnsi="宋体" w:cs="宋体"/>
          <w:b/>
          <w:color w:val="auto"/>
          <w:sz w:val="24"/>
          <w:highlight w:val="none"/>
        </w:rPr>
      </w:pPr>
      <w:r>
        <w:rPr>
          <w:rFonts w:hint="eastAsia" w:ascii="宋体" w:hAnsi="宋体" w:cs="宋体"/>
          <w:b/>
          <w:color w:val="auto"/>
          <w:sz w:val="24"/>
          <w:highlight w:val="none"/>
        </w:rPr>
        <w:t>项目属性：服务类项目。</w:t>
      </w:r>
    </w:p>
    <w:p w14:paraId="0C6791CD">
      <w:pPr>
        <w:spacing w:line="276" w:lineRule="auto"/>
        <w:rPr>
          <w:rFonts w:ascii="宋体" w:hAnsi="宋体"/>
          <w:color w:val="auto"/>
          <w:sz w:val="24"/>
          <w:highlight w:val="none"/>
        </w:rPr>
      </w:pPr>
    </w:p>
    <w:p w14:paraId="63684A07">
      <w:pPr>
        <w:pStyle w:val="102"/>
        <w:numPr>
          <w:ilvl w:val="0"/>
          <w:numId w:val="8"/>
        </w:numPr>
        <w:rPr>
          <w:color w:val="auto"/>
          <w:sz w:val="24"/>
          <w:szCs w:val="24"/>
          <w:highlight w:val="none"/>
        </w:rPr>
      </w:pPr>
      <w:bookmarkStart w:id="172" w:name="_Toc184129779"/>
      <w:r>
        <w:rPr>
          <w:rFonts w:hint="eastAsia" w:cs="宋体"/>
          <w:color w:val="auto"/>
          <w:sz w:val="24"/>
          <w:szCs w:val="24"/>
          <w:highlight w:val="none"/>
        </w:rPr>
        <w:t>★</w:t>
      </w:r>
      <w:r>
        <w:rPr>
          <w:rFonts w:hint="eastAsia"/>
          <w:color w:val="auto"/>
          <w:sz w:val="24"/>
          <w:szCs w:val="24"/>
          <w:highlight w:val="none"/>
        </w:rPr>
        <w:t>维保设备清单</w:t>
      </w:r>
      <w:bookmarkEnd w:id="172"/>
    </w:p>
    <w:tbl>
      <w:tblPr>
        <w:tblStyle w:val="30"/>
        <w:tblW w:w="9941" w:type="dxa"/>
        <w:jc w:val="center"/>
        <w:tblLayout w:type="autofit"/>
        <w:tblCellMar>
          <w:top w:w="0" w:type="dxa"/>
          <w:left w:w="108" w:type="dxa"/>
          <w:bottom w:w="0" w:type="dxa"/>
          <w:right w:w="108" w:type="dxa"/>
        </w:tblCellMar>
      </w:tblPr>
      <w:tblGrid>
        <w:gridCol w:w="799"/>
        <w:gridCol w:w="1350"/>
        <w:gridCol w:w="1875"/>
        <w:gridCol w:w="1030"/>
        <w:gridCol w:w="2021"/>
        <w:gridCol w:w="1311"/>
        <w:gridCol w:w="1555"/>
      </w:tblGrid>
      <w:tr w14:paraId="0B9FDF5C">
        <w:tblPrEx>
          <w:tblCellMar>
            <w:top w:w="0" w:type="dxa"/>
            <w:left w:w="108" w:type="dxa"/>
            <w:bottom w:w="0" w:type="dxa"/>
            <w:right w:w="108" w:type="dxa"/>
          </w:tblCellMar>
        </w:tblPrEx>
        <w:trPr>
          <w:trHeight w:val="810" w:hRule="atLeast"/>
          <w:jc w:val="center"/>
        </w:trPr>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FABAE">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分包</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224A9">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项目内容</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5A6CF">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设备明细</w:t>
            </w: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B7500">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品牌</w:t>
            </w:r>
          </w:p>
        </w:tc>
        <w:tc>
          <w:tcPr>
            <w:tcW w:w="20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776B3">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型号</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0DC66">
            <w:pPr>
              <w:widowControl/>
              <w:jc w:val="center"/>
              <w:textAlignment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服务期</w:t>
            </w:r>
          </w:p>
        </w:tc>
        <w:tc>
          <w:tcPr>
            <w:tcW w:w="1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0CDE8">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使用科室</w:t>
            </w:r>
          </w:p>
        </w:tc>
      </w:tr>
      <w:tr w14:paraId="093BCC34">
        <w:tblPrEx>
          <w:tblCellMar>
            <w:top w:w="0" w:type="dxa"/>
            <w:left w:w="108" w:type="dxa"/>
            <w:bottom w:w="0" w:type="dxa"/>
            <w:right w:w="108" w:type="dxa"/>
          </w:tblCellMar>
        </w:tblPrEx>
        <w:trPr>
          <w:trHeight w:val="540" w:hRule="atLeast"/>
          <w:jc w:val="center"/>
        </w:trPr>
        <w:tc>
          <w:tcPr>
            <w:tcW w:w="7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066407">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包1</w:t>
            </w:r>
          </w:p>
        </w:tc>
        <w:tc>
          <w:tcPr>
            <w:tcW w:w="13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07BBE5">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西门子大型</w:t>
            </w:r>
            <w:r>
              <w:rPr>
                <w:rFonts w:hint="eastAsia" w:ascii="宋体" w:hAnsi="宋体" w:cs="宋体"/>
                <w:color w:val="auto"/>
                <w:kern w:val="0"/>
                <w:sz w:val="24"/>
                <w:highlight w:val="none"/>
                <w:lang w:bidi="ar"/>
              </w:rPr>
              <w:br w:type="textWrapping"/>
            </w:r>
            <w:r>
              <w:rPr>
                <w:rFonts w:hint="eastAsia" w:ascii="宋体" w:hAnsi="宋体" w:cs="宋体"/>
                <w:color w:val="auto"/>
                <w:kern w:val="0"/>
                <w:sz w:val="24"/>
                <w:highlight w:val="none"/>
                <w:lang w:bidi="ar"/>
              </w:rPr>
              <w:t>影像设备</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C45A4">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3.0T MR</w:t>
            </w: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36BBA">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西门子</w:t>
            </w:r>
          </w:p>
        </w:tc>
        <w:tc>
          <w:tcPr>
            <w:tcW w:w="20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E31D4">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MAGNETOM</w:t>
            </w:r>
            <w:r>
              <w:rPr>
                <w:rFonts w:hint="eastAsia" w:ascii="宋体" w:hAnsi="宋体" w:cs="宋体"/>
                <w:color w:val="auto"/>
                <w:kern w:val="0"/>
                <w:sz w:val="24"/>
                <w:highlight w:val="none"/>
                <w:lang w:bidi="ar"/>
              </w:rPr>
              <w:br w:type="textWrapping"/>
            </w:r>
            <w:r>
              <w:rPr>
                <w:rFonts w:hint="eastAsia" w:ascii="宋体" w:hAnsi="宋体" w:cs="宋体"/>
                <w:color w:val="auto"/>
                <w:kern w:val="0"/>
                <w:sz w:val="24"/>
                <w:highlight w:val="none"/>
                <w:lang w:bidi="ar"/>
              </w:rPr>
              <w:t>Prisma</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130A8">
            <w:pPr>
              <w:widowControl/>
              <w:jc w:val="center"/>
              <w:textAlignment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3年</w:t>
            </w:r>
          </w:p>
        </w:tc>
        <w:tc>
          <w:tcPr>
            <w:tcW w:w="1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34769">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医学影像科</w:t>
            </w:r>
          </w:p>
        </w:tc>
      </w:tr>
      <w:tr w14:paraId="0D822611">
        <w:tblPrEx>
          <w:tblCellMar>
            <w:top w:w="0" w:type="dxa"/>
            <w:left w:w="108" w:type="dxa"/>
            <w:bottom w:w="0" w:type="dxa"/>
            <w:right w:w="108" w:type="dxa"/>
          </w:tblCellMar>
        </w:tblPrEx>
        <w:trPr>
          <w:trHeight w:val="540" w:hRule="atLeast"/>
          <w:jc w:val="center"/>
        </w:trPr>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DB8DC6">
            <w:pPr>
              <w:jc w:val="center"/>
              <w:rPr>
                <w:rFonts w:ascii="宋体" w:hAnsi="宋体" w:cs="宋体"/>
                <w:color w:val="auto"/>
                <w:sz w:val="24"/>
                <w:highlight w:val="none"/>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289372">
            <w:pPr>
              <w:jc w:val="center"/>
              <w:rPr>
                <w:rFonts w:ascii="宋体" w:hAnsi="宋体" w:cs="宋体"/>
                <w:color w:val="auto"/>
                <w:sz w:val="24"/>
                <w:highlight w:val="none"/>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EBCC7">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96排双源CT</w:t>
            </w: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B10DF">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西门子</w:t>
            </w:r>
          </w:p>
        </w:tc>
        <w:tc>
          <w:tcPr>
            <w:tcW w:w="20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65847">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SOMATOM</w:t>
            </w:r>
            <w:r>
              <w:rPr>
                <w:rFonts w:hint="eastAsia" w:ascii="宋体" w:hAnsi="宋体" w:cs="宋体"/>
                <w:color w:val="auto"/>
                <w:kern w:val="0"/>
                <w:sz w:val="24"/>
                <w:highlight w:val="none"/>
                <w:lang w:bidi="ar"/>
              </w:rPr>
              <w:br w:type="textWrapping"/>
            </w:r>
            <w:r>
              <w:rPr>
                <w:rFonts w:hint="eastAsia" w:ascii="宋体" w:hAnsi="宋体" w:cs="宋体"/>
                <w:color w:val="auto"/>
                <w:kern w:val="0"/>
                <w:sz w:val="24"/>
                <w:highlight w:val="none"/>
                <w:lang w:bidi="ar"/>
              </w:rPr>
              <w:t>Force</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6FE79">
            <w:pPr>
              <w:widowControl/>
              <w:jc w:val="center"/>
              <w:textAlignment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3年</w:t>
            </w:r>
          </w:p>
        </w:tc>
        <w:tc>
          <w:tcPr>
            <w:tcW w:w="1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6512F">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医学影像科</w:t>
            </w:r>
          </w:p>
        </w:tc>
      </w:tr>
      <w:tr w14:paraId="09E4B547">
        <w:tblPrEx>
          <w:tblCellMar>
            <w:top w:w="0" w:type="dxa"/>
            <w:left w:w="108" w:type="dxa"/>
            <w:bottom w:w="0" w:type="dxa"/>
            <w:right w:w="108" w:type="dxa"/>
          </w:tblCellMar>
        </w:tblPrEx>
        <w:trPr>
          <w:trHeight w:val="540" w:hRule="atLeast"/>
          <w:jc w:val="center"/>
        </w:trPr>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AEA3B4">
            <w:pPr>
              <w:jc w:val="center"/>
              <w:rPr>
                <w:rFonts w:ascii="宋体" w:hAnsi="宋体" w:cs="宋体"/>
                <w:color w:val="auto"/>
                <w:sz w:val="24"/>
                <w:highlight w:val="none"/>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A1F0AE">
            <w:pPr>
              <w:jc w:val="center"/>
              <w:rPr>
                <w:rFonts w:ascii="宋体" w:hAnsi="宋体" w:cs="宋体"/>
                <w:color w:val="auto"/>
                <w:sz w:val="24"/>
                <w:highlight w:val="none"/>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52DA0">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DR</w:t>
            </w: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56171">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西门子</w:t>
            </w:r>
          </w:p>
        </w:tc>
        <w:tc>
          <w:tcPr>
            <w:tcW w:w="20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A492C">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Multix Fusion Max</w:t>
            </w:r>
            <w:r>
              <w:rPr>
                <w:rFonts w:hint="eastAsia" w:ascii="宋体" w:hAnsi="宋体" w:cs="宋体"/>
                <w:color w:val="auto"/>
                <w:kern w:val="0"/>
                <w:sz w:val="24"/>
                <w:highlight w:val="none"/>
                <w:lang w:bidi="ar"/>
              </w:rPr>
              <w:br w:type="textWrapping"/>
            </w:r>
            <w:r>
              <w:rPr>
                <w:rFonts w:hint="eastAsia" w:ascii="宋体" w:hAnsi="宋体" w:cs="宋体"/>
                <w:color w:val="auto"/>
                <w:kern w:val="0"/>
                <w:sz w:val="24"/>
                <w:highlight w:val="none"/>
                <w:lang w:bidi="ar"/>
              </w:rPr>
              <w:t>2FD</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FB51C">
            <w:pPr>
              <w:widowControl/>
              <w:jc w:val="center"/>
              <w:textAlignment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3年</w:t>
            </w:r>
          </w:p>
        </w:tc>
        <w:tc>
          <w:tcPr>
            <w:tcW w:w="1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61333">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医学影像科</w:t>
            </w:r>
          </w:p>
        </w:tc>
      </w:tr>
      <w:tr w14:paraId="4E4EF53D">
        <w:tblPrEx>
          <w:tblCellMar>
            <w:top w:w="0" w:type="dxa"/>
            <w:left w:w="108" w:type="dxa"/>
            <w:bottom w:w="0" w:type="dxa"/>
            <w:right w:w="108" w:type="dxa"/>
          </w:tblCellMar>
        </w:tblPrEx>
        <w:trPr>
          <w:trHeight w:val="270" w:hRule="atLeast"/>
          <w:jc w:val="center"/>
        </w:trPr>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1C0381">
            <w:pPr>
              <w:jc w:val="center"/>
              <w:rPr>
                <w:rFonts w:ascii="宋体" w:hAnsi="宋体" w:cs="宋体"/>
                <w:color w:val="auto"/>
                <w:sz w:val="24"/>
                <w:highlight w:val="none"/>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F1A2F4">
            <w:pPr>
              <w:jc w:val="center"/>
              <w:rPr>
                <w:rFonts w:ascii="宋体" w:hAnsi="宋体" w:cs="宋体"/>
                <w:color w:val="auto"/>
                <w:sz w:val="24"/>
                <w:highlight w:val="none"/>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BEC91">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DSA</w:t>
            </w: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5178D">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西门子</w:t>
            </w:r>
          </w:p>
        </w:tc>
        <w:tc>
          <w:tcPr>
            <w:tcW w:w="20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E6852">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Artis zee III ceiling</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1366E">
            <w:pPr>
              <w:widowControl/>
              <w:jc w:val="center"/>
              <w:textAlignment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3年</w:t>
            </w:r>
          </w:p>
        </w:tc>
        <w:tc>
          <w:tcPr>
            <w:tcW w:w="1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8268F">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医学影像科</w:t>
            </w:r>
          </w:p>
        </w:tc>
      </w:tr>
      <w:tr w14:paraId="01F6BD81">
        <w:tblPrEx>
          <w:tblCellMar>
            <w:top w:w="0" w:type="dxa"/>
            <w:left w:w="108" w:type="dxa"/>
            <w:bottom w:w="0" w:type="dxa"/>
            <w:right w:w="108" w:type="dxa"/>
          </w:tblCellMar>
        </w:tblPrEx>
        <w:trPr>
          <w:trHeight w:val="270" w:hRule="atLeast"/>
          <w:jc w:val="center"/>
        </w:trPr>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0E3059">
            <w:pPr>
              <w:jc w:val="center"/>
              <w:rPr>
                <w:rFonts w:ascii="宋体" w:hAnsi="宋体" w:cs="宋体"/>
                <w:color w:val="auto"/>
                <w:sz w:val="24"/>
                <w:highlight w:val="none"/>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6F1162">
            <w:pPr>
              <w:jc w:val="center"/>
              <w:rPr>
                <w:rFonts w:ascii="宋体" w:hAnsi="宋体" w:cs="宋体"/>
                <w:color w:val="auto"/>
                <w:sz w:val="24"/>
                <w:highlight w:val="none"/>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B6767">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64排双源CT</w:t>
            </w: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5C6B8">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西门子</w:t>
            </w:r>
          </w:p>
        </w:tc>
        <w:tc>
          <w:tcPr>
            <w:tcW w:w="20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9926D">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Drive</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EC342">
            <w:pPr>
              <w:widowControl/>
              <w:jc w:val="center"/>
              <w:textAlignment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3年</w:t>
            </w:r>
          </w:p>
        </w:tc>
        <w:tc>
          <w:tcPr>
            <w:tcW w:w="1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97AD8">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医学影像科</w:t>
            </w:r>
          </w:p>
        </w:tc>
      </w:tr>
      <w:tr w14:paraId="4286713A">
        <w:tblPrEx>
          <w:tblCellMar>
            <w:top w:w="0" w:type="dxa"/>
            <w:left w:w="108" w:type="dxa"/>
            <w:bottom w:w="0" w:type="dxa"/>
            <w:right w:w="108" w:type="dxa"/>
          </w:tblCellMar>
        </w:tblPrEx>
        <w:trPr>
          <w:trHeight w:val="270" w:hRule="atLeast"/>
          <w:jc w:val="center"/>
        </w:trPr>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326586">
            <w:pPr>
              <w:jc w:val="center"/>
              <w:rPr>
                <w:rFonts w:ascii="宋体" w:hAnsi="宋体" w:cs="宋体"/>
                <w:color w:val="auto"/>
                <w:sz w:val="24"/>
                <w:highlight w:val="none"/>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BE730A">
            <w:pPr>
              <w:jc w:val="center"/>
              <w:rPr>
                <w:rFonts w:ascii="宋体" w:hAnsi="宋体" w:cs="宋体"/>
                <w:color w:val="auto"/>
                <w:sz w:val="24"/>
                <w:highlight w:val="none"/>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1BDCD">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64排CT</w:t>
            </w: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E807E">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西门子</w:t>
            </w:r>
          </w:p>
        </w:tc>
        <w:tc>
          <w:tcPr>
            <w:tcW w:w="20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28974">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Flash</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D222E">
            <w:pPr>
              <w:widowControl/>
              <w:jc w:val="center"/>
              <w:textAlignment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1年</w:t>
            </w:r>
          </w:p>
        </w:tc>
        <w:tc>
          <w:tcPr>
            <w:tcW w:w="1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75BB0">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医学影像科</w:t>
            </w:r>
          </w:p>
        </w:tc>
      </w:tr>
      <w:tr w14:paraId="250E8EED">
        <w:tblPrEx>
          <w:tblCellMar>
            <w:top w:w="0" w:type="dxa"/>
            <w:left w:w="108" w:type="dxa"/>
            <w:bottom w:w="0" w:type="dxa"/>
            <w:right w:w="108" w:type="dxa"/>
          </w:tblCellMar>
        </w:tblPrEx>
        <w:trPr>
          <w:trHeight w:val="525" w:hRule="atLeast"/>
          <w:jc w:val="center"/>
        </w:trPr>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8D16EA">
            <w:pPr>
              <w:jc w:val="center"/>
              <w:rPr>
                <w:rFonts w:ascii="宋体" w:hAnsi="宋体" w:cs="宋体"/>
                <w:color w:val="auto"/>
                <w:sz w:val="24"/>
                <w:highlight w:val="none"/>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B881D0">
            <w:pPr>
              <w:jc w:val="center"/>
              <w:rPr>
                <w:rFonts w:ascii="宋体" w:hAnsi="宋体" w:cs="宋体"/>
                <w:color w:val="auto"/>
                <w:sz w:val="24"/>
                <w:highlight w:val="none"/>
              </w:rPr>
            </w:pPr>
          </w:p>
        </w:tc>
        <w:tc>
          <w:tcPr>
            <w:tcW w:w="1875" w:type="dxa"/>
            <w:tcBorders>
              <w:top w:val="single" w:color="000000" w:sz="4" w:space="0"/>
              <w:left w:val="single" w:color="000000" w:sz="4" w:space="0"/>
              <w:right w:val="single" w:color="000000" w:sz="4" w:space="0"/>
            </w:tcBorders>
            <w:shd w:val="clear" w:color="auto" w:fill="auto"/>
            <w:vAlign w:val="center"/>
          </w:tcPr>
          <w:p w14:paraId="6C46BBDA">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DR</w:t>
            </w:r>
          </w:p>
        </w:tc>
        <w:tc>
          <w:tcPr>
            <w:tcW w:w="1030" w:type="dxa"/>
            <w:tcBorders>
              <w:top w:val="single" w:color="000000" w:sz="4" w:space="0"/>
              <w:left w:val="single" w:color="000000" w:sz="4" w:space="0"/>
              <w:right w:val="single" w:color="000000" w:sz="4" w:space="0"/>
            </w:tcBorders>
            <w:shd w:val="clear" w:color="auto" w:fill="auto"/>
            <w:vAlign w:val="center"/>
          </w:tcPr>
          <w:p w14:paraId="276F8D67">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西门子</w:t>
            </w:r>
          </w:p>
        </w:tc>
        <w:tc>
          <w:tcPr>
            <w:tcW w:w="2021" w:type="dxa"/>
            <w:tcBorders>
              <w:top w:val="single" w:color="000000" w:sz="4" w:space="0"/>
              <w:left w:val="single" w:color="000000" w:sz="4" w:space="0"/>
              <w:right w:val="single" w:color="000000" w:sz="4" w:space="0"/>
            </w:tcBorders>
            <w:shd w:val="clear" w:color="auto" w:fill="auto"/>
            <w:vAlign w:val="center"/>
          </w:tcPr>
          <w:p w14:paraId="44540BB4">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Multix Fusion</w:t>
            </w:r>
          </w:p>
        </w:tc>
        <w:tc>
          <w:tcPr>
            <w:tcW w:w="1311" w:type="dxa"/>
            <w:tcBorders>
              <w:top w:val="single" w:color="000000" w:sz="4" w:space="0"/>
              <w:left w:val="single" w:color="000000" w:sz="4" w:space="0"/>
              <w:right w:val="single" w:color="000000" w:sz="4" w:space="0"/>
            </w:tcBorders>
            <w:shd w:val="clear" w:color="auto" w:fill="auto"/>
            <w:vAlign w:val="center"/>
          </w:tcPr>
          <w:p w14:paraId="60D4713B">
            <w:pPr>
              <w:widowControl/>
              <w:jc w:val="center"/>
              <w:textAlignment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1年</w:t>
            </w:r>
          </w:p>
        </w:tc>
        <w:tc>
          <w:tcPr>
            <w:tcW w:w="1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CD36E">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医学影像科</w:t>
            </w:r>
          </w:p>
        </w:tc>
      </w:tr>
      <w:tr w14:paraId="06A5D424">
        <w:tblPrEx>
          <w:tblCellMar>
            <w:top w:w="0" w:type="dxa"/>
            <w:left w:w="108" w:type="dxa"/>
            <w:bottom w:w="0" w:type="dxa"/>
            <w:right w:w="108" w:type="dxa"/>
          </w:tblCellMar>
        </w:tblPrEx>
        <w:trPr>
          <w:trHeight w:val="270" w:hRule="atLeast"/>
          <w:jc w:val="center"/>
        </w:trPr>
        <w:tc>
          <w:tcPr>
            <w:tcW w:w="7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09B9A5">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包2</w:t>
            </w:r>
          </w:p>
        </w:tc>
        <w:tc>
          <w:tcPr>
            <w:tcW w:w="13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99ECDE">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GE大型影像</w:t>
            </w:r>
            <w:r>
              <w:rPr>
                <w:rFonts w:hint="eastAsia" w:ascii="宋体" w:hAnsi="宋体" w:cs="宋体"/>
                <w:color w:val="auto"/>
                <w:kern w:val="0"/>
                <w:sz w:val="24"/>
                <w:highlight w:val="none"/>
                <w:lang w:bidi="ar"/>
              </w:rPr>
              <w:br w:type="textWrapping"/>
            </w:r>
            <w:r>
              <w:rPr>
                <w:rFonts w:hint="eastAsia" w:ascii="宋体" w:hAnsi="宋体" w:cs="宋体"/>
                <w:color w:val="auto"/>
                <w:kern w:val="0"/>
                <w:sz w:val="24"/>
                <w:highlight w:val="none"/>
                <w:lang w:bidi="ar"/>
              </w:rPr>
              <w:t>设备</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A4F91">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3.0 T MR</w:t>
            </w: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D1733">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GE</w:t>
            </w:r>
          </w:p>
        </w:tc>
        <w:tc>
          <w:tcPr>
            <w:tcW w:w="20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62550">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750W</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EC69C">
            <w:pPr>
              <w:widowControl/>
              <w:jc w:val="center"/>
              <w:textAlignment w:val="center"/>
              <w:rPr>
                <w:rFonts w:hint="default"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val="en-US" w:eastAsia="zh-CN" w:bidi="ar"/>
              </w:rPr>
              <w:t>13个月</w:t>
            </w:r>
          </w:p>
        </w:tc>
        <w:tc>
          <w:tcPr>
            <w:tcW w:w="1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76F7C">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医学影像科</w:t>
            </w:r>
          </w:p>
        </w:tc>
      </w:tr>
      <w:tr w14:paraId="604F6B88">
        <w:tblPrEx>
          <w:tblCellMar>
            <w:top w:w="0" w:type="dxa"/>
            <w:left w:w="108" w:type="dxa"/>
            <w:bottom w:w="0" w:type="dxa"/>
            <w:right w:w="108" w:type="dxa"/>
          </w:tblCellMar>
        </w:tblPrEx>
        <w:trPr>
          <w:trHeight w:val="270" w:hRule="atLeast"/>
          <w:jc w:val="center"/>
        </w:trPr>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ED100D">
            <w:pPr>
              <w:jc w:val="center"/>
              <w:rPr>
                <w:rFonts w:ascii="宋体" w:hAnsi="宋体" w:cs="宋体"/>
                <w:color w:val="auto"/>
                <w:sz w:val="24"/>
                <w:highlight w:val="none"/>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724FEC">
            <w:pPr>
              <w:jc w:val="center"/>
              <w:rPr>
                <w:rFonts w:ascii="宋体" w:hAnsi="宋体" w:cs="宋体"/>
                <w:color w:val="auto"/>
                <w:sz w:val="24"/>
                <w:highlight w:val="none"/>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39108">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DR</w:t>
            </w: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5EC62">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GE</w:t>
            </w:r>
          </w:p>
        </w:tc>
        <w:tc>
          <w:tcPr>
            <w:tcW w:w="20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81D78">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XR575</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D4C99">
            <w:pPr>
              <w:widowControl/>
              <w:jc w:val="center"/>
              <w:textAlignment w:val="center"/>
              <w:rPr>
                <w:rFonts w:ascii="宋体" w:hAnsi="宋体" w:cs="宋体"/>
                <w:color w:val="auto"/>
                <w:kern w:val="0"/>
                <w:sz w:val="24"/>
                <w:highlight w:val="none"/>
                <w:lang w:bidi="ar"/>
              </w:rPr>
            </w:pPr>
            <w:r>
              <w:rPr>
                <w:rFonts w:hint="eastAsia" w:ascii="宋体" w:hAnsi="宋体" w:cs="宋体"/>
                <w:color w:val="auto"/>
                <w:kern w:val="0"/>
                <w:sz w:val="24"/>
                <w:highlight w:val="none"/>
                <w:lang w:val="en-US" w:eastAsia="zh-CN" w:bidi="ar"/>
              </w:rPr>
              <w:t>13个月</w:t>
            </w:r>
          </w:p>
        </w:tc>
        <w:tc>
          <w:tcPr>
            <w:tcW w:w="1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F1155">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医学影像科</w:t>
            </w:r>
          </w:p>
        </w:tc>
      </w:tr>
      <w:tr w14:paraId="37368AD4">
        <w:tblPrEx>
          <w:tblCellMar>
            <w:top w:w="0" w:type="dxa"/>
            <w:left w:w="108" w:type="dxa"/>
            <w:bottom w:w="0" w:type="dxa"/>
            <w:right w:w="108" w:type="dxa"/>
          </w:tblCellMar>
        </w:tblPrEx>
        <w:trPr>
          <w:trHeight w:val="270" w:hRule="atLeast"/>
          <w:jc w:val="center"/>
        </w:trPr>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F86059">
            <w:pPr>
              <w:jc w:val="center"/>
              <w:rPr>
                <w:rFonts w:ascii="宋体" w:hAnsi="宋体" w:cs="宋体"/>
                <w:color w:val="auto"/>
                <w:sz w:val="24"/>
                <w:highlight w:val="none"/>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51FE63">
            <w:pPr>
              <w:jc w:val="center"/>
              <w:rPr>
                <w:rFonts w:ascii="宋体" w:hAnsi="宋体" w:cs="宋体"/>
                <w:color w:val="auto"/>
                <w:sz w:val="24"/>
                <w:highlight w:val="none"/>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2F067">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64排128层CT</w:t>
            </w: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85781">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GE</w:t>
            </w:r>
          </w:p>
        </w:tc>
        <w:tc>
          <w:tcPr>
            <w:tcW w:w="20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DF582">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optima 680</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D6C6C">
            <w:pPr>
              <w:widowControl/>
              <w:jc w:val="center"/>
              <w:textAlignment w:val="center"/>
              <w:rPr>
                <w:rFonts w:ascii="宋体" w:hAnsi="宋体" w:cs="宋体"/>
                <w:color w:val="auto"/>
                <w:kern w:val="0"/>
                <w:sz w:val="24"/>
                <w:highlight w:val="none"/>
                <w:lang w:bidi="ar"/>
              </w:rPr>
            </w:pPr>
            <w:r>
              <w:rPr>
                <w:rFonts w:hint="eastAsia" w:ascii="宋体" w:hAnsi="宋体" w:cs="宋体"/>
                <w:color w:val="auto"/>
                <w:kern w:val="0"/>
                <w:sz w:val="24"/>
                <w:highlight w:val="none"/>
                <w:lang w:val="en-US" w:eastAsia="zh-CN" w:bidi="ar"/>
              </w:rPr>
              <w:t>13个月</w:t>
            </w:r>
          </w:p>
        </w:tc>
        <w:tc>
          <w:tcPr>
            <w:tcW w:w="1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8C11D">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医学影像科</w:t>
            </w:r>
          </w:p>
        </w:tc>
      </w:tr>
      <w:tr w14:paraId="1E11C338">
        <w:tblPrEx>
          <w:tblCellMar>
            <w:top w:w="0" w:type="dxa"/>
            <w:left w:w="108" w:type="dxa"/>
            <w:bottom w:w="0" w:type="dxa"/>
            <w:right w:w="108" w:type="dxa"/>
          </w:tblCellMar>
        </w:tblPrEx>
        <w:trPr>
          <w:trHeight w:val="270" w:hRule="atLeast"/>
          <w:jc w:val="center"/>
        </w:trPr>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63FC94">
            <w:pPr>
              <w:jc w:val="center"/>
              <w:rPr>
                <w:rFonts w:ascii="宋体" w:hAnsi="宋体" w:cs="宋体"/>
                <w:color w:val="auto"/>
                <w:sz w:val="24"/>
                <w:highlight w:val="none"/>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F64879">
            <w:pPr>
              <w:jc w:val="center"/>
              <w:rPr>
                <w:rFonts w:ascii="宋体" w:hAnsi="宋体" w:cs="宋体"/>
                <w:color w:val="auto"/>
                <w:sz w:val="24"/>
                <w:highlight w:val="none"/>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01648">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64排128层CT</w:t>
            </w: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A092B">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GE</w:t>
            </w:r>
          </w:p>
        </w:tc>
        <w:tc>
          <w:tcPr>
            <w:tcW w:w="20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54919">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optima 680</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2D97F">
            <w:pPr>
              <w:widowControl/>
              <w:jc w:val="center"/>
              <w:textAlignment w:val="center"/>
              <w:rPr>
                <w:rFonts w:ascii="宋体" w:hAnsi="宋体" w:cs="宋体"/>
                <w:color w:val="auto"/>
                <w:kern w:val="0"/>
                <w:sz w:val="24"/>
                <w:highlight w:val="none"/>
                <w:lang w:bidi="ar"/>
              </w:rPr>
            </w:pPr>
            <w:r>
              <w:rPr>
                <w:rFonts w:hint="eastAsia" w:ascii="宋体" w:hAnsi="宋体" w:cs="宋体"/>
                <w:color w:val="auto"/>
                <w:kern w:val="0"/>
                <w:sz w:val="24"/>
                <w:highlight w:val="none"/>
                <w:lang w:val="en-US" w:eastAsia="zh-CN" w:bidi="ar"/>
              </w:rPr>
              <w:t>13个月</w:t>
            </w:r>
          </w:p>
        </w:tc>
        <w:tc>
          <w:tcPr>
            <w:tcW w:w="1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9435C">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医学影像科</w:t>
            </w:r>
          </w:p>
        </w:tc>
      </w:tr>
      <w:tr w14:paraId="54CE6601">
        <w:tblPrEx>
          <w:tblCellMar>
            <w:top w:w="0" w:type="dxa"/>
            <w:left w:w="108" w:type="dxa"/>
            <w:bottom w:w="0" w:type="dxa"/>
            <w:right w:w="108" w:type="dxa"/>
          </w:tblCellMar>
        </w:tblPrEx>
        <w:trPr>
          <w:trHeight w:val="270" w:hRule="atLeast"/>
          <w:jc w:val="center"/>
        </w:trPr>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219E18">
            <w:pPr>
              <w:jc w:val="center"/>
              <w:rPr>
                <w:rFonts w:ascii="宋体" w:hAnsi="宋体" w:cs="宋体"/>
                <w:color w:val="auto"/>
                <w:sz w:val="24"/>
                <w:highlight w:val="none"/>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F0F457">
            <w:pPr>
              <w:jc w:val="center"/>
              <w:rPr>
                <w:rFonts w:ascii="宋体" w:hAnsi="宋体" w:cs="宋体"/>
                <w:color w:val="auto"/>
                <w:sz w:val="24"/>
                <w:highlight w:val="none"/>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E95B2">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256排CT</w:t>
            </w: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0D98A">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GE</w:t>
            </w:r>
          </w:p>
        </w:tc>
        <w:tc>
          <w:tcPr>
            <w:tcW w:w="20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6E7A4">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Revolution</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CBA9A">
            <w:pPr>
              <w:widowControl/>
              <w:jc w:val="center"/>
              <w:textAlignment w:val="center"/>
              <w:rPr>
                <w:rFonts w:ascii="宋体" w:hAnsi="宋体" w:cs="宋体"/>
                <w:color w:val="auto"/>
                <w:kern w:val="0"/>
                <w:sz w:val="24"/>
                <w:highlight w:val="none"/>
                <w:lang w:bidi="ar"/>
              </w:rPr>
            </w:pPr>
            <w:r>
              <w:rPr>
                <w:rFonts w:hint="eastAsia" w:ascii="宋体" w:hAnsi="宋体" w:cs="宋体"/>
                <w:color w:val="auto"/>
                <w:kern w:val="0"/>
                <w:sz w:val="24"/>
                <w:highlight w:val="none"/>
                <w:lang w:val="en-US" w:eastAsia="zh-CN" w:bidi="ar"/>
              </w:rPr>
              <w:t>13个月</w:t>
            </w:r>
          </w:p>
        </w:tc>
        <w:tc>
          <w:tcPr>
            <w:tcW w:w="1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FE81C">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医学影像科</w:t>
            </w:r>
          </w:p>
        </w:tc>
      </w:tr>
      <w:tr w14:paraId="27894D31">
        <w:tblPrEx>
          <w:tblCellMar>
            <w:top w:w="0" w:type="dxa"/>
            <w:left w:w="108" w:type="dxa"/>
            <w:bottom w:w="0" w:type="dxa"/>
            <w:right w:w="108" w:type="dxa"/>
          </w:tblCellMar>
        </w:tblPrEx>
        <w:trPr>
          <w:trHeight w:val="540" w:hRule="atLeast"/>
          <w:jc w:val="center"/>
        </w:trPr>
        <w:tc>
          <w:tcPr>
            <w:tcW w:w="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69162B">
            <w:pPr>
              <w:jc w:val="center"/>
              <w:rPr>
                <w:rFonts w:ascii="宋体" w:hAnsi="宋体" w:cs="宋体"/>
                <w:color w:val="auto"/>
                <w:sz w:val="24"/>
                <w:highlight w:val="none"/>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71AD46">
            <w:pPr>
              <w:jc w:val="center"/>
              <w:rPr>
                <w:rFonts w:ascii="宋体" w:hAnsi="宋体" w:cs="宋体"/>
                <w:color w:val="auto"/>
                <w:sz w:val="24"/>
                <w:highlight w:val="none"/>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6DBB6">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乳腺机</w:t>
            </w: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65F05">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GE</w:t>
            </w:r>
          </w:p>
        </w:tc>
        <w:tc>
          <w:tcPr>
            <w:tcW w:w="20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4E6EF">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Senographe</w:t>
            </w:r>
            <w:r>
              <w:rPr>
                <w:rFonts w:hint="eastAsia" w:ascii="宋体" w:hAnsi="宋体" w:cs="宋体"/>
                <w:color w:val="auto"/>
                <w:kern w:val="0"/>
                <w:sz w:val="24"/>
                <w:highlight w:val="none"/>
                <w:lang w:bidi="ar"/>
              </w:rPr>
              <w:br w:type="textWrapping"/>
            </w:r>
            <w:r>
              <w:rPr>
                <w:rFonts w:hint="eastAsia" w:ascii="宋体" w:hAnsi="宋体" w:cs="宋体"/>
                <w:color w:val="auto"/>
                <w:kern w:val="0"/>
                <w:sz w:val="24"/>
                <w:highlight w:val="none"/>
                <w:lang w:bidi="ar"/>
              </w:rPr>
              <w:t>Essential</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54AD0">
            <w:pPr>
              <w:widowControl/>
              <w:jc w:val="center"/>
              <w:textAlignment w:val="center"/>
              <w:rPr>
                <w:rFonts w:ascii="宋体" w:hAnsi="宋体" w:cs="宋体"/>
                <w:color w:val="auto"/>
                <w:kern w:val="0"/>
                <w:sz w:val="24"/>
                <w:highlight w:val="none"/>
                <w:lang w:bidi="ar"/>
              </w:rPr>
            </w:pPr>
            <w:r>
              <w:rPr>
                <w:rFonts w:hint="eastAsia" w:ascii="宋体" w:hAnsi="宋体" w:cs="宋体"/>
                <w:color w:val="auto"/>
                <w:kern w:val="0"/>
                <w:sz w:val="24"/>
                <w:highlight w:val="none"/>
                <w:lang w:val="en-US" w:eastAsia="zh-CN" w:bidi="ar"/>
              </w:rPr>
              <w:t>13个月</w:t>
            </w:r>
          </w:p>
        </w:tc>
        <w:tc>
          <w:tcPr>
            <w:tcW w:w="1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58FF2">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医学影像科</w:t>
            </w:r>
          </w:p>
        </w:tc>
      </w:tr>
      <w:tr w14:paraId="4567B3EA">
        <w:tblPrEx>
          <w:tblCellMar>
            <w:top w:w="0" w:type="dxa"/>
            <w:left w:w="108" w:type="dxa"/>
            <w:bottom w:w="0" w:type="dxa"/>
            <w:right w:w="108" w:type="dxa"/>
          </w:tblCellMar>
        </w:tblPrEx>
        <w:trPr>
          <w:trHeight w:val="540" w:hRule="atLeast"/>
          <w:jc w:val="center"/>
        </w:trPr>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867ED">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包3</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8531B">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直线加速器</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73C95">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医用直线加速器</w:t>
            </w:r>
          </w:p>
        </w:tc>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617DD">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瓦里安</w:t>
            </w:r>
          </w:p>
        </w:tc>
        <w:tc>
          <w:tcPr>
            <w:tcW w:w="20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96137">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VitalBeam</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7B29B">
            <w:pPr>
              <w:widowControl/>
              <w:jc w:val="center"/>
              <w:textAlignment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3年</w:t>
            </w:r>
          </w:p>
        </w:tc>
        <w:tc>
          <w:tcPr>
            <w:tcW w:w="1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A8B92">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放疗科</w:t>
            </w:r>
          </w:p>
        </w:tc>
      </w:tr>
    </w:tbl>
    <w:p w14:paraId="6F29A609">
      <w:pPr>
        <w:tabs>
          <w:tab w:val="left" w:pos="1260"/>
        </w:tabs>
        <w:spacing w:line="360" w:lineRule="auto"/>
        <w:rPr>
          <w:rFonts w:ascii="宋体" w:hAnsi="宋体" w:cs="宋体"/>
          <w:color w:val="auto"/>
          <w:sz w:val="24"/>
          <w:highlight w:val="none"/>
        </w:rPr>
      </w:pPr>
    </w:p>
    <w:p w14:paraId="1268FBA2">
      <w:pPr>
        <w:pStyle w:val="102"/>
        <w:numPr>
          <w:ilvl w:val="0"/>
          <w:numId w:val="8"/>
        </w:numPr>
        <w:rPr>
          <w:color w:val="auto"/>
          <w:sz w:val="24"/>
          <w:szCs w:val="24"/>
          <w:highlight w:val="none"/>
        </w:rPr>
      </w:pPr>
      <w:r>
        <w:rPr>
          <w:rFonts w:hint="eastAsia"/>
          <w:color w:val="auto"/>
          <w:sz w:val="24"/>
          <w:szCs w:val="24"/>
          <w:highlight w:val="none"/>
        </w:rPr>
        <w:t>维保技术要求</w:t>
      </w:r>
    </w:p>
    <w:p w14:paraId="3BE58EE7">
      <w:pPr>
        <w:rPr>
          <w:color w:val="auto"/>
          <w:highlight w:val="none"/>
        </w:rPr>
      </w:pPr>
    </w:p>
    <w:p w14:paraId="13233078">
      <w:pPr>
        <w:pStyle w:val="102"/>
        <w:rPr>
          <w:rFonts w:cs="宋体"/>
          <w:color w:val="auto"/>
          <w:kern w:val="0"/>
          <w:sz w:val="24"/>
          <w:szCs w:val="24"/>
          <w:highlight w:val="none"/>
          <w:u w:val="single"/>
          <w:lang w:bidi="ar"/>
        </w:rPr>
      </w:pPr>
      <w:r>
        <w:rPr>
          <w:rFonts w:hint="eastAsia" w:cs="宋体"/>
          <w:color w:val="auto"/>
          <w:sz w:val="24"/>
          <w:szCs w:val="24"/>
          <w:highlight w:val="none"/>
          <w:u w:val="single"/>
        </w:rPr>
        <w:t>01包：</w:t>
      </w:r>
      <w:r>
        <w:rPr>
          <w:rFonts w:hint="eastAsia" w:cs="宋体"/>
          <w:color w:val="auto"/>
          <w:kern w:val="0"/>
          <w:sz w:val="24"/>
          <w:szCs w:val="24"/>
          <w:highlight w:val="none"/>
          <w:u w:val="single"/>
          <w:lang w:bidi="ar"/>
        </w:rPr>
        <w:t>西门子大型影像设备维保技术要求</w:t>
      </w:r>
    </w:p>
    <w:p w14:paraId="750D1AC7">
      <w:pPr>
        <w:pStyle w:val="102"/>
        <w:outlineLvl w:val="9"/>
        <w:rPr>
          <w:rFonts w:cs="宋体"/>
          <w:color w:val="auto"/>
          <w:kern w:val="0"/>
          <w:sz w:val="24"/>
          <w:szCs w:val="24"/>
          <w:highlight w:val="none"/>
          <w:u w:val="single"/>
          <w:lang w:bidi="ar"/>
        </w:rPr>
      </w:pPr>
    </w:p>
    <w:p w14:paraId="68E7456D">
      <w:pPr>
        <w:pStyle w:val="102"/>
        <w:ind w:firstLine="482" w:firstLineChars="200"/>
        <w:rPr>
          <w:rFonts w:cs="宋体"/>
          <w:color w:val="auto"/>
          <w:kern w:val="0"/>
          <w:sz w:val="24"/>
          <w:szCs w:val="24"/>
          <w:highlight w:val="none"/>
          <w:lang w:bidi="ar"/>
        </w:rPr>
      </w:pPr>
      <w:r>
        <w:rPr>
          <w:rFonts w:hint="eastAsia" w:cs="宋体"/>
          <w:color w:val="auto"/>
          <w:kern w:val="0"/>
          <w:sz w:val="24"/>
          <w:szCs w:val="24"/>
          <w:highlight w:val="none"/>
          <w:lang w:bidi="ar"/>
        </w:rPr>
        <w:t>1.1维保设备信息表</w:t>
      </w:r>
    </w:p>
    <w:tbl>
      <w:tblPr>
        <w:tblStyle w:val="30"/>
        <w:tblW w:w="9833" w:type="dxa"/>
        <w:jc w:val="center"/>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17" w:type="dxa"/>
          <w:left w:w="17" w:type="dxa"/>
          <w:bottom w:w="17" w:type="dxa"/>
          <w:right w:w="17" w:type="dxa"/>
        </w:tblCellMar>
      </w:tblPr>
      <w:tblGrid>
        <w:gridCol w:w="544"/>
        <w:gridCol w:w="2717"/>
        <w:gridCol w:w="992"/>
        <w:gridCol w:w="22"/>
        <w:gridCol w:w="2246"/>
        <w:gridCol w:w="60"/>
        <w:gridCol w:w="1213"/>
        <w:gridCol w:w="43"/>
        <w:gridCol w:w="1996"/>
      </w:tblGrid>
      <w:tr w14:paraId="6583EF1F">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7" w:type="dxa"/>
            <w:left w:w="17" w:type="dxa"/>
            <w:bottom w:w="17" w:type="dxa"/>
            <w:right w:w="17" w:type="dxa"/>
          </w:tblCellMar>
        </w:tblPrEx>
        <w:trPr>
          <w:jc w:val="center"/>
        </w:trPr>
        <w:tc>
          <w:tcPr>
            <w:tcW w:w="544" w:type="dxa"/>
            <w:tcBorders>
              <w:top w:val="single" w:color="000000" w:sz="2" w:space="0"/>
              <w:left w:val="single" w:color="000000" w:sz="2" w:space="0"/>
              <w:bottom w:val="single" w:color="000000" w:sz="2" w:space="0"/>
              <w:right w:val="single" w:color="000000" w:sz="2" w:space="0"/>
            </w:tcBorders>
            <w:tcMar>
              <w:left w:w="90" w:type="dxa"/>
              <w:right w:w="90" w:type="dxa"/>
            </w:tcMar>
          </w:tcPr>
          <w:p w14:paraId="722CB4B2">
            <w:pPr>
              <w:widowControl/>
              <w:snapToGrid w:val="0"/>
              <w:spacing w:after="90"/>
              <w:jc w:val="left"/>
              <w:rPr>
                <w:rFonts w:ascii="宋体" w:hAnsi="宋体"/>
                <w:color w:val="auto"/>
                <w:sz w:val="24"/>
                <w:highlight w:val="none"/>
              </w:rPr>
            </w:pPr>
            <w:r>
              <w:rPr>
                <w:rFonts w:ascii="宋体" w:hAnsi="宋体" w:cs="Arial"/>
                <w:color w:val="auto"/>
                <w:sz w:val="24"/>
                <w:highlight w:val="none"/>
              </w:rPr>
              <w:t>序号</w:t>
            </w:r>
          </w:p>
        </w:tc>
        <w:tc>
          <w:tcPr>
            <w:tcW w:w="2717" w:type="dxa"/>
            <w:tcBorders>
              <w:top w:val="single" w:color="000000" w:sz="2" w:space="0"/>
              <w:left w:val="single" w:color="000000" w:sz="2" w:space="0"/>
              <w:bottom w:val="single" w:color="000000" w:sz="2" w:space="0"/>
              <w:right w:val="single" w:color="000000" w:sz="2" w:space="0"/>
            </w:tcBorders>
            <w:tcMar>
              <w:left w:w="90" w:type="dxa"/>
              <w:right w:w="90" w:type="dxa"/>
            </w:tcMar>
          </w:tcPr>
          <w:p w14:paraId="5B8A0E81">
            <w:pPr>
              <w:widowControl/>
              <w:snapToGrid w:val="0"/>
              <w:spacing w:after="90"/>
              <w:jc w:val="left"/>
              <w:rPr>
                <w:rFonts w:ascii="宋体" w:hAnsi="宋体"/>
                <w:color w:val="auto"/>
                <w:sz w:val="24"/>
                <w:highlight w:val="none"/>
              </w:rPr>
            </w:pPr>
            <w:r>
              <w:rPr>
                <w:rFonts w:ascii="宋体" w:hAnsi="宋体" w:cs="Arial"/>
                <w:color w:val="auto"/>
                <w:sz w:val="24"/>
                <w:highlight w:val="none"/>
              </w:rPr>
              <w:t>设备名称</w:t>
            </w:r>
          </w:p>
        </w:tc>
        <w:tc>
          <w:tcPr>
            <w:tcW w:w="992" w:type="dxa"/>
            <w:tcBorders>
              <w:top w:val="single" w:color="000000" w:sz="2" w:space="0"/>
              <w:left w:val="single" w:color="000000" w:sz="2" w:space="0"/>
              <w:bottom w:val="single" w:color="000000" w:sz="2" w:space="0"/>
              <w:right w:val="single" w:color="000000" w:sz="2" w:space="0"/>
            </w:tcBorders>
            <w:tcMar>
              <w:left w:w="90" w:type="dxa"/>
              <w:right w:w="90" w:type="dxa"/>
            </w:tcMar>
          </w:tcPr>
          <w:p w14:paraId="5650ECA7">
            <w:pPr>
              <w:widowControl/>
              <w:snapToGrid w:val="0"/>
              <w:spacing w:after="90"/>
              <w:jc w:val="left"/>
              <w:rPr>
                <w:rFonts w:ascii="宋体" w:hAnsi="宋体"/>
                <w:color w:val="auto"/>
                <w:sz w:val="24"/>
                <w:highlight w:val="none"/>
              </w:rPr>
            </w:pPr>
            <w:r>
              <w:rPr>
                <w:rFonts w:ascii="宋体" w:hAnsi="宋体" w:cs="Arial"/>
                <w:color w:val="auto"/>
                <w:sz w:val="24"/>
                <w:highlight w:val="none"/>
              </w:rPr>
              <w:t>品牌</w:t>
            </w:r>
          </w:p>
        </w:tc>
        <w:tc>
          <w:tcPr>
            <w:tcW w:w="2268" w:type="dxa"/>
            <w:gridSpan w:val="2"/>
            <w:tcBorders>
              <w:top w:val="single" w:color="000000" w:sz="2" w:space="0"/>
              <w:left w:val="single" w:color="000000" w:sz="2" w:space="0"/>
              <w:bottom w:val="single" w:color="000000" w:sz="2" w:space="0"/>
              <w:right w:val="single" w:color="000000" w:sz="2" w:space="0"/>
            </w:tcBorders>
            <w:tcMar>
              <w:left w:w="90" w:type="dxa"/>
              <w:right w:w="90" w:type="dxa"/>
            </w:tcMar>
          </w:tcPr>
          <w:p w14:paraId="5EB03B71">
            <w:pPr>
              <w:widowControl/>
              <w:snapToGrid w:val="0"/>
              <w:spacing w:after="90"/>
              <w:jc w:val="left"/>
              <w:rPr>
                <w:rFonts w:ascii="宋体" w:hAnsi="宋体"/>
                <w:color w:val="auto"/>
                <w:sz w:val="24"/>
                <w:highlight w:val="none"/>
              </w:rPr>
            </w:pPr>
            <w:r>
              <w:rPr>
                <w:rFonts w:ascii="宋体" w:hAnsi="宋体" w:cs="Arial"/>
                <w:color w:val="auto"/>
                <w:sz w:val="24"/>
                <w:highlight w:val="none"/>
              </w:rPr>
              <w:t>型号</w:t>
            </w:r>
          </w:p>
        </w:tc>
        <w:tc>
          <w:tcPr>
            <w:tcW w:w="1273" w:type="dxa"/>
            <w:gridSpan w:val="2"/>
            <w:tcBorders>
              <w:top w:val="single" w:color="000000" w:sz="2" w:space="0"/>
              <w:left w:val="single" w:color="000000" w:sz="2" w:space="0"/>
              <w:bottom w:val="single" w:color="000000" w:sz="2" w:space="0"/>
              <w:right w:val="single" w:color="000000" w:sz="2" w:space="0"/>
            </w:tcBorders>
            <w:tcMar>
              <w:left w:w="90" w:type="dxa"/>
              <w:right w:w="90" w:type="dxa"/>
            </w:tcMar>
          </w:tcPr>
          <w:p w14:paraId="10C9CF85">
            <w:pPr>
              <w:widowControl/>
              <w:snapToGrid w:val="0"/>
              <w:spacing w:after="90"/>
              <w:jc w:val="left"/>
              <w:rPr>
                <w:rFonts w:ascii="宋体" w:hAnsi="宋体"/>
                <w:color w:val="auto"/>
                <w:sz w:val="24"/>
                <w:highlight w:val="none"/>
              </w:rPr>
            </w:pPr>
            <w:r>
              <w:rPr>
                <w:rFonts w:ascii="宋体" w:hAnsi="宋体" w:cs="Arial"/>
                <w:color w:val="auto"/>
                <w:sz w:val="24"/>
                <w:highlight w:val="none"/>
              </w:rPr>
              <w:t>启用日期</w:t>
            </w:r>
          </w:p>
        </w:tc>
        <w:tc>
          <w:tcPr>
            <w:tcW w:w="2039" w:type="dxa"/>
            <w:gridSpan w:val="2"/>
            <w:tcBorders>
              <w:top w:val="single" w:color="000000" w:sz="2" w:space="0"/>
              <w:left w:val="single" w:color="000000" w:sz="2" w:space="0"/>
              <w:bottom w:val="single" w:color="000000" w:sz="2" w:space="0"/>
              <w:right w:val="single" w:color="000000" w:sz="2" w:space="0"/>
            </w:tcBorders>
            <w:tcMar>
              <w:left w:w="90" w:type="dxa"/>
              <w:right w:w="90" w:type="dxa"/>
            </w:tcMar>
          </w:tcPr>
          <w:p w14:paraId="72A77573">
            <w:pPr>
              <w:widowControl/>
              <w:snapToGrid w:val="0"/>
              <w:spacing w:after="90"/>
              <w:jc w:val="left"/>
              <w:rPr>
                <w:rFonts w:ascii="宋体" w:hAnsi="宋体"/>
                <w:color w:val="auto"/>
                <w:sz w:val="24"/>
                <w:highlight w:val="none"/>
              </w:rPr>
            </w:pPr>
            <w:r>
              <w:rPr>
                <w:rFonts w:ascii="宋体" w:hAnsi="宋体" w:cs="Arial"/>
                <w:color w:val="auto"/>
                <w:sz w:val="24"/>
                <w:highlight w:val="none"/>
              </w:rPr>
              <w:t>安装位置</w:t>
            </w:r>
          </w:p>
        </w:tc>
      </w:tr>
      <w:tr w14:paraId="4DFB6A7B">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7" w:type="dxa"/>
            <w:left w:w="17" w:type="dxa"/>
            <w:bottom w:w="17" w:type="dxa"/>
            <w:right w:w="17" w:type="dxa"/>
          </w:tblCellMar>
        </w:tblPrEx>
        <w:trPr>
          <w:jc w:val="center"/>
        </w:trPr>
        <w:tc>
          <w:tcPr>
            <w:tcW w:w="544" w:type="dxa"/>
            <w:vMerge w:val="restart"/>
            <w:tcBorders>
              <w:top w:val="single" w:color="000000" w:sz="2" w:space="0"/>
              <w:left w:val="single" w:color="000000" w:sz="2" w:space="0"/>
              <w:right w:val="single" w:color="000000" w:sz="2" w:space="0"/>
            </w:tcBorders>
            <w:tcMar>
              <w:left w:w="90" w:type="dxa"/>
              <w:right w:w="90" w:type="dxa"/>
            </w:tcMar>
          </w:tcPr>
          <w:p w14:paraId="3B2A2B95">
            <w:pPr>
              <w:widowControl/>
              <w:snapToGrid w:val="0"/>
              <w:spacing w:after="90"/>
              <w:jc w:val="left"/>
              <w:rPr>
                <w:rFonts w:ascii="宋体" w:hAnsi="宋体"/>
                <w:color w:val="auto"/>
                <w:sz w:val="24"/>
                <w:highlight w:val="none"/>
              </w:rPr>
            </w:pPr>
            <w:r>
              <w:rPr>
                <w:rFonts w:ascii="宋体" w:hAnsi="宋体" w:cs="Arial"/>
                <w:color w:val="auto"/>
                <w:sz w:val="24"/>
                <w:highlight w:val="none"/>
              </w:rPr>
              <w:t>1</w:t>
            </w:r>
          </w:p>
        </w:tc>
        <w:tc>
          <w:tcPr>
            <w:tcW w:w="2717" w:type="dxa"/>
            <w:tcBorders>
              <w:top w:val="single" w:color="000000" w:sz="2" w:space="0"/>
              <w:left w:val="single" w:color="000000" w:sz="2" w:space="0"/>
              <w:bottom w:val="single" w:color="000000" w:sz="2" w:space="0"/>
              <w:right w:val="single" w:color="000000" w:sz="2" w:space="0"/>
            </w:tcBorders>
            <w:tcMar>
              <w:left w:w="90" w:type="dxa"/>
              <w:right w:w="90" w:type="dxa"/>
            </w:tcMar>
          </w:tcPr>
          <w:p w14:paraId="25ABF57E">
            <w:pPr>
              <w:widowControl/>
              <w:snapToGrid w:val="0"/>
              <w:spacing w:after="90"/>
              <w:jc w:val="left"/>
              <w:rPr>
                <w:rFonts w:ascii="宋体" w:hAnsi="宋体"/>
                <w:color w:val="auto"/>
                <w:sz w:val="24"/>
                <w:highlight w:val="none"/>
              </w:rPr>
            </w:pPr>
            <w:r>
              <w:rPr>
                <w:rFonts w:ascii="宋体" w:hAnsi="宋体" w:cs="Arial"/>
                <w:color w:val="auto"/>
                <w:sz w:val="24"/>
                <w:highlight w:val="none"/>
              </w:rPr>
              <w:t>X射线计算机体层摄影设备</w:t>
            </w:r>
          </w:p>
        </w:tc>
        <w:tc>
          <w:tcPr>
            <w:tcW w:w="992" w:type="dxa"/>
            <w:tcBorders>
              <w:top w:val="single" w:color="000000" w:sz="2" w:space="0"/>
              <w:left w:val="single" w:color="000000" w:sz="2" w:space="0"/>
              <w:bottom w:val="single" w:color="000000" w:sz="2" w:space="0"/>
              <w:right w:val="single" w:color="000000" w:sz="2" w:space="0"/>
            </w:tcBorders>
            <w:tcMar>
              <w:left w:w="90" w:type="dxa"/>
              <w:right w:w="90" w:type="dxa"/>
            </w:tcMar>
          </w:tcPr>
          <w:p w14:paraId="1EF5F252">
            <w:pPr>
              <w:widowControl/>
              <w:snapToGrid w:val="0"/>
              <w:spacing w:after="90"/>
              <w:jc w:val="left"/>
              <w:rPr>
                <w:rFonts w:ascii="宋体" w:hAnsi="宋体"/>
                <w:color w:val="auto"/>
                <w:sz w:val="24"/>
                <w:highlight w:val="none"/>
              </w:rPr>
            </w:pPr>
            <w:r>
              <w:rPr>
                <w:rFonts w:ascii="宋体" w:hAnsi="宋体" w:cs="Arial"/>
                <w:color w:val="auto"/>
                <w:sz w:val="24"/>
                <w:highlight w:val="none"/>
              </w:rPr>
              <w:t>西门子</w:t>
            </w:r>
          </w:p>
        </w:tc>
        <w:tc>
          <w:tcPr>
            <w:tcW w:w="2268" w:type="dxa"/>
            <w:gridSpan w:val="2"/>
            <w:tcBorders>
              <w:top w:val="single" w:color="000000" w:sz="2" w:space="0"/>
              <w:left w:val="single" w:color="000000" w:sz="2" w:space="0"/>
              <w:bottom w:val="single" w:color="000000" w:sz="2" w:space="0"/>
              <w:right w:val="single" w:color="000000" w:sz="2" w:space="0"/>
            </w:tcBorders>
            <w:tcMar>
              <w:left w:w="90" w:type="dxa"/>
              <w:right w:w="90" w:type="dxa"/>
            </w:tcMar>
          </w:tcPr>
          <w:p w14:paraId="0632B65F">
            <w:pPr>
              <w:widowControl/>
              <w:snapToGrid w:val="0"/>
              <w:spacing w:after="90"/>
              <w:jc w:val="left"/>
              <w:rPr>
                <w:rFonts w:ascii="宋体" w:hAnsi="宋体"/>
                <w:color w:val="auto"/>
                <w:sz w:val="24"/>
                <w:highlight w:val="none"/>
              </w:rPr>
            </w:pPr>
            <w:r>
              <w:rPr>
                <w:rFonts w:ascii="宋体" w:hAnsi="宋体" w:cs="Arial"/>
                <w:color w:val="auto"/>
                <w:sz w:val="24"/>
                <w:highlight w:val="none"/>
              </w:rPr>
              <w:t>SOMATOM Force CT</w:t>
            </w:r>
          </w:p>
        </w:tc>
        <w:tc>
          <w:tcPr>
            <w:tcW w:w="1273" w:type="dxa"/>
            <w:gridSpan w:val="2"/>
            <w:tcBorders>
              <w:top w:val="single" w:color="000000" w:sz="2" w:space="0"/>
              <w:left w:val="single" w:color="000000" w:sz="2" w:space="0"/>
              <w:bottom w:val="single" w:color="000000" w:sz="2" w:space="0"/>
              <w:right w:val="single" w:color="000000" w:sz="2" w:space="0"/>
            </w:tcBorders>
            <w:tcMar>
              <w:left w:w="90" w:type="dxa"/>
              <w:right w:w="90" w:type="dxa"/>
            </w:tcMar>
          </w:tcPr>
          <w:p w14:paraId="6393D866">
            <w:pPr>
              <w:widowControl/>
              <w:snapToGrid w:val="0"/>
              <w:spacing w:after="90"/>
              <w:jc w:val="left"/>
              <w:rPr>
                <w:rFonts w:ascii="宋体" w:hAnsi="宋体"/>
                <w:color w:val="auto"/>
                <w:sz w:val="24"/>
                <w:highlight w:val="none"/>
              </w:rPr>
            </w:pPr>
            <w:r>
              <w:rPr>
                <w:rFonts w:ascii="宋体" w:hAnsi="宋体" w:cs="Arial"/>
                <w:color w:val="auto"/>
                <w:sz w:val="24"/>
                <w:highlight w:val="none"/>
              </w:rPr>
              <w:t>2017.12</w:t>
            </w:r>
          </w:p>
        </w:tc>
        <w:tc>
          <w:tcPr>
            <w:tcW w:w="2039" w:type="dxa"/>
            <w:gridSpan w:val="2"/>
            <w:tcBorders>
              <w:top w:val="single" w:color="000000" w:sz="2" w:space="0"/>
              <w:left w:val="single" w:color="000000" w:sz="2" w:space="0"/>
              <w:bottom w:val="single" w:color="000000" w:sz="2" w:space="0"/>
              <w:right w:val="single" w:color="000000" w:sz="2" w:space="0"/>
            </w:tcBorders>
            <w:tcMar>
              <w:left w:w="90" w:type="dxa"/>
              <w:right w:w="90" w:type="dxa"/>
            </w:tcMar>
          </w:tcPr>
          <w:p w14:paraId="1738C7EB">
            <w:pPr>
              <w:widowControl/>
              <w:snapToGrid w:val="0"/>
              <w:spacing w:after="90"/>
              <w:jc w:val="left"/>
              <w:rPr>
                <w:rFonts w:ascii="宋体" w:hAnsi="宋体"/>
                <w:color w:val="auto"/>
                <w:sz w:val="24"/>
                <w:highlight w:val="none"/>
              </w:rPr>
            </w:pPr>
            <w:r>
              <w:rPr>
                <w:rFonts w:ascii="宋体" w:hAnsi="宋体" w:cs="Arial"/>
                <w:color w:val="auto"/>
                <w:sz w:val="24"/>
                <w:highlight w:val="none"/>
              </w:rPr>
              <w:t>湖山路院区医学影像科</w:t>
            </w:r>
          </w:p>
        </w:tc>
      </w:tr>
      <w:tr w14:paraId="51A1235A">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7" w:type="dxa"/>
            <w:left w:w="17" w:type="dxa"/>
            <w:bottom w:w="17" w:type="dxa"/>
            <w:right w:w="17" w:type="dxa"/>
          </w:tblCellMar>
        </w:tblPrEx>
        <w:trPr>
          <w:trHeight w:val="341" w:hRule="atLeast"/>
          <w:jc w:val="center"/>
        </w:trPr>
        <w:tc>
          <w:tcPr>
            <w:tcW w:w="544" w:type="dxa"/>
            <w:vMerge w:val="continue"/>
            <w:tcBorders>
              <w:left w:val="single" w:color="000000" w:sz="2" w:space="0"/>
              <w:bottom w:val="single" w:color="000000" w:sz="2" w:space="0"/>
              <w:right w:val="single" w:color="000000" w:sz="2" w:space="0"/>
            </w:tcBorders>
            <w:tcMar>
              <w:left w:w="90" w:type="dxa"/>
              <w:right w:w="90" w:type="dxa"/>
            </w:tcMar>
          </w:tcPr>
          <w:p w14:paraId="076A4457">
            <w:pPr>
              <w:widowControl/>
              <w:snapToGrid w:val="0"/>
              <w:spacing w:after="90"/>
              <w:jc w:val="left"/>
              <w:rPr>
                <w:rFonts w:ascii="宋体" w:hAnsi="宋体"/>
                <w:color w:val="auto"/>
                <w:sz w:val="24"/>
                <w:highlight w:val="none"/>
              </w:rPr>
            </w:pPr>
          </w:p>
        </w:tc>
        <w:tc>
          <w:tcPr>
            <w:tcW w:w="2717" w:type="dxa"/>
            <w:tcBorders>
              <w:top w:val="single" w:color="000000" w:sz="2" w:space="0"/>
              <w:left w:val="single" w:color="000000" w:sz="2" w:space="0"/>
              <w:bottom w:val="single" w:color="000000" w:sz="2" w:space="0"/>
              <w:right w:val="single" w:color="000000" w:sz="2" w:space="0"/>
            </w:tcBorders>
            <w:tcMar>
              <w:left w:w="90" w:type="dxa"/>
              <w:right w:w="90" w:type="dxa"/>
            </w:tcMar>
          </w:tcPr>
          <w:p w14:paraId="57F8E541">
            <w:pPr>
              <w:widowControl/>
              <w:snapToGrid w:val="0"/>
              <w:spacing w:after="90"/>
              <w:jc w:val="left"/>
              <w:rPr>
                <w:rFonts w:ascii="宋体" w:hAnsi="宋体"/>
                <w:color w:val="auto"/>
                <w:sz w:val="24"/>
                <w:highlight w:val="none"/>
              </w:rPr>
            </w:pPr>
            <w:r>
              <w:rPr>
                <w:rFonts w:ascii="宋体" w:hAnsi="宋体" w:cs="Arial"/>
                <w:color w:val="auto"/>
                <w:sz w:val="24"/>
                <w:highlight w:val="none"/>
              </w:rPr>
              <w:t>第三方产品</w:t>
            </w:r>
          </w:p>
        </w:tc>
        <w:tc>
          <w:tcPr>
            <w:tcW w:w="6572" w:type="dxa"/>
            <w:gridSpan w:val="7"/>
            <w:tcBorders>
              <w:top w:val="single" w:color="000000" w:sz="2" w:space="0"/>
              <w:left w:val="single" w:color="000000" w:sz="2" w:space="0"/>
              <w:bottom w:val="single" w:color="000000" w:sz="2" w:space="0"/>
              <w:right w:val="single" w:color="000000" w:sz="2" w:space="0"/>
            </w:tcBorders>
            <w:tcMar>
              <w:left w:w="90" w:type="dxa"/>
              <w:right w:w="90" w:type="dxa"/>
            </w:tcMar>
          </w:tcPr>
          <w:p w14:paraId="3270E9EA">
            <w:pPr>
              <w:widowControl/>
              <w:snapToGrid w:val="0"/>
              <w:spacing w:after="90"/>
              <w:jc w:val="left"/>
              <w:rPr>
                <w:rFonts w:ascii="宋体" w:hAnsi="宋体"/>
                <w:color w:val="auto"/>
                <w:sz w:val="24"/>
                <w:highlight w:val="none"/>
              </w:rPr>
            </w:pPr>
            <w:r>
              <w:rPr>
                <w:rFonts w:ascii="宋体" w:hAnsi="宋体" w:cs="Arial"/>
                <w:color w:val="auto"/>
                <w:sz w:val="24"/>
                <w:highlight w:val="none"/>
              </w:rPr>
              <w:t>高压注射器（拜耳 Stellant D-CE）</w:t>
            </w:r>
          </w:p>
        </w:tc>
      </w:tr>
      <w:tr w14:paraId="20ED567E">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7" w:type="dxa"/>
            <w:left w:w="17" w:type="dxa"/>
            <w:bottom w:w="17" w:type="dxa"/>
            <w:right w:w="17" w:type="dxa"/>
          </w:tblCellMar>
        </w:tblPrEx>
        <w:trPr>
          <w:trHeight w:val="379" w:hRule="atLeast"/>
          <w:jc w:val="center"/>
        </w:trPr>
        <w:tc>
          <w:tcPr>
            <w:tcW w:w="544" w:type="dxa"/>
            <w:vMerge w:val="restart"/>
            <w:tcBorders>
              <w:top w:val="single" w:color="000000" w:sz="2" w:space="0"/>
              <w:left w:val="single" w:color="000000" w:sz="2" w:space="0"/>
              <w:right w:val="single" w:color="000000" w:sz="2" w:space="0"/>
            </w:tcBorders>
            <w:tcMar>
              <w:left w:w="90" w:type="dxa"/>
              <w:right w:w="90" w:type="dxa"/>
            </w:tcMar>
          </w:tcPr>
          <w:p w14:paraId="74B56273">
            <w:pPr>
              <w:widowControl/>
              <w:snapToGrid w:val="0"/>
              <w:spacing w:after="90"/>
              <w:jc w:val="left"/>
              <w:rPr>
                <w:rFonts w:ascii="宋体" w:hAnsi="宋体"/>
                <w:color w:val="auto"/>
                <w:sz w:val="24"/>
                <w:highlight w:val="none"/>
              </w:rPr>
            </w:pPr>
            <w:r>
              <w:rPr>
                <w:rFonts w:ascii="宋体" w:hAnsi="宋体" w:cs="Arial"/>
                <w:color w:val="auto"/>
                <w:sz w:val="24"/>
                <w:highlight w:val="none"/>
              </w:rPr>
              <w:t>2</w:t>
            </w:r>
          </w:p>
        </w:tc>
        <w:tc>
          <w:tcPr>
            <w:tcW w:w="2717" w:type="dxa"/>
            <w:tcBorders>
              <w:top w:val="single" w:color="000000" w:sz="2" w:space="0"/>
              <w:left w:val="single" w:color="000000" w:sz="2" w:space="0"/>
              <w:bottom w:val="single" w:color="000000" w:sz="2" w:space="0"/>
              <w:right w:val="single" w:color="000000" w:sz="2" w:space="0"/>
            </w:tcBorders>
            <w:tcMar>
              <w:left w:w="90" w:type="dxa"/>
              <w:right w:w="90" w:type="dxa"/>
            </w:tcMar>
          </w:tcPr>
          <w:p w14:paraId="4043BE61">
            <w:pPr>
              <w:widowControl/>
              <w:snapToGrid w:val="0"/>
              <w:spacing w:after="90"/>
              <w:jc w:val="left"/>
              <w:rPr>
                <w:rFonts w:ascii="宋体" w:hAnsi="宋体"/>
                <w:color w:val="auto"/>
                <w:sz w:val="24"/>
                <w:highlight w:val="none"/>
              </w:rPr>
            </w:pPr>
            <w:r>
              <w:rPr>
                <w:rFonts w:ascii="宋体" w:hAnsi="宋体" w:cs="Arial"/>
                <w:color w:val="auto"/>
                <w:sz w:val="24"/>
                <w:highlight w:val="none"/>
              </w:rPr>
              <w:t>医用血管造影X射线系统</w:t>
            </w:r>
          </w:p>
        </w:tc>
        <w:tc>
          <w:tcPr>
            <w:tcW w:w="992" w:type="dxa"/>
            <w:tcBorders>
              <w:top w:val="single" w:color="000000" w:sz="2" w:space="0"/>
              <w:left w:val="single" w:color="000000" w:sz="2" w:space="0"/>
              <w:bottom w:val="single" w:color="000000" w:sz="2" w:space="0"/>
              <w:right w:val="single" w:color="000000" w:sz="2" w:space="0"/>
            </w:tcBorders>
            <w:tcMar>
              <w:left w:w="90" w:type="dxa"/>
              <w:right w:w="90" w:type="dxa"/>
            </w:tcMar>
          </w:tcPr>
          <w:p w14:paraId="40BE01EF">
            <w:pPr>
              <w:widowControl/>
              <w:snapToGrid w:val="0"/>
              <w:spacing w:after="90"/>
              <w:jc w:val="left"/>
              <w:rPr>
                <w:rFonts w:ascii="宋体" w:hAnsi="宋体"/>
                <w:color w:val="auto"/>
                <w:sz w:val="24"/>
                <w:highlight w:val="none"/>
              </w:rPr>
            </w:pPr>
            <w:r>
              <w:rPr>
                <w:rFonts w:ascii="宋体" w:hAnsi="宋体" w:cs="Arial"/>
                <w:color w:val="auto"/>
                <w:sz w:val="24"/>
                <w:highlight w:val="none"/>
              </w:rPr>
              <w:t>西门子</w:t>
            </w:r>
          </w:p>
        </w:tc>
        <w:tc>
          <w:tcPr>
            <w:tcW w:w="2268" w:type="dxa"/>
            <w:gridSpan w:val="2"/>
            <w:tcBorders>
              <w:top w:val="single" w:color="000000" w:sz="2" w:space="0"/>
              <w:left w:val="single" w:color="000000" w:sz="2" w:space="0"/>
              <w:bottom w:val="single" w:color="000000" w:sz="2" w:space="0"/>
              <w:right w:val="single" w:color="000000" w:sz="2" w:space="0"/>
            </w:tcBorders>
            <w:tcMar>
              <w:left w:w="90" w:type="dxa"/>
              <w:right w:w="90" w:type="dxa"/>
            </w:tcMar>
          </w:tcPr>
          <w:p w14:paraId="4FC23173">
            <w:pPr>
              <w:widowControl/>
              <w:snapToGrid w:val="0"/>
              <w:spacing w:after="90"/>
              <w:jc w:val="left"/>
              <w:rPr>
                <w:rFonts w:ascii="宋体" w:hAnsi="宋体"/>
                <w:color w:val="auto"/>
                <w:sz w:val="24"/>
                <w:highlight w:val="none"/>
              </w:rPr>
            </w:pPr>
            <w:r>
              <w:rPr>
                <w:rFonts w:ascii="宋体" w:hAnsi="宋体" w:cs="Arial"/>
                <w:color w:val="auto"/>
                <w:sz w:val="24"/>
                <w:highlight w:val="none"/>
              </w:rPr>
              <w:t>Artis zee III ceiling</w:t>
            </w:r>
          </w:p>
        </w:tc>
        <w:tc>
          <w:tcPr>
            <w:tcW w:w="1273" w:type="dxa"/>
            <w:gridSpan w:val="2"/>
            <w:tcBorders>
              <w:top w:val="single" w:color="000000" w:sz="2" w:space="0"/>
              <w:left w:val="single" w:color="000000" w:sz="2" w:space="0"/>
              <w:bottom w:val="single" w:color="000000" w:sz="2" w:space="0"/>
              <w:right w:val="single" w:color="000000" w:sz="2" w:space="0"/>
            </w:tcBorders>
            <w:tcMar>
              <w:left w:w="90" w:type="dxa"/>
              <w:right w:w="90" w:type="dxa"/>
            </w:tcMar>
          </w:tcPr>
          <w:p w14:paraId="41D7E0DA">
            <w:pPr>
              <w:widowControl/>
              <w:snapToGrid w:val="0"/>
              <w:spacing w:after="90"/>
              <w:jc w:val="left"/>
              <w:rPr>
                <w:rFonts w:ascii="宋体" w:hAnsi="宋体"/>
                <w:color w:val="auto"/>
                <w:sz w:val="24"/>
                <w:highlight w:val="none"/>
              </w:rPr>
            </w:pPr>
            <w:r>
              <w:rPr>
                <w:rFonts w:ascii="宋体" w:hAnsi="宋体" w:cs="Arial"/>
                <w:color w:val="auto"/>
                <w:sz w:val="24"/>
                <w:highlight w:val="none"/>
              </w:rPr>
              <w:t>2017.12</w:t>
            </w:r>
          </w:p>
        </w:tc>
        <w:tc>
          <w:tcPr>
            <w:tcW w:w="2039" w:type="dxa"/>
            <w:gridSpan w:val="2"/>
            <w:tcBorders>
              <w:top w:val="single" w:color="000000" w:sz="2" w:space="0"/>
              <w:left w:val="single" w:color="000000" w:sz="2" w:space="0"/>
              <w:bottom w:val="single" w:color="000000" w:sz="2" w:space="0"/>
              <w:right w:val="single" w:color="000000" w:sz="2" w:space="0"/>
            </w:tcBorders>
            <w:tcMar>
              <w:left w:w="90" w:type="dxa"/>
              <w:right w:w="90" w:type="dxa"/>
            </w:tcMar>
          </w:tcPr>
          <w:p w14:paraId="71CB9141">
            <w:pPr>
              <w:widowControl/>
              <w:snapToGrid w:val="0"/>
              <w:spacing w:after="90"/>
              <w:jc w:val="left"/>
              <w:rPr>
                <w:rFonts w:ascii="宋体" w:hAnsi="宋体"/>
                <w:color w:val="auto"/>
                <w:sz w:val="24"/>
                <w:highlight w:val="none"/>
              </w:rPr>
            </w:pPr>
            <w:r>
              <w:rPr>
                <w:rFonts w:ascii="宋体" w:hAnsi="宋体" w:cs="Arial"/>
                <w:color w:val="auto"/>
                <w:sz w:val="24"/>
                <w:highlight w:val="none"/>
              </w:rPr>
              <w:t>湖山路院区血管与肿瘤介入科</w:t>
            </w:r>
          </w:p>
        </w:tc>
      </w:tr>
      <w:tr w14:paraId="03A1AA3C">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7" w:type="dxa"/>
            <w:left w:w="17" w:type="dxa"/>
            <w:bottom w:w="17" w:type="dxa"/>
            <w:right w:w="17" w:type="dxa"/>
          </w:tblCellMar>
        </w:tblPrEx>
        <w:trPr>
          <w:jc w:val="center"/>
        </w:trPr>
        <w:tc>
          <w:tcPr>
            <w:tcW w:w="544" w:type="dxa"/>
            <w:vMerge w:val="continue"/>
            <w:tcBorders>
              <w:left w:val="single" w:color="000000" w:sz="2" w:space="0"/>
              <w:bottom w:val="single" w:color="000000" w:sz="2" w:space="0"/>
              <w:right w:val="single" w:color="000000" w:sz="2" w:space="0"/>
            </w:tcBorders>
            <w:tcMar>
              <w:left w:w="90" w:type="dxa"/>
              <w:right w:w="90" w:type="dxa"/>
            </w:tcMar>
          </w:tcPr>
          <w:p w14:paraId="49522448">
            <w:pPr>
              <w:widowControl/>
              <w:snapToGrid w:val="0"/>
              <w:spacing w:after="90"/>
              <w:jc w:val="left"/>
              <w:rPr>
                <w:rFonts w:ascii="宋体" w:hAnsi="宋体"/>
                <w:color w:val="auto"/>
                <w:sz w:val="24"/>
                <w:highlight w:val="none"/>
              </w:rPr>
            </w:pPr>
          </w:p>
        </w:tc>
        <w:tc>
          <w:tcPr>
            <w:tcW w:w="2717" w:type="dxa"/>
            <w:tcBorders>
              <w:top w:val="single" w:color="000000" w:sz="2" w:space="0"/>
              <w:left w:val="single" w:color="000000" w:sz="2" w:space="0"/>
              <w:bottom w:val="single" w:color="000000" w:sz="2" w:space="0"/>
              <w:right w:val="single" w:color="000000" w:sz="2" w:space="0"/>
            </w:tcBorders>
            <w:tcMar>
              <w:left w:w="90" w:type="dxa"/>
              <w:right w:w="90" w:type="dxa"/>
            </w:tcMar>
          </w:tcPr>
          <w:p w14:paraId="4551DE47">
            <w:pPr>
              <w:widowControl/>
              <w:snapToGrid w:val="0"/>
              <w:spacing w:after="90"/>
              <w:jc w:val="left"/>
              <w:rPr>
                <w:rFonts w:ascii="宋体" w:hAnsi="宋体"/>
                <w:color w:val="auto"/>
                <w:sz w:val="24"/>
                <w:highlight w:val="none"/>
              </w:rPr>
            </w:pPr>
            <w:r>
              <w:rPr>
                <w:rFonts w:ascii="宋体" w:hAnsi="宋体" w:cs="Arial"/>
                <w:color w:val="auto"/>
                <w:sz w:val="24"/>
                <w:highlight w:val="none"/>
              </w:rPr>
              <w:t>第三方产品</w:t>
            </w:r>
          </w:p>
        </w:tc>
        <w:tc>
          <w:tcPr>
            <w:tcW w:w="6572" w:type="dxa"/>
            <w:gridSpan w:val="7"/>
            <w:tcBorders>
              <w:top w:val="single" w:color="000000" w:sz="2" w:space="0"/>
              <w:left w:val="single" w:color="000000" w:sz="2" w:space="0"/>
              <w:bottom w:val="single" w:color="000000" w:sz="2" w:space="0"/>
              <w:right w:val="single" w:color="000000" w:sz="2" w:space="0"/>
            </w:tcBorders>
            <w:tcMar>
              <w:left w:w="90" w:type="dxa"/>
              <w:right w:w="90" w:type="dxa"/>
            </w:tcMar>
          </w:tcPr>
          <w:p w14:paraId="47DBEF4B">
            <w:pPr>
              <w:widowControl/>
              <w:snapToGrid w:val="0"/>
              <w:spacing w:after="90"/>
              <w:jc w:val="left"/>
              <w:rPr>
                <w:rFonts w:ascii="宋体" w:hAnsi="宋体"/>
                <w:color w:val="auto"/>
                <w:sz w:val="24"/>
                <w:highlight w:val="none"/>
              </w:rPr>
            </w:pPr>
            <w:r>
              <w:rPr>
                <w:rFonts w:ascii="宋体" w:hAnsi="宋体" w:cs="Arial"/>
                <w:color w:val="auto"/>
                <w:sz w:val="24"/>
                <w:highlight w:val="none"/>
              </w:rPr>
              <w:t>高压注射器（拜耳 Mark 7 Arterion）</w:t>
            </w:r>
          </w:p>
        </w:tc>
      </w:tr>
      <w:tr w14:paraId="42FF3583">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7" w:type="dxa"/>
            <w:left w:w="17" w:type="dxa"/>
            <w:bottom w:w="17" w:type="dxa"/>
            <w:right w:w="17" w:type="dxa"/>
          </w:tblCellMar>
        </w:tblPrEx>
        <w:trPr>
          <w:trHeight w:val="437" w:hRule="atLeast"/>
          <w:jc w:val="center"/>
        </w:trPr>
        <w:tc>
          <w:tcPr>
            <w:tcW w:w="544" w:type="dxa"/>
            <w:tcBorders>
              <w:top w:val="single" w:color="000000" w:sz="2" w:space="0"/>
              <w:left w:val="single" w:color="000000" w:sz="2" w:space="0"/>
              <w:bottom w:val="single" w:color="000000" w:sz="2" w:space="0"/>
              <w:right w:val="single" w:color="000000" w:sz="2" w:space="0"/>
            </w:tcBorders>
            <w:tcMar>
              <w:left w:w="90" w:type="dxa"/>
              <w:right w:w="90" w:type="dxa"/>
            </w:tcMar>
          </w:tcPr>
          <w:p w14:paraId="5F7E1A23">
            <w:pPr>
              <w:widowControl/>
              <w:snapToGrid w:val="0"/>
              <w:spacing w:after="90"/>
              <w:jc w:val="left"/>
              <w:rPr>
                <w:rFonts w:ascii="宋体" w:hAnsi="宋体"/>
                <w:color w:val="auto"/>
                <w:sz w:val="24"/>
                <w:highlight w:val="none"/>
              </w:rPr>
            </w:pPr>
            <w:r>
              <w:rPr>
                <w:rFonts w:ascii="宋体" w:hAnsi="宋体" w:cs="Arial"/>
                <w:color w:val="auto"/>
                <w:sz w:val="24"/>
                <w:highlight w:val="none"/>
              </w:rPr>
              <w:t>3</w:t>
            </w:r>
          </w:p>
        </w:tc>
        <w:tc>
          <w:tcPr>
            <w:tcW w:w="2717" w:type="dxa"/>
            <w:tcBorders>
              <w:top w:val="single" w:color="000000" w:sz="2" w:space="0"/>
              <w:left w:val="single" w:color="000000" w:sz="2" w:space="0"/>
              <w:bottom w:val="single" w:color="000000" w:sz="2" w:space="0"/>
              <w:right w:val="single" w:color="000000" w:sz="2" w:space="0"/>
            </w:tcBorders>
            <w:tcMar>
              <w:left w:w="90" w:type="dxa"/>
              <w:right w:w="90" w:type="dxa"/>
            </w:tcMar>
          </w:tcPr>
          <w:p w14:paraId="1FD344EB">
            <w:pPr>
              <w:widowControl/>
              <w:snapToGrid w:val="0"/>
              <w:spacing w:after="90"/>
              <w:jc w:val="left"/>
              <w:rPr>
                <w:rFonts w:ascii="宋体" w:hAnsi="宋体"/>
                <w:color w:val="auto"/>
                <w:sz w:val="24"/>
                <w:highlight w:val="none"/>
              </w:rPr>
            </w:pPr>
            <w:r>
              <w:rPr>
                <w:rFonts w:ascii="宋体" w:hAnsi="宋体" w:cs="Arial"/>
                <w:color w:val="auto"/>
                <w:sz w:val="24"/>
                <w:highlight w:val="none"/>
              </w:rPr>
              <w:t>X射线诊断装置 DR</w:t>
            </w:r>
          </w:p>
        </w:tc>
        <w:tc>
          <w:tcPr>
            <w:tcW w:w="992" w:type="dxa"/>
            <w:tcBorders>
              <w:top w:val="single" w:color="000000" w:sz="2" w:space="0"/>
              <w:left w:val="single" w:color="000000" w:sz="2" w:space="0"/>
              <w:bottom w:val="single" w:color="000000" w:sz="2" w:space="0"/>
              <w:right w:val="single" w:color="000000" w:sz="2" w:space="0"/>
            </w:tcBorders>
            <w:tcMar>
              <w:left w:w="90" w:type="dxa"/>
              <w:right w:w="90" w:type="dxa"/>
            </w:tcMar>
          </w:tcPr>
          <w:p w14:paraId="36D70799">
            <w:pPr>
              <w:widowControl/>
              <w:snapToGrid w:val="0"/>
              <w:spacing w:after="90"/>
              <w:jc w:val="left"/>
              <w:rPr>
                <w:rFonts w:ascii="宋体" w:hAnsi="宋体"/>
                <w:color w:val="auto"/>
                <w:sz w:val="24"/>
                <w:highlight w:val="none"/>
              </w:rPr>
            </w:pPr>
            <w:r>
              <w:rPr>
                <w:rFonts w:ascii="宋体" w:hAnsi="宋体" w:cs="Arial"/>
                <w:color w:val="auto"/>
                <w:sz w:val="24"/>
                <w:highlight w:val="none"/>
              </w:rPr>
              <w:t>西门子</w:t>
            </w:r>
          </w:p>
        </w:tc>
        <w:tc>
          <w:tcPr>
            <w:tcW w:w="2268" w:type="dxa"/>
            <w:gridSpan w:val="2"/>
            <w:tcBorders>
              <w:top w:val="single" w:color="000000" w:sz="2" w:space="0"/>
              <w:left w:val="single" w:color="000000" w:sz="2" w:space="0"/>
              <w:bottom w:val="single" w:color="000000" w:sz="2" w:space="0"/>
              <w:right w:val="single" w:color="000000" w:sz="2" w:space="0"/>
            </w:tcBorders>
            <w:tcMar>
              <w:left w:w="90" w:type="dxa"/>
              <w:right w:w="90" w:type="dxa"/>
            </w:tcMar>
          </w:tcPr>
          <w:p w14:paraId="244B28A7">
            <w:pPr>
              <w:widowControl/>
              <w:snapToGrid w:val="0"/>
              <w:spacing w:after="90"/>
              <w:jc w:val="left"/>
              <w:rPr>
                <w:rFonts w:ascii="宋体" w:hAnsi="宋体"/>
                <w:color w:val="auto"/>
                <w:sz w:val="24"/>
                <w:highlight w:val="none"/>
              </w:rPr>
            </w:pPr>
            <w:r>
              <w:rPr>
                <w:rFonts w:ascii="宋体" w:hAnsi="宋体" w:cs="Arial"/>
                <w:color w:val="auto"/>
                <w:sz w:val="24"/>
                <w:highlight w:val="none"/>
              </w:rPr>
              <w:t>Multix Fusion Max</w:t>
            </w:r>
          </w:p>
        </w:tc>
        <w:tc>
          <w:tcPr>
            <w:tcW w:w="1273" w:type="dxa"/>
            <w:gridSpan w:val="2"/>
            <w:tcBorders>
              <w:top w:val="single" w:color="000000" w:sz="2" w:space="0"/>
              <w:left w:val="single" w:color="000000" w:sz="2" w:space="0"/>
              <w:bottom w:val="single" w:color="000000" w:sz="2" w:space="0"/>
              <w:right w:val="single" w:color="000000" w:sz="2" w:space="0"/>
            </w:tcBorders>
            <w:tcMar>
              <w:left w:w="90" w:type="dxa"/>
              <w:right w:w="90" w:type="dxa"/>
            </w:tcMar>
          </w:tcPr>
          <w:p w14:paraId="37A77B54">
            <w:pPr>
              <w:widowControl/>
              <w:snapToGrid w:val="0"/>
              <w:spacing w:after="90"/>
              <w:jc w:val="left"/>
              <w:rPr>
                <w:rFonts w:ascii="宋体" w:hAnsi="宋体"/>
                <w:color w:val="auto"/>
                <w:sz w:val="24"/>
                <w:highlight w:val="none"/>
              </w:rPr>
            </w:pPr>
            <w:r>
              <w:rPr>
                <w:rFonts w:ascii="宋体" w:hAnsi="宋体" w:cs="Arial"/>
                <w:color w:val="auto"/>
                <w:sz w:val="24"/>
                <w:highlight w:val="none"/>
              </w:rPr>
              <w:t>2017.12</w:t>
            </w:r>
          </w:p>
        </w:tc>
        <w:tc>
          <w:tcPr>
            <w:tcW w:w="2039" w:type="dxa"/>
            <w:gridSpan w:val="2"/>
            <w:tcBorders>
              <w:top w:val="single" w:color="000000" w:sz="2" w:space="0"/>
              <w:left w:val="single" w:color="000000" w:sz="2" w:space="0"/>
              <w:bottom w:val="single" w:color="000000" w:sz="2" w:space="0"/>
              <w:right w:val="single" w:color="000000" w:sz="2" w:space="0"/>
            </w:tcBorders>
            <w:tcMar>
              <w:left w:w="90" w:type="dxa"/>
              <w:right w:w="90" w:type="dxa"/>
            </w:tcMar>
          </w:tcPr>
          <w:p w14:paraId="2EEC0328">
            <w:pPr>
              <w:widowControl/>
              <w:snapToGrid w:val="0"/>
              <w:spacing w:after="90"/>
              <w:jc w:val="left"/>
              <w:rPr>
                <w:rFonts w:ascii="宋体" w:hAnsi="宋体"/>
                <w:color w:val="auto"/>
                <w:sz w:val="24"/>
                <w:highlight w:val="none"/>
              </w:rPr>
            </w:pPr>
            <w:r>
              <w:rPr>
                <w:rFonts w:ascii="宋体" w:hAnsi="宋体" w:cs="Arial"/>
                <w:color w:val="auto"/>
                <w:sz w:val="24"/>
                <w:highlight w:val="none"/>
              </w:rPr>
              <w:t>湖山路院区医学影像科</w:t>
            </w:r>
          </w:p>
        </w:tc>
      </w:tr>
      <w:tr w14:paraId="4C59549D">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7" w:type="dxa"/>
            <w:left w:w="17" w:type="dxa"/>
            <w:bottom w:w="17" w:type="dxa"/>
            <w:right w:w="17" w:type="dxa"/>
          </w:tblCellMar>
        </w:tblPrEx>
        <w:trPr>
          <w:jc w:val="center"/>
        </w:trPr>
        <w:tc>
          <w:tcPr>
            <w:tcW w:w="544" w:type="dxa"/>
            <w:vMerge w:val="restart"/>
            <w:tcBorders>
              <w:top w:val="single" w:color="000000" w:sz="2" w:space="0"/>
              <w:left w:val="single" w:color="000000" w:sz="2" w:space="0"/>
              <w:right w:val="single" w:color="000000" w:sz="2" w:space="0"/>
            </w:tcBorders>
            <w:tcMar>
              <w:left w:w="90" w:type="dxa"/>
              <w:right w:w="90" w:type="dxa"/>
            </w:tcMar>
          </w:tcPr>
          <w:p w14:paraId="3F97A155">
            <w:pPr>
              <w:widowControl/>
              <w:snapToGrid w:val="0"/>
              <w:spacing w:after="90"/>
              <w:jc w:val="left"/>
              <w:rPr>
                <w:rFonts w:ascii="宋体" w:hAnsi="宋体" w:cs="Arial"/>
                <w:color w:val="auto"/>
                <w:sz w:val="24"/>
                <w:highlight w:val="none"/>
              </w:rPr>
            </w:pPr>
            <w:r>
              <w:rPr>
                <w:rFonts w:hint="eastAsia" w:ascii="宋体" w:hAnsi="宋体" w:cs="Arial"/>
                <w:color w:val="auto"/>
                <w:sz w:val="24"/>
                <w:highlight w:val="none"/>
              </w:rPr>
              <w:t>4</w:t>
            </w:r>
          </w:p>
        </w:tc>
        <w:tc>
          <w:tcPr>
            <w:tcW w:w="2717" w:type="dxa"/>
            <w:tcBorders>
              <w:top w:val="single" w:color="000000" w:sz="2" w:space="0"/>
              <w:left w:val="single" w:color="000000" w:sz="2" w:space="0"/>
              <w:bottom w:val="single" w:color="000000" w:sz="2" w:space="0"/>
              <w:right w:val="single" w:color="000000" w:sz="2" w:space="0"/>
            </w:tcBorders>
            <w:tcMar>
              <w:left w:w="90" w:type="dxa"/>
              <w:right w:w="90" w:type="dxa"/>
            </w:tcMar>
          </w:tcPr>
          <w:p w14:paraId="38279BB3">
            <w:pPr>
              <w:widowControl/>
              <w:snapToGrid w:val="0"/>
              <w:spacing w:after="90"/>
              <w:jc w:val="left"/>
              <w:rPr>
                <w:rFonts w:ascii="宋体" w:hAnsi="宋体"/>
                <w:color w:val="auto"/>
                <w:sz w:val="24"/>
                <w:highlight w:val="none"/>
              </w:rPr>
            </w:pPr>
            <w:r>
              <w:rPr>
                <w:rFonts w:ascii="宋体" w:hAnsi="宋体" w:cs="Arial"/>
                <w:color w:val="auto"/>
                <w:sz w:val="24"/>
                <w:highlight w:val="none"/>
              </w:rPr>
              <w:t>X射线计算机体层摄影设备</w:t>
            </w:r>
          </w:p>
        </w:tc>
        <w:tc>
          <w:tcPr>
            <w:tcW w:w="992" w:type="dxa"/>
            <w:tcBorders>
              <w:top w:val="single" w:color="000000" w:sz="2" w:space="0"/>
              <w:left w:val="single" w:color="000000" w:sz="2" w:space="0"/>
              <w:bottom w:val="single" w:color="000000" w:sz="2" w:space="0"/>
              <w:right w:val="single" w:color="000000" w:sz="2" w:space="0"/>
            </w:tcBorders>
            <w:tcMar>
              <w:left w:w="90" w:type="dxa"/>
              <w:right w:w="90" w:type="dxa"/>
            </w:tcMar>
          </w:tcPr>
          <w:p w14:paraId="1FE495CD">
            <w:pPr>
              <w:widowControl/>
              <w:snapToGrid w:val="0"/>
              <w:spacing w:after="90"/>
              <w:jc w:val="left"/>
              <w:rPr>
                <w:rFonts w:ascii="宋体" w:hAnsi="宋体"/>
                <w:color w:val="auto"/>
                <w:sz w:val="24"/>
                <w:highlight w:val="none"/>
              </w:rPr>
            </w:pPr>
            <w:r>
              <w:rPr>
                <w:rFonts w:ascii="宋体" w:hAnsi="宋体" w:cs="Arial"/>
                <w:color w:val="auto"/>
                <w:sz w:val="24"/>
                <w:highlight w:val="none"/>
              </w:rPr>
              <w:t>西门子</w:t>
            </w:r>
          </w:p>
        </w:tc>
        <w:tc>
          <w:tcPr>
            <w:tcW w:w="2268" w:type="dxa"/>
            <w:gridSpan w:val="2"/>
            <w:tcBorders>
              <w:top w:val="single" w:color="000000" w:sz="2" w:space="0"/>
              <w:left w:val="single" w:color="000000" w:sz="2" w:space="0"/>
              <w:bottom w:val="single" w:color="000000" w:sz="2" w:space="0"/>
              <w:right w:val="single" w:color="000000" w:sz="2" w:space="0"/>
            </w:tcBorders>
            <w:tcMar>
              <w:left w:w="90" w:type="dxa"/>
              <w:right w:w="90" w:type="dxa"/>
            </w:tcMar>
          </w:tcPr>
          <w:p w14:paraId="4612A4F7">
            <w:pPr>
              <w:widowControl/>
              <w:snapToGrid w:val="0"/>
              <w:spacing w:after="90"/>
              <w:jc w:val="left"/>
              <w:rPr>
                <w:rFonts w:ascii="宋体" w:hAnsi="宋体"/>
                <w:color w:val="auto"/>
                <w:sz w:val="24"/>
                <w:highlight w:val="none"/>
              </w:rPr>
            </w:pPr>
            <w:r>
              <w:rPr>
                <w:rFonts w:ascii="宋体" w:hAnsi="宋体" w:cs="Arial"/>
                <w:color w:val="auto"/>
                <w:sz w:val="24"/>
                <w:highlight w:val="none"/>
              </w:rPr>
              <w:t xml:space="preserve">SOMATOM </w:t>
            </w:r>
            <w:r>
              <w:rPr>
                <w:rFonts w:hint="eastAsia" w:ascii="宋体" w:hAnsi="宋体" w:cs="Arial"/>
                <w:color w:val="auto"/>
                <w:sz w:val="24"/>
                <w:highlight w:val="none"/>
              </w:rPr>
              <w:t>Drive</w:t>
            </w:r>
            <w:r>
              <w:rPr>
                <w:rFonts w:ascii="宋体" w:hAnsi="宋体" w:cs="Arial"/>
                <w:color w:val="auto"/>
                <w:sz w:val="24"/>
                <w:highlight w:val="none"/>
              </w:rPr>
              <w:t xml:space="preserve"> CT</w:t>
            </w:r>
          </w:p>
        </w:tc>
        <w:tc>
          <w:tcPr>
            <w:tcW w:w="1273" w:type="dxa"/>
            <w:gridSpan w:val="2"/>
            <w:tcBorders>
              <w:top w:val="single" w:color="000000" w:sz="2" w:space="0"/>
              <w:left w:val="single" w:color="000000" w:sz="2" w:space="0"/>
              <w:bottom w:val="single" w:color="000000" w:sz="2" w:space="0"/>
              <w:right w:val="single" w:color="000000" w:sz="2" w:space="0"/>
            </w:tcBorders>
            <w:tcMar>
              <w:left w:w="90" w:type="dxa"/>
              <w:right w:w="90" w:type="dxa"/>
            </w:tcMar>
          </w:tcPr>
          <w:p w14:paraId="2414ACD2">
            <w:pPr>
              <w:widowControl/>
              <w:snapToGrid w:val="0"/>
              <w:spacing w:after="90"/>
              <w:jc w:val="left"/>
              <w:rPr>
                <w:rFonts w:ascii="宋体" w:hAnsi="宋体"/>
                <w:color w:val="auto"/>
                <w:sz w:val="24"/>
                <w:highlight w:val="none"/>
              </w:rPr>
            </w:pPr>
            <w:r>
              <w:rPr>
                <w:rFonts w:ascii="宋体" w:hAnsi="宋体" w:cs="Arial"/>
                <w:color w:val="auto"/>
                <w:sz w:val="24"/>
                <w:highlight w:val="none"/>
              </w:rPr>
              <w:t>201</w:t>
            </w:r>
            <w:r>
              <w:rPr>
                <w:rFonts w:hint="eastAsia" w:ascii="宋体" w:hAnsi="宋体" w:cs="Arial"/>
                <w:color w:val="auto"/>
                <w:sz w:val="24"/>
                <w:highlight w:val="none"/>
              </w:rPr>
              <w:t>8</w:t>
            </w:r>
            <w:r>
              <w:rPr>
                <w:rFonts w:ascii="宋体" w:hAnsi="宋体" w:cs="Arial"/>
                <w:color w:val="auto"/>
                <w:sz w:val="24"/>
                <w:highlight w:val="none"/>
              </w:rPr>
              <w:t>.12</w:t>
            </w:r>
          </w:p>
        </w:tc>
        <w:tc>
          <w:tcPr>
            <w:tcW w:w="2039" w:type="dxa"/>
            <w:gridSpan w:val="2"/>
            <w:tcBorders>
              <w:top w:val="single" w:color="000000" w:sz="2" w:space="0"/>
              <w:left w:val="single" w:color="000000" w:sz="2" w:space="0"/>
              <w:bottom w:val="single" w:color="000000" w:sz="2" w:space="0"/>
              <w:right w:val="single" w:color="000000" w:sz="2" w:space="0"/>
            </w:tcBorders>
            <w:tcMar>
              <w:left w:w="90" w:type="dxa"/>
              <w:right w:w="90" w:type="dxa"/>
            </w:tcMar>
          </w:tcPr>
          <w:p w14:paraId="11EC4BE4">
            <w:pPr>
              <w:widowControl/>
              <w:snapToGrid w:val="0"/>
              <w:spacing w:after="90"/>
              <w:jc w:val="left"/>
              <w:rPr>
                <w:rFonts w:ascii="宋体" w:hAnsi="宋体"/>
                <w:color w:val="auto"/>
                <w:sz w:val="24"/>
                <w:highlight w:val="none"/>
              </w:rPr>
            </w:pPr>
            <w:r>
              <w:rPr>
                <w:rFonts w:ascii="宋体" w:hAnsi="宋体" w:cs="Arial"/>
                <w:color w:val="auto"/>
                <w:sz w:val="24"/>
                <w:highlight w:val="none"/>
              </w:rPr>
              <w:t>湖山路院区医学影像科</w:t>
            </w:r>
          </w:p>
        </w:tc>
      </w:tr>
      <w:tr w14:paraId="007B83D2">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7" w:type="dxa"/>
            <w:left w:w="17" w:type="dxa"/>
            <w:bottom w:w="17" w:type="dxa"/>
            <w:right w:w="17" w:type="dxa"/>
          </w:tblCellMar>
        </w:tblPrEx>
        <w:trPr>
          <w:trHeight w:val="341" w:hRule="atLeast"/>
          <w:jc w:val="center"/>
        </w:trPr>
        <w:tc>
          <w:tcPr>
            <w:tcW w:w="544" w:type="dxa"/>
            <w:vMerge w:val="continue"/>
            <w:tcBorders>
              <w:left w:val="single" w:color="000000" w:sz="2" w:space="0"/>
              <w:bottom w:val="single" w:color="000000" w:sz="2" w:space="0"/>
              <w:right w:val="single" w:color="000000" w:sz="2" w:space="0"/>
            </w:tcBorders>
            <w:tcMar>
              <w:left w:w="90" w:type="dxa"/>
              <w:right w:w="90" w:type="dxa"/>
            </w:tcMar>
          </w:tcPr>
          <w:p w14:paraId="7AE39A83">
            <w:pPr>
              <w:widowControl/>
              <w:snapToGrid w:val="0"/>
              <w:spacing w:after="90"/>
              <w:jc w:val="left"/>
              <w:rPr>
                <w:rFonts w:ascii="宋体" w:hAnsi="宋体"/>
                <w:color w:val="auto"/>
                <w:sz w:val="24"/>
                <w:highlight w:val="none"/>
              </w:rPr>
            </w:pPr>
          </w:p>
        </w:tc>
        <w:tc>
          <w:tcPr>
            <w:tcW w:w="2717" w:type="dxa"/>
            <w:tcBorders>
              <w:top w:val="single" w:color="000000" w:sz="2" w:space="0"/>
              <w:left w:val="single" w:color="000000" w:sz="2" w:space="0"/>
              <w:bottom w:val="single" w:color="000000" w:sz="2" w:space="0"/>
              <w:right w:val="single" w:color="000000" w:sz="2" w:space="0"/>
            </w:tcBorders>
            <w:tcMar>
              <w:left w:w="90" w:type="dxa"/>
              <w:right w:w="90" w:type="dxa"/>
            </w:tcMar>
          </w:tcPr>
          <w:p w14:paraId="71ADCB20">
            <w:pPr>
              <w:widowControl/>
              <w:snapToGrid w:val="0"/>
              <w:spacing w:after="90"/>
              <w:jc w:val="left"/>
              <w:rPr>
                <w:rFonts w:ascii="宋体" w:hAnsi="宋体"/>
                <w:color w:val="auto"/>
                <w:sz w:val="24"/>
                <w:highlight w:val="none"/>
              </w:rPr>
            </w:pPr>
            <w:r>
              <w:rPr>
                <w:rFonts w:ascii="宋体" w:hAnsi="宋体" w:cs="Arial"/>
                <w:color w:val="auto"/>
                <w:sz w:val="24"/>
                <w:highlight w:val="none"/>
              </w:rPr>
              <w:t>第三方产品</w:t>
            </w:r>
          </w:p>
        </w:tc>
        <w:tc>
          <w:tcPr>
            <w:tcW w:w="6572" w:type="dxa"/>
            <w:gridSpan w:val="7"/>
            <w:tcBorders>
              <w:top w:val="single" w:color="000000" w:sz="2" w:space="0"/>
              <w:left w:val="single" w:color="000000" w:sz="2" w:space="0"/>
              <w:bottom w:val="single" w:color="000000" w:sz="2" w:space="0"/>
              <w:right w:val="single" w:color="000000" w:sz="2" w:space="0"/>
            </w:tcBorders>
            <w:tcMar>
              <w:left w:w="90" w:type="dxa"/>
              <w:right w:w="90" w:type="dxa"/>
            </w:tcMar>
          </w:tcPr>
          <w:p w14:paraId="207D25FD">
            <w:pPr>
              <w:widowControl/>
              <w:snapToGrid w:val="0"/>
              <w:spacing w:after="90"/>
              <w:jc w:val="left"/>
              <w:rPr>
                <w:rFonts w:ascii="宋体" w:hAnsi="宋体"/>
                <w:color w:val="auto"/>
                <w:sz w:val="24"/>
                <w:highlight w:val="none"/>
              </w:rPr>
            </w:pPr>
            <w:r>
              <w:rPr>
                <w:rFonts w:ascii="宋体" w:hAnsi="宋体" w:cs="Arial"/>
                <w:color w:val="auto"/>
                <w:sz w:val="24"/>
                <w:highlight w:val="none"/>
              </w:rPr>
              <w:t>高压注射器（拜耳 Stellant D-CE）</w:t>
            </w:r>
          </w:p>
        </w:tc>
      </w:tr>
      <w:tr w14:paraId="7F1389CB">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7" w:type="dxa"/>
            <w:left w:w="17" w:type="dxa"/>
            <w:bottom w:w="17" w:type="dxa"/>
            <w:right w:w="17" w:type="dxa"/>
          </w:tblCellMar>
        </w:tblPrEx>
        <w:trPr>
          <w:jc w:val="center"/>
        </w:trPr>
        <w:tc>
          <w:tcPr>
            <w:tcW w:w="544" w:type="dxa"/>
            <w:vMerge w:val="restart"/>
            <w:tcBorders>
              <w:top w:val="single" w:color="000000" w:sz="2" w:space="0"/>
              <w:left w:val="single" w:color="000000" w:sz="2" w:space="0"/>
              <w:right w:val="single" w:color="000000" w:sz="2" w:space="0"/>
            </w:tcBorders>
            <w:tcMar>
              <w:left w:w="90" w:type="dxa"/>
              <w:right w:w="90" w:type="dxa"/>
            </w:tcMar>
          </w:tcPr>
          <w:p w14:paraId="40603F32">
            <w:pPr>
              <w:widowControl/>
              <w:snapToGrid w:val="0"/>
              <w:spacing w:after="90"/>
              <w:jc w:val="left"/>
              <w:rPr>
                <w:rFonts w:ascii="宋体" w:hAnsi="宋体" w:cs="Arial"/>
                <w:color w:val="auto"/>
                <w:sz w:val="24"/>
                <w:highlight w:val="none"/>
              </w:rPr>
            </w:pPr>
            <w:r>
              <w:rPr>
                <w:rFonts w:hint="eastAsia" w:ascii="宋体" w:hAnsi="宋体" w:cs="Arial"/>
                <w:color w:val="auto"/>
                <w:sz w:val="24"/>
                <w:highlight w:val="none"/>
              </w:rPr>
              <w:t>5</w:t>
            </w:r>
          </w:p>
        </w:tc>
        <w:tc>
          <w:tcPr>
            <w:tcW w:w="2717" w:type="dxa"/>
            <w:tcBorders>
              <w:top w:val="single" w:color="000000" w:sz="2" w:space="0"/>
              <w:left w:val="single" w:color="000000" w:sz="2" w:space="0"/>
              <w:bottom w:val="single" w:color="000000" w:sz="2" w:space="0"/>
              <w:right w:val="single" w:color="000000" w:sz="2" w:space="0"/>
            </w:tcBorders>
            <w:tcMar>
              <w:left w:w="90" w:type="dxa"/>
              <w:right w:w="90" w:type="dxa"/>
            </w:tcMar>
          </w:tcPr>
          <w:p w14:paraId="1EED26FD">
            <w:pPr>
              <w:widowControl/>
              <w:snapToGrid w:val="0"/>
              <w:spacing w:after="90"/>
              <w:jc w:val="left"/>
              <w:rPr>
                <w:rFonts w:ascii="宋体" w:hAnsi="宋体"/>
                <w:color w:val="auto"/>
                <w:sz w:val="24"/>
                <w:highlight w:val="none"/>
              </w:rPr>
            </w:pPr>
            <w:r>
              <w:rPr>
                <w:rFonts w:ascii="宋体" w:hAnsi="宋体" w:cs="Arial"/>
                <w:color w:val="auto"/>
                <w:sz w:val="24"/>
                <w:highlight w:val="none"/>
              </w:rPr>
              <w:t>X射线计算机体层摄影设备</w:t>
            </w:r>
          </w:p>
        </w:tc>
        <w:tc>
          <w:tcPr>
            <w:tcW w:w="992" w:type="dxa"/>
            <w:tcBorders>
              <w:top w:val="single" w:color="000000" w:sz="2" w:space="0"/>
              <w:left w:val="single" w:color="000000" w:sz="2" w:space="0"/>
              <w:bottom w:val="single" w:color="000000" w:sz="2" w:space="0"/>
              <w:right w:val="single" w:color="000000" w:sz="2" w:space="0"/>
            </w:tcBorders>
            <w:tcMar>
              <w:left w:w="90" w:type="dxa"/>
              <w:right w:w="90" w:type="dxa"/>
            </w:tcMar>
          </w:tcPr>
          <w:p w14:paraId="3F7BD5C5">
            <w:pPr>
              <w:widowControl/>
              <w:snapToGrid w:val="0"/>
              <w:spacing w:after="90"/>
              <w:jc w:val="left"/>
              <w:rPr>
                <w:rFonts w:ascii="宋体" w:hAnsi="宋体"/>
                <w:color w:val="auto"/>
                <w:sz w:val="24"/>
                <w:highlight w:val="none"/>
              </w:rPr>
            </w:pPr>
            <w:r>
              <w:rPr>
                <w:rFonts w:ascii="宋体" w:hAnsi="宋体" w:cs="Arial"/>
                <w:color w:val="auto"/>
                <w:sz w:val="24"/>
                <w:highlight w:val="none"/>
              </w:rPr>
              <w:t>西门子</w:t>
            </w:r>
          </w:p>
        </w:tc>
        <w:tc>
          <w:tcPr>
            <w:tcW w:w="2268" w:type="dxa"/>
            <w:gridSpan w:val="2"/>
            <w:tcBorders>
              <w:top w:val="single" w:color="000000" w:sz="2" w:space="0"/>
              <w:left w:val="single" w:color="000000" w:sz="2" w:space="0"/>
              <w:bottom w:val="single" w:color="000000" w:sz="2" w:space="0"/>
              <w:right w:val="single" w:color="000000" w:sz="2" w:space="0"/>
            </w:tcBorders>
            <w:tcMar>
              <w:left w:w="90" w:type="dxa"/>
              <w:right w:w="90" w:type="dxa"/>
            </w:tcMar>
          </w:tcPr>
          <w:p w14:paraId="4E4694C6">
            <w:pPr>
              <w:widowControl/>
              <w:snapToGrid w:val="0"/>
              <w:spacing w:after="90"/>
              <w:jc w:val="left"/>
              <w:rPr>
                <w:rFonts w:ascii="宋体" w:hAnsi="宋体"/>
                <w:color w:val="auto"/>
                <w:sz w:val="24"/>
                <w:highlight w:val="none"/>
              </w:rPr>
            </w:pPr>
            <w:r>
              <w:rPr>
                <w:rFonts w:ascii="宋体" w:hAnsi="宋体" w:cs="Arial"/>
                <w:color w:val="auto"/>
                <w:sz w:val="24"/>
                <w:highlight w:val="none"/>
              </w:rPr>
              <w:t>SOMATOM F</w:t>
            </w:r>
            <w:r>
              <w:rPr>
                <w:rFonts w:hint="eastAsia" w:ascii="宋体" w:hAnsi="宋体" w:cs="Arial"/>
                <w:color w:val="auto"/>
                <w:sz w:val="24"/>
                <w:highlight w:val="none"/>
              </w:rPr>
              <w:t>lash</w:t>
            </w:r>
            <w:r>
              <w:rPr>
                <w:rFonts w:ascii="宋体" w:hAnsi="宋体" w:cs="Arial"/>
                <w:color w:val="auto"/>
                <w:sz w:val="24"/>
                <w:highlight w:val="none"/>
              </w:rPr>
              <w:t xml:space="preserve"> CT</w:t>
            </w:r>
          </w:p>
        </w:tc>
        <w:tc>
          <w:tcPr>
            <w:tcW w:w="1273" w:type="dxa"/>
            <w:gridSpan w:val="2"/>
            <w:tcBorders>
              <w:top w:val="single" w:color="000000" w:sz="2" w:space="0"/>
              <w:left w:val="single" w:color="000000" w:sz="2" w:space="0"/>
              <w:bottom w:val="single" w:color="000000" w:sz="2" w:space="0"/>
              <w:right w:val="single" w:color="000000" w:sz="2" w:space="0"/>
            </w:tcBorders>
            <w:tcMar>
              <w:left w:w="90" w:type="dxa"/>
              <w:right w:w="90" w:type="dxa"/>
            </w:tcMar>
          </w:tcPr>
          <w:p w14:paraId="56C2F402">
            <w:pPr>
              <w:widowControl/>
              <w:snapToGrid w:val="0"/>
              <w:spacing w:after="90"/>
              <w:jc w:val="left"/>
              <w:rPr>
                <w:rFonts w:ascii="宋体" w:hAnsi="宋体"/>
                <w:color w:val="auto"/>
                <w:sz w:val="24"/>
                <w:highlight w:val="none"/>
              </w:rPr>
            </w:pPr>
            <w:r>
              <w:rPr>
                <w:rFonts w:ascii="宋体" w:hAnsi="宋体" w:cs="Arial"/>
                <w:color w:val="auto"/>
                <w:sz w:val="24"/>
                <w:highlight w:val="none"/>
              </w:rPr>
              <w:t>201</w:t>
            </w:r>
            <w:r>
              <w:rPr>
                <w:rFonts w:hint="eastAsia" w:ascii="宋体" w:hAnsi="宋体" w:cs="Arial"/>
                <w:color w:val="auto"/>
                <w:sz w:val="24"/>
                <w:highlight w:val="none"/>
              </w:rPr>
              <w:t>4</w:t>
            </w:r>
            <w:r>
              <w:rPr>
                <w:rFonts w:ascii="宋体" w:hAnsi="宋体" w:cs="Arial"/>
                <w:color w:val="auto"/>
                <w:sz w:val="24"/>
                <w:highlight w:val="none"/>
              </w:rPr>
              <w:t>.1</w:t>
            </w:r>
            <w:r>
              <w:rPr>
                <w:rFonts w:hint="eastAsia" w:ascii="宋体" w:hAnsi="宋体" w:cs="Arial"/>
                <w:color w:val="auto"/>
                <w:sz w:val="24"/>
                <w:highlight w:val="none"/>
              </w:rPr>
              <w:t>1</w:t>
            </w:r>
          </w:p>
        </w:tc>
        <w:tc>
          <w:tcPr>
            <w:tcW w:w="2039" w:type="dxa"/>
            <w:gridSpan w:val="2"/>
            <w:tcBorders>
              <w:top w:val="single" w:color="000000" w:sz="2" w:space="0"/>
              <w:left w:val="single" w:color="000000" w:sz="2" w:space="0"/>
              <w:bottom w:val="single" w:color="000000" w:sz="2" w:space="0"/>
              <w:right w:val="single" w:color="000000" w:sz="2" w:space="0"/>
            </w:tcBorders>
            <w:tcMar>
              <w:left w:w="90" w:type="dxa"/>
              <w:right w:w="90" w:type="dxa"/>
            </w:tcMar>
          </w:tcPr>
          <w:p w14:paraId="08869D61">
            <w:pPr>
              <w:widowControl/>
              <w:snapToGrid w:val="0"/>
              <w:spacing w:after="90"/>
              <w:jc w:val="left"/>
              <w:rPr>
                <w:rFonts w:ascii="宋体" w:hAnsi="宋体"/>
                <w:color w:val="auto"/>
                <w:sz w:val="24"/>
                <w:highlight w:val="none"/>
              </w:rPr>
            </w:pPr>
            <w:r>
              <w:rPr>
                <w:rFonts w:hint="eastAsia" w:ascii="宋体" w:hAnsi="宋体" w:cs="Arial"/>
                <w:color w:val="auto"/>
                <w:sz w:val="24"/>
                <w:highlight w:val="none"/>
              </w:rPr>
              <w:t>鼓</w:t>
            </w:r>
            <w:r>
              <w:rPr>
                <w:rFonts w:ascii="宋体" w:hAnsi="宋体" w:cs="Arial"/>
                <w:color w:val="auto"/>
                <w:sz w:val="24"/>
                <w:highlight w:val="none"/>
              </w:rPr>
              <w:t>山路院区医学影像科</w:t>
            </w:r>
          </w:p>
        </w:tc>
      </w:tr>
      <w:tr w14:paraId="0AB0F73D">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7" w:type="dxa"/>
            <w:left w:w="17" w:type="dxa"/>
            <w:bottom w:w="17" w:type="dxa"/>
            <w:right w:w="17" w:type="dxa"/>
          </w:tblCellMar>
        </w:tblPrEx>
        <w:trPr>
          <w:trHeight w:val="455" w:hRule="atLeast"/>
          <w:jc w:val="center"/>
        </w:trPr>
        <w:tc>
          <w:tcPr>
            <w:tcW w:w="544" w:type="dxa"/>
            <w:vMerge w:val="continue"/>
            <w:tcBorders>
              <w:left w:val="single" w:color="000000" w:sz="2" w:space="0"/>
              <w:bottom w:val="single" w:color="auto" w:sz="4" w:space="0"/>
              <w:right w:val="single" w:color="000000" w:sz="2" w:space="0"/>
            </w:tcBorders>
            <w:tcMar>
              <w:left w:w="90" w:type="dxa"/>
              <w:right w:w="90" w:type="dxa"/>
            </w:tcMar>
          </w:tcPr>
          <w:p w14:paraId="762F12A0">
            <w:pPr>
              <w:widowControl/>
              <w:snapToGrid w:val="0"/>
              <w:spacing w:after="90"/>
              <w:jc w:val="left"/>
              <w:rPr>
                <w:rFonts w:ascii="宋体" w:hAnsi="宋体"/>
                <w:color w:val="auto"/>
                <w:sz w:val="24"/>
                <w:highlight w:val="none"/>
              </w:rPr>
            </w:pPr>
          </w:p>
        </w:tc>
        <w:tc>
          <w:tcPr>
            <w:tcW w:w="2717" w:type="dxa"/>
            <w:tcBorders>
              <w:top w:val="single" w:color="000000" w:sz="2" w:space="0"/>
              <w:left w:val="single" w:color="000000" w:sz="2" w:space="0"/>
              <w:bottom w:val="single" w:color="000000" w:sz="2" w:space="0"/>
              <w:right w:val="single" w:color="000000" w:sz="2" w:space="0"/>
            </w:tcBorders>
            <w:tcMar>
              <w:left w:w="90" w:type="dxa"/>
              <w:right w:w="90" w:type="dxa"/>
            </w:tcMar>
          </w:tcPr>
          <w:p w14:paraId="5A946903">
            <w:pPr>
              <w:widowControl/>
              <w:snapToGrid w:val="0"/>
              <w:spacing w:after="90"/>
              <w:jc w:val="left"/>
              <w:rPr>
                <w:rFonts w:ascii="宋体" w:hAnsi="宋体"/>
                <w:color w:val="auto"/>
                <w:sz w:val="24"/>
                <w:highlight w:val="none"/>
              </w:rPr>
            </w:pPr>
            <w:r>
              <w:rPr>
                <w:rFonts w:ascii="宋体" w:hAnsi="宋体" w:cs="Arial"/>
                <w:color w:val="auto"/>
                <w:sz w:val="24"/>
                <w:highlight w:val="none"/>
              </w:rPr>
              <w:t>第三方产品</w:t>
            </w:r>
          </w:p>
        </w:tc>
        <w:tc>
          <w:tcPr>
            <w:tcW w:w="6572" w:type="dxa"/>
            <w:gridSpan w:val="7"/>
            <w:tcBorders>
              <w:top w:val="single" w:color="000000" w:sz="2" w:space="0"/>
              <w:left w:val="single" w:color="000000" w:sz="2" w:space="0"/>
              <w:bottom w:val="single" w:color="000000" w:sz="2" w:space="0"/>
              <w:right w:val="single" w:color="000000" w:sz="2" w:space="0"/>
            </w:tcBorders>
            <w:tcMar>
              <w:left w:w="90" w:type="dxa"/>
              <w:right w:w="90" w:type="dxa"/>
            </w:tcMar>
          </w:tcPr>
          <w:p w14:paraId="6980980D">
            <w:pPr>
              <w:widowControl/>
              <w:snapToGrid w:val="0"/>
              <w:spacing w:after="90"/>
              <w:jc w:val="left"/>
              <w:rPr>
                <w:rFonts w:ascii="宋体" w:hAnsi="宋体"/>
                <w:color w:val="auto"/>
                <w:sz w:val="24"/>
                <w:highlight w:val="none"/>
              </w:rPr>
            </w:pPr>
            <w:r>
              <w:rPr>
                <w:rFonts w:ascii="宋体" w:hAnsi="宋体" w:cs="Arial"/>
                <w:color w:val="auto"/>
                <w:sz w:val="24"/>
                <w:highlight w:val="none"/>
              </w:rPr>
              <w:t>高压注射器（拜耳 Stellant D-CE）</w:t>
            </w:r>
          </w:p>
        </w:tc>
      </w:tr>
      <w:tr w14:paraId="7F4E0686">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17" w:type="dxa"/>
            <w:left w:w="17" w:type="dxa"/>
            <w:bottom w:w="17" w:type="dxa"/>
            <w:right w:w="17" w:type="dxa"/>
          </w:tblCellMar>
        </w:tblPrEx>
        <w:trPr>
          <w:trHeight w:val="341" w:hRule="atLeast"/>
          <w:jc w:val="center"/>
        </w:trPr>
        <w:tc>
          <w:tcPr>
            <w:tcW w:w="544" w:type="dxa"/>
            <w:tcBorders>
              <w:top w:val="single" w:color="auto" w:sz="4" w:space="0"/>
              <w:left w:val="single" w:color="000000" w:sz="2" w:space="0"/>
              <w:bottom w:val="single" w:color="000000" w:sz="2" w:space="0"/>
              <w:right w:val="single" w:color="000000" w:sz="2" w:space="0"/>
            </w:tcBorders>
            <w:tcMar>
              <w:left w:w="90" w:type="dxa"/>
              <w:right w:w="90" w:type="dxa"/>
            </w:tcMar>
          </w:tcPr>
          <w:p w14:paraId="36392C26">
            <w:pPr>
              <w:widowControl/>
              <w:snapToGrid w:val="0"/>
              <w:spacing w:after="90"/>
              <w:jc w:val="left"/>
              <w:rPr>
                <w:rFonts w:ascii="宋体" w:hAnsi="宋体"/>
                <w:color w:val="auto"/>
                <w:sz w:val="24"/>
                <w:highlight w:val="none"/>
              </w:rPr>
            </w:pPr>
            <w:r>
              <w:rPr>
                <w:rFonts w:hint="eastAsia" w:ascii="宋体" w:hAnsi="宋体"/>
                <w:color w:val="auto"/>
                <w:sz w:val="24"/>
                <w:highlight w:val="none"/>
              </w:rPr>
              <w:t>6</w:t>
            </w:r>
          </w:p>
        </w:tc>
        <w:tc>
          <w:tcPr>
            <w:tcW w:w="2717" w:type="dxa"/>
            <w:tcBorders>
              <w:top w:val="single" w:color="000000" w:sz="2" w:space="0"/>
              <w:left w:val="single" w:color="000000" w:sz="2" w:space="0"/>
              <w:bottom w:val="single" w:color="000000" w:sz="2" w:space="0"/>
              <w:right w:val="single" w:color="000000" w:sz="2" w:space="0"/>
            </w:tcBorders>
            <w:tcMar>
              <w:left w:w="90" w:type="dxa"/>
              <w:right w:w="90" w:type="dxa"/>
            </w:tcMar>
          </w:tcPr>
          <w:p w14:paraId="32748314">
            <w:pPr>
              <w:widowControl/>
              <w:snapToGrid w:val="0"/>
              <w:spacing w:after="90"/>
              <w:jc w:val="left"/>
              <w:rPr>
                <w:rFonts w:ascii="宋体" w:hAnsi="宋体" w:cs="Arial"/>
                <w:color w:val="auto"/>
                <w:sz w:val="24"/>
                <w:highlight w:val="none"/>
              </w:rPr>
            </w:pPr>
            <w:r>
              <w:rPr>
                <w:rFonts w:ascii="宋体" w:hAnsi="宋体" w:cs="Arial"/>
                <w:color w:val="auto"/>
                <w:sz w:val="24"/>
                <w:highlight w:val="none"/>
              </w:rPr>
              <w:t>X射线诊断装置 DR</w:t>
            </w:r>
          </w:p>
        </w:tc>
        <w:tc>
          <w:tcPr>
            <w:tcW w:w="1014" w:type="dxa"/>
            <w:gridSpan w:val="2"/>
            <w:tcBorders>
              <w:top w:val="single" w:color="000000" w:sz="2" w:space="0"/>
              <w:left w:val="single" w:color="000000" w:sz="2" w:space="0"/>
              <w:bottom w:val="single" w:color="000000" w:sz="2" w:space="0"/>
              <w:right w:val="single" w:color="auto" w:sz="4" w:space="0"/>
            </w:tcBorders>
            <w:tcMar>
              <w:left w:w="90" w:type="dxa"/>
              <w:right w:w="90" w:type="dxa"/>
            </w:tcMar>
          </w:tcPr>
          <w:p w14:paraId="45B98545">
            <w:pPr>
              <w:widowControl/>
              <w:snapToGrid w:val="0"/>
              <w:spacing w:after="90"/>
              <w:jc w:val="left"/>
              <w:rPr>
                <w:rFonts w:ascii="宋体" w:hAnsi="宋体" w:cs="Arial"/>
                <w:color w:val="auto"/>
                <w:sz w:val="24"/>
                <w:highlight w:val="none"/>
              </w:rPr>
            </w:pPr>
            <w:r>
              <w:rPr>
                <w:rFonts w:ascii="宋体" w:hAnsi="宋体" w:cs="Arial"/>
                <w:color w:val="auto"/>
                <w:sz w:val="24"/>
                <w:highlight w:val="none"/>
              </w:rPr>
              <w:t>西门子</w:t>
            </w:r>
          </w:p>
        </w:tc>
        <w:tc>
          <w:tcPr>
            <w:tcW w:w="2306" w:type="dxa"/>
            <w:gridSpan w:val="2"/>
            <w:tcBorders>
              <w:top w:val="single" w:color="000000" w:sz="2" w:space="0"/>
              <w:left w:val="single" w:color="auto" w:sz="4" w:space="0"/>
              <w:bottom w:val="single" w:color="000000" w:sz="2" w:space="0"/>
              <w:right w:val="single" w:color="auto" w:sz="4" w:space="0"/>
            </w:tcBorders>
            <w:tcMar>
              <w:left w:w="90" w:type="dxa"/>
              <w:right w:w="90" w:type="dxa"/>
            </w:tcMar>
          </w:tcPr>
          <w:p w14:paraId="2CAF6E2A">
            <w:pPr>
              <w:widowControl/>
              <w:snapToGrid w:val="0"/>
              <w:spacing w:after="90"/>
              <w:jc w:val="left"/>
              <w:rPr>
                <w:rFonts w:ascii="宋体" w:hAnsi="宋体" w:cs="Arial"/>
                <w:color w:val="auto"/>
                <w:sz w:val="24"/>
                <w:highlight w:val="none"/>
              </w:rPr>
            </w:pPr>
            <w:r>
              <w:rPr>
                <w:rFonts w:ascii="宋体" w:hAnsi="宋体" w:cs="Arial"/>
                <w:color w:val="auto"/>
                <w:sz w:val="24"/>
                <w:highlight w:val="none"/>
              </w:rPr>
              <w:t>Multix Fusion</w:t>
            </w:r>
          </w:p>
        </w:tc>
        <w:tc>
          <w:tcPr>
            <w:tcW w:w="1256" w:type="dxa"/>
            <w:gridSpan w:val="2"/>
            <w:tcBorders>
              <w:top w:val="single" w:color="000000" w:sz="2" w:space="0"/>
              <w:left w:val="single" w:color="auto" w:sz="4" w:space="0"/>
              <w:bottom w:val="single" w:color="000000" w:sz="2" w:space="0"/>
              <w:right w:val="single" w:color="auto" w:sz="4" w:space="0"/>
            </w:tcBorders>
            <w:tcMar>
              <w:left w:w="90" w:type="dxa"/>
              <w:right w:w="90" w:type="dxa"/>
            </w:tcMar>
          </w:tcPr>
          <w:p w14:paraId="2F3A268C">
            <w:pPr>
              <w:widowControl/>
              <w:snapToGrid w:val="0"/>
              <w:spacing w:after="90"/>
              <w:jc w:val="left"/>
              <w:rPr>
                <w:rFonts w:ascii="宋体" w:hAnsi="宋体" w:cs="Arial"/>
                <w:color w:val="auto"/>
                <w:sz w:val="24"/>
                <w:highlight w:val="none"/>
              </w:rPr>
            </w:pPr>
            <w:r>
              <w:rPr>
                <w:rFonts w:hint="eastAsia" w:ascii="宋体" w:hAnsi="宋体" w:cs="Arial"/>
                <w:color w:val="auto"/>
                <w:sz w:val="24"/>
                <w:highlight w:val="none"/>
              </w:rPr>
              <w:t>2013.11</w:t>
            </w:r>
          </w:p>
        </w:tc>
        <w:tc>
          <w:tcPr>
            <w:tcW w:w="1996" w:type="dxa"/>
            <w:tcBorders>
              <w:top w:val="single" w:color="000000" w:sz="2" w:space="0"/>
              <w:left w:val="single" w:color="auto" w:sz="4" w:space="0"/>
              <w:bottom w:val="single" w:color="000000" w:sz="2" w:space="0"/>
              <w:right w:val="single" w:color="000000" w:sz="2" w:space="0"/>
            </w:tcBorders>
            <w:tcMar>
              <w:left w:w="90" w:type="dxa"/>
              <w:right w:w="90" w:type="dxa"/>
            </w:tcMar>
          </w:tcPr>
          <w:p w14:paraId="25CC31E2">
            <w:pPr>
              <w:widowControl/>
              <w:snapToGrid w:val="0"/>
              <w:spacing w:after="90"/>
              <w:jc w:val="left"/>
              <w:rPr>
                <w:rFonts w:ascii="宋体" w:hAnsi="宋体" w:cs="Arial"/>
                <w:color w:val="auto"/>
                <w:sz w:val="24"/>
                <w:highlight w:val="none"/>
              </w:rPr>
            </w:pPr>
            <w:r>
              <w:rPr>
                <w:rFonts w:hint="eastAsia" w:ascii="宋体" w:hAnsi="宋体" w:cs="Arial"/>
                <w:color w:val="auto"/>
                <w:sz w:val="24"/>
                <w:highlight w:val="none"/>
              </w:rPr>
              <w:t>鼓</w:t>
            </w:r>
            <w:r>
              <w:rPr>
                <w:rFonts w:ascii="宋体" w:hAnsi="宋体" w:cs="Arial"/>
                <w:color w:val="auto"/>
                <w:sz w:val="24"/>
                <w:highlight w:val="none"/>
              </w:rPr>
              <w:t>山路院区医学影像科</w:t>
            </w:r>
          </w:p>
        </w:tc>
      </w:tr>
    </w:tbl>
    <w:p w14:paraId="1398682F">
      <w:pPr>
        <w:pStyle w:val="102"/>
        <w:ind w:firstLine="482" w:firstLineChars="200"/>
        <w:outlineLvl w:val="9"/>
        <w:rPr>
          <w:rFonts w:cs="宋体"/>
          <w:color w:val="auto"/>
          <w:kern w:val="0"/>
          <w:sz w:val="24"/>
          <w:szCs w:val="24"/>
          <w:highlight w:val="none"/>
          <w:lang w:bidi="ar"/>
        </w:rPr>
      </w:pPr>
    </w:p>
    <w:p w14:paraId="5ED6E17B">
      <w:pPr>
        <w:pStyle w:val="102"/>
        <w:ind w:firstLine="482" w:firstLineChars="200"/>
        <w:rPr>
          <w:rFonts w:cs="宋体"/>
          <w:color w:val="auto"/>
          <w:kern w:val="0"/>
          <w:sz w:val="24"/>
          <w:szCs w:val="24"/>
          <w:highlight w:val="none"/>
          <w:lang w:bidi="ar"/>
        </w:rPr>
      </w:pPr>
      <w:r>
        <w:rPr>
          <w:rFonts w:hint="eastAsia" w:cs="宋体"/>
          <w:color w:val="auto"/>
          <w:kern w:val="0"/>
          <w:sz w:val="24"/>
          <w:szCs w:val="24"/>
          <w:highlight w:val="none"/>
          <w:lang w:bidi="ar"/>
        </w:rPr>
        <w:t>1.2</w:t>
      </w:r>
      <w:r>
        <w:rPr>
          <w:rFonts w:cs="宋体"/>
          <w:color w:val="auto"/>
          <w:kern w:val="0"/>
          <w:sz w:val="24"/>
          <w:szCs w:val="24"/>
          <w:highlight w:val="none"/>
          <w:lang w:bidi="ar"/>
        </w:rPr>
        <w:t>技术参数</w:t>
      </w:r>
    </w:p>
    <w:p w14:paraId="6B02DCBE">
      <w:pPr>
        <w:snapToGrid w:val="0"/>
        <w:spacing w:line="276" w:lineRule="auto"/>
        <w:ind w:firstLine="480" w:firstLineChars="200"/>
        <w:rPr>
          <w:rFonts w:ascii="宋体" w:hAnsi="宋体"/>
          <w:color w:val="auto"/>
          <w:sz w:val="24"/>
          <w:highlight w:val="none"/>
        </w:rPr>
      </w:pPr>
      <w:r>
        <w:rPr>
          <w:rFonts w:hint="eastAsia" w:ascii="宋体" w:hAnsi="宋体"/>
          <w:color w:val="auto"/>
          <w:sz w:val="24"/>
          <w:highlight w:val="none"/>
        </w:rPr>
        <w:t>1. 响应时间：设备发生故障，电话响应时间≤30分钟，派工程师在6小时内到达维修设备现场，24小时内解决故障，如因特殊困难在约定时间确实无法解决故障的，在征得采购人同意后可以延长相应维修时间。</w:t>
      </w:r>
    </w:p>
    <w:p w14:paraId="713BECD0">
      <w:pPr>
        <w:snapToGrid w:val="0"/>
        <w:spacing w:line="276" w:lineRule="auto"/>
        <w:ind w:firstLine="480" w:firstLineChars="200"/>
        <w:rPr>
          <w:rFonts w:ascii="宋体" w:hAnsi="宋体"/>
          <w:color w:val="auto"/>
          <w:sz w:val="24"/>
          <w:highlight w:val="none"/>
        </w:rPr>
      </w:pPr>
      <w:r>
        <w:rPr>
          <w:rFonts w:hint="eastAsia" w:ascii="宋体" w:hAnsi="宋体"/>
          <w:color w:val="auto"/>
          <w:sz w:val="24"/>
          <w:highlight w:val="none"/>
        </w:rPr>
        <w:t>2. ▲所有备件免费更换（不包含第三方产品除外），</w:t>
      </w:r>
      <w:r>
        <w:rPr>
          <w:rFonts w:hint="eastAsia" w:ascii="宋体" w:hAnsi="宋体" w:cs="宋体"/>
          <w:bCs/>
          <w:color w:val="auto"/>
          <w:sz w:val="24"/>
          <w:highlight w:val="none"/>
        </w:rPr>
        <w:t>所提供的备件必须是拟维保设备原厂未拆封并检验合格的零配件，满足设备运行要求，不得使用非原厂备件，提供的备件必须按照《医疗器械监督管理条例》的规定执行</w:t>
      </w:r>
      <w:r>
        <w:rPr>
          <w:rFonts w:hint="eastAsia" w:ascii="宋体" w:hAnsi="宋体"/>
          <w:color w:val="auto"/>
          <w:sz w:val="24"/>
          <w:highlight w:val="none"/>
        </w:rPr>
        <w:t>，并有可以追溯的序列代码，可随时提供渠道查询该代码有效性（须提供备件来源的渠道证明材料，以高真空元器件为例，提供原厂出具的证明或渠道商之间的合作证明），保证配件合法性可溯源。</w:t>
      </w:r>
    </w:p>
    <w:p w14:paraId="7B1388BC">
      <w:pPr>
        <w:snapToGrid w:val="0"/>
        <w:spacing w:line="276" w:lineRule="auto"/>
        <w:ind w:firstLine="480" w:firstLineChars="200"/>
        <w:rPr>
          <w:rFonts w:ascii="宋体" w:hAnsi="宋体"/>
          <w:color w:val="auto"/>
          <w:sz w:val="24"/>
          <w:highlight w:val="none"/>
        </w:rPr>
      </w:pPr>
      <w:r>
        <w:rPr>
          <w:rFonts w:hint="eastAsia" w:ascii="宋体" w:hAnsi="宋体"/>
          <w:color w:val="auto"/>
          <w:sz w:val="24"/>
          <w:highlight w:val="none"/>
        </w:rPr>
        <w:t>3. 确保95%开机率（开机率：医疗设备用来治疗和诊断病人的使用率，按一年365天每天24小时计算，每半年统计一次，每超出一天，服务合同期限将延长2个工作日）。</w:t>
      </w:r>
    </w:p>
    <w:p w14:paraId="13BE8511">
      <w:pPr>
        <w:snapToGrid w:val="0"/>
        <w:spacing w:line="276" w:lineRule="auto"/>
        <w:ind w:firstLine="480" w:firstLineChars="200"/>
        <w:rPr>
          <w:rFonts w:ascii="宋体" w:hAnsi="宋体"/>
          <w:color w:val="auto"/>
          <w:sz w:val="24"/>
          <w:highlight w:val="none"/>
        </w:rPr>
      </w:pPr>
      <w:r>
        <w:rPr>
          <w:rFonts w:hint="eastAsia" w:ascii="宋体" w:hAnsi="宋体"/>
          <w:color w:val="auto"/>
          <w:sz w:val="24"/>
          <w:highlight w:val="none"/>
        </w:rPr>
        <w:t>4. 提供24小时×365天电话技术支持，电话响应时间≤30分钟。</w:t>
      </w:r>
    </w:p>
    <w:p w14:paraId="46FABC20">
      <w:pPr>
        <w:snapToGrid w:val="0"/>
        <w:spacing w:line="276" w:lineRule="auto"/>
        <w:ind w:firstLine="480" w:firstLineChars="200"/>
        <w:rPr>
          <w:rFonts w:ascii="宋体" w:hAnsi="宋体"/>
          <w:color w:val="auto"/>
          <w:sz w:val="24"/>
          <w:highlight w:val="none"/>
        </w:rPr>
      </w:pPr>
      <w:r>
        <w:rPr>
          <w:rFonts w:hint="eastAsia" w:ascii="宋体" w:hAnsi="宋体"/>
          <w:color w:val="auto"/>
          <w:sz w:val="24"/>
          <w:highlight w:val="none"/>
        </w:rPr>
        <w:t>5. 软件升级，升级内容包括安全升级、普通升级、最初级别升级以及功能升级；</w:t>
      </w:r>
      <w:r>
        <w:rPr>
          <w:rFonts w:hint="eastAsia" w:ascii="宋体" w:hAnsi="宋体"/>
          <w:color w:val="auto"/>
          <w:sz w:val="22"/>
          <w:szCs w:val="22"/>
          <w:highlight w:val="none"/>
        </w:rPr>
        <w:t>以上所有升级须提供佐证资料，如涉及注册证须提供注册证相关佐证材料。</w:t>
      </w:r>
    </w:p>
    <w:p w14:paraId="27AB950E">
      <w:pPr>
        <w:snapToGrid w:val="0"/>
        <w:spacing w:line="276" w:lineRule="auto"/>
        <w:ind w:firstLine="480" w:firstLineChars="200"/>
        <w:rPr>
          <w:rFonts w:ascii="宋体" w:hAnsi="宋体"/>
          <w:color w:val="auto"/>
          <w:sz w:val="24"/>
          <w:highlight w:val="none"/>
        </w:rPr>
      </w:pPr>
      <w:r>
        <w:rPr>
          <w:rFonts w:hint="eastAsia" w:ascii="宋体" w:hAnsi="宋体"/>
          <w:color w:val="auto"/>
          <w:sz w:val="24"/>
          <w:highlight w:val="none"/>
        </w:rPr>
        <w:t>6. 预防性保养</w:t>
      </w:r>
    </w:p>
    <w:p w14:paraId="764930C0">
      <w:pPr>
        <w:snapToGrid w:val="0"/>
        <w:spacing w:line="276" w:lineRule="auto"/>
        <w:ind w:firstLine="480" w:firstLineChars="200"/>
        <w:rPr>
          <w:rFonts w:ascii="宋体" w:hAnsi="宋体"/>
          <w:color w:val="auto"/>
          <w:sz w:val="24"/>
          <w:highlight w:val="none"/>
        </w:rPr>
      </w:pPr>
      <w:r>
        <w:rPr>
          <w:rFonts w:hint="eastAsia" w:ascii="宋体" w:hAnsi="宋体"/>
          <w:color w:val="auto"/>
          <w:sz w:val="24"/>
          <w:highlight w:val="none"/>
        </w:rPr>
        <w:t>6.1 ▲射线类设备每年至少2次专业保养，要求对设备进行检测、调整、校准设备至出厂标准、清洁除尘、更换损耗部件及保养耗材；</w:t>
      </w:r>
    </w:p>
    <w:p w14:paraId="58B3CA74">
      <w:pPr>
        <w:snapToGrid w:val="0"/>
        <w:spacing w:line="276" w:lineRule="auto"/>
        <w:ind w:firstLine="480" w:firstLineChars="200"/>
        <w:rPr>
          <w:rFonts w:ascii="宋体" w:hAnsi="宋体"/>
          <w:color w:val="auto"/>
          <w:sz w:val="24"/>
          <w:highlight w:val="none"/>
        </w:rPr>
      </w:pPr>
      <w:r>
        <w:rPr>
          <w:rFonts w:hint="eastAsia" w:ascii="宋体" w:hAnsi="宋体"/>
          <w:color w:val="auto"/>
          <w:sz w:val="24"/>
          <w:highlight w:val="none"/>
        </w:rPr>
        <w:t>6.2 ▲提供专业保养耗材，提供高效及有质量的保养服务；</w:t>
      </w:r>
    </w:p>
    <w:p w14:paraId="5F999AD6">
      <w:pPr>
        <w:snapToGrid w:val="0"/>
        <w:spacing w:line="276" w:lineRule="auto"/>
        <w:ind w:firstLine="480" w:firstLineChars="200"/>
        <w:rPr>
          <w:rFonts w:ascii="宋体" w:hAnsi="宋体"/>
          <w:color w:val="auto"/>
          <w:sz w:val="24"/>
          <w:highlight w:val="none"/>
        </w:rPr>
      </w:pPr>
      <w:r>
        <w:rPr>
          <w:rFonts w:hint="eastAsia" w:ascii="宋体" w:hAnsi="宋体"/>
          <w:color w:val="auto"/>
          <w:sz w:val="24"/>
          <w:highlight w:val="none"/>
        </w:rPr>
        <w:t>6.3</w:t>
      </w:r>
      <w:r>
        <w:rPr>
          <w:rFonts w:hint="eastAsia" w:ascii="宋体" w:hAnsi="宋体"/>
          <w:color w:val="auto"/>
          <w:sz w:val="24"/>
          <w:highlight w:val="none"/>
          <w:lang w:val="en-US" w:eastAsia="zh-CN"/>
        </w:rPr>
        <w:t xml:space="preserve"> </w:t>
      </w:r>
      <w:r>
        <w:rPr>
          <w:rFonts w:hint="eastAsia" w:ascii="宋体" w:hAnsi="宋体"/>
          <w:color w:val="auto"/>
          <w:sz w:val="24"/>
          <w:highlight w:val="none"/>
        </w:rPr>
        <w:t>▲</w:t>
      </w:r>
      <w:r>
        <w:rPr>
          <w:rFonts w:ascii="宋体" w:hAnsi="宋体"/>
          <w:color w:val="auto"/>
          <w:sz w:val="24"/>
          <w:highlight w:val="none"/>
        </w:rPr>
        <w:t xml:space="preserve"> </w:t>
      </w:r>
      <w:r>
        <w:rPr>
          <w:rFonts w:hint="eastAsia" w:ascii="宋体" w:hAnsi="宋体"/>
          <w:color w:val="auto"/>
          <w:sz w:val="24"/>
          <w:highlight w:val="none"/>
        </w:rPr>
        <w:t>确认各项技术指标及性能，以文字、表格、图片记录设备保养前后相关信息，并定期对设备数据进行备份，确保设备及配套仪器正常运行；</w:t>
      </w:r>
    </w:p>
    <w:p w14:paraId="4ECC4409">
      <w:pPr>
        <w:snapToGrid w:val="0"/>
        <w:spacing w:line="276" w:lineRule="auto"/>
        <w:ind w:firstLine="480" w:firstLineChars="200"/>
        <w:rPr>
          <w:rFonts w:ascii="宋体" w:hAnsi="宋体"/>
          <w:color w:val="auto"/>
          <w:sz w:val="24"/>
          <w:highlight w:val="none"/>
        </w:rPr>
      </w:pPr>
      <w:r>
        <w:rPr>
          <w:rFonts w:hint="eastAsia" w:ascii="宋体" w:hAnsi="宋体"/>
          <w:color w:val="auto"/>
          <w:sz w:val="24"/>
          <w:highlight w:val="none"/>
        </w:rPr>
        <w:t>6.4 ▲服务结束须向院方出示包含服务详细内容的工单或验收报告，由使用部门及医学装备部签署验收意见后，交由医学装备部存档。</w:t>
      </w:r>
    </w:p>
    <w:p w14:paraId="58E8EE5C">
      <w:pPr>
        <w:snapToGrid w:val="0"/>
        <w:spacing w:line="276" w:lineRule="auto"/>
        <w:ind w:firstLine="480" w:firstLineChars="200"/>
        <w:rPr>
          <w:rFonts w:ascii="宋体" w:hAnsi="宋体"/>
          <w:color w:val="auto"/>
          <w:sz w:val="24"/>
          <w:highlight w:val="none"/>
        </w:rPr>
      </w:pPr>
      <w:r>
        <w:rPr>
          <w:rFonts w:hint="eastAsia" w:ascii="宋体" w:hAnsi="宋体"/>
          <w:color w:val="auto"/>
          <w:sz w:val="24"/>
          <w:highlight w:val="none"/>
        </w:rPr>
        <w:t>7. 安全检查，制定检查计划，记录机械安全检查、电气安全检查及检查结果。</w:t>
      </w:r>
    </w:p>
    <w:p w14:paraId="1E9A1AD5">
      <w:pPr>
        <w:snapToGrid w:val="0"/>
        <w:spacing w:line="276" w:lineRule="auto"/>
        <w:ind w:firstLine="480" w:firstLineChars="200"/>
        <w:rPr>
          <w:rFonts w:ascii="宋体" w:hAnsi="宋体"/>
          <w:color w:val="auto"/>
          <w:sz w:val="24"/>
          <w:highlight w:val="none"/>
        </w:rPr>
      </w:pPr>
      <w:r>
        <w:rPr>
          <w:rFonts w:hint="eastAsia" w:ascii="宋体" w:hAnsi="宋体"/>
          <w:color w:val="auto"/>
          <w:sz w:val="24"/>
          <w:highlight w:val="none"/>
        </w:rPr>
        <w:t>8. ▲质量保证，制定检查计划，检查图像质量（效果）、评判参数结果、调整/校准至出厂标准，记录系统质量报告。</w:t>
      </w:r>
    </w:p>
    <w:p w14:paraId="211742D0">
      <w:pPr>
        <w:snapToGrid w:val="0"/>
        <w:spacing w:line="276" w:lineRule="auto"/>
        <w:ind w:firstLine="480" w:firstLineChars="200"/>
        <w:rPr>
          <w:rFonts w:ascii="宋体" w:hAnsi="宋体"/>
          <w:color w:val="auto"/>
          <w:sz w:val="24"/>
          <w:highlight w:val="none"/>
        </w:rPr>
      </w:pPr>
      <w:r>
        <w:rPr>
          <w:rFonts w:hint="eastAsia" w:ascii="宋体" w:hAnsi="宋体"/>
          <w:color w:val="auto"/>
          <w:sz w:val="24"/>
          <w:highlight w:val="none"/>
        </w:rPr>
        <w:t>9. 工程师要求：维保服务供应商具备不少于2名专职工程师，工程师具备同类设备专业维修能力</w:t>
      </w:r>
      <w:r>
        <w:rPr>
          <w:rFonts w:hint="eastAsia" w:ascii="宋体" w:hAnsi="宋体" w:cs="宋体"/>
          <w:bCs/>
          <w:color w:val="auto"/>
          <w:sz w:val="24"/>
          <w:highlight w:val="none"/>
        </w:rPr>
        <w:t>，响应文件中提供拟维保设备原厂出具的培训资格证明文件及社保缴纳证明。</w:t>
      </w:r>
    </w:p>
    <w:p w14:paraId="1C0081F3">
      <w:pPr>
        <w:widowControl/>
        <w:spacing w:line="276" w:lineRule="auto"/>
        <w:ind w:firstLine="480" w:firstLineChars="200"/>
        <w:rPr>
          <w:rFonts w:ascii="宋体" w:hAnsi="宋体" w:cs="宋体"/>
          <w:bCs/>
          <w:color w:val="auto"/>
          <w:sz w:val="24"/>
          <w:highlight w:val="none"/>
        </w:rPr>
      </w:pPr>
      <w:r>
        <w:rPr>
          <w:rFonts w:hint="eastAsia" w:ascii="宋体" w:hAnsi="宋体"/>
          <w:color w:val="auto"/>
          <w:sz w:val="24"/>
          <w:highlight w:val="none"/>
        </w:rPr>
        <w:t xml:space="preserve">10. </w:t>
      </w:r>
      <w:r>
        <w:rPr>
          <w:rFonts w:hint="eastAsia" w:ascii="宋体" w:hAnsi="宋体" w:cs="宋体"/>
          <w:bCs/>
          <w:color w:val="auto"/>
          <w:sz w:val="24"/>
          <w:highlight w:val="none"/>
        </w:rPr>
        <w:t>免费提供远程诊断功能，供应商须具备基于设备本身的远程网络维修诊断服务系统，用于及时解决应急维修和临床使用问题，响应文件中提供国际标准安全认证的远程诊断资质证书复印件，第三方平台远程不属于此范围，能实现远程可视化中央控制、实施管理，对故障有预判性，可远程处理简单故障。</w:t>
      </w:r>
    </w:p>
    <w:p w14:paraId="0CE91DC8">
      <w:pPr>
        <w:widowControl/>
        <w:spacing w:line="276" w:lineRule="auto"/>
        <w:ind w:firstLine="480" w:firstLineChars="200"/>
        <w:rPr>
          <w:rFonts w:ascii="宋体" w:hAnsi="宋体" w:cs="宋体"/>
          <w:bCs/>
          <w:color w:val="auto"/>
          <w:sz w:val="24"/>
          <w:highlight w:val="none"/>
        </w:rPr>
      </w:pPr>
      <w:r>
        <w:rPr>
          <w:rFonts w:hint="eastAsia" w:ascii="宋体" w:hAnsi="宋体"/>
          <w:color w:val="auto"/>
          <w:sz w:val="24"/>
          <w:highlight w:val="none"/>
        </w:rPr>
        <w:t>11.▲报价需包括已发生的维修:人工及DR球管；DSA电缆、头枕、外部安全开关；Force接口分配板等备件。</w:t>
      </w:r>
    </w:p>
    <w:p w14:paraId="29B5E474">
      <w:pPr>
        <w:widowControl/>
        <w:jc w:val="left"/>
        <w:rPr>
          <w:rFonts w:ascii="仿宋" w:hAnsi="仿宋" w:eastAsia="仿宋" w:cs="仿宋"/>
          <w:color w:val="auto"/>
          <w:kern w:val="0"/>
          <w:sz w:val="24"/>
          <w:highlight w:val="none"/>
          <w:lang w:bidi="ar"/>
        </w:rPr>
      </w:pPr>
    </w:p>
    <w:p w14:paraId="5D1E843C">
      <w:pPr>
        <w:pStyle w:val="102"/>
        <w:ind w:firstLine="482" w:firstLineChars="200"/>
        <w:rPr>
          <w:rFonts w:cs="宋体"/>
          <w:color w:val="auto"/>
          <w:kern w:val="0"/>
          <w:sz w:val="24"/>
          <w:szCs w:val="24"/>
          <w:highlight w:val="none"/>
          <w:lang w:bidi="ar"/>
        </w:rPr>
      </w:pPr>
      <w:r>
        <w:rPr>
          <w:rFonts w:hint="eastAsia" w:cs="宋体"/>
          <w:color w:val="auto"/>
          <w:kern w:val="0"/>
          <w:sz w:val="24"/>
          <w:szCs w:val="24"/>
          <w:highlight w:val="none"/>
          <w:lang w:bidi="ar"/>
        </w:rPr>
        <w:t>2.1维保设备信息表</w:t>
      </w:r>
    </w:p>
    <w:p w14:paraId="03B57F73">
      <w:pPr>
        <w:rPr>
          <w:color w:val="auto"/>
          <w:highlight w:val="none"/>
        </w:rPr>
      </w:pPr>
    </w:p>
    <w:tbl>
      <w:tblPr>
        <w:tblStyle w:val="31"/>
        <w:tblpPr w:leftFromText="180" w:rightFromText="180" w:vertAnchor="text" w:horzAnchor="page" w:tblpX="1565" w:tblpY="40"/>
        <w:tblOverlap w:val="never"/>
        <w:tblW w:w="9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0"/>
        <w:gridCol w:w="2333"/>
        <w:gridCol w:w="1832"/>
        <w:gridCol w:w="1420"/>
        <w:gridCol w:w="1265"/>
        <w:gridCol w:w="2000"/>
      </w:tblGrid>
      <w:tr w14:paraId="5297E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vAlign w:val="center"/>
          </w:tcPr>
          <w:p w14:paraId="7ABEAF85">
            <w:pPr>
              <w:jc w:val="center"/>
              <w:rPr>
                <w:rFonts w:ascii="宋体" w:hAnsi="宋体" w:cs="宋体"/>
                <w:color w:val="auto"/>
                <w:sz w:val="24"/>
                <w:highlight w:val="none"/>
              </w:rPr>
            </w:pPr>
            <w:r>
              <w:rPr>
                <w:rFonts w:hint="eastAsia" w:ascii="宋体" w:hAnsi="宋体" w:cs="宋体"/>
                <w:color w:val="auto"/>
                <w:sz w:val="24"/>
                <w:highlight w:val="none"/>
              </w:rPr>
              <w:t>序号</w:t>
            </w:r>
          </w:p>
        </w:tc>
        <w:tc>
          <w:tcPr>
            <w:tcW w:w="2333" w:type="dxa"/>
            <w:vAlign w:val="center"/>
          </w:tcPr>
          <w:p w14:paraId="7C1F2DB0">
            <w:pPr>
              <w:jc w:val="center"/>
              <w:rPr>
                <w:rFonts w:ascii="宋体" w:hAnsi="宋体" w:cs="宋体"/>
                <w:color w:val="auto"/>
                <w:sz w:val="24"/>
                <w:highlight w:val="none"/>
              </w:rPr>
            </w:pPr>
            <w:r>
              <w:rPr>
                <w:rFonts w:hint="eastAsia" w:ascii="宋体" w:hAnsi="宋体" w:cs="宋体"/>
                <w:color w:val="auto"/>
                <w:sz w:val="24"/>
                <w:highlight w:val="none"/>
              </w:rPr>
              <w:t>设备名称</w:t>
            </w:r>
          </w:p>
        </w:tc>
        <w:tc>
          <w:tcPr>
            <w:tcW w:w="1832" w:type="dxa"/>
            <w:vAlign w:val="center"/>
          </w:tcPr>
          <w:p w14:paraId="720D20D4">
            <w:pPr>
              <w:jc w:val="center"/>
              <w:rPr>
                <w:rFonts w:ascii="宋体" w:hAnsi="宋体" w:cs="宋体"/>
                <w:color w:val="auto"/>
                <w:sz w:val="24"/>
                <w:highlight w:val="none"/>
              </w:rPr>
            </w:pPr>
            <w:r>
              <w:rPr>
                <w:rFonts w:hint="eastAsia" w:ascii="宋体" w:hAnsi="宋体" w:cs="宋体"/>
                <w:color w:val="auto"/>
                <w:sz w:val="24"/>
                <w:highlight w:val="none"/>
              </w:rPr>
              <w:t>品牌</w:t>
            </w:r>
          </w:p>
        </w:tc>
        <w:tc>
          <w:tcPr>
            <w:tcW w:w="1420" w:type="dxa"/>
            <w:vAlign w:val="center"/>
          </w:tcPr>
          <w:p w14:paraId="0EB9DF3A">
            <w:pPr>
              <w:jc w:val="center"/>
              <w:rPr>
                <w:rFonts w:ascii="宋体" w:hAnsi="宋体" w:cs="宋体"/>
                <w:color w:val="auto"/>
                <w:sz w:val="24"/>
                <w:highlight w:val="none"/>
              </w:rPr>
            </w:pPr>
            <w:r>
              <w:rPr>
                <w:rFonts w:hint="eastAsia" w:ascii="宋体" w:hAnsi="宋体" w:cs="宋体"/>
                <w:color w:val="auto"/>
                <w:sz w:val="24"/>
                <w:highlight w:val="none"/>
              </w:rPr>
              <w:t>型号</w:t>
            </w:r>
          </w:p>
        </w:tc>
        <w:tc>
          <w:tcPr>
            <w:tcW w:w="1265" w:type="dxa"/>
            <w:vAlign w:val="center"/>
          </w:tcPr>
          <w:p w14:paraId="00955A1B">
            <w:pPr>
              <w:jc w:val="center"/>
              <w:rPr>
                <w:rFonts w:ascii="宋体" w:hAnsi="宋体" w:cs="宋体"/>
                <w:color w:val="auto"/>
                <w:sz w:val="24"/>
                <w:highlight w:val="none"/>
              </w:rPr>
            </w:pPr>
            <w:r>
              <w:rPr>
                <w:rFonts w:hint="eastAsia" w:ascii="宋体" w:hAnsi="宋体" w:cs="宋体"/>
                <w:color w:val="auto"/>
                <w:sz w:val="24"/>
                <w:highlight w:val="none"/>
              </w:rPr>
              <w:t>启用日期</w:t>
            </w:r>
          </w:p>
        </w:tc>
        <w:tc>
          <w:tcPr>
            <w:tcW w:w="2000" w:type="dxa"/>
            <w:vAlign w:val="center"/>
          </w:tcPr>
          <w:p w14:paraId="7204D079">
            <w:pPr>
              <w:jc w:val="center"/>
              <w:rPr>
                <w:rFonts w:ascii="宋体" w:hAnsi="宋体" w:cs="宋体"/>
                <w:color w:val="auto"/>
                <w:sz w:val="24"/>
                <w:highlight w:val="none"/>
              </w:rPr>
            </w:pPr>
            <w:r>
              <w:rPr>
                <w:rFonts w:hint="eastAsia" w:ascii="宋体" w:hAnsi="宋体" w:cs="宋体"/>
                <w:color w:val="auto"/>
                <w:sz w:val="24"/>
                <w:highlight w:val="none"/>
              </w:rPr>
              <w:t>安装位置</w:t>
            </w:r>
          </w:p>
        </w:tc>
      </w:tr>
      <w:tr w14:paraId="0C5F2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vMerge w:val="restart"/>
            <w:vAlign w:val="center"/>
          </w:tcPr>
          <w:p w14:paraId="0D273CE7">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1</w:t>
            </w:r>
          </w:p>
        </w:tc>
        <w:tc>
          <w:tcPr>
            <w:tcW w:w="2333" w:type="dxa"/>
            <w:vAlign w:val="center"/>
          </w:tcPr>
          <w:p w14:paraId="449626E5">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核磁共振成像装置</w:t>
            </w:r>
          </w:p>
        </w:tc>
        <w:tc>
          <w:tcPr>
            <w:tcW w:w="1832" w:type="dxa"/>
            <w:vAlign w:val="center"/>
          </w:tcPr>
          <w:p w14:paraId="36128821">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西门子</w:t>
            </w:r>
          </w:p>
        </w:tc>
        <w:tc>
          <w:tcPr>
            <w:tcW w:w="1420" w:type="dxa"/>
            <w:vAlign w:val="center"/>
          </w:tcPr>
          <w:p w14:paraId="684A85C5">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MAGNETOM Prisma</w:t>
            </w:r>
          </w:p>
        </w:tc>
        <w:tc>
          <w:tcPr>
            <w:tcW w:w="1265" w:type="dxa"/>
            <w:vAlign w:val="center"/>
          </w:tcPr>
          <w:p w14:paraId="72099D02">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2017.12</w:t>
            </w:r>
          </w:p>
        </w:tc>
        <w:tc>
          <w:tcPr>
            <w:tcW w:w="2000" w:type="dxa"/>
            <w:vAlign w:val="center"/>
          </w:tcPr>
          <w:p w14:paraId="445FE246">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湖山路院区</w:t>
            </w:r>
          </w:p>
          <w:p w14:paraId="68FA2AB6">
            <w:pPr>
              <w:widowControl/>
              <w:jc w:val="center"/>
              <w:rPr>
                <w:rFonts w:ascii="宋体" w:hAnsi="宋体" w:cs="宋体"/>
                <w:color w:val="auto"/>
                <w:sz w:val="24"/>
                <w:highlight w:val="none"/>
              </w:rPr>
            </w:pPr>
            <w:r>
              <w:rPr>
                <w:rFonts w:hint="eastAsia" w:ascii="宋体" w:hAnsi="宋体" w:cs="宋体"/>
                <w:color w:val="auto"/>
                <w:kern w:val="0"/>
                <w:sz w:val="24"/>
                <w:highlight w:val="none"/>
                <w:lang w:bidi="ar"/>
              </w:rPr>
              <w:t>医学影像科</w:t>
            </w:r>
          </w:p>
        </w:tc>
      </w:tr>
      <w:tr w14:paraId="33B8F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vMerge w:val="continue"/>
            <w:vAlign w:val="center"/>
          </w:tcPr>
          <w:p w14:paraId="4EB9AF56">
            <w:pPr>
              <w:widowControl/>
              <w:jc w:val="center"/>
              <w:rPr>
                <w:rFonts w:ascii="宋体" w:hAnsi="宋体" w:cs="宋体"/>
                <w:color w:val="auto"/>
                <w:kern w:val="0"/>
                <w:sz w:val="24"/>
                <w:highlight w:val="none"/>
                <w:lang w:bidi="ar"/>
              </w:rPr>
            </w:pPr>
          </w:p>
        </w:tc>
        <w:tc>
          <w:tcPr>
            <w:tcW w:w="2333" w:type="dxa"/>
            <w:vAlign w:val="center"/>
          </w:tcPr>
          <w:p w14:paraId="6852A889">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第三方产品</w:t>
            </w:r>
          </w:p>
        </w:tc>
        <w:tc>
          <w:tcPr>
            <w:tcW w:w="6517" w:type="dxa"/>
            <w:gridSpan w:val="4"/>
            <w:vAlign w:val="center"/>
          </w:tcPr>
          <w:p w14:paraId="3B98C8BC">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水冷机、高压注射器（拜耳Stellant D-CE）、铁磁探测门、精密空调</w:t>
            </w:r>
          </w:p>
        </w:tc>
      </w:tr>
    </w:tbl>
    <w:p w14:paraId="3D92DCF4">
      <w:pPr>
        <w:rPr>
          <w:color w:val="auto"/>
          <w:highlight w:val="none"/>
        </w:rPr>
      </w:pPr>
    </w:p>
    <w:p w14:paraId="36B76433">
      <w:pPr>
        <w:pStyle w:val="102"/>
        <w:ind w:firstLine="482" w:firstLineChars="200"/>
        <w:rPr>
          <w:rFonts w:cs="宋体"/>
          <w:color w:val="auto"/>
          <w:kern w:val="0"/>
          <w:sz w:val="24"/>
          <w:szCs w:val="24"/>
          <w:highlight w:val="none"/>
          <w:lang w:bidi="ar"/>
        </w:rPr>
      </w:pPr>
      <w:r>
        <w:rPr>
          <w:rFonts w:hint="eastAsia" w:cs="宋体"/>
          <w:color w:val="auto"/>
          <w:kern w:val="0"/>
          <w:sz w:val="24"/>
          <w:szCs w:val="24"/>
          <w:highlight w:val="none"/>
          <w:lang w:bidi="ar"/>
        </w:rPr>
        <w:t>2.2技术参数</w:t>
      </w:r>
    </w:p>
    <w:p w14:paraId="034C44D1">
      <w:pPr>
        <w:widowControl/>
        <w:spacing w:line="276" w:lineRule="auto"/>
        <w:ind w:firstLine="480" w:firstLineChars="200"/>
        <w:rPr>
          <w:rFonts w:ascii="宋体" w:hAnsi="宋体"/>
          <w:color w:val="auto"/>
          <w:sz w:val="24"/>
          <w:highlight w:val="none"/>
        </w:rPr>
      </w:pPr>
      <w:r>
        <w:rPr>
          <w:rFonts w:hint="eastAsia" w:ascii="宋体" w:hAnsi="宋体"/>
          <w:color w:val="auto"/>
          <w:sz w:val="24"/>
          <w:highlight w:val="none"/>
        </w:rPr>
        <w:t>1. 响应时间：设备发生故障，电话响应时间≤30分钟，派工程师在6小时内到达维修设备现场，24小时内解决故障，如因特殊困难在约定时间确实无法解决故障的，在征得采购人同意后可以延长相应维修时间。</w:t>
      </w:r>
    </w:p>
    <w:p w14:paraId="4F26F2FD">
      <w:pPr>
        <w:widowControl/>
        <w:spacing w:line="276" w:lineRule="auto"/>
        <w:ind w:firstLine="480" w:firstLineChars="200"/>
        <w:rPr>
          <w:rFonts w:ascii="宋体" w:hAnsi="宋体"/>
          <w:color w:val="auto"/>
          <w:sz w:val="24"/>
          <w:highlight w:val="none"/>
        </w:rPr>
      </w:pPr>
      <w:r>
        <w:rPr>
          <w:rFonts w:hint="eastAsia" w:ascii="宋体" w:hAnsi="宋体"/>
          <w:color w:val="auto"/>
          <w:sz w:val="24"/>
          <w:highlight w:val="none"/>
        </w:rPr>
        <w:t>2. ▲所有备件免费更换（不包含第三方产品除外），所提供的备件必须是拟维保设备原厂未拆封并检验合格的零配件，满足设备运行要求，不得使用非原厂备件，提供的备件必须按照《医疗器械监督管理条例》的规定执行，并有可以追溯的序列代码，可随时提供渠道查询该代码有效性（须提供备件来源的渠道证明材料，以高真空元器件为例，提供原厂出具的证明或渠道商之间的合作证明），保证配件合法性可溯源。</w:t>
      </w:r>
    </w:p>
    <w:p w14:paraId="4486EF0C">
      <w:pPr>
        <w:widowControl/>
        <w:spacing w:line="276" w:lineRule="auto"/>
        <w:ind w:firstLine="480" w:firstLineChars="200"/>
        <w:rPr>
          <w:rFonts w:ascii="宋体" w:hAnsi="宋体"/>
          <w:color w:val="auto"/>
          <w:sz w:val="24"/>
          <w:highlight w:val="none"/>
        </w:rPr>
      </w:pPr>
      <w:r>
        <w:rPr>
          <w:rFonts w:hint="eastAsia" w:ascii="宋体" w:hAnsi="宋体"/>
          <w:color w:val="auto"/>
          <w:sz w:val="24"/>
          <w:highlight w:val="none"/>
        </w:rPr>
        <w:t>3. ▲液氦保证安全水平。更换响应时间在1-5个工作日内完成（保证液氦供应，有长期稳定液氦合作供应商，并提供证明）。</w:t>
      </w:r>
    </w:p>
    <w:p w14:paraId="58B87638">
      <w:pPr>
        <w:widowControl/>
        <w:spacing w:line="276" w:lineRule="auto"/>
        <w:ind w:firstLine="480" w:firstLineChars="200"/>
        <w:rPr>
          <w:rFonts w:ascii="宋体" w:hAnsi="宋体"/>
          <w:color w:val="auto"/>
          <w:sz w:val="24"/>
          <w:highlight w:val="none"/>
        </w:rPr>
      </w:pPr>
      <w:r>
        <w:rPr>
          <w:rFonts w:hint="eastAsia" w:ascii="宋体" w:hAnsi="宋体"/>
          <w:color w:val="auto"/>
          <w:sz w:val="24"/>
          <w:highlight w:val="none"/>
        </w:rPr>
        <w:t>4. 确保95%开机率（开机率：医疗设备用来治疗和诊断病人的使用率，按一年365天每天24小时计算，每半年统计一次，每超出一天，服务合同期限延长2个工作日）。</w:t>
      </w:r>
    </w:p>
    <w:p w14:paraId="795767A0">
      <w:pPr>
        <w:widowControl/>
        <w:spacing w:line="276" w:lineRule="auto"/>
        <w:ind w:firstLine="480" w:firstLineChars="200"/>
        <w:rPr>
          <w:rFonts w:ascii="宋体" w:hAnsi="宋体"/>
          <w:color w:val="auto"/>
          <w:sz w:val="24"/>
          <w:highlight w:val="none"/>
        </w:rPr>
      </w:pPr>
      <w:r>
        <w:rPr>
          <w:rFonts w:hint="eastAsia" w:ascii="宋体" w:hAnsi="宋体"/>
          <w:color w:val="auto"/>
          <w:sz w:val="24"/>
          <w:highlight w:val="none"/>
        </w:rPr>
        <w:t>5. 提供24小时×365天电话技术支持，电话响应时间≤30分钟。</w:t>
      </w:r>
    </w:p>
    <w:p w14:paraId="0E978BC6">
      <w:pPr>
        <w:widowControl/>
        <w:spacing w:line="276" w:lineRule="auto"/>
        <w:ind w:firstLine="480" w:firstLineChars="200"/>
        <w:rPr>
          <w:rFonts w:ascii="宋体" w:hAnsi="宋体"/>
          <w:color w:val="auto"/>
          <w:sz w:val="24"/>
          <w:highlight w:val="none"/>
        </w:rPr>
      </w:pPr>
      <w:r>
        <w:rPr>
          <w:rFonts w:hint="eastAsia" w:ascii="宋体" w:hAnsi="宋体"/>
          <w:color w:val="auto"/>
          <w:sz w:val="24"/>
          <w:highlight w:val="none"/>
        </w:rPr>
        <w:t>6. 软件升级，升级内容包括安全升级、普通升级、最初级别升级以及功能升级；以上所有升级须提供佐证资料，如涉及注册证须提供注册证相关佐证材料。</w:t>
      </w:r>
    </w:p>
    <w:p w14:paraId="205500EE">
      <w:pPr>
        <w:widowControl/>
        <w:spacing w:line="276" w:lineRule="auto"/>
        <w:ind w:firstLine="480" w:firstLineChars="200"/>
        <w:rPr>
          <w:rFonts w:ascii="宋体" w:hAnsi="宋体"/>
          <w:color w:val="auto"/>
          <w:sz w:val="24"/>
          <w:highlight w:val="none"/>
        </w:rPr>
      </w:pPr>
      <w:r>
        <w:rPr>
          <w:rFonts w:hint="eastAsia" w:ascii="宋体" w:hAnsi="宋体"/>
          <w:color w:val="auto"/>
          <w:sz w:val="24"/>
          <w:highlight w:val="none"/>
        </w:rPr>
        <w:t>7. 预防性保养</w:t>
      </w:r>
    </w:p>
    <w:p w14:paraId="13D9F1EC">
      <w:pPr>
        <w:widowControl/>
        <w:spacing w:line="276" w:lineRule="auto"/>
        <w:ind w:firstLine="480" w:firstLineChars="200"/>
        <w:rPr>
          <w:rFonts w:ascii="宋体" w:hAnsi="宋体"/>
          <w:color w:val="auto"/>
          <w:sz w:val="24"/>
          <w:highlight w:val="none"/>
        </w:rPr>
      </w:pPr>
      <w:r>
        <w:rPr>
          <w:rFonts w:hint="eastAsia" w:ascii="宋体" w:hAnsi="宋体"/>
          <w:color w:val="auto"/>
          <w:sz w:val="24"/>
          <w:highlight w:val="none"/>
        </w:rPr>
        <w:t>7.1 ▲核磁设备每年至少2次专业保养，要求对设备进行检测、调整、校准至出厂标准、清洁除尘、更换损耗部件及保养耗材；</w:t>
      </w:r>
    </w:p>
    <w:p w14:paraId="2A1F3C55">
      <w:pPr>
        <w:widowControl/>
        <w:spacing w:line="276" w:lineRule="auto"/>
        <w:ind w:firstLine="480" w:firstLineChars="200"/>
        <w:rPr>
          <w:rFonts w:ascii="宋体" w:hAnsi="宋体"/>
          <w:color w:val="auto"/>
          <w:sz w:val="24"/>
          <w:highlight w:val="none"/>
        </w:rPr>
      </w:pPr>
      <w:r>
        <w:rPr>
          <w:rFonts w:hint="eastAsia" w:ascii="宋体" w:hAnsi="宋体"/>
          <w:color w:val="auto"/>
          <w:sz w:val="24"/>
          <w:highlight w:val="none"/>
        </w:rPr>
        <w:t>7.2 ▲提供专业保养耗材，提供高效及有质量的保养服务；</w:t>
      </w:r>
    </w:p>
    <w:p w14:paraId="615E6DFD">
      <w:pPr>
        <w:widowControl/>
        <w:spacing w:line="276" w:lineRule="auto"/>
        <w:ind w:firstLine="480" w:firstLineChars="200"/>
        <w:rPr>
          <w:rFonts w:ascii="宋体" w:hAnsi="宋体"/>
          <w:color w:val="auto"/>
          <w:sz w:val="24"/>
          <w:highlight w:val="none"/>
        </w:rPr>
      </w:pPr>
      <w:r>
        <w:rPr>
          <w:rFonts w:hint="eastAsia" w:ascii="宋体" w:hAnsi="宋体"/>
          <w:color w:val="auto"/>
          <w:sz w:val="24"/>
          <w:highlight w:val="none"/>
        </w:rPr>
        <w:t>7.3 ▲以文字、表格、图片记录设备保养前后信息，定期备份设备数据，确保设备及配套仪器正常运行；</w:t>
      </w:r>
    </w:p>
    <w:p w14:paraId="1FD35BB2">
      <w:pPr>
        <w:widowControl/>
        <w:spacing w:line="276" w:lineRule="auto"/>
        <w:ind w:firstLine="480" w:firstLineChars="200"/>
        <w:rPr>
          <w:rFonts w:ascii="宋体" w:hAnsi="宋体"/>
          <w:color w:val="auto"/>
          <w:sz w:val="24"/>
          <w:highlight w:val="none"/>
        </w:rPr>
      </w:pPr>
      <w:r>
        <w:rPr>
          <w:rFonts w:hint="eastAsia" w:ascii="宋体" w:hAnsi="宋体"/>
          <w:color w:val="auto"/>
          <w:sz w:val="24"/>
          <w:highlight w:val="none"/>
        </w:rPr>
        <w:t>7.4 ▲服务结束须向院方出示服务工单或验收报告，由使用部门及医学装备部签署验收意见后存档。</w:t>
      </w:r>
    </w:p>
    <w:p w14:paraId="017BDAE5">
      <w:pPr>
        <w:widowControl/>
        <w:spacing w:line="276" w:lineRule="auto"/>
        <w:ind w:firstLine="480" w:firstLineChars="200"/>
        <w:rPr>
          <w:rFonts w:ascii="宋体" w:hAnsi="宋体"/>
          <w:color w:val="auto"/>
          <w:sz w:val="24"/>
          <w:highlight w:val="none"/>
        </w:rPr>
      </w:pPr>
      <w:r>
        <w:rPr>
          <w:rFonts w:hint="eastAsia" w:ascii="宋体" w:hAnsi="宋体"/>
          <w:color w:val="auto"/>
          <w:sz w:val="24"/>
          <w:highlight w:val="none"/>
        </w:rPr>
        <w:t>8. 安全检查，制定检查计划，记录机械安全、电气安全检查结果。</w:t>
      </w:r>
    </w:p>
    <w:p w14:paraId="2978DF28">
      <w:pPr>
        <w:widowControl/>
        <w:spacing w:line="276" w:lineRule="auto"/>
        <w:ind w:firstLine="480" w:firstLineChars="200"/>
        <w:rPr>
          <w:rFonts w:ascii="宋体" w:hAnsi="宋体"/>
          <w:color w:val="auto"/>
          <w:sz w:val="24"/>
          <w:highlight w:val="none"/>
        </w:rPr>
      </w:pPr>
      <w:r>
        <w:rPr>
          <w:rFonts w:hint="eastAsia" w:ascii="宋体" w:hAnsi="宋体"/>
          <w:color w:val="auto"/>
          <w:sz w:val="24"/>
          <w:highlight w:val="none"/>
        </w:rPr>
        <w:t>9. 需提供核磁热循环业绩证明或维修工单证明，服务案例医院≥2家。</w:t>
      </w:r>
    </w:p>
    <w:p w14:paraId="72BFA114">
      <w:pPr>
        <w:widowControl/>
        <w:spacing w:line="276" w:lineRule="auto"/>
        <w:ind w:firstLine="480" w:firstLineChars="200"/>
        <w:rPr>
          <w:rFonts w:ascii="宋体" w:hAnsi="宋体"/>
          <w:color w:val="auto"/>
          <w:sz w:val="24"/>
          <w:highlight w:val="none"/>
        </w:rPr>
      </w:pPr>
      <w:r>
        <w:rPr>
          <w:rFonts w:hint="eastAsia" w:ascii="宋体" w:hAnsi="宋体"/>
          <w:color w:val="auto"/>
          <w:sz w:val="24"/>
          <w:highlight w:val="none"/>
        </w:rPr>
        <w:t>10. ▲质量保证，制定检查计划，检查图像质量、评判参数、调整/校准至出厂标准，出具系统质量报告。</w:t>
      </w:r>
    </w:p>
    <w:p w14:paraId="25DAA112">
      <w:pPr>
        <w:widowControl/>
        <w:spacing w:line="276" w:lineRule="auto"/>
        <w:ind w:firstLine="480" w:firstLineChars="200"/>
        <w:rPr>
          <w:rFonts w:ascii="宋体" w:hAnsi="宋体"/>
          <w:color w:val="auto"/>
          <w:sz w:val="24"/>
          <w:highlight w:val="none"/>
        </w:rPr>
      </w:pPr>
      <w:r>
        <w:rPr>
          <w:rFonts w:hint="eastAsia" w:ascii="宋体" w:hAnsi="宋体"/>
          <w:color w:val="auto"/>
          <w:sz w:val="24"/>
          <w:highlight w:val="none"/>
        </w:rPr>
        <w:t>11. 工程师要求：维保服务供应商具备不少于2名专职工程师，工程师具备同类设备专业维修能力，响应文件中提供拟维保设备原厂出具的培训资格证明文件及社保缴纳证明。</w:t>
      </w:r>
    </w:p>
    <w:p w14:paraId="2652766A">
      <w:pPr>
        <w:widowControl/>
        <w:spacing w:line="276" w:lineRule="auto"/>
        <w:ind w:firstLine="480" w:firstLineChars="200"/>
        <w:rPr>
          <w:rFonts w:ascii="宋体" w:hAnsi="宋体"/>
          <w:color w:val="auto"/>
          <w:sz w:val="24"/>
          <w:highlight w:val="none"/>
        </w:rPr>
      </w:pPr>
      <w:r>
        <w:rPr>
          <w:rFonts w:hint="eastAsia" w:ascii="宋体" w:hAnsi="宋体"/>
          <w:color w:val="auto"/>
          <w:sz w:val="24"/>
          <w:highlight w:val="none"/>
        </w:rPr>
        <w:t>12. ▲安全检查：具备紧急失超电路、磁体、接地电阻等关键检查能力，出具检查报告及QA全系统检查报告。</w:t>
      </w:r>
    </w:p>
    <w:p w14:paraId="712E93C8">
      <w:pPr>
        <w:widowControl/>
        <w:spacing w:line="276" w:lineRule="auto"/>
        <w:ind w:firstLine="480" w:firstLineChars="200"/>
        <w:rPr>
          <w:rFonts w:ascii="宋体" w:hAnsi="宋体"/>
          <w:color w:val="auto"/>
          <w:sz w:val="24"/>
          <w:highlight w:val="none"/>
        </w:rPr>
      </w:pPr>
      <w:r>
        <w:rPr>
          <w:rFonts w:hint="eastAsia" w:ascii="宋体" w:hAnsi="宋体"/>
          <w:color w:val="auto"/>
          <w:sz w:val="24"/>
          <w:highlight w:val="none"/>
        </w:rPr>
        <w:t>13. 服务期内提供2个名额的影像或医工技术培训。</w:t>
      </w:r>
    </w:p>
    <w:p w14:paraId="0698084E">
      <w:pPr>
        <w:widowControl/>
        <w:spacing w:line="276" w:lineRule="auto"/>
        <w:ind w:firstLine="480" w:firstLineChars="200"/>
        <w:rPr>
          <w:rFonts w:ascii="宋体" w:hAnsi="宋体"/>
          <w:color w:val="auto"/>
          <w:sz w:val="24"/>
          <w:highlight w:val="none"/>
        </w:rPr>
      </w:pPr>
      <w:r>
        <w:rPr>
          <w:rFonts w:hint="eastAsia" w:ascii="宋体" w:hAnsi="宋体"/>
          <w:color w:val="auto"/>
          <w:sz w:val="24"/>
          <w:highlight w:val="none"/>
        </w:rPr>
        <w:t>14. 免费提供远程诊断功能，供应商须具备基于设备本身的远程网络维修诊断服务系统，用于及时解决应急维修和临床使用问题，响应文件中提供国际标准安全认证的远程诊断资质证书复印件，第三方平台远程不属于此范围，能实现远程可视化中央控制、实施管理，对故障有预判性，可远程处理简单故障。</w:t>
      </w:r>
    </w:p>
    <w:p w14:paraId="54DD7D6B">
      <w:pPr>
        <w:widowControl/>
        <w:spacing w:line="276" w:lineRule="auto"/>
        <w:ind w:firstLine="480" w:firstLineChars="200"/>
        <w:rPr>
          <w:rFonts w:ascii="宋体" w:hAnsi="宋体"/>
          <w:color w:val="auto"/>
          <w:sz w:val="24"/>
          <w:highlight w:val="none"/>
        </w:rPr>
      </w:pPr>
      <w:r>
        <w:rPr>
          <w:rFonts w:hint="eastAsia" w:ascii="宋体" w:hAnsi="宋体"/>
          <w:color w:val="auto"/>
          <w:sz w:val="24"/>
          <w:highlight w:val="none"/>
        </w:rPr>
        <w:t>15. ▲报价需包括已发生的维修：人工及磁共振梯度等备件。</w:t>
      </w:r>
    </w:p>
    <w:p w14:paraId="13C75295">
      <w:pPr>
        <w:rPr>
          <w:color w:val="auto"/>
          <w:highlight w:val="none"/>
        </w:rPr>
        <w:sectPr>
          <w:footerReference r:id="rId5" w:type="default"/>
          <w:pgSz w:w="11906" w:h="16838"/>
          <w:pgMar w:top="1560" w:right="1417" w:bottom="850" w:left="1417" w:header="850" w:footer="992" w:gutter="0"/>
          <w:cols w:space="0" w:num="1"/>
          <w:docGrid w:type="lines" w:linePitch="323" w:charSpace="0"/>
        </w:sectPr>
      </w:pPr>
    </w:p>
    <w:p w14:paraId="56143701">
      <w:pPr>
        <w:pStyle w:val="102"/>
        <w:rPr>
          <w:rFonts w:cs="宋体"/>
          <w:color w:val="auto"/>
          <w:kern w:val="0"/>
          <w:sz w:val="24"/>
          <w:szCs w:val="24"/>
          <w:highlight w:val="none"/>
          <w:u w:val="single"/>
          <w:lang w:bidi="ar"/>
        </w:rPr>
      </w:pPr>
      <w:r>
        <w:rPr>
          <w:rFonts w:hint="eastAsia" w:cs="宋体"/>
          <w:color w:val="auto"/>
          <w:sz w:val="24"/>
          <w:szCs w:val="24"/>
          <w:highlight w:val="none"/>
          <w:u w:val="single"/>
        </w:rPr>
        <w:t>02包：</w:t>
      </w:r>
      <w:r>
        <w:rPr>
          <w:rFonts w:hint="eastAsia" w:cs="宋体"/>
          <w:color w:val="auto"/>
          <w:kern w:val="0"/>
          <w:sz w:val="24"/>
          <w:szCs w:val="24"/>
          <w:highlight w:val="none"/>
          <w:u w:val="single"/>
          <w:lang w:bidi="ar"/>
        </w:rPr>
        <w:t>GE大型影像设备维保技术要求</w:t>
      </w:r>
    </w:p>
    <w:p w14:paraId="66AEDEF6">
      <w:pPr>
        <w:numPr>
          <w:ilvl w:val="0"/>
          <w:numId w:val="9"/>
        </w:num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维保范围：本次项目为医院6台GE设备整机全保服务，服务商必须按国家、行业的标准设备进行系统的、全面的检测、维护维修及保养，以保证该设备的高效、正常运行。</w:t>
      </w:r>
    </w:p>
    <w:p w14:paraId="234B633C">
      <w:pPr>
        <w:numPr>
          <w:ilvl w:val="0"/>
          <w:numId w:val="9"/>
        </w:num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包括：CT及乳腺机包含主机、球管（原厂全新球管）、探测器、高压发生器、AW工作站等，第三方产品：高压注射器（拜耳）、大金空调。MR包含主机、AW工作站、空调、磁体、原厂线圈、制冷系统。DR包含主机。</w:t>
      </w:r>
    </w:p>
    <w:tbl>
      <w:tblPr>
        <w:tblStyle w:val="31"/>
        <w:tblpPr w:leftFromText="180" w:rightFromText="180" w:vertAnchor="text" w:horzAnchor="page" w:tblpX="1254" w:tblpY="299"/>
        <w:tblOverlap w:val="never"/>
        <w:tblW w:w="93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0"/>
        <w:gridCol w:w="1863"/>
        <w:gridCol w:w="1284"/>
        <w:gridCol w:w="1968"/>
        <w:gridCol w:w="1265"/>
        <w:gridCol w:w="2293"/>
      </w:tblGrid>
      <w:tr w14:paraId="25100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7D2CF7BE">
            <w:pPr>
              <w:jc w:val="center"/>
              <w:rPr>
                <w:rFonts w:ascii="宋体" w:hAnsi="宋体" w:cs="宋体"/>
                <w:color w:val="auto"/>
                <w:sz w:val="24"/>
                <w:highlight w:val="none"/>
              </w:rPr>
            </w:pPr>
            <w:r>
              <w:rPr>
                <w:rFonts w:hint="eastAsia" w:ascii="宋体" w:hAnsi="宋体" w:cs="宋体"/>
                <w:color w:val="auto"/>
                <w:sz w:val="24"/>
                <w:highlight w:val="none"/>
              </w:rPr>
              <w:t>序号</w:t>
            </w:r>
          </w:p>
        </w:tc>
        <w:tc>
          <w:tcPr>
            <w:tcW w:w="1863" w:type="dxa"/>
            <w:vAlign w:val="center"/>
          </w:tcPr>
          <w:p w14:paraId="15FAC3B6">
            <w:pPr>
              <w:jc w:val="center"/>
              <w:rPr>
                <w:rFonts w:ascii="宋体" w:hAnsi="宋体" w:cs="宋体"/>
                <w:color w:val="auto"/>
                <w:sz w:val="24"/>
                <w:highlight w:val="none"/>
              </w:rPr>
            </w:pPr>
            <w:r>
              <w:rPr>
                <w:rFonts w:hint="eastAsia" w:ascii="宋体" w:hAnsi="宋体" w:cs="宋体"/>
                <w:color w:val="auto"/>
                <w:sz w:val="24"/>
                <w:highlight w:val="none"/>
              </w:rPr>
              <w:t>设备名称</w:t>
            </w:r>
          </w:p>
        </w:tc>
        <w:tc>
          <w:tcPr>
            <w:tcW w:w="1284" w:type="dxa"/>
            <w:vAlign w:val="center"/>
          </w:tcPr>
          <w:p w14:paraId="4EBE2A24">
            <w:pPr>
              <w:jc w:val="center"/>
              <w:rPr>
                <w:rFonts w:ascii="宋体" w:hAnsi="宋体" w:cs="宋体"/>
                <w:color w:val="auto"/>
                <w:sz w:val="24"/>
                <w:highlight w:val="none"/>
              </w:rPr>
            </w:pPr>
            <w:r>
              <w:rPr>
                <w:rFonts w:hint="eastAsia" w:ascii="宋体" w:hAnsi="宋体" w:cs="宋体"/>
                <w:color w:val="auto"/>
                <w:sz w:val="24"/>
                <w:highlight w:val="none"/>
              </w:rPr>
              <w:t>品牌</w:t>
            </w:r>
          </w:p>
        </w:tc>
        <w:tc>
          <w:tcPr>
            <w:tcW w:w="1968" w:type="dxa"/>
            <w:vAlign w:val="center"/>
          </w:tcPr>
          <w:p w14:paraId="25204199">
            <w:pPr>
              <w:jc w:val="center"/>
              <w:rPr>
                <w:rFonts w:ascii="宋体" w:hAnsi="宋体" w:cs="宋体"/>
                <w:color w:val="auto"/>
                <w:sz w:val="24"/>
                <w:highlight w:val="none"/>
              </w:rPr>
            </w:pPr>
            <w:r>
              <w:rPr>
                <w:rFonts w:hint="eastAsia" w:ascii="宋体" w:hAnsi="宋体" w:cs="宋体"/>
                <w:color w:val="auto"/>
                <w:sz w:val="24"/>
                <w:highlight w:val="none"/>
              </w:rPr>
              <w:t>型号</w:t>
            </w:r>
          </w:p>
        </w:tc>
        <w:tc>
          <w:tcPr>
            <w:tcW w:w="1265" w:type="dxa"/>
            <w:vAlign w:val="center"/>
          </w:tcPr>
          <w:p w14:paraId="2D776D51">
            <w:pPr>
              <w:jc w:val="center"/>
              <w:rPr>
                <w:rFonts w:ascii="宋体" w:hAnsi="宋体" w:cs="宋体"/>
                <w:color w:val="auto"/>
                <w:sz w:val="24"/>
                <w:highlight w:val="none"/>
              </w:rPr>
            </w:pPr>
            <w:r>
              <w:rPr>
                <w:rFonts w:hint="eastAsia" w:ascii="宋体" w:hAnsi="宋体" w:cs="宋体"/>
                <w:color w:val="auto"/>
                <w:sz w:val="24"/>
                <w:highlight w:val="none"/>
              </w:rPr>
              <w:t>启用日期</w:t>
            </w:r>
          </w:p>
        </w:tc>
        <w:tc>
          <w:tcPr>
            <w:tcW w:w="2293" w:type="dxa"/>
            <w:vAlign w:val="center"/>
          </w:tcPr>
          <w:p w14:paraId="5ADCD7AF">
            <w:pPr>
              <w:jc w:val="center"/>
              <w:rPr>
                <w:rFonts w:ascii="宋体" w:hAnsi="宋体" w:cs="宋体"/>
                <w:color w:val="auto"/>
                <w:sz w:val="24"/>
                <w:highlight w:val="none"/>
              </w:rPr>
            </w:pPr>
            <w:r>
              <w:rPr>
                <w:rFonts w:hint="eastAsia" w:ascii="宋体" w:hAnsi="宋体" w:cs="宋体"/>
                <w:color w:val="auto"/>
                <w:sz w:val="24"/>
                <w:highlight w:val="none"/>
              </w:rPr>
              <w:t>安装位置</w:t>
            </w:r>
          </w:p>
        </w:tc>
      </w:tr>
      <w:tr w14:paraId="6021E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6D398E21">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1</w:t>
            </w:r>
          </w:p>
        </w:tc>
        <w:tc>
          <w:tcPr>
            <w:tcW w:w="1863" w:type="dxa"/>
            <w:vAlign w:val="center"/>
          </w:tcPr>
          <w:p w14:paraId="43445BA0">
            <w:pPr>
              <w:widowControl/>
              <w:jc w:val="center"/>
              <w:rPr>
                <w:rFonts w:ascii="宋体" w:hAnsi="宋体" w:cs="宋体"/>
                <w:color w:val="auto"/>
                <w:kern w:val="0"/>
                <w:sz w:val="24"/>
                <w:highlight w:val="none"/>
                <w:lang w:bidi="ar"/>
              </w:rPr>
            </w:pPr>
            <w:r>
              <w:rPr>
                <w:rFonts w:hint="eastAsia"/>
                <w:color w:val="auto"/>
                <w:highlight w:val="none"/>
              </w:rPr>
              <w:t>CT</w:t>
            </w:r>
          </w:p>
        </w:tc>
        <w:tc>
          <w:tcPr>
            <w:tcW w:w="1284" w:type="dxa"/>
            <w:vAlign w:val="center"/>
          </w:tcPr>
          <w:p w14:paraId="7B96BB42">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GE</w:t>
            </w:r>
          </w:p>
        </w:tc>
        <w:tc>
          <w:tcPr>
            <w:tcW w:w="1968" w:type="dxa"/>
            <w:vAlign w:val="center"/>
          </w:tcPr>
          <w:p w14:paraId="27D84AF3">
            <w:pPr>
              <w:widowControl/>
              <w:jc w:val="center"/>
              <w:rPr>
                <w:rFonts w:ascii="宋体" w:hAnsi="宋体" w:cs="宋体"/>
                <w:color w:val="auto"/>
                <w:kern w:val="0"/>
                <w:sz w:val="24"/>
                <w:highlight w:val="none"/>
                <w:lang w:bidi="ar"/>
              </w:rPr>
            </w:pPr>
            <w:r>
              <w:rPr>
                <w:rFonts w:hint="eastAsia"/>
                <w:color w:val="auto"/>
                <w:highlight w:val="none"/>
              </w:rPr>
              <w:t>Optima CT680</w:t>
            </w:r>
          </w:p>
        </w:tc>
        <w:tc>
          <w:tcPr>
            <w:tcW w:w="1265" w:type="dxa"/>
            <w:vAlign w:val="center"/>
          </w:tcPr>
          <w:p w14:paraId="5C075660">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2015.5</w:t>
            </w:r>
          </w:p>
        </w:tc>
        <w:tc>
          <w:tcPr>
            <w:tcW w:w="2293" w:type="dxa"/>
            <w:vAlign w:val="center"/>
          </w:tcPr>
          <w:p w14:paraId="01B0C012">
            <w:pPr>
              <w:widowControl/>
              <w:jc w:val="center"/>
              <w:rPr>
                <w:rFonts w:ascii="宋体" w:hAnsi="宋体" w:cs="宋体"/>
                <w:color w:val="auto"/>
                <w:sz w:val="24"/>
                <w:highlight w:val="none"/>
              </w:rPr>
            </w:pPr>
            <w:r>
              <w:rPr>
                <w:rFonts w:hint="eastAsia" w:ascii="宋体" w:hAnsi="宋体" w:cs="宋体"/>
                <w:color w:val="auto"/>
                <w:kern w:val="0"/>
                <w:sz w:val="24"/>
                <w:highlight w:val="none"/>
                <w:lang w:bidi="ar"/>
              </w:rPr>
              <w:t>鼓山路医学影像科</w:t>
            </w:r>
          </w:p>
        </w:tc>
      </w:tr>
      <w:tr w14:paraId="6413A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79EC09CF">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2</w:t>
            </w:r>
          </w:p>
        </w:tc>
        <w:tc>
          <w:tcPr>
            <w:tcW w:w="1863" w:type="dxa"/>
            <w:vAlign w:val="center"/>
          </w:tcPr>
          <w:p w14:paraId="12E021B3">
            <w:pPr>
              <w:widowControl/>
              <w:jc w:val="center"/>
              <w:rPr>
                <w:rFonts w:ascii="宋体" w:hAnsi="宋体" w:cs="宋体"/>
                <w:color w:val="auto"/>
                <w:kern w:val="0"/>
                <w:sz w:val="24"/>
                <w:highlight w:val="none"/>
                <w:lang w:bidi="ar"/>
              </w:rPr>
            </w:pPr>
            <w:r>
              <w:rPr>
                <w:rFonts w:hint="eastAsia"/>
                <w:color w:val="auto"/>
                <w:highlight w:val="none"/>
              </w:rPr>
              <w:t>CT</w:t>
            </w:r>
          </w:p>
        </w:tc>
        <w:tc>
          <w:tcPr>
            <w:tcW w:w="1284" w:type="dxa"/>
            <w:vAlign w:val="center"/>
          </w:tcPr>
          <w:p w14:paraId="222372A5">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GE</w:t>
            </w:r>
          </w:p>
        </w:tc>
        <w:tc>
          <w:tcPr>
            <w:tcW w:w="1968" w:type="dxa"/>
            <w:vAlign w:val="center"/>
          </w:tcPr>
          <w:p w14:paraId="73271541">
            <w:pPr>
              <w:widowControl/>
              <w:jc w:val="center"/>
              <w:rPr>
                <w:rFonts w:ascii="宋体" w:hAnsi="宋体" w:cs="宋体"/>
                <w:color w:val="auto"/>
                <w:kern w:val="0"/>
                <w:sz w:val="24"/>
                <w:highlight w:val="none"/>
                <w:lang w:bidi="ar"/>
              </w:rPr>
            </w:pPr>
            <w:r>
              <w:rPr>
                <w:rFonts w:hint="eastAsia"/>
                <w:color w:val="auto"/>
                <w:highlight w:val="none"/>
              </w:rPr>
              <w:t>Optima CT680</w:t>
            </w:r>
          </w:p>
        </w:tc>
        <w:tc>
          <w:tcPr>
            <w:tcW w:w="1265" w:type="dxa"/>
            <w:vAlign w:val="center"/>
          </w:tcPr>
          <w:p w14:paraId="18A0DFB2">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2019.12</w:t>
            </w:r>
          </w:p>
        </w:tc>
        <w:tc>
          <w:tcPr>
            <w:tcW w:w="2293" w:type="dxa"/>
            <w:vAlign w:val="center"/>
          </w:tcPr>
          <w:p w14:paraId="07A46DDD">
            <w:pPr>
              <w:widowControl/>
              <w:jc w:val="center"/>
              <w:rPr>
                <w:rFonts w:ascii="宋体" w:hAnsi="宋体" w:cs="宋体"/>
                <w:color w:val="auto"/>
                <w:sz w:val="24"/>
                <w:highlight w:val="none"/>
              </w:rPr>
            </w:pPr>
            <w:r>
              <w:rPr>
                <w:rFonts w:hint="eastAsia" w:ascii="宋体" w:hAnsi="宋体" w:cs="宋体"/>
                <w:color w:val="auto"/>
                <w:kern w:val="0"/>
                <w:sz w:val="24"/>
                <w:highlight w:val="none"/>
                <w:lang w:bidi="ar"/>
              </w:rPr>
              <w:t>湖山路医学影像科</w:t>
            </w:r>
          </w:p>
        </w:tc>
      </w:tr>
      <w:tr w14:paraId="38CCA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79E6D001">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3</w:t>
            </w:r>
          </w:p>
        </w:tc>
        <w:tc>
          <w:tcPr>
            <w:tcW w:w="1863" w:type="dxa"/>
            <w:vAlign w:val="center"/>
          </w:tcPr>
          <w:p w14:paraId="285A2C65">
            <w:pPr>
              <w:widowControl/>
              <w:jc w:val="center"/>
              <w:rPr>
                <w:rFonts w:ascii="宋体" w:hAnsi="宋体" w:cs="宋体"/>
                <w:color w:val="auto"/>
                <w:kern w:val="0"/>
                <w:sz w:val="24"/>
                <w:highlight w:val="none"/>
                <w:lang w:bidi="ar"/>
              </w:rPr>
            </w:pPr>
            <w:r>
              <w:rPr>
                <w:rFonts w:hint="eastAsia"/>
                <w:color w:val="auto"/>
                <w:highlight w:val="none"/>
              </w:rPr>
              <w:t>CT</w:t>
            </w:r>
          </w:p>
        </w:tc>
        <w:tc>
          <w:tcPr>
            <w:tcW w:w="1284" w:type="dxa"/>
            <w:vAlign w:val="center"/>
          </w:tcPr>
          <w:p w14:paraId="661C9E01">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GE</w:t>
            </w:r>
          </w:p>
        </w:tc>
        <w:tc>
          <w:tcPr>
            <w:tcW w:w="1968" w:type="dxa"/>
            <w:vAlign w:val="center"/>
          </w:tcPr>
          <w:p w14:paraId="54301584">
            <w:pPr>
              <w:widowControl/>
              <w:jc w:val="center"/>
              <w:rPr>
                <w:rFonts w:ascii="宋体" w:hAnsi="宋体" w:cs="宋体"/>
                <w:color w:val="auto"/>
                <w:kern w:val="0"/>
                <w:sz w:val="24"/>
                <w:highlight w:val="none"/>
                <w:lang w:bidi="ar"/>
              </w:rPr>
            </w:pPr>
            <w:r>
              <w:rPr>
                <w:rFonts w:hint="eastAsia"/>
                <w:color w:val="auto"/>
                <w:highlight w:val="none"/>
              </w:rPr>
              <w:t>REVOLUTION</w:t>
            </w:r>
          </w:p>
        </w:tc>
        <w:tc>
          <w:tcPr>
            <w:tcW w:w="1265" w:type="dxa"/>
            <w:vAlign w:val="center"/>
          </w:tcPr>
          <w:p w14:paraId="35C672E8">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2019.1</w:t>
            </w:r>
          </w:p>
        </w:tc>
        <w:tc>
          <w:tcPr>
            <w:tcW w:w="2293" w:type="dxa"/>
            <w:vAlign w:val="center"/>
          </w:tcPr>
          <w:p w14:paraId="253826BC">
            <w:pPr>
              <w:widowControl/>
              <w:jc w:val="center"/>
              <w:rPr>
                <w:rFonts w:ascii="宋体" w:hAnsi="宋体" w:cs="宋体"/>
                <w:color w:val="auto"/>
                <w:sz w:val="24"/>
                <w:highlight w:val="none"/>
              </w:rPr>
            </w:pPr>
            <w:r>
              <w:rPr>
                <w:rFonts w:hint="eastAsia" w:ascii="宋体" w:hAnsi="宋体" w:cs="宋体"/>
                <w:color w:val="auto"/>
                <w:kern w:val="0"/>
                <w:sz w:val="24"/>
                <w:highlight w:val="none"/>
                <w:lang w:bidi="ar"/>
              </w:rPr>
              <w:t>湖山路医学影像科</w:t>
            </w:r>
          </w:p>
        </w:tc>
      </w:tr>
      <w:tr w14:paraId="40431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67F7FFBD">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4</w:t>
            </w:r>
          </w:p>
        </w:tc>
        <w:tc>
          <w:tcPr>
            <w:tcW w:w="1863" w:type="dxa"/>
            <w:vAlign w:val="center"/>
          </w:tcPr>
          <w:p w14:paraId="436D9A86">
            <w:pPr>
              <w:widowControl/>
              <w:jc w:val="center"/>
              <w:rPr>
                <w:rFonts w:ascii="宋体" w:hAnsi="宋体" w:cs="宋体"/>
                <w:color w:val="auto"/>
                <w:kern w:val="0"/>
                <w:sz w:val="24"/>
                <w:highlight w:val="none"/>
                <w:lang w:bidi="ar"/>
              </w:rPr>
            </w:pPr>
            <w:r>
              <w:rPr>
                <w:rFonts w:hint="eastAsia"/>
                <w:color w:val="auto"/>
                <w:highlight w:val="none"/>
              </w:rPr>
              <w:t>MR</w:t>
            </w:r>
          </w:p>
        </w:tc>
        <w:tc>
          <w:tcPr>
            <w:tcW w:w="1284" w:type="dxa"/>
            <w:vAlign w:val="center"/>
          </w:tcPr>
          <w:p w14:paraId="30FE6EF6">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GE</w:t>
            </w:r>
          </w:p>
        </w:tc>
        <w:tc>
          <w:tcPr>
            <w:tcW w:w="1968" w:type="dxa"/>
            <w:vAlign w:val="center"/>
          </w:tcPr>
          <w:p w14:paraId="13B45A7E">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750W</w:t>
            </w:r>
          </w:p>
        </w:tc>
        <w:tc>
          <w:tcPr>
            <w:tcW w:w="1265" w:type="dxa"/>
            <w:vAlign w:val="center"/>
          </w:tcPr>
          <w:p w14:paraId="569039F8">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2020.6</w:t>
            </w:r>
          </w:p>
        </w:tc>
        <w:tc>
          <w:tcPr>
            <w:tcW w:w="2293" w:type="dxa"/>
            <w:vAlign w:val="center"/>
          </w:tcPr>
          <w:p w14:paraId="2C246B19">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湖山路医学影像科</w:t>
            </w:r>
          </w:p>
        </w:tc>
      </w:tr>
      <w:tr w14:paraId="1C74C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52E572C8">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5</w:t>
            </w:r>
          </w:p>
        </w:tc>
        <w:tc>
          <w:tcPr>
            <w:tcW w:w="1863" w:type="dxa"/>
            <w:vAlign w:val="center"/>
          </w:tcPr>
          <w:p w14:paraId="4F7379DD">
            <w:pPr>
              <w:widowControl/>
              <w:jc w:val="center"/>
              <w:rPr>
                <w:rFonts w:ascii="宋体" w:hAnsi="宋体" w:cs="宋体"/>
                <w:color w:val="auto"/>
                <w:kern w:val="0"/>
                <w:sz w:val="24"/>
                <w:highlight w:val="none"/>
                <w:lang w:bidi="ar"/>
              </w:rPr>
            </w:pPr>
            <w:r>
              <w:rPr>
                <w:rFonts w:hint="eastAsia"/>
                <w:color w:val="auto"/>
                <w:highlight w:val="none"/>
              </w:rPr>
              <w:t>乳腺机</w:t>
            </w:r>
          </w:p>
        </w:tc>
        <w:tc>
          <w:tcPr>
            <w:tcW w:w="1284" w:type="dxa"/>
            <w:vAlign w:val="center"/>
          </w:tcPr>
          <w:p w14:paraId="4A97DDDE">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GE</w:t>
            </w:r>
          </w:p>
        </w:tc>
        <w:tc>
          <w:tcPr>
            <w:tcW w:w="1968" w:type="dxa"/>
            <w:vAlign w:val="center"/>
          </w:tcPr>
          <w:p w14:paraId="7CC2EFFE">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Senographe Essential</w:t>
            </w:r>
          </w:p>
        </w:tc>
        <w:tc>
          <w:tcPr>
            <w:tcW w:w="1265" w:type="dxa"/>
            <w:vAlign w:val="center"/>
          </w:tcPr>
          <w:p w14:paraId="032282B8">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2018.4</w:t>
            </w:r>
          </w:p>
        </w:tc>
        <w:tc>
          <w:tcPr>
            <w:tcW w:w="2293" w:type="dxa"/>
            <w:vAlign w:val="center"/>
          </w:tcPr>
          <w:p w14:paraId="3BC01AAC">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湖山路医学影像科</w:t>
            </w:r>
          </w:p>
        </w:tc>
      </w:tr>
      <w:tr w14:paraId="38241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69EC88C2">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6</w:t>
            </w:r>
          </w:p>
        </w:tc>
        <w:tc>
          <w:tcPr>
            <w:tcW w:w="1863" w:type="dxa"/>
            <w:vAlign w:val="center"/>
          </w:tcPr>
          <w:p w14:paraId="46C30EF1">
            <w:pPr>
              <w:widowControl/>
              <w:jc w:val="center"/>
              <w:rPr>
                <w:rFonts w:ascii="宋体" w:hAnsi="宋体" w:cs="宋体"/>
                <w:color w:val="auto"/>
                <w:kern w:val="0"/>
                <w:sz w:val="24"/>
                <w:highlight w:val="none"/>
                <w:lang w:bidi="ar"/>
              </w:rPr>
            </w:pPr>
            <w:r>
              <w:rPr>
                <w:rFonts w:hint="eastAsia"/>
                <w:color w:val="auto"/>
                <w:highlight w:val="none"/>
              </w:rPr>
              <w:t>DR</w:t>
            </w:r>
          </w:p>
        </w:tc>
        <w:tc>
          <w:tcPr>
            <w:tcW w:w="1284" w:type="dxa"/>
            <w:vAlign w:val="center"/>
          </w:tcPr>
          <w:p w14:paraId="2A722B3B">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GE</w:t>
            </w:r>
          </w:p>
        </w:tc>
        <w:tc>
          <w:tcPr>
            <w:tcW w:w="1968" w:type="dxa"/>
            <w:vAlign w:val="center"/>
          </w:tcPr>
          <w:p w14:paraId="7467A1CD">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XR575</w:t>
            </w:r>
          </w:p>
        </w:tc>
        <w:tc>
          <w:tcPr>
            <w:tcW w:w="1265" w:type="dxa"/>
            <w:vAlign w:val="center"/>
          </w:tcPr>
          <w:p w14:paraId="3B471490">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2020.6</w:t>
            </w:r>
          </w:p>
        </w:tc>
        <w:tc>
          <w:tcPr>
            <w:tcW w:w="2293" w:type="dxa"/>
            <w:vAlign w:val="center"/>
          </w:tcPr>
          <w:p w14:paraId="47DE4566">
            <w:pPr>
              <w:widowControl/>
              <w:jc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湖山路医学影像科</w:t>
            </w:r>
          </w:p>
        </w:tc>
      </w:tr>
    </w:tbl>
    <w:p w14:paraId="56BFC3E9">
      <w:pPr>
        <w:numPr>
          <w:ilvl w:val="0"/>
          <w:numId w:val="9"/>
        </w:numPr>
        <w:ind w:firstLine="480" w:firstLineChars="200"/>
        <w:rPr>
          <w:rFonts w:ascii="宋体" w:hAnsi="宋体"/>
          <w:bCs/>
          <w:color w:val="auto"/>
          <w:sz w:val="24"/>
          <w:highlight w:val="none"/>
        </w:rPr>
      </w:pPr>
      <w:r>
        <w:rPr>
          <w:rFonts w:hint="eastAsia" w:ascii="宋体" w:hAnsi="宋体"/>
          <w:bCs/>
          <w:color w:val="auto"/>
          <w:sz w:val="24"/>
          <w:highlight w:val="none"/>
        </w:rPr>
        <w:t xml:space="preserve">维保范围内费用包含内容 </w:t>
      </w:r>
    </w:p>
    <w:p w14:paraId="29BC744E">
      <w:pPr>
        <w:ind w:firstLine="480" w:firstLineChars="200"/>
        <w:rPr>
          <w:rFonts w:ascii="宋体" w:hAnsi="宋体"/>
          <w:bCs/>
          <w:color w:val="auto"/>
          <w:sz w:val="24"/>
          <w:highlight w:val="none"/>
        </w:rPr>
      </w:pPr>
      <w:r>
        <w:rPr>
          <w:rFonts w:hint="eastAsia" w:ascii="宋体" w:hAnsi="宋体"/>
          <w:bCs/>
          <w:color w:val="auto"/>
          <w:sz w:val="24"/>
          <w:highlight w:val="none"/>
        </w:rPr>
        <w:t xml:space="preserve">1、设备定期检查保养的费用。 </w:t>
      </w:r>
    </w:p>
    <w:p w14:paraId="07412186">
      <w:pPr>
        <w:ind w:firstLine="480" w:firstLineChars="200"/>
        <w:rPr>
          <w:rFonts w:ascii="宋体" w:hAnsi="宋体"/>
          <w:bCs/>
          <w:color w:val="auto"/>
          <w:sz w:val="24"/>
          <w:highlight w:val="none"/>
        </w:rPr>
      </w:pPr>
      <w:r>
        <w:rPr>
          <w:rFonts w:hint="eastAsia" w:ascii="宋体" w:hAnsi="宋体"/>
          <w:bCs/>
          <w:color w:val="auto"/>
          <w:sz w:val="24"/>
          <w:highlight w:val="none"/>
        </w:rPr>
        <w:t xml:space="preserve">2、维修人员的工时费、差旅费。 </w:t>
      </w:r>
    </w:p>
    <w:p w14:paraId="12EC7FC6">
      <w:pPr>
        <w:ind w:firstLine="480" w:firstLineChars="200"/>
        <w:rPr>
          <w:rFonts w:ascii="宋体" w:hAnsi="宋体"/>
          <w:bCs/>
          <w:color w:val="auto"/>
          <w:sz w:val="24"/>
          <w:highlight w:val="none"/>
        </w:rPr>
      </w:pPr>
      <w:r>
        <w:rPr>
          <w:rFonts w:hint="eastAsia" w:ascii="宋体" w:hAnsi="宋体"/>
          <w:bCs/>
          <w:color w:val="auto"/>
          <w:sz w:val="24"/>
          <w:highlight w:val="none"/>
        </w:rPr>
        <w:t>3、维保范围内故障零备件的维修及更换</w:t>
      </w:r>
    </w:p>
    <w:p w14:paraId="61B9D67A">
      <w:pPr>
        <w:numPr>
          <w:ilvl w:val="0"/>
          <w:numId w:val="9"/>
        </w:num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技术参数：</w:t>
      </w:r>
    </w:p>
    <w:p w14:paraId="29560CDD">
      <w:pPr>
        <w:widowControl/>
        <w:spacing w:line="276" w:lineRule="auto"/>
        <w:ind w:firstLine="480" w:firstLineChars="200"/>
        <w:rPr>
          <w:rFonts w:ascii="宋体" w:hAnsi="宋体"/>
          <w:color w:val="auto"/>
          <w:sz w:val="24"/>
          <w:highlight w:val="none"/>
        </w:rPr>
      </w:pPr>
      <w:r>
        <w:rPr>
          <w:rFonts w:hint="eastAsia" w:ascii="宋体" w:hAnsi="宋体"/>
          <w:color w:val="auto"/>
          <w:sz w:val="24"/>
          <w:highlight w:val="none"/>
        </w:rPr>
        <w:t>1、具备400或800客户服务专线电话，每年365天开通，全天24小时报修通畅。</w:t>
      </w:r>
    </w:p>
    <w:p w14:paraId="0DDE23F0">
      <w:pPr>
        <w:widowControl/>
        <w:spacing w:line="276" w:lineRule="auto"/>
        <w:ind w:firstLine="480" w:firstLineChars="200"/>
        <w:rPr>
          <w:rFonts w:ascii="宋体" w:hAnsi="宋体"/>
          <w:color w:val="auto"/>
          <w:sz w:val="24"/>
          <w:highlight w:val="none"/>
        </w:rPr>
      </w:pPr>
      <w:r>
        <w:rPr>
          <w:rFonts w:hint="eastAsia" w:ascii="宋体" w:hAnsi="宋体"/>
          <w:color w:val="auto"/>
          <w:sz w:val="24"/>
          <w:highlight w:val="none"/>
        </w:rPr>
        <w:t>2、提供7×24式的服务，即每周7天，每天24小时电话响应，设备出现故障，资深工程师在1小时内提供电话或网络技术支持，紧急故障若电话交流无法解决，则在接获报修电话后工程师24小时内到达现场。</w:t>
      </w:r>
    </w:p>
    <w:p w14:paraId="0D0D0096">
      <w:pPr>
        <w:widowControl/>
        <w:spacing w:line="276" w:lineRule="auto"/>
        <w:ind w:firstLine="480" w:firstLineChars="200"/>
        <w:rPr>
          <w:rFonts w:ascii="宋体" w:hAnsi="宋体"/>
          <w:color w:val="auto"/>
          <w:sz w:val="24"/>
          <w:highlight w:val="none"/>
        </w:rPr>
      </w:pPr>
      <w:r>
        <w:rPr>
          <w:rFonts w:hint="eastAsia" w:ascii="宋体" w:hAnsi="宋体"/>
          <w:color w:val="auto"/>
          <w:sz w:val="24"/>
          <w:highlight w:val="none"/>
        </w:rPr>
        <w:t>3、投标人必须保证设备开机率达到95%以上（按全年365天计算，全年停机不超过18天）。</w:t>
      </w:r>
    </w:p>
    <w:p w14:paraId="5F911E98">
      <w:pPr>
        <w:widowControl/>
        <w:spacing w:line="276" w:lineRule="auto"/>
        <w:ind w:firstLine="480" w:firstLineChars="200"/>
        <w:rPr>
          <w:rFonts w:ascii="宋体" w:hAnsi="宋体"/>
          <w:color w:val="auto"/>
          <w:sz w:val="24"/>
          <w:highlight w:val="none"/>
        </w:rPr>
      </w:pPr>
      <w:r>
        <w:rPr>
          <w:rFonts w:hint="eastAsia" w:ascii="宋体" w:hAnsi="宋体"/>
          <w:color w:val="auto"/>
          <w:sz w:val="24"/>
          <w:highlight w:val="none"/>
        </w:rPr>
        <w:t>4、必须提供设备预防性维护方案，并满足以下要求：维保期内，每年提供设备定期维护保养4次，以季度为周期落实，使之保持原厂QC标准或国家质量计监部门之标准。包含但不限于如下项目：设备清洁、安全检查、性能测试及校准、影像质量检查、必要的电气环境检查等，并提供每次维护、维修报告。</w:t>
      </w:r>
    </w:p>
    <w:p w14:paraId="4C56B2E0">
      <w:pPr>
        <w:widowControl/>
        <w:spacing w:line="276" w:lineRule="auto"/>
        <w:ind w:firstLine="480" w:firstLineChars="200"/>
        <w:rPr>
          <w:rFonts w:ascii="宋体" w:hAnsi="宋体"/>
          <w:color w:val="auto"/>
          <w:sz w:val="24"/>
          <w:highlight w:val="none"/>
        </w:rPr>
      </w:pPr>
      <w:r>
        <w:rPr>
          <w:rFonts w:hint="eastAsia" w:ascii="宋体" w:hAnsi="宋体"/>
          <w:color w:val="auto"/>
          <w:sz w:val="24"/>
          <w:highlight w:val="none"/>
        </w:rPr>
        <w:t>▲5、所有备件免费更换（不包含第三方产品除外），所提供的备件必须是拟维保设备原厂未拆封并检验合格的零配件，满足设备运行要求，不得使用非原厂备件，提供的备件必须按照《医疗器械监督管理条例》的规定执行，并有可以追溯的序列代码，可随时提供渠道查询该代码有效性（须提供备件来源的渠道证明材料，以高真空元器件为例，提供原厂出具的证明或渠道商之间的合作证明），保证配件合法性可溯源。</w:t>
      </w:r>
    </w:p>
    <w:p w14:paraId="2B2C80E0">
      <w:pPr>
        <w:widowControl/>
        <w:spacing w:line="276" w:lineRule="auto"/>
        <w:ind w:firstLine="480" w:firstLineChars="200"/>
        <w:rPr>
          <w:rFonts w:ascii="宋体" w:hAnsi="宋体"/>
          <w:color w:val="auto"/>
          <w:sz w:val="24"/>
          <w:highlight w:val="none"/>
        </w:rPr>
      </w:pPr>
      <w:r>
        <w:rPr>
          <w:rFonts w:hint="eastAsia" w:ascii="宋体" w:hAnsi="宋体"/>
          <w:color w:val="auto"/>
          <w:sz w:val="24"/>
          <w:highlight w:val="none"/>
        </w:rPr>
        <w:t>▲6、供应商应提供所投 CT 球管合法来源证明文件，含医疗器械注册证及技术白皮书；同时须提供 3 份同型号球管的原厂采购合同或报关单，以证明其具备原厂全新球管的供货保障能力。</w:t>
      </w:r>
    </w:p>
    <w:p w14:paraId="2C67DABB">
      <w:pPr>
        <w:widowControl/>
        <w:spacing w:line="276" w:lineRule="auto"/>
        <w:ind w:firstLine="480" w:firstLineChars="200"/>
        <w:rPr>
          <w:rFonts w:ascii="宋体" w:hAnsi="宋体"/>
          <w:color w:val="auto"/>
          <w:sz w:val="24"/>
          <w:highlight w:val="none"/>
        </w:rPr>
      </w:pPr>
      <w:r>
        <w:rPr>
          <w:rFonts w:hint="eastAsia" w:ascii="宋体" w:hAnsi="宋体"/>
          <w:color w:val="auto"/>
          <w:sz w:val="24"/>
          <w:highlight w:val="none"/>
        </w:rPr>
        <w:t>7、供应商必须有≥3名经GE原厂培训并认证合格的、资质证件在有效期内的专业工程师提供维修保养服务，提供工程师有效期内的资质证明文件。</w:t>
      </w:r>
    </w:p>
    <w:p w14:paraId="1BEFEB06">
      <w:pPr>
        <w:widowControl/>
        <w:spacing w:line="276" w:lineRule="auto"/>
        <w:ind w:firstLine="480" w:firstLineChars="200"/>
        <w:rPr>
          <w:rFonts w:ascii="宋体" w:hAnsi="宋体"/>
          <w:color w:val="auto"/>
          <w:sz w:val="24"/>
          <w:highlight w:val="none"/>
        </w:rPr>
      </w:pPr>
      <w:r>
        <w:rPr>
          <w:rFonts w:hint="eastAsia" w:ascii="宋体" w:hAnsi="宋体"/>
          <w:color w:val="auto"/>
          <w:sz w:val="24"/>
          <w:highlight w:val="none"/>
        </w:rPr>
        <w:t>▲8、每年提供符合注册证要求的安全性或技术性软件升级。</w:t>
      </w:r>
    </w:p>
    <w:p w14:paraId="1A82DB13">
      <w:pPr>
        <w:widowControl/>
        <w:spacing w:line="276" w:lineRule="auto"/>
        <w:ind w:firstLine="480" w:firstLineChars="200"/>
        <w:rPr>
          <w:rFonts w:ascii="宋体" w:hAnsi="宋体"/>
          <w:color w:val="auto"/>
          <w:sz w:val="24"/>
          <w:highlight w:val="none"/>
        </w:rPr>
      </w:pPr>
      <w:r>
        <w:rPr>
          <w:rFonts w:hint="eastAsia" w:ascii="宋体" w:hAnsi="宋体"/>
          <w:color w:val="auto"/>
          <w:sz w:val="24"/>
          <w:highlight w:val="none"/>
        </w:rPr>
        <w:t>▲9、具有检验与校正图像质量的工具和能力，保证CT图像达到出厂标准，每年至少检测一次，并提供质控检测报告。（提供工具清单及照片）</w:t>
      </w:r>
    </w:p>
    <w:p w14:paraId="2ED97D1A">
      <w:pPr>
        <w:widowControl/>
        <w:spacing w:line="276" w:lineRule="auto"/>
        <w:ind w:firstLine="480" w:firstLineChars="200"/>
        <w:rPr>
          <w:rFonts w:ascii="宋体" w:hAnsi="宋体"/>
          <w:color w:val="auto"/>
          <w:sz w:val="24"/>
          <w:highlight w:val="none"/>
        </w:rPr>
      </w:pPr>
      <w:r>
        <w:rPr>
          <w:rFonts w:hint="eastAsia" w:ascii="宋体" w:hAnsi="宋体"/>
          <w:color w:val="auto"/>
          <w:sz w:val="24"/>
          <w:highlight w:val="none"/>
        </w:rPr>
        <w:t>10、有全职应用培训专家，可以提供临床扫描、图像处理和相应业务拓展的专业培训。（提供应用培训专家清单及资质）</w:t>
      </w:r>
    </w:p>
    <w:p w14:paraId="4A25BF58">
      <w:pPr>
        <w:widowControl/>
        <w:spacing w:line="276" w:lineRule="auto"/>
        <w:ind w:firstLine="480" w:firstLineChars="200"/>
        <w:rPr>
          <w:rFonts w:ascii="宋体" w:hAnsi="宋体"/>
          <w:color w:val="auto"/>
          <w:sz w:val="24"/>
          <w:highlight w:val="none"/>
        </w:rPr>
      </w:pPr>
      <w:r>
        <w:rPr>
          <w:rFonts w:hint="eastAsia" w:ascii="宋体" w:hAnsi="宋体"/>
          <w:color w:val="auto"/>
          <w:sz w:val="24"/>
          <w:highlight w:val="none"/>
        </w:rPr>
        <w:t>11、对我院专业技术人员，提供专业维修人员技术培训，包括原理讲解，上机模拟，故障诊断，并提供相关的培训计划或认证等证明。</w:t>
      </w:r>
    </w:p>
    <w:p w14:paraId="13778405">
      <w:pPr>
        <w:widowControl/>
        <w:spacing w:line="276" w:lineRule="auto"/>
        <w:ind w:firstLine="480" w:firstLineChars="200"/>
        <w:rPr>
          <w:rFonts w:ascii="宋体" w:hAnsi="宋体"/>
          <w:color w:val="auto"/>
          <w:sz w:val="24"/>
          <w:highlight w:val="none"/>
        </w:rPr>
      </w:pPr>
      <w:r>
        <w:rPr>
          <w:rFonts w:hint="eastAsia" w:ascii="宋体" w:hAnsi="宋体"/>
          <w:color w:val="auto"/>
          <w:sz w:val="24"/>
          <w:highlight w:val="none"/>
        </w:rPr>
        <w:t>▲12、MR包括液氦的消耗补充不限量，保证液氦量始终处于正常状态。能保障液氦供应，与多个知名液氦供应商(不少于三家) 签有长期供应合同，提供合同扫描件；MR包括制冷系统部分的冷头、吸附器、水冷机、氦压缩机、高低压氦气管等。冷头更换符合相关维修标准，不正规的工具和操作过程会影响冷头效率，因此可提供≥2套冷头更换工具的库存证明，并提供采购发票。</w:t>
      </w:r>
    </w:p>
    <w:p w14:paraId="1E1C674B">
      <w:pPr>
        <w:widowControl/>
        <w:spacing w:line="276" w:lineRule="auto"/>
        <w:ind w:firstLine="480" w:firstLineChars="200"/>
        <w:rPr>
          <w:rFonts w:ascii="宋体" w:hAnsi="宋体"/>
          <w:color w:val="auto"/>
          <w:sz w:val="24"/>
          <w:highlight w:val="none"/>
        </w:rPr>
      </w:pPr>
      <w:r>
        <w:rPr>
          <w:rFonts w:hint="eastAsia" w:ascii="宋体" w:hAnsi="宋体"/>
          <w:color w:val="auto"/>
          <w:sz w:val="24"/>
          <w:highlight w:val="none"/>
        </w:rPr>
        <w:t>▲13、含骨密度分析仪（GE PRODIGY PRIMO）球管一只。</w:t>
      </w:r>
    </w:p>
    <w:p w14:paraId="7C157C0C">
      <w:pPr>
        <w:spacing w:line="360" w:lineRule="auto"/>
        <w:ind w:firstLine="480" w:firstLineChars="200"/>
        <w:rPr>
          <w:rFonts w:ascii="宋体" w:hAnsi="宋体"/>
          <w:bCs/>
          <w:color w:val="auto"/>
          <w:sz w:val="24"/>
          <w:highlight w:val="none"/>
        </w:rPr>
        <w:sectPr>
          <w:headerReference r:id="rId6" w:type="default"/>
          <w:footerReference r:id="rId7" w:type="default"/>
          <w:pgSz w:w="11906" w:h="16838"/>
          <w:pgMar w:top="1560" w:right="1417" w:bottom="850" w:left="1417" w:header="850" w:footer="992" w:gutter="0"/>
          <w:cols w:space="0" w:num="1"/>
          <w:docGrid w:type="lines" w:linePitch="323" w:charSpace="0"/>
        </w:sectPr>
      </w:pPr>
    </w:p>
    <w:p w14:paraId="6AB5D53A">
      <w:pPr>
        <w:pStyle w:val="102"/>
        <w:rPr>
          <w:rFonts w:cs="宋体"/>
          <w:color w:val="auto"/>
          <w:kern w:val="0"/>
          <w:sz w:val="24"/>
          <w:szCs w:val="24"/>
          <w:highlight w:val="none"/>
          <w:u w:val="single"/>
          <w:lang w:bidi="ar"/>
        </w:rPr>
      </w:pPr>
      <w:r>
        <w:rPr>
          <w:rFonts w:hint="eastAsia" w:cs="宋体"/>
          <w:color w:val="auto"/>
          <w:sz w:val="24"/>
          <w:szCs w:val="24"/>
          <w:highlight w:val="none"/>
          <w:u w:val="single"/>
        </w:rPr>
        <w:t>0</w:t>
      </w:r>
      <w:r>
        <w:rPr>
          <w:rFonts w:cs="宋体"/>
          <w:color w:val="auto"/>
          <w:sz w:val="24"/>
          <w:szCs w:val="24"/>
          <w:highlight w:val="none"/>
          <w:u w:val="single"/>
        </w:rPr>
        <w:t>3</w:t>
      </w:r>
      <w:r>
        <w:rPr>
          <w:rFonts w:hint="eastAsia" w:cs="宋体"/>
          <w:color w:val="auto"/>
          <w:sz w:val="24"/>
          <w:szCs w:val="24"/>
          <w:highlight w:val="none"/>
          <w:u w:val="single"/>
        </w:rPr>
        <w:t>包：</w:t>
      </w:r>
      <w:r>
        <w:rPr>
          <w:rFonts w:hint="eastAsia" w:cs="宋体"/>
          <w:color w:val="auto"/>
          <w:kern w:val="0"/>
          <w:sz w:val="24"/>
          <w:szCs w:val="24"/>
          <w:highlight w:val="none"/>
          <w:u w:val="single"/>
          <w:lang w:bidi="ar"/>
        </w:rPr>
        <w:t>直线加速器维保技术参数</w:t>
      </w:r>
    </w:p>
    <w:p w14:paraId="7A101CB0">
      <w:pPr>
        <w:keepNext w:val="0"/>
        <w:keepLines w:val="0"/>
        <w:pageBreakBefore w:val="0"/>
        <w:widowControl w:val="0"/>
        <w:suppressLineNumbers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Times New Roman"/>
          <w:bCs/>
          <w:color w:val="auto"/>
          <w:kern w:val="2"/>
          <w:sz w:val="24"/>
          <w:szCs w:val="24"/>
          <w:highlight w:val="none"/>
          <w:lang w:val="en-US" w:eastAsia="zh-CN" w:bidi="ar-SA"/>
        </w:rPr>
      </w:pPr>
      <w:bookmarkStart w:id="173" w:name="_Toc184129781"/>
      <w:r>
        <w:rPr>
          <w:rFonts w:hint="eastAsia" w:ascii="宋体" w:hAnsi="宋体" w:eastAsia="宋体" w:cs="Times New Roman"/>
          <w:bCs/>
          <w:color w:val="auto"/>
          <w:kern w:val="2"/>
          <w:sz w:val="24"/>
          <w:szCs w:val="24"/>
          <w:highlight w:val="none"/>
          <w:lang w:val="en-US" w:eastAsia="zh-CN" w:bidi="ar-SA"/>
        </w:rPr>
        <w:t>★1、服务覆盖的范围：包含所保瓦里安直线加速器设备上所有人工及备件更换费用 (包含配套使用OSMS光学表面追踪系统、水冷机、稳压电源、激光定位灯、监视系统、对讲系统，磁导航系统、呼吸门控系统、ARIA网络系统和Eclipse计划系统的保修）。</w:t>
      </w:r>
    </w:p>
    <w:p w14:paraId="4C024F2E">
      <w:pPr>
        <w:keepNext w:val="0"/>
        <w:keepLines w:val="0"/>
        <w:pageBreakBefore w:val="0"/>
        <w:widowControl w:val="0"/>
        <w:suppressLineNumbers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★2、投标人承诺维修所用备件为原厂同型号全新备件，不接受二手或翻新部件；提供常用备件供科室紧急使用，具体清单以科室需求为准。</w:t>
      </w:r>
    </w:p>
    <w:p w14:paraId="11C3EA67">
      <w:pPr>
        <w:keepNext w:val="0"/>
        <w:keepLines w:val="0"/>
        <w:pageBreakBefore w:val="0"/>
        <w:widowControl w:val="0"/>
        <w:suppressLineNumbers w:val="0"/>
        <w:kinsoku/>
        <w:wordWrap/>
        <w:overflowPunct/>
        <w:topLinePunct w:val="0"/>
        <w:autoSpaceDE/>
        <w:autoSpaceDN/>
        <w:bidi w:val="0"/>
        <w:adjustRightInd/>
        <w:snapToGrid/>
        <w:spacing w:line="276" w:lineRule="auto"/>
        <w:ind w:firstLine="480" w:firstLineChars="200"/>
        <w:jc w:val="both"/>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3、投标人需达到服务期间保证保修设备开机率达到98%以上, 如开机率达不到要求，每超过一天保修期相应延长1天。</w:t>
      </w:r>
    </w:p>
    <w:p w14:paraId="7D77A882">
      <w:pPr>
        <w:keepNext w:val="0"/>
        <w:keepLines w:val="0"/>
        <w:pageBreakBefore w:val="0"/>
        <w:widowControl w:val="0"/>
        <w:suppressLineNumbers w:val="0"/>
        <w:kinsoku/>
        <w:wordWrap/>
        <w:overflowPunct/>
        <w:topLinePunct w:val="0"/>
        <w:autoSpaceDE/>
        <w:autoSpaceDN/>
        <w:bidi w:val="0"/>
        <w:adjustRightInd/>
        <w:snapToGrid/>
        <w:spacing w:line="276" w:lineRule="auto"/>
        <w:ind w:firstLine="480" w:firstLineChars="200"/>
        <w:jc w:val="both"/>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▲4、投标人提供 400/800 报修专线（需真实有效），在保修服务期内0.15小时电话响应，在2小时内派工程师到现场实施维修，到场工程师需提供瓦里安原厂培训证书。</w:t>
      </w:r>
    </w:p>
    <w:p w14:paraId="551CF07D">
      <w:pPr>
        <w:keepNext w:val="0"/>
        <w:keepLines w:val="0"/>
        <w:pageBreakBefore w:val="0"/>
        <w:widowControl w:val="0"/>
        <w:suppressLineNumbers w:val="0"/>
        <w:kinsoku/>
        <w:wordWrap/>
        <w:overflowPunct/>
        <w:topLinePunct w:val="0"/>
        <w:autoSpaceDE/>
        <w:autoSpaceDN/>
        <w:bidi w:val="0"/>
        <w:adjustRightInd/>
        <w:snapToGrid/>
        <w:spacing w:line="276" w:lineRule="auto"/>
        <w:ind w:firstLine="480" w:firstLineChars="200"/>
        <w:jc w:val="both"/>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提供每年4次的详细设备预防性维护保养计划，根据计划在保修服务期内定期做预防性维护保养，并提供详细记录报告；每年度常规2次以及大修或者设备稳定性欠佳时三维水箱检测并出具CMA报告，提供日常质控用模体供科室质控使用（catphan模体)。</w:t>
      </w:r>
    </w:p>
    <w:p w14:paraId="22EF6118">
      <w:pPr>
        <w:keepNext w:val="0"/>
        <w:keepLines w:val="0"/>
        <w:pageBreakBefore w:val="0"/>
        <w:widowControl w:val="0"/>
        <w:suppressLineNumbers w:val="0"/>
        <w:kinsoku/>
        <w:wordWrap/>
        <w:overflowPunct/>
        <w:topLinePunct w:val="0"/>
        <w:autoSpaceDE/>
        <w:autoSpaceDN/>
        <w:bidi w:val="0"/>
        <w:adjustRightInd/>
        <w:snapToGrid/>
        <w:spacing w:line="276" w:lineRule="auto"/>
        <w:ind w:firstLine="480" w:firstLineChars="200"/>
        <w:jc w:val="both"/>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6、在保修服务期内免费提供设备的软硬件安全升级，系统软件升级补丁和技术支持，以提高设备的安全性和性能，并提供所有升级资料和记录。（需提供该设备制造商或其直属机构的盖章证明材料）。</w:t>
      </w:r>
    </w:p>
    <w:p w14:paraId="47A90D38">
      <w:pPr>
        <w:keepNext w:val="0"/>
        <w:keepLines w:val="0"/>
        <w:pageBreakBefore w:val="0"/>
        <w:widowControl w:val="0"/>
        <w:numPr>
          <w:ilvl w:val="-1"/>
          <w:numId w:val="0"/>
        </w:numPr>
        <w:suppressLineNumbers w:val="0"/>
        <w:kinsoku/>
        <w:wordWrap/>
        <w:overflowPunct/>
        <w:topLinePunct w:val="0"/>
        <w:autoSpaceDE/>
        <w:autoSpaceDN/>
        <w:bidi w:val="0"/>
        <w:adjustRightInd/>
        <w:snapToGrid/>
        <w:spacing w:line="276" w:lineRule="auto"/>
        <w:ind w:firstLine="480" w:firstLineChars="200"/>
        <w:jc w:val="both"/>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软件必须是直线加速器生产厂家的正版软件。若因投标单位提供的产品及备件问题维保设备被国家药监局检查为不合格，投标单位应承担一切相关责任，并确保项目涉及的知识产权相关事项符合国家法律法规的规定，并承担相关法律责任。</w:t>
      </w:r>
    </w:p>
    <w:p w14:paraId="1139C3A2">
      <w:pPr>
        <w:keepNext w:val="0"/>
        <w:keepLines w:val="0"/>
        <w:pageBreakBefore w:val="0"/>
        <w:widowControl w:val="0"/>
        <w:numPr>
          <w:ilvl w:val="-1"/>
          <w:numId w:val="0"/>
        </w:numPr>
        <w:suppressLineNumbers w:val="0"/>
        <w:kinsoku/>
        <w:wordWrap/>
        <w:overflowPunct/>
        <w:topLinePunct w:val="0"/>
        <w:autoSpaceDE/>
        <w:autoSpaceDN/>
        <w:bidi w:val="0"/>
        <w:adjustRightInd/>
        <w:snapToGrid/>
        <w:spacing w:line="276" w:lineRule="auto"/>
        <w:ind w:firstLine="480" w:firstLineChars="200"/>
        <w:jc w:val="both"/>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▲8、每年度提供4次省级单位专家物理技术指导，提供技术培训。</w:t>
      </w:r>
    </w:p>
    <w:p w14:paraId="1837464F">
      <w:pPr>
        <w:keepNext w:val="0"/>
        <w:keepLines w:val="0"/>
        <w:pageBreakBefore w:val="0"/>
        <w:widowControl w:val="0"/>
        <w:suppressLineNumbers w:val="0"/>
        <w:kinsoku/>
        <w:wordWrap/>
        <w:overflowPunct/>
        <w:topLinePunct w:val="0"/>
        <w:autoSpaceDE/>
        <w:autoSpaceDN/>
        <w:bidi w:val="0"/>
        <w:adjustRightInd/>
        <w:snapToGrid/>
        <w:spacing w:line="276" w:lineRule="auto"/>
        <w:ind w:firstLine="480" w:firstLineChars="200"/>
        <w:jc w:val="both"/>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9、投标人或其代理的售后服务机构需提供有效期内的医疗器械经营许可证。</w:t>
      </w:r>
    </w:p>
    <w:p w14:paraId="18CED418">
      <w:pPr>
        <w:keepNext w:val="0"/>
        <w:keepLines w:val="0"/>
        <w:pageBreakBefore w:val="0"/>
        <w:widowControl w:val="0"/>
        <w:suppressLineNumbers w:val="0"/>
        <w:kinsoku/>
        <w:wordWrap/>
        <w:overflowPunct/>
        <w:topLinePunct w:val="0"/>
        <w:autoSpaceDE/>
        <w:autoSpaceDN/>
        <w:bidi w:val="0"/>
        <w:adjustRightInd/>
        <w:snapToGrid/>
        <w:spacing w:line="276" w:lineRule="auto"/>
        <w:ind w:firstLine="480" w:firstLineChars="200"/>
        <w:jc w:val="both"/>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10、投标人或其代理的售后服务机构需提供：加速管、速调管、电子枪、靶等核心备件，并提供这些核心备件的海关进口货物报关单。</w:t>
      </w:r>
    </w:p>
    <w:p w14:paraId="7843FAD9">
      <w:pPr>
        <w:keepNext w:val="0"/>
        <w:keepLines w:val="0"/>
        <w:pageBreakBefore w:val="0"/>
        <w:widowControl w:val="0"/>
        <w:suppressLineNumbers w:val="0"/>
        <w:kinsoku/>
        <w:wordWrap/>
        <w:overflowPunct/>
        <w:topLinePunct w:val="0"/>
        <w:autoSpaceDE/>
        <w:autoSpaceDN/>
        <w:bidi w:val="0"/>
        <w:adjustRightInd/>
        <w:snapToGrid/>
        <w:spacing w:line="276" w:lineRule="auto"/>
        <w:ind w:firstLine="480" w:firstLineChars="200"/>
        <w:jc w:val="both"/>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▲11、服务人员的配置：</w:t>
      </w:r>
      <w:r>
        <w:rPr>
          <w:rFonts w:hint="eastAsia" w:ascii="宋体" w:hAnsi="宋体" w:eastAsia="宋体" w:cs="宋体"/>
          <w:color w:val="auto"/>
          <w:kern w:val="2"/>
          <w:sz w:val="24"/>
          <w:szCs w:val="24"/>
          <w:highlight w:val="none"/>
          <w:lang w:val="en-US" w:eastAsia="zh-CN" w:bidi="ar-SA"/>
        </w:rPr>
        <w:t>服务工程师必须为瓦里安原厂培训合格，取得相关服务资格的人员，且培训证书为有效期内的瓦里安原厂培训证书；提供员工近6个月内任意一个月单位为其缴纳的社保证明（开标当日可在相关人力资源和社会保障局网站现场查询）。</w:t>
      </w:r>
    </w:p>
    <w:p w14:paraId="3C5FBC82">
      <w:pPr>
        <w:pStyle w:val="102"/>
        <w:ind w:firstLine="482" w:firstLineChars="200"/>
        <w:jc w:val="left"/>
        <w:rPr>
          <w:color w:val="auto"/>
          <w:sz w:val="24"/>
          <w:szCs w:val="24"/>
          <w:highlight w:val="none"/>
        </w:rPr>
      </w:pPr>
      <w:r>
        <w:rPr>
          <w:rFonts w:hint="eastAsia"/>
          <w:color w:val="auto"/>
          <w:sz w:val="24"/>
          <w:szCs w:val="24"/>
          <w:highlight w:val="none"/>
        </w:rPr>
        <w:t>三、</w:t>
      </w:r>
      <w:r>
        <w:rPr>
          <w:rFonts w:hint="eastAsia" w:cs="宋体"/>
          <w:color w:val="auto"/>
          <w:sz w:val="24"/>
          <w:highlight w:val="none"/>
        </w:rPr>
        <w:t>★</w:t>
      </w:r>
      <w:r>
        <w:rPr>
          <w:rFonts w:hint="eastAsia"/>
          <w:color w:val="auto"/>
          <w:sz w:val="24"/>
          <w:szCs w:val="24"/>
          <w:highlight w:val="none"/>
        </w:rPr>
        <w:t>商务要求</w:t>
      </w:r>
      <w:bookmarkEnd w:id="173"/>
    </w:p>
    <w:p w14:paraId="706BEC73">
      <w:pPr>
        <w:snapToGrid w:val="0"/>
        <w:ind w:firstLine="480" w:firstLineChars="200"/>
        <w:jc w:val="left"/>
        <w:rPr>
          <w:rFonts w:ascii="宋体" w:hAnsi="宋体" w:cs="宋体"/>
          <w:color w:val="auto"/>
          <w:sz w:val="24"/>
          <w:highlight w:val="none"/>
        </w:rPr>
      </w:pPr>
      <w:r>
        <w:rPr>
          <w:rFonts w:hint="eastAsia" w:ascii="宋体" w:hAnsi="宋体" w:cs="宋体"/>
          <w:color w:val="auto"/>
          <w:sz w:val="24"/>
          <w:highlight w:val="none"/>
        </w:rPr>
        <w:t>1.付款方式：</w:t>
      </w:r>
      <w:r>
        <w:rPr>
          <w:rFonts w:hint="eastAsia" w:ascii="宋体" w:hAnsi="宋体" w:cs="宋体"/>
          <w:color w:val="auto"/>
          <w:sz w:val="24"/>
          <w:highlight w:val="none"/>
          <w:lang w:eastAsia="zh-CN"/>
        </w:rPr>
        <w:t>原则</w:t>
      </w:r>
      <w:r>
        <w:rPr>
          <w:rFonts w:hint="eastAsia" w:ascii="宋体" w:hAnsi="宋体" w:cs="宋体"/>
          <w:color w:val="auto"/>
          <w:sz w:val="24"/>
          <w:highlight w:val="none"/>
        </w:rPr>
        <w:t>先服务后付款，每半年支付50%，阶段验收合格付款</w:t>
      </w:r>
      <w:r>
        <w:rPr>
          <w:rFonts w:hint="eastAsia" w:ascii="宋体" w:hAnsi="宋体" w:cs="宋体"/>
          <w:color w:val="auto"/>
          <w:sz w:val="24"/>
          <w:highlight w:val="none"/>
          <w:lang w:eastAsia="zh-CN"/>
        </w:rPr>
        <w:t>，特殊情况需与医院商定后确定</w:t>
      </w:r>
      <w:r>
        <w:rPr>
          <w:rFonts w:hint="eastAsia" w:ascii="宋体" w:hAnsi="宋体" w:cs="宋体"/>
          <w:color w:val="auto"/>
          <w:sz w:val="24"/>
          <w:highlight w:val="none"/>
        </w:rPr>
        <w:t>。</w:t>
      </w:r>
    </w:p>
    <w:p w14:paraId="5566B4BC">
      <w:pPr>
        <w:tabs>
          <w:tab w:val="left" w:pos="1260"/>
        </w:tabs>
        <w:ind w:firstLine="480" w:firstLineChars="200"/>
        <w:jc w:val="left"/>
        <w:rPr>
          <w:rFonts w:ascii="宋体" w:hAnsi="宋体" w:cs="宋体"/>
          <w:color w:val="auto"/>
          <w:sz w:val="24"/>
          <w:highlight w:val="none"/>
        </w:rPr>
      </w:pPr>
      <w:r>
        <w:rPr>
          <w:rFonts w:hint="eastAsia" w:ascii="宋体" w:hAnsi="宋体" w:cs="宋体"/>
          <w:color w:val="auto"/>
          <w:sz w:val="24"/>
          <w:highlight w:val="none"/>
        </w:rPr>
        <w:t>2.服务期限：</w:t>
      </w:r>
    </w:p>
    <w:p w14:paraId="056CF908">
      <w:pPr>
        <w:tabs>
          <w:tab w:val="left" w:pos="1260"/>
        </w:tabs>
        <w:ind w:firstLine="480" w:firstLineChars="200"/>
        <w:jc w:val="left"/>
        <w:rPr>
          <w:rFonts w:ascii="宋体" w:hAnsi="宋体" w:cs="宋体"/>
          <w:color w:val="auto"/>
          <w:sz w:val="24"/>
          <w:highlight w:val="none"/>
        </w:rPr>
      </w:pPr>
      <w:r>
        <w:rPr>
          <w:rFonts w:hint="eastAsia"/>
          <w:color w:val="auto"/>
          <w:sz w:val="24"/>
          <w:szCs w:val="24"/>
          <w:highlight w:val="none"/>
          <w:lang w:eastAsia="zh-CN"/>
        </w:rPr>
        <w:t>见</w:t>
      </w:r>
      <w:r>
        <w:rPr>
          <w:rFonts w:hint="eastAsia"/>
          <w:color w:val="auto"/>
          <w:sz w:val="24"/>
          <w:szCs w:val="24"/>
          <w:highlight w:val="none"/>
        </w:rPr>
        <w:t>维保设备清单</w:t>
      </w:r>
      <w:r>
        <w:rPr>
          <w:rFonts w:hint="eastAsia" w:ascii="宋体" w:hAnsi="宋体" w:cs="宋体"/>
          <w:color w:val="auto"/>
          <w:sz w:val="24"/>
          <w:highlight w:val="none"/>
        </w:rPr>
        <w:t>（合同内设备保修起止时间以实际设备出保时间为准进行签订）</w:t>
      </w:r>
    </w:p>
    <w:p w14:paraId="7AF8404F">
      <w:pPr>
        <w:ind w:firstLine="480" w:firstLineChars="200"/>
        <w:jc w:val="left"/>
        <w:rPr>
          <w:rFonts w:ascii="宋体" w:hAnsi="宋体" w:cs="宋体"/>
          <w:color w:val="auto"/>
          <w:sz w:val="24"/>
          <w:highlight w:val="none"/>
        </w:rPr>
      </w:pPr>
      <w:r>
        <w:rPr>
          <w:rFonts w:hint="eastAsia" w:ascii="宋体" w:hAnsi="宋体" w:cs="宋体"/>
          <w:color w:val="auto"/>
          <w:sz w:val="24"/>
          <w:highlight w:val="none"/>
        </w:rPr>
        <w:t>3、服务单位应严格按照已确认的工作方案和工作流程提供服务，无条件地接受采购人对其工作质量的检查考核。</w:t>
      </w:r>
    </w:p>
    <w:p w14:paraId="741940C2">
      <w:pPr>
        <w:ind w:firstLine="480" w:firstLineChars="200"/>
        <w:jc w:val="left"/>
        <w:rPr>
          <w:rFonts w:ascii="宋体" w:hAnsi="宋体" w:cs="宋体"/>
          <w:color w:val="auto"/>
          <w:sz w:val="24"/>
          <w:highlight w:val="none"/>
        </w:rPr>
      </w:pPr>
      <w:r>
        <w:rPr>
          <w:rFonts w:hint="eastAsia" w:ascii="宋体" w:hAnsi="宋体" w:cs="宋体"/>
          <w:color w:val="auto"/>
          <w:sz w:val="24"/>
          <w:highlight w:val="none"/>
        </w:rPr>
        <w:t>4、服务单位必须向采购人提供采购文件中要求的维护服务的全部内容。服务单位有责任和义务在服务过程中提出补充修改方案并征得采购人同意后付诸实施。</w:t>
      </w:r>
    </w:p>
    <w:p w14:paraId="78DBBA1D">
      <w:pPr>
        <w:ind w:firstLine="480" w:firstLineChars="200"/>
        <w:jc w:val="left"/>
        <w:rPr>
          <w:rFonts w:ascii="宋体" w:hAnsi="宋体" w:cs="宋体"/>
          <w:color w:val="auto"/>
          <w:sz w:val="24"/>
          <w:highlight w:val="none"/>
        </w:rPr>
      </w:pPr>
      <w:r>
        <w:rPr>
          <w:rFonts w:hint="eastAsia" w:ascii="宋体" w:hAnsi="宋体" w:cs="宋体"/>
          <w:color w:val="auto"/>
          <w:sz w:val="24"/>
          <w:highlight w:val="none"/>
        </w:rPr>
        <w:t>5、对服务团队要求：要求服务单位必须组建具有良好信誉和相关实力的服务团队。</w:t>
      </w:r>
    </w:p>
    <w:p w14:paraId="3B88CE23">
      <w:pPr>
        <w:tabs>
          <w:tab w:val="left" w:pos="1260"/>
        </w:tabs>
        <w:ind w:firstLine="420" w:firstLineChars="200"/>
        <w:rPr>
          <w:rFonts w:hint="eastAsia"/>
          <w:color w:val="auto"/>
          <w:highlight w:val="none"/>
        </w:rPr>
      </w:pPr>
    </w:p>
    <w:p w14:paraId="515DA37C">
      <w:pPr>
        <w:pStyle w:val="102"/>
        <w:rPr>
          <w:color w:val="auto"/>
          <w:sz w:val="24"/>
          <w:szCs w:val="24"/>
          <w:highlight w:val="none"/>
        </w:rPr>
      </w:pPr>
      <w:bookmarkStart w:id="174" w:name="_Toc184129782"/>
      <w:r>
        <w:rPr>
          <w:rFonts w:hint="eastAsia"/>
          <w:color w:val="auto"/>
          <w:sz w:val="24"/>
          <w:szCs w:val="24"/>
          <w:highlight w:val="none"/>
        </w:rPr>
        <w:t>四、其它说明</w:t>
      </w:r>
      <w:bookmarkEnd w:id="174"/>
    </w:p>
    <w:p w14:paraId="4F16FF83">
      <w:pPr>
        <w:spacing w:line="276" w:lineRule="auto"/>
        <w:ind w:left="727" w:hanging="727" w:hangingChars="303"/>
        <w:rPr>
          <w:rFonts w:ascii="宋体" w:hAnsi="宋体" w:cs="宋体"/>
          <w:color w:val="auto"/>
          <w:sz w:val="24"/>
          <w:highlight w:val="none"/>
        </w:rPr>
      </w:pPr>
      <w:r>
        <w:rPr>
          <w:rFonts w:hint="eastAsia" w:ascii="宋体" w:hAnsi="宋体" w:cs="宋体"/>
          <w:color w:val="auto"/>
          <w:sz w:val="24"/>
          <w:highlight w:val="none"/>
        </w:rPr>
        <w:t>1、采购标的对应的中小企业划分标准所属行业一览表</w:t>
      </w:r>
    </w:p>
    <w:tbl>
      <w:tblPr>
        <w:tblStyle w:val="30"/>
        <w:tblW w:w="88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8"/>
        <w:gridCol w:w="3455"/>
        <w:gridCol w:w="4226"/>
      </w:tblGrid>
      <w:tr w14:paraId="5081D1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1218" w:type="dxa"/>
            <w:vAlign w:val="center"/>
          </w:tcPr>
          <w:p w14:paraId="1284A5E5">
            <w:pPr>
              <w:spacing w:line="276"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3455" w:type="dxa"/>
            <w:vAlign w:val="center"/>
          </w:tcPr>
          <w:p w14:paraId="32C8C5E0">
            <w:pPr>
              <w:spacing w:line="276" w:lineRule="auto"/>
              <w:jc w:val="center"/>
              <w:rPr>
                <w:rFonts w:ascii="宋体" w:hAnsi="宋体" w:cs="宋体"/>
                <w:color w:val="auto"/>
                <w:sz w:val="24"/>
                <w:highlight w:val="none"/>
              </w:rPr>
            </w:pPr>
            <w:r>
              <w:rPr>
                <w:rFonts w:hint="eastAsia" w:ascii="宋体" w:hAnsi="宋体" w:cs="宋体"/>
                <w:color w:val="auto"/>
                <w:sz w:val="24"/>
                <w:highlight w:val="none"/>
              </w:rPr>
              <w:t>采购标的</w:t>
            </w:r>
          </w:p>
        </w:tc>
        <w:tc>
          <w:tcPr>
            <w:tcW w:w="4226" w:type="dxa"/>
            <w:vAlign w:val="center"/>
          </w:tcPr>
          <w:p w14:paraId="0847B700">
            <w:pPr>
              <w:spacing w:line="276" w:lineRule="auto"/>
              <w:jc w:val="center"/>
              <w:rPr>
                <w:rFonts w:ascii="宋体" w:hAnsi="宋体" w:cs="宋体"/>
                <w:color w:val="auto"/>
                <w:sz w:val="24"/>
                <w:highlight w:val="none"/>
              </w:rPr>
            </w:pPr>
            <w:r>
              <w:rPr>
                <w:rFonts w:hint="eastAsia" w:ascii="宋体" w:hAnsi="宋体" w:cs="宋体"/>
                <w:color w:val="auto"/>
                <w:sz w:val="24"/>
                <w:highlight w:val="none"/>
              </w:rPr>
              <w:t>对应中小企业划分标准所属行业</w:t>
            </w:r>
          </w:p>
        </w:tc>
      </w:tr>
      <w:tr w14:paraId="25416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1218" w:type="dxa"/>
            <w:vAlign w:val="center"/>
          </w:tcPr>
          <w:p w14:paraId="48D081F4">
            <w:pPr>
              <w:spacing w:line="276"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3455" w:type="dxa"/>
            <w:vAlign w:val="center"/>
          </w:tcPr>
          <w:p w14:paraId="49F67234">
            <w:pPr>
              <w:spacing w:line="276" w:lineRule="auto"/>
              <w:jc w:val="center"/>
              <w:rPr>
                <w:rFonts w:ascii="宋体" w:hAnsi="宋体" w:cs="宋体"/>
                <w:color w:val="auto"/>
                <w:sz w:val="24"/>
                <w:highlight w:val="none"/>
              </w:rPr>
            </w:pPr>
            <w:r>
              <w:rPr>
                <w:rFonts w:hint="eastAsia" w:ascii="宋体" w:hAnsi="宋体" w:cs="宋体"/>
                <w:color w:val="auto"/>
                <w:sz w:val="24"/>
                <w:highlight w:val="none"/>
              </w:rPr>
              <w:t>医疗设备维保服务</w:t>
            </w:r>
          </w:p>
        </w:tc>
        <w:tc>
          <w:tcPr>
            <w:tcW w:w="4226" w:type="dxa"/>
            <w:vAlign w:val="center"/>
          </w:tcPr>
          <w:p w14:paraId="30A98D68">
            <w:pPr>
              <w:spacing w:line="276" w:lineRule="auto"/>
              <w:jc w:val="center"/>
              <w:rPr>
                <w:rFonts w:ascii="宋体" w:hAnsi="宋体" w:cs="宋体"/>
                <w:color w:val="auto"/>
                <w:sz w:val="24"/>
                <w:highlight w:val="none"/>
              </w:rPr>
            </w:pPr>
            <w:r>
              <w:rPr>
                <w:rFonts w:hint="eastAsia" w:ascii="宋体" w:hAnsi="宋体" w:cs="宋体"/>
                <w:color w:val="auto"/>
                <w:sz w:val="24"/>
                <w:highlight w:val="none"/>
              </w:rPr>
              <w:t>其他未列明行业</w:t>
            </w:r>
          </w:p>
        </w:tc>
      </w:tr>
    </w:tbl>
    <w:p w14:paraId="0A0E5F7C">
      <w:pPr>
        <w:tabs>
          <w:tab w:val="left" w:pos="851"/>
          <w:tab w:val="left" w:pos="1276"/>
          <w:tab w:val="left" w:pos="1418"/>
        </w:tabs>
        <w:spacing w:line="276" w:lineRule="auto"/>
        <w:rPr>
          <w:rFonts w:ascii="宋体" w:hAnsi="宋体" w:cs="宋体"/>
          <w:color w:val="auto"/>
          <w:sz w:val="24"/>
          <w:highlight w:val="none"/>
        </w:rPr>
      </w:pPr>
      <w:r>
        <w:rPr>
          <w:rFonts w:hint="eastAsia" w:ascii="宋体" w:hAnsi="宋体" w:cs="宋体"/>
          <w:color w:val="auto"/>
          <w:sz w:val="24"/>
          <w:highlight w:val="none"/>
        </w:rPr>
        <w:t>2、关键参数（加注“★”条款）不允许负偏离，否则投标无效。</w:t>
      </w:r>
    </w:p>
    <w:p w14:paraId="1840115A">
      <w:pPr>
        <w:tabs>
          <w:tab w:val="left" w:pos="851"/>
          <w:tab w:val="left" w:pos="1276"/>
          <w:tab w:val="left" w:pos="1418"/>
        </w:tabs>
        <w:spacing w:line="276" w:lineRule="auto"/>
        <w:rPr>
          <w:rFonts w:ascii="宋体" w:hAnsi="宋体" w:cs="宋体"/>
          <w:color w:val="auto"/>
          <w:sz w:val="24"/>
          <w:highlight w:val="none"/>
        </w:rPr>
      </w:pPr>
      <w:r>
        <w:rPr>
          <w:rFonts w:hint="eastAsia" w:ascii="宋体" w:hAnsi="宋体" w:cs="宋体"/>
          <w:color w:val="auto"/>
          <w:sz w:val="24"/>
          <w:highlight w:val="none"/>
        </w:rPr>
        <w:t>3、重要参数（加注“▲”条款）均需提供佐证材料进行证明，未提供的评标委员会有权认定为负偏离。</w:t>
      </w:r>
    </w:p>
    <w:p w14:paraId="6B0D2A4E">
      <w:pPr>
        <w:tabs>
          <w:tab w:val="left" w:pos="851"/>
          <w:tab w:val="left" w:pos="1276"/>
          <w:tab w:val="left" w:pos="1418"/>
        </w:tabs>
        <w:spacing w:line="276" w:lineRule="auto"/>
        <w:rPr>
          <w:rFonts w:ascii="宋体" w:hAnsi="宋体" w:cs="宋体"/>
          <w:color w:val="auto"/>
          <w:sz w:val="24"/>
          <w:highlight w:val="none"/>
        </w:rPr>
      </w:pPr>
      <w:r>
        <w:rPr>
          <w:rFonts w:hint="eastAsia" w:ascii="宋体" w:hAnsi="宋体" w:cs="宋体"/>
          <w:color w:val="auto"/>
          <w:sz w:val="24"/>
          <w:highlight w:val="none"/>
        </w:rPr>
        <w:t>4、商务要求为实质性响应条款，不允许负偏离。</w:t>
      </w:r>
      <w:r>
        <w:rPr>
          <w:rFonts w:ascii="宋体" w:hAnsi="宋体" w:cs="宋体"/>
          <w:color w:val="auto"/>
          <w:sz w:val="24"/>
          <w:highlight w:val="none"/>
        </w:rPr>
        <w:br w:type="page"/>
      </w:r>
    </w:p>
    <w:p w14:paraId="1CFD3DD7">
      <w:pPr>
        <w:widowControl/>
        <w:spacing w:line="276" w:lineRule="auto"/>
        <w:jc w:val="center"/>
        <w:outlineLvl w:val="0"/>
        <w:rPr>
          <w:rFonts w:ascii="宋体" w:hAnsi="宋体" w:cs="宋体"/>
          <w:b/>
          <w:color w:val="auto"/>
          <w:sz w:val="32"/>
          <w:szCs w:val="32"/>
          <w:highlight w:val="none"/>
        </w:rPr>
      </w:pPr>
      <w:bookmarkStart w:id="175" w:name="_Toc21069"/>
      <w:bookmarkStart w:id="176" w:name="_Toc1096"/>
      <w:r>
        <w:rPr>
          <w:rFonts w:hint="eastAsia" w:ascii="宋体" w:hAnsi="宋体" w:cs="宋体"/>
          <w:b/>
          <w:color w:val="auto"/>
          <w:sz w:val="32"/>
          <w:szCs w:val="32"/>
          <w:highlight w:val="none"/>
        </w:rPr>
        <w:t>第五章  评标方法与评标标准</w:t>
      </w:r>
      <w:bookmarkEnd w:id="175"/>
      <w:bookmarkEnd w:id="176"/>
    </w:p>
    <w:p w14:paraId="5597CF45">
      <w:pPr>
        <w:spacing w:before="120" w:after="120" w:line="276" w:lineRule="auto"/>
        <w:ind w:firstLine="480" w:firstLineChars="200"/>
        <w:jc w:val="left"/>
        <w:rPr>
          <w:rFonts w:ascii="Arial" w:hAnsi="Arial" w:cs="Arial"/>
          <w:color w:val="auto"/>
          <w:sz w:val="24"/>
          <w:highlight w:val="none"/>
        </w:rPr>
      </w:pPr>
      <w:r>
        <w:rPr>
          <w:rFonts w:ascii="Arial" w:hAnsi="Arial" w:cs="Arial"/>
          <w:color w:val="auto"/>
          <w:sz w:val="24"/>
          <w:highlight w:val="none"/>
        </w:rPr>
        <w:t>采用综合评分法的，评标结果按评审后得分由高到低顺序排列。得分相同的，按投标报价由低到高顺序排列。得分且投标报价相同的并列。投标文件满足招标文件全部实质性要求，</w:t>
      </w:r>
      <w:r>
        <w:rPr>
          <w:rFonts w:hint="eastAsia" w:ascii="Arial" w:hAnsi="Arial" w:cs="Arial"/>
          <w:color w:val="auto"/>
          <w:sz w:val="24"/>
          <w:highlight w:val="none"/>
        </w:rPr>
        <w:t>且按照评审因素的量化指标评审得分最高的投标人为排名第一的中标候选人。评标委员会按照得分由高到低的顺序推荐</w:t>
      </w:r>
      <w:r>
        <w:rPr>
          <w:rFonts w:ascii="宋体" w:hAnsi="宋体" w:cs="宋体"/>
          <w:color w:val="auto"/>
          <w:sz w:val="24"/>
          <w:highlight w:val="none"/>
        </w:rPr>
        <w:t>1</w:t>
      </w:r>
      <w:r>
        <w:rPr>
          <w:rFonts w:hint="eastAsia" w:ascii="Arial" w:hAnsi="Arial" w:cs="Arial"/>
          <w:color w:val="auto"/>
          <w:sz w:val="24"/>
          <w:highlight w:val="none"/>
        </w:rPr>
        <w:t>名中标候选人。</w:t>
      </w:r>
    </w:p>
    <w:p w14:paraId="363DCC61">
      <w:pPr>
        <w:spacing w:line="276" w:lineRule="auto"/>
        <w:ind w:firstLine="480" w:firstLineChars="200"/>
        <w:rPr>
          <w:rFonts w:ascii="宋体" w:hAnsi="宋体" w:cs="宋体"/>
          <w:color w:val="auto"/>
          <w:sz w:val="24"/>
          <w:highlight w:val="none"/>
        </w:rPr>
      </w:pPr>
    </w:p>
    <w:p w14:paraId="0633E6E1">
      <w:pPr>
        <w:spacing w:line="276" w:lineRule="auto"/>
        <w:ind w:firstLine="482" w:firstLineChars="200"/>
        <w:jc w:val="left"/>
        <w:outlineLvl w:val="1"/>
        <w:rPr>
          <w:rFonts w:ascii="宋体" w:hAnsi="宋体"/>
          <w:b/>
          <w:color w:val="auto"/>
          <w:sz w:val="24"/>
          <w:highlight w:val="none"/>
        </w:rPr>
      </w:pPr>
      <w:bookmarkStart w:id="177" w:name="_Toc184129784"/>
      <w:r>
        <w:rPr>
          <w:rFonts w:hint="eastAsia" w:ascii="宋体" w:hAnsi="宋体"/>
          <w:b/>
          <w:color w:val="auto"/>
          <w:sz w:val="24"/>
          <w:highlight w:val="none"/>
        </w:rPr>
        <w:t>政府采购政策功能落实</w:t>
      </w:r>
      <w:bookmarkEnd w:id="177"/>
    </w:p>
    <w:p w14:paraId="5BBC6733">
      <w:pPr>
        <w:spacing w:line="276" w:lineRule="auto"/>
        <w:ind w:firstLine="480" w:firstLineChars="200"/>
        <w:jc w:val="left"/>
        <w:rPr>
          <w:rFonts w:ascii="宋体" w:hAnsi="宋体"/>
          <w:color w:val="auto"/>
          <w:sz w:val="24"/>
          <w:highlight w:val="none"/>
        </w:rPr>
      </w:pPr>
      <w:r>
        <w:rPr>
          <w:rFonts w:hint="eastAsia" w:ascii="宋体" w:hAnsi="宋体"/>
          <w:color w:val="auto"/>
          <w:sz w:val="24"/>
          <w:highlight w:val="none"/>
        </w:rPr>
        <w:t>1、小微型企业价格扣除</w:t>
      </w:r>
    </w:p>
    <w:p w14:paraId="3ACA463E">
      <w:pPr>
        <w:spacing w:line="276" w:lineRule="auto"/>
        <w:ind w:firstLine="480" w:firstLineChars="200"/>
        <w:jc w:val="left"/>
        <w:rPr>
          <w:rFonts w:ascii="宋体" w:hAnsi="宋体"/>
          <w:color w:val="auto"/>
          <w:sz w:val="24"/>
          <w:highlight w:val="none"/>
        </w:rPr>
      </w:pPr>
      <w:r>
        <w:rPr>
          <w:rFonts w:hint="eastAsia" w:ascii="宋体" w:hAnsi="宋体"/>
          <w:color w:val="auto"/>
          <w:sz w:val="24"/>
          <w:highlight w:val="none"/>
        </w:rPr>
        <w:t>（1）本项目对小型和微型企业产品给予</w:t>
      </w:r>
      <w:r>
        <w:rPr>
          <w:rFonts w:hint="eastAsia" w:ascii="宋体" w:hAnsi="宋体"/>
          <w:color w:val="auto"/>
          <w:sz w:val="24"/>
          <w:highlight w:val="none"/>
          <w:u w:val="single"/>
        </w:rPr>
        <w:t xml:space="preserve"> 10%</w:t>
      </w:r>
      <w:r>
        <w:rPr>
          <w:rFonts w:ascii="宋体" w:hAnsi="宋体"/>
          <w:color w:val="auto"/>
          <w:sz w:val="24"/>
          <w:highlight w:val="none"/>
          <w:u w:val="single"/>
        </w:rPr>
        <w:t xml:space="preserve"> </w:t>
      </w:r>
      <w:r>
        <w:rPr>
          <w:rFonts w:hint="eastAsia" w:ascii="宋体" w:hAnsi="宋体"/>
          <w:color w:val="auto"/>
          <w:sz w:val="24"/>
          <w:highlight w:val="none"/>
        </w:rPr>
        <w:t>的扣除价格，用扣除后的价格参与评审。</w:t>
      </w:r>
    </w:p>
    <w:p w14:paraId="72FEBDE2">
      <w:pPr>
        <w:spacing w:line="276" w:lineRule="auto"/>
        <w:ind w:firstLine="480" w:firstLineChars="200"/>
        <w:jc w:val="left"/>
        <w:rPr>
          <w:rFonts w:ascii="宋体" w:hAnsi="宋体"/>
          <w:color w:val="auto"/>
          <w:sz w:val="24"/>
          <w:highlight w:val="none"/>
        </w:rPr>
      </w:pPr>
      <w:r>
        <w:rPr>
          <w:rFonts w:hint="eastAsia" w:ascii="宋体" w:hAnsi="宋体"/>
          <w:color w:val="auto"/>
          <w:sz w:val="24"/>
          <w:highlight w:val="none"/>
        </w:rPr>
        <w:t>（2）供应商需按照采购文件的要求提供相应的《小微企业声明函》。</w:t>
      </w:r>
    </w:p>
    <w:p w14:paraId="437C6E8C">
      <w:pPr>
        <w:spacing w:line="276" w:lineRule="auto"/>
        <w:ind w:firstLine="480" w:firstLineChars="200"/>
        <w:jc w:val="left"/>
        <w:rPr>
          <w:rFonts w:ascii="宋体" w:hAnsi="宋体"/>
          <w:color w:val="auto"/>
          <w:sz w:val="24"/>
          <w:highlight w:val="none"/>
        </w:rPr>
      </w:pPr>
      <w:r>
        <w:rPr>
          <w:rFonts w:hint="eastAsia" w:ascii="宋体" w:hAnsi="宋体"/>
          <w:color w:val="auto"/>
          <w:sz w:val="24"/>
          <w:highlight w:val="none"/>
        </w:rPr>
        <w:t>（3）企业标准请参照《关于印发中小企业划型标准规定的通知》（工信部联企业[2011]300号）文件规定自行填写。</w:t>
      </w:r>
    </w:p>
    <w:p w14:paraId="182CF087">
      <w:pPr>
        <w:spacing w:before="161" w:beforeLines="50" w:line="276" w:lineRule="auto"/>
        <w:ind w:firstLine="480" w:firstLineChars="200"/>
        <w:jc w:val="left"/>
        <w:rPr>
          <w:rFonts w:ascii="宋体" w:hAnsi="宋体"/>
          <w:color w:val="auto"/>
          <w:sz w:val="24"/>
          <w:highlight w:val="none"/>
        </w:rPr>
      </w:pPr>
      <w:r>
        <w:rPr>
          <w:rFonts w:hint="eastAsia" w:ascii="宋体" w:hAnsi="宋体"/>
          <w:color w:val="auto"/>
          <w:sz w:val="24"/>
          <w:highlight w:val="none"/>
        </w:rPr>
        <w:t>2、残疾人福利单位价格扣除</w:t>
      </w:r>
    </w:p>
    <w:p w14:paraId="6CE27E8C">
      <w:pPr>
        <w:spacing w:line="276" w:lineRule="auto"/>
        <w:ind w:firstLine="480" w:firstLineChars="200"/>
        <w:jc w:val="left"/>
        <w:rPr>
          <w:rFonts w:ascii="宋体" w:hAnsi="宋体"/>
          <w:color w:val="auto"/>
          <w:sz w:val="24"/>
          <w:highlight w:val="none"/>
        </w:rPr>
      </w:pPr>
      <w:r>
        <w:rPr>
          <w:rFonts w:hint="eastAsia" w:ascii="宋体" w:hAnsi="宋体"/>
          <w:color w:val="auto"/>
          <w:sz w:val="24"/>
          <w:highlight w:val="none"/>
        </w:rPr>
        <w:t>（1）本项目对残疾人福利性单位视同小型、微型企业，给予</w:t>
      </w:r>
      <w:r>
        <w:rPr>
          <w:rFonts w:hint="eastAsia" w:ascii="宋体" w:hAnsi="宋体"/>
          <w:color w:val="auto"/>
          <w:sz w:val="24"/>
          <w:highlight w:val="none"/>
          <w:u w:val="single"/>
        </w:rPr>
        <w:t>10%</w:t>
      </w:r>
      <w:r>
        <w:rPr>
          <w:rFonts w:hint="eastAsia" w:ascii="宋体" w:hAnsi="宋体"/>
          <w:color w:val="auto"/>
          <w:sz w:val="24"/>
          <w:highlight w:val="none"/>
        </w:rPr>
        <w:t>的价格扣除，用扣除后的价格参与评审。</w:t>
      </w:r>
    </w:p>
    <w:p w14:paraId="1F945BDE">
      <w:pPr>
        <w:spacing w:line="276" w:lineRule="auto"/>
        <w:ind w:firstLine="480" w:firstLineChars="200"/>
        <w:jc w:val="left"/>
        <w:rPr>
          <w:rFonts w:ascii="宋体" w:hAnsi="宋体"/>
          <w:color w:val="auto"/>
          <w:sz w:val="24"/>
          <w:highlight w:val="none"/>
        </w:rPr>
      </w:pPr>
      <w:r>
        <w:rPr>
          <w:rFonts w:hint="eastAsia" w:ascii="宋体" w:hAnsi="宋体"/>
          <w:color w:val="auto"/>
          <w:sz w:val="24"/>
          <w:highlight w:val="none"/>
        </w:rPr>
        <w:t>（2）残疾人福利单位需按照采购文件的要求提供《残疾人福利性单位声明函》。</w:t>
      </w:r>
    </w:p>
    <w:p w14:paraId="17DDAEDB">
      <w:pPr>
        <w:spacing w:line="276" w:lineRule="auto"/>
        <w:ind w:firstLine="480" w:firstLineChars="200"/>
        <w:jc w:val="left"/>
        <w:rPr>
          <w:rFonts w:ascii="宋体" w:hAnsi="宋体"/>
          <w:color w:val="auto"/>
          <w:sz w:val="24"/>
          <w:highlight w:val="none"/>
        </w:rPr>
      </w:pPr>
      <w:r>
        <w:rPr>
          <w:rFonts w:hint="eastAsia" w:ascii="宋体" w:hAnsi="宋体"/>
          <w:color w:val="auto"/>
          <w:sz w:val="24"/>
          <w:highlight w:val="none"/>
        </w:rPr>
        <w:t>（3）残疾人福利单位标准请参照《关于促进残疾人就业政府采购政策的通知》（财库〔2017〕141号）。</w:t>
      </w:r>
    </w:p>
    <w:p w14:paraId="0B771C90">
      <w:pPr>
        <w:spacing w:before="161" w:beforeLines="50" w:line="276" w:lineRule="auto"/>
        <w:ind w:firstLine="480" w:firstLineChars="200"/>
        <w:jc w:val="left"/>
        <w:rPr>
          <w:rFonts w:ascii="宋体" w:hAnsi="宋体"/>
          <w:color w:val="auto"/>
          <w:sz w:val="24"/>
          <w:highlight w:val="none"/>
        </w:rPr>
      </w:pPr>
      <w:r>
        <w:rPr>
          <w:rFonts w:hint="eastAsia" w:ascii="宋体" w:hAnsi="宋体"/>
          <w:color w:val="auto"/>
          <w:sz w:val="24"/>
          <w:highlight w:val="none"/>
        </w:rPr>
        <w:t>3、监狱和戒毒企业价格扣除</w:t>
      </w:r>
    </w:p>
    <w:p w14:paraId="645A019D">
      <w:pPr>
        <w:spacing w:line="276" w:lineRule="auto"/>
        <w:ind w:firstLine="480" w:firstLineChars="200"/>
        <w:jc w:val="left"/>
        <w:rPr>
          <w:rFonts w:ascii="宋体" w:hAnsi="宋体"/>
          <w:color w:val="auto"/>
          <w:sz w:val="24"/>
          <w:highlight w:val="none"/>
        </w:rPr>
      </w:pPr>
      <w:r>
        <w:rPr>
          <w:rFonts w:hint="eastAsia" w:ascii="宋体" w:hAnsi="宋体"/>
          <w:color w:val="auto"/>
          <w:sz w:val="24"/>
          <w:highlight w:val="none"/>
        </w:rPr>
        <w:t>（1）本项目对监狱和戒毒企业（简称监狱企业）视同小型、微型企业，给予</w:t>
      </w:r>
      <w:r>
        <w:rPr>
          <w:rFonts w:hint="eastAsia" w:ascii="宋体" w:hAnsi="宋体"/>
          <w:color w:val="auto"/>
          <w:sz w:val="24"/>
          <w:highlight w:val="none"/>
          <w:u w:val="single"/>
        </w:rPr>
        <w:t>10%</w:t>
      </w:r>
      <w:r>
        <w:rPr>
          <w:rFonts w:hint="eastAsia" w:ascii="宋体" w:hAnsi="宋体"/>
          <w:color w:val="auto"/>
          <w:sz w:val="24"/>
          <w:highlight w:val="none"/>
        </w:rPr>
        <w:t>的价格扣除，用扣除后的价格参与评审。</w:t>
      </w:r>
    </w:p>
    <w:p w14:paraId="4F20AD96">
      <w:pPr>
        <w:spacing w:line="276" w:lineRule="auto"/>
        <w:ind w:firstLine="480" w:firstLineChars="200"/>
        <w:jc w:val="left"/>
        <w:rPr>
          <w:rFonts w:ascii="宋体" w:hAnsi="宋体"/>
          <w:color w:val="auto"/>
          <w:sz w:val="24"/>
          <w:highlight w:val="none"/>
        </w:rPr>
      </w:pPr>
      <w:r>
        <w:rPr>
          <w:rFonts w:hint="eastAsia" w:ascii="宋体" w:hAnsi="宋体"/>
          <w:color w:val="auto"/>
          <w:sz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72F1BCF7">
      <w:pPr>
        <w:spacing w:line="276" w:lineRule="auto"/>
        <w:ind w:firstLine="480" w:firstLineChars="200"/>
        <w:jc w:val="left"/>
        <w:rPr>
          <w:rFonts w:ascii="宋体" w:hAnsi="宋体"/>
          <w:color w:val="auto"/>
          <w:sz w:val="24"/>
          <w:highlight w:val="none"/>
        </w:rPr>
      </w:pPr>
      <w:r>
        <w:rPr>
          <w:rFonts w:hint="eastAsia" w:ascii="宋体" w:hAnsi="宋体"/>
          <w:color w:val="auto"/>
          <w:sz w:val="24"/>
          <w:highlight w:val="none"/>
        </w:rPr>
        <w:t>（3）监狱企业标准请参照《关于政府采购支持监狱企业发展有关问题的通知》（</w:t>
      </w:r>
      <w:r>
        <w:rPr>
          <w:rFonts w:ascii="宋体" w:hAnsi="宋体"/>
          <w:color w:val="auto"/>
          <w:sz w:val="24"/>
          <w:highlight w:val="none"/>
        </w:rPr>
        <w:t>财库[2014]68号</w:t>
      </w:r>
      <w:r>
        <w:rPr>
          <w:rFonts w:hint="eastAsia" w:ascii="宋体" w:hAnsi="宋体"/>
          <w:color w:val="auto"/>
          <w:sz w:val="24"/>
          <w:highlight w:val="none"/>
        </w:rPr>
        <w:t>）。</w:t>
      </w:r>
    </w:p>
    <w:p w14:paraId="0DFFFA7E">
      <w:pPr>
        <w:spacing w:before="161" w:beforeLines="50" w:line="276" w:lineRule="auto"/>
        <w:ind w:firstLine="480" w:firstLineChars="200"/>
        <w:jc w:val="left"/>
        <w:rPr>
          <w:rFonts w:ascii="宋体" w:hAnsi="宋体"/>
          <w:color w:val="auto"/>
          <w:sz w:val="24"/>
          <w:highlight w:val="none"/>
        </w:rPr>
      </w:pPr>
      <w:r>
        <w:rPr>
          <w:rFonts w:hint="eastAsia" w:ascii="宋体" w:hAnsi="宋体"/>
          <w:color w:val="auto"/>
          <w:sz w:val="24"/>
          <w:highlight w:val="none"/>
        </w:rPr>
        <w:t>4、残疾人福利单位、监狱企业属于小型、微型企业的，不重复享受政策。</w:t>
      </w:r>
    </w:p>
    <w:p w14:paraId="07220326">
      <w:pPr>
        <w:spacing w:before="161" w:beforeLines="50" w:line="276" w:lineRule="auto"/>
        <w:ind w:firstLine="480" w:firstLineChars="200"/>
        <w:jc w:val="left"/>
        <w:rPr>
          <w:rFonts w:ascii="华文新魏" w:hAnsi="宋体" w:eastAsia="华文新魏"/>
          <w:color w:val="auto"/>
          <w:sz w:val="24"/>
          <w:highlight w:val="none"/>
        </w:rPr>
      </w:pPr>
      <w:r>
        <w:rPr>
          <w:rFonts w:hint="eastAsia" w:ascii="宋体" w:hAnsi="宋体"/>
          <w:color w:val="auto"/>
          <w:sz w:val="24"/>
          <w:highlight w:val="none"/>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highlight w:val="none"/>
          <w:u w:val="single"/>
        </w:rPr>
        <w:t>4</w:t>
      </w:r>
      <w:r>
        <w:rPr>
          <w:rFonts w:hint="eastAsia" w:ascii="宋体" w:hAnsi="宋体"/>
          <w:color w:val="auto"/>
          <w:sz w:val="24"/>
          <w:highlight w:val="none"/>
          <w:u w:val="single"/>
        </w:rPr>
        <w:t>%</w:t>
      </w:r>
      <w:r>
        <w:rPr>
          <w:rFonts w:hint="eastAsia" w:ascii="宋体" w:hAnsi="宋体"/>
          <w:color w:val="auto"/>
          <w:sz w:val="24"/>
          <w:highlight w:val="none"/>
        </w:rPr>
        <w:t>的价格扣除，用扣除后的价格参与评审。</w:t>
      </w:r>
    </w:p>
    <w:p w14:paraId="4274F52F">
      <w:pPr>
        <w:spacing w:before="161" w:beforeLines="50" w:line="276" w:lineRule="auto"/>
        <w:ind w:firstLine="480" w:firstLineChars="200"/>
        <w:jc w:val="left"/>
        <w:rPr>
          <w:rFonts w:ascii="宋体" w:hAnsi="宋体"/>
          <w:color w:val="auto"/>
          <w:sz w:val="24"/>
          <w:highlight w:val="none"/>
        </w:rPr>
      </w:pPr>
      <w:r>
        <w:rPr>
          <w:rFonts w:hint="eastAsia" w:ascii="宋体" w:hAnsi="宋体"/>
          <w:color w:val="auto"/>
          <w:sz w:val="24"/>
          <w:highlight w:val="none"/>
        </w:rPr>
        <w:t>6、联合体各方均为小型、微型企业（残疾人福利单位、监狱企业）的，联合体享受</w:t>
      </w:r>
      <w:r>
        <w:rPr>
          <w:rFonts w:hint="eastAsia" w:ascii="宋体" w:hAnsi="宋体"/>
          <w:color w:val="auto"/>
          <w:sz w:val="24"/>
          <w:highlight w:val="none"/>
          <w:u w:val="single"/>
        </w:rPr>
        <w:t>10%</w:t>
      </w:r>
      <w:r>
        <w:rPr>
          <w:rFonts w:hint="eastAsia" w:ascii="宋体" w:hAnsi="宋体"/>
          <w:color w:val="auto"/>
          <w:sz w:val="24"/>
          <w:highlight w:val="none"/>
        </w:rPr>
        <w:t>价格扣除，用扣除后的价格参与评审。</w:t>
      </w:r>
    </w:p>
    <w:p w14:paraId="4C9EFACD">
      <w:pPr>
        <w:spacing w:before="161" w:beforeLines="50" w:line="276" w:lineRule="auto"/>
        <w:ind w:firstLine="480" w:firstLineChars="200"/>
        <w:jc w:val="left"/>
        <w:rPr>
          <w:rFonts w:ascii="宋体" w:hAnsi="宋体"/>
          <w:color w:val="auto"/>
          <w:sz w:val="24"/>
          <w:highlight w:val="none"/>
        </w:rPr>
      </w:pPr>
    </w:p>
    <w:p w14:paraId="117D72E9">
      <w:pPr>
        <w:spacing w:line="276" w:lineRule="auto"/>
        <w:ind w:firstLine="482" w:firstLineChars="200"/>
        <w:jc w:val="left"/>
        <w:outlineLvl w:val="1"/>
        <w:rPr>
          <w:rFonts w:hint="eastAsia" w:ascii="宋体" w:hAnsi="宋体"/>
          <w:b/>
          <w:color w:val="auto"/>
          <w:sz w:val="24"/>
          <w:highlight w:val="none"/>
        </w:rPr>
      </w:pPr>
      <w:bookmarkStart w:id="178" w:name="_Toc184129786"/>
      <w:r>
        <w:rPr>
          <w:rFonts w:hint="eastAsia" w:ascii="宋体" w:hAnsi="宋体"/>
          <w:b/>
          <w:color w:val="auto"/>
          <w:sz w:val="24"/>
          <w:highlight w:val="none"/>
        </w:rPr>
        <w:t>符合性审查内容</w:t>
      </w:r>
      <w:bookmarkEnd w:id="178"/>
    </w:p>
    <w:p w14:paraId="21CD28A1">
      <w:pPr>
        <w:spacing w:line="276" w:lineRule="auto"/>
        <w:ind w:firstLine="480" w:firstLineChars="200"/>
        <w:jc w:val="left"/>
        <w:outlineLvl w:val="9"/>
        <w:rPr>
          <w:rFonts w:hint="eastAsia" w:ascii="宋体" w:hAnsi="宋体"/>
          <w:b w:val="0"/>
          <w:bCs/>
          <w:color w:val="auto"/>
          <w:sz w:val="24"/>
          <w:highlight w:val="none"/>
          <w:u w:val="single"/>
        </w:rPr>
      </w:pPr>
      <w:bookmarkStart w:id="205" w:name="_GoBack"/>
      <w:r>
        <w:rPr>
          <w:rFonts w:hint="eastAsia" w:ascii="宋体" w:hAnsi="宋体"/>
          <w:b w:val="0"/>
          <w:bCs/>
          <w:color w:val="auto"/>
          <w:sz w:val="24"/>
          <w:highlight w:val="none"/>
          <w:u w:val="single"/>
        </w:rPr>
        <w:t>注：以下内容投标人在标书制作过程中</w:t>
      </w:r>
      <w:r>
        <w:rPr>
          <w:rFonts w:hint="eastAsia" w:ascii="宋体" w:hAnsi="宋体"/>
          <w:b w:val="0"/>
          <w:bCs/>
          <w:color w:val="auto"/>
          <w:sz w:val="24"/>
          <w:highlight w:val="none"/>
          <w:u w:val="single"/>
          <w:lang w:eastAsia="zh-CN"/>
        </w:rPr>
        <w:t>无法提供适用材料的，</w:t>
      </w:r>
      <w:r>
        <w:rPr>
          <w:rFonts w:hint="eastAsia" w:ascii="宋体" w:hAnsi="宋体"/>
          <w:b w:val="0"/>
          <w:bCs/>
          <w:color w:val="auto"/>
          <w:sz w:val="24"/>
          <w:highlight w:val="none"/>
          <w:u w:val="single"/>
        </w:rPr>
        <w:t>可根据自身实际情况上传声明、承诺等材料作为响应，格式自拟。符合性审查由评标委员会负责，投标人作出声明或者承诺，但评标委员会认为审核不通过的，投标人声明或承诺等无效，并可能做不符性处理。</w:t>
      </w:r>
    </w:p>
    <w:bookmarkEnd w:id="205"/>
    <w:p w14:paraId="5BADBCEB">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1、报价要求：开标一览表中的报价不超过最高限价。</w:t>
      </w:r>
    </w:p>
    <w:p w14:paraId="30775C31">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2、商务要求：</w:t>
      </w:r>
    </w:p>
    <w:p w14:paraId="3753572F">
      <w:pPr>
        <w:widowControl/>
        <w:spacing w:before="161" w:beforeLines="50"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2.1投标文件没有重大负偏离，所谓重大负偏离是指投标人所投标的范围、质量、数量、付款方式、质保期和交货期限等明显不能满足招标文件的要求。重大负偏离的认定须经评标委员会三分之二以上同意商务要求不接受任何一项的负偏离或者不满足，允许正偏离；</w:t>
      </w:r>
    </w:p>
    <w:p w14:paraId="45A6FE7B">
      <w:pPr>
        <w:widowControl/>
        <w:spacing w:before="161" w:beforeLines="50"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2.2</w:t>
      </w:r>
      <w:r>
        <w:rPr>
          <w:rFonts w:hint="eastAsia" w:ascii="宋体" w:hAnsi="宋体"/>
          <w:color w:val="auto"/>
          <w:sz w:val="24"/>
          <w:highlight w:val="none"/>
          <w:lang w:eastAsia="zh-CN"/>
        </w:rPr>
        <w:t>投标</w:t>
      </w:r>
      <w:r>
        <w:rPr>
          <w:rFonts w:hint="eastAsia" w:ascii="宋体" w:hAnsi="宋体"/>
          <w:color w:val="auto"/>
          <w:sz w:val="24"/>
          <w:highlight w:val="none"/>
        </w:rPr>
        <w:t>文件签字、盖章符合文件要求；</w:t>
      </w:r>
    </w:p>
    <w:p w14:paraId="0511BC27">
      <w:pPr>
        <w:spacing w:line="360" w:lineRule="auto"/>
        <w:ind w:firstLine="480" w:firstLineChars="200"/>
        <w:rPr>
          <w:rFonts w:ascii="宋体" w:hAnsi="宋体" w:cs="宋体"/>
          <w:color w:val="auto"/>
          <w:sz w:val="24"/>
          <w:highlight w:val="none"/>
        </w:rPr>
      </w:pPr>
      <w:r>
        <w:rPr>
          <w:rFonts w:hint="eastAsia" w:ascii="宋体" w:hAnsi="宋体"/>
          <w:color w:val="auto"/>
          <w:sz w:val="24"/>
          <w:highlight w:val="none"/>
        </w:rPr>
        <w:t>2.3</w:t>
      </w:r>
      <w:r>
        <w:rPr>
          <w:rFonts w:hint="eastAsia" w:ascii="宋体" w:hAnsi="宋体" w:cs="宋体"/>
          <w:color w:val="auto"/>
          <w:sz w:val="24"/>
          <w:highlight w:val="none"/>
        </w:rPr>
        <w:t>《商务要求响应及偏离表》不接受任何一项的负偏离或者不满足，仅允许正偏离。</w:t>
      </w:r>
    </w:p>
    <w:p w14:paraId="20A8715E">
      <w:pPr>
        <w:widowControl/>
        <w:spacing w:before="161" w:beforeLines="50"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2.4《第六章投标文件构成》中“投标文件构成”没有实质性缺漏；</w:t>
      </w:r>
    </w:p>
    <w:p w14:paraId="30958DAA">
      <w:pPr>
        <w:spacing w:line="360" w:lineRule="auto"/>
        <w:ind w:firstLine="480" w:firstLineChars="200"/>
        <w:rPr>
          <w:color w:val="auto"/>
          <w:highlight w:val="none"/>
        </w:rPr>
      </w:pPr>
      <w:r>
        <w:rPr>
          <w:rFonts w:hint="eastAsia" w:ascii="宋体" w:hAnsi="宋体" w:cs="宋体"/>
          <w:color w:val="auto"/>
          <w:sz w:val="24"/>
          <w:highlight w:val="none"/>
        </w:rPr>
        <w:t>2.5投标函中注明的投标有效期符合招标文件要求；</w:t>
      </w:r>
    </w:p>
    <w:p w14:paraId="3D2DE03F">
      <w:pPr>
        <w:widowControl/>
        <w:spacing w:before="161" w:beforeLines="50"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2.6本项目不接受联合体投标；</w:t>
      </w:r>
    </w:p>
    <w:p w14:paraId="620023DB">
      <w:pPr>
        <w:widowControl/>
        <w:spacing w:before="161" w:beforeLines="50"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2.7本项目不接受备选投标方案；</w:t>
      </w:r>
    </w:p>
    <w:p w14:paraId="4A8C2713">
      <w:pPr>
        <w:widowControl/>
        <w:spacing w:before="161" w:beforeLines="50"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2.8投标文件没有采购人不能接受的附加条件；</w:t>
      </w:r>
    </w:p>
    <w:p w14:paraId="369BF5B9">
      <w:pPr>
        <w:widowControl/>
        <w:spacing w:before="161" w:beforeLines="50"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2.9投标文件没有法律、法规和招标文件规定的其他无效情形；</w:t>
      </w:r>
    </w:p>
    <w:p w14:paraId="6CCD3ED6">
      <w:pPr>
        <w:widowControl/>
        <w:spacing w:before="161" w:beforeLines="50"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2.10不存在招标文件中第28.5条款的情形之一；</w:t>
      </w:r>
    </w:p>
    <w:p w14:paraId="6A1D366F">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3、技术响应要求：</w:t>
      </w:r>
    </w:p>
    <w:p w14:paraId="214A82FA">
      <w:pPr>
        <w:spacing w:line="276"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w:t>
      </w:r>
      <w:r>
        <w:rPr>
          <w:rFonts w:ascii="宋体" w:hAnsi="宋体" w:cs="宋体"/>
          <w:color w:val="auto"/>
          <w:sz w:val="24"/>
          <w:highlight w:val="none"/>
        </w:rPr>
        <w:t>1</w:t>
      </w:r>
      <w:r>
        <w:rPr>
          <w:rFonts w:hint="eastAsia" w:ascii="宋体" w:hAnsi="宋体"/>
          <w:color w:val="auto"/>
          <w:sz w:val="24"/>
          <w:highlight w:val="none"/>
        </w:rPr>
        <w:t>技术要求中，“★”参数不允许负偏离，否则投标无效，偏离表</w:t>
      </w:r>
      <w:r>
        <w:rPr>
          <w:rFonts w:hint="eastAsia" w:ascii="宋体" w:hAnsi="宋体" w:cs="宋体"/>
          <w:color w:val="auto"/>
          <w:sz w:val="24"/>
          <w:highlight w:val="none"/>
        </w:rPr>
        <w:t>须按照招标文件要求点对点应答。</w:t>
      </w:r>
    </w:p>
    <w:p w14:paraId="2D7B3DF8">
      <w:pPr>
        <w:rPr>
          <w:rFonts w:ascii="宋体" w:hAnsi="宋体" w:cs="宋体"/>
          <w:color w:val="auto"/>
          <w:sz w:val="24"/>
          <w:highlight w:val="none"/>
        </w:rPr>
      </w:pPr>
      <w:r>
        <w:rPr>
          <w:rFonts w:hint="eastAsia" w:ascii="宋体" w:hAnsi="宋体" w:cs="宋体"/>
          <w:color w:val="auto"/>
          <w:sz w:val="24"/>
          <w:highlight w:val="none"/>
        </w:rPr>
        <w:br w:type="page"/>
      </w:r>
    </w:p>
    <w:p w14:paraId="328326DE">
      <w:pPr>
        <w:spacing w:line="276" w:lineRule="auto"/>
        <w:ind w:firstLine="482" w:firstLineChars="200"/>
        <w:jc w:val="left"/>
        <w:outlineLvl w:val="1"/>
        <w:rPr>
          <w:rFonts w:ascii="宋体" w:hAnsi="宋体"/>
          <w:b/>
          <w:color w:val="auto"/>
          <w:sz w:val="24"/>
          <w:highlight w:val="none"/>
        </w:rPr>
      </w:pPr>
      <w:bookmarkStart w:id="179" w:name="_Toc184129785"/>
      <w:r>
        <w:rPr>
          <w:rFonts w:hint="eastAsia" w:ascii="宋体" w:hAnsi="宋体"/>
          <w:b/>
          <w:color w:val="auto"/>
          <w:sz w:val="24"/>
          <w:highlight w:val="none"/>
        </w:rPr>
        <w:t>评标方法与评标标准</w:t>
      </w:r>
      <w:bookmarkEnd w:id="179"/>
    </w:p>
    <w:tbl>
      <w:tblPr>
        <w:tblStyle w:val="30"/>
        <w:tblW w:w="9072"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7229"/>
      </w:tblGrid>
      <w:tr w14:paraId="6DFB9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tcBorders>
              <w:top w:val="single" w:color="auto" w:sz="4" w:space="0"/>
              <w:left w:val="single" w:color="auto" w:sz="4" w:space="0"/>
              <w:bottom w:val="single" w:color="auto" w:sz="4" w:space="0"/>
              <w:right w:val="single" w:color="auto" w:sz="4" w:space="0"/>
            </w:tcBorders>
            <w:vAlign w:val="center"/>
          </w:tcPr>
          <w:p w14:paraId="0E1FC7F6">
            <w:pPr>
              <w:jc w:val="center"/>
              <w:rPr>
                <w:rFonts w:ascii="宋体" w:hAnsi="宋体" w:cs="宋体"/>
                <w:b/>
                <w:color w:val="auto"/>
                <w:sz w:val="24"/>
                <w:highlight w:val="none"/>
              </w:rPr>
            </w:pPr>
            <w:r>
              <w:rPr>
                <w:rFonts w:hint="eastAsia" w:ascii="宋体" w:hAnsi="宋体" w:cs="宋体"/>
                <w:b/>
                <w:color w:val="auto"/>
                <w:sz w:val="24"/>
                <w:highlight w:val="none"/>
              </w:rPr>
              <w:t>评审因素</w:t>
            </w:r>
          </w:p>
        </w:tc>
        <w:tc>
          <w:tcPr>
            <w:tcW w:w="7229" w:type="dxa"/>
            <w:tcBorders>
              <w:top w:val="single" w:color="auto" w:sz="4" w:space="0"/>
              <w:left w:val="single" w:color="auto" w:sz="4" w:space="0"/>
              <w:bottom w:val="single" w:color="auto" w:sz="4" w:space="0"/>
              <w:right w:val="single" w:color="auto" w:sz="4" w:space="0"/>
            </w:tcBorders>
            <w:vAlign w:val="center"/>
          </w:tcPr>
          <w:p w14:paraId="44B840FF">
            <w:pPr>
              <w:jc w:val="center"/>
              <w:rPr>
                <w:rFonts w:ascii="宋体" w:hAnsi="宋体" w:cs="宋体"/>
                <w:b/>
                <w:color w:val="auto"/>
                <w:sz w:val="24"/>
                <w:highlight w:val="none"/>
              </w:rPr>
            </w:pPr>
            <w:r>
              <w:rPr>
                <w:rFonts w:hint="eastAsia" w:ascii="宋体" w:hAnsi="宋体" w:cs="宋体"/>
                <w:b/>
                <w:color w:val="auto"/>
                <w:sz w:val="24"/>
                <w:highlight w:val="none"/>
              </w:rPr>
              <w:t>评审标准</w:t>
            </w:r>
          </w:p>
        </w:tc>
      </w:tr>
      <w:tr w14:paraId="00CE9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tcBorders>
              <w:top w:val="single" w:color="auto" w:sz="4" w:space="0"/>
              <w:left w:val="single" w:color="auto" w:sz="4" w:space="0"/>
              <w:bottom w:val="single" w:color="auto" w:sz="4" w:space="0"/>
              <w:right w:val="single" w:color="auto" w:sz="4" w:space="0"/>
            </w:tcBorders>
            <w:vAlign w:val="center"/>
          </w:tcPr>
          <w:p w14:paraId="1C5F2631">
            <w:pPr>
              <w:jc w:val="center"/>
              <w:rPr>
                <w:rFonts w:ascii="宋体" w:hAnsi="宋体" w:cs="宋体"/>
                <w:color w:val="auto"/>
                <w:sz w:val="24"/>
                <w:highlight w:val="none"/>
              </w:rPr>
            </w:pPr>
            <w:r>
              <w:rPr>
                <w:rFonts w:hint="eastAsia" w:ascii="宋体" w:hAnsi="宋体" w:cs="宋体"/>
                <w:color w:val="auto"/>
                <w:sz w:val="24"/>
                <w:highlight w:val="none"/>
              </w:rPr>
              <w:t>报价</w:t>
            </w:r>
          </w:p>
          <w:p w14:paraId="76F7DB4B">
            <w:pPr>
              <w:jc w:val="center"/>
              <w:rPr>
                <w:rFonts w:ascii="宋体" w:hAnsi="宋体" w:cs="宋体"/>
                <w:b/>
                <w:color w:val="auto"/>
                <w:sz w:val="24"/>
                <w:highlight w:val="none"/>
              </w:rPr>
            </w:pPr>
            <w:r>
              <w:rPr>
                <w:rFonts w:hint="eastAsia" w:ascii="宋体" w:hAnsi="宋体" w:cs="宋体"/>
                <w:color w:val="auto"/>
                <w:sz w:val="24"/>
                <w:highlight w:val="none"/>
              </w:rPr>
              <w:t>（10分）</w:t>
            </w:r>
          </w:p>
        </w:tc>
        <w:tc>
          <w:tcPr>
            <w:tcW w:w="7229" w:type="dxa"/>
            <w:tcBorders>
              <w:top w:val="single" w:color="auto" w:sz="4" w:space="0"/>
              <w:left w:val="single" w:color="auto" w:sz="4" w:space="0"/>
              <w:bottom w:val="single" w:color="auto" w:sz="4" w:space="0"/>
              <w:right w:val="single" w:color="auto" w:sz="4" w:space="0"/>
            </w:tcBorders>
            <w:vAlign w:val="center"/>
          </w:tcPr>
          <w:p w14:paraId="0D1A954D">
            <w:pPr>
              <w:rPr>
                <w:rFonts w:ascii="宋体" w:hAnsi="宋体" w:cs="宋体"/>
                <w:color w:val="auto"/>
                <w:sz w:val="24"/>
                <w:highlight w:val="none"/>
              </w:rPr>
            </w:pPr>
            <w:r>
              <w:rPr>
                <w:rFonts w:hint="eastAsia" w:ascii="宋体" w:hAnsi="宋体" w:cs="宋体"/>
                <w:color w:val="auto"/>
                <w:sz w:val="24"/>
                <w:highlight w:val="none"/>
              </w:rPr>
              <w:t>价格分采用低价优先法计算，即满足招标文件要求且投标价格最低的投标报价为评标基准价，其价格分为满分10分。其他投标人的价格分按照下列公式计算，保留小数点后2位：投标报价得分=（评标基准价／投标报价）×10</w:t>
            </w:r>
          </w:p>
        </w:tc>
      </w:tr>
      <w:tr w14:paraId="26EC6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tcBorders>
              <w:top w:val="single" w:color="auto" w:sz="4" w:space="0"/>
              <w:left w:val="single" w:color="auto" w:sz="4" w:space="0"/>
              <w:bottom w:val="single" w:color="auto" w:sz="4" w:space="0"/>
              <w:right w:val="single" w:color="auto" w:sz="4" w:space="0"/>
            </w:tcBorders>
            <w:vAlign w:val="center"/>
          </w:tcPr>
          <w:p w14:paraId="79B0E4F8">
            <w:pPr>
              <w:jc w:val="center"/>
              <w:rPr>
                <w:rFonts w:ascii="宋体" w:hAnsi="宋体" w:cs="宋体"/>
                <w:color w:val="auto"/>
                <w:sz w:val="24"/>
                <w:highlight w:val="none"/>
              </w:rPr>
            </w:pPr>
            <w:r>
              <w:rPr>
                <w:rFonts w:hint="eastAsia" w:ascii="宋体" w:hAnsi="宋体" w:cs="宋体"/>
                <w:color w:val="auto"/>
                <w:sz w:val="24"/>
                <w:highlight w:val="none"/>
              </w:rPr>
              <w:t>服务要求响应</w:t>
            </w:r>
          </w:p>
          <w:p w14:paraId="188F5CD2">
            <w:pPr>
              <w:jc w:val="center"/>
              <w:rPr>
                <w:rFonts w:ascii="宋体" w:hAnsi="宋体" w:cs="宋体"/>
                <w:color w:val="auto"/>
                <w:sz w:val="24"/>
                <w:highlight w:val="none"/>
              </w:rPr>
            </w:pPr>
            <w:r>
              <w:rPr>
                <w:rFonts w:hint="eastAsia" w:ascii="宋体" w:hAnsi="宋体" w:cs="宋体"/>
                <w:color w:val="auto"/>
                <w:sz w:val="24"/>
                <w:highlight w:val="none"/>
              </w:rPr>
              <w:t>（40分）</w:t>
            </w:r>
          </w:p>
        </w:tc>
        <w:tc>
          <w:tcPr>
            <w:tcW w:w="7229" w:type="dxa"/>
            <w:tcBorders>
              <w:top w:val="single" w:color="auto" w:sz="4" w:space="0"/>
              <w:left w:val="single" w:color="auto" w:sz="4" w:space="0"/>
              <w:bottom w:val="single" w:color="auto" w:sz="4" w:space="0"/>
              <w:right w:val="single" w:color="auto" w:sz="4" w:space="0"/>
            </w:tcBorders>
            <w:vAlign w:val="center"/>
          </w:tcPr>
          <w:p w14:paraId="0681B525">
            <w:pPr>
              <w:rPr>
                <w:rFonts w:ascii="宋体" w:hAnsi="宋体" w:cs="宋体"/>
                <w:color w:val="auto"/>
                <w:sz w:val="24"/>
                <w:highlight w:val="none"/>
              </w:rPr>
            </w:pPr>
            <w:r>
              <w:rPr>
                <w:rFonts w:hint="eastAsia" w:ascii="宋体" w:hAnsi="宋体" w:cs="宋体"/>
                <w:color w:val="auto"/>
                <w:sz w:val="24"/>
                <w:highlight w:val="none"/>
              </w:rPr>
              <w:t>评委根据投标文件中《</w:t>
            </w:r>
            <w:r>
              <w:rPr>
                <w:rFonts w:hint="eastAsia" w:ascii="宋体" w:hAnsi="宋体" w:cs="宋体"/>
                <w:color w:val="auto"/>
                <w:kern w:val="0"/>
                <w:sz w:val="24"/>
                <w:highlight w:val="none"/>
              </w:rPr>
              <w:t>技术要求响应及偏离表</w:t>
            </w:r>
            <w:r>
              <w:rPr>
                <w:rFonts w:hint="eastAsia" w:ascii="宋体" w:hAnsi="宋体" w:cs="宋体"/>
                <w:color w:val="auto"/>
                <w:sz w:val="24"/>
                <w:highlight w:val="none"/>
              </w:rPr>
              <w:t>》，结合投标文件提供的材料等进行评审：</w:t>
            </w:r>
          </w:p>
          <w:p w14:paraId="5C03872C">
            <w:pPr>
              <w:rPr>
                <w:rFonts w:ascii="宋体" w:hAnsi="宋体" w:cs="宋体"/>
                <w:color w:val="auto"/>
                <w:sz w:val="24"/>
                <w:highlight w:val="none"/>
              </w:rPr>
            </w:pPr>
            <w:r>
              <w:rPr>
                <w:rFonts w:hint="eastAsia" w:ascii="宋体" w:hAnsi="宋体" w:cs="宋体"/>
                <w:color w:val="auto"/>
                <w:sz w:val="24"/>
                <w:highlight w:val="none"/>
              </w:rPr>
              <w:t>完全满足《第四章 采购需求》二、</w:t>
            </w:r>
            <w:r>
              <w:rPr>
                <w:rFonts w:hint="eastAsia"/>
                <w:color w:val="auto"/>
                <w:sz w:val="24"/>
                <w:highlight w:val="none"/>
              </w:rPr>
              <w:t>维保技术要求</w:t>
            </w:r>
            <w:r>
              <w:rPr>
                <w:rFonts w:hint="eastAsia" w:ascii="宋体" w:hAnsi="宋体" w:cs="宋体"/>
                <w:color w:val="auto"/>
                <w:sz w:val="24"/>
                <w:highlight w:val="none"/>
              </w:rPr>
              <w:t>的得40分。</w:t>
            </w:r>
          </w:p>
          <w:p w14:paraId="59C4FB25">
            <w:pPr>
              <w:rPr>
                <w:rFonts w:ascii="宋体" w:hAnsi="宋体" w:cs="宋体"/>
                <w:color w:val="auto"/>
                <w:sz w:val="24"/>
                <w:highlight w:val="none"/>
              </w:rPr>
            </w:pPr>
            <w:r>
              <w:rPr>
                <w:rFonts w:hint="eastAsia" w:ascii="宋体" w:hAnsi="宋体" w:cs="宋体"/>
                <w:color w:val="auto"/>
                <w:sz w:val="24"/>
                <w:highlight w:val="none"/>
              </w:rPr>
              <w:t>“★”为关键参数，不允许负偏离，否则投标无效；</w:t>
            </w:r>
          </w:p>
          <w:p w14:paraId="6B6B9C4B">
            <w:pPr>
              <w:rPr>
                <w:rFonts w:ascii="宋体" w:hAnsi="宋体" w:cs="宋体"/>
                <w:color w:val="auto"/>
                <w:sz w:val="24"/>
                <w:highlight w:val="none"/>
                <w:u w:val="single"/>
              </w:rPr>
            </w:pPr>
            <w:r>
              <w:rPr>
                <w:rFonts w:hint="eastAsia" w:ascii="宋体" w:hAnsi="宋体" w:cs="宋体"/>
                <w:color w:val="auto"/>
                <w:sz w:val="24"/>
                <w:highlight w:val="none"/>
                <w:u w:val="single"/>
              </w:rPr>
              <w:t>①01包：重要参数（加注“▲”条款，需提供证明材料）每有一项负偏离扣</w:t>
            </w:r>
            <w:r>
              <w:rPr>
                <w:rFonts w:hint="eastAsia" w:ascii="宋体" w:hAnsi="宋体" w:cs="宋体"/>
                <w:color w:val="auto"/>
                <w:sz w:val="24"/>
                <w:highlight w:val="none"/>
                <w:u w:val="single"/>
                <w:lang w:val="en-US" w:eastAsia="zh-CN"/>
              </w:rPr>
              <w:t>1.5</w:t>
            </w:r>
            <w:r>
              <w:rPr>
                <w:rFonts w:hint="eastAsia" w:ascii="宋体" w:hAnsi="宋体" w:cs="宋体"/>
                <w:color w:val="auto"/>
                <w:sz w:val="24"/>
                <w:highlight w:val="none"/>
                <w:u w:val="single"/>
              </w:rPr>
              <w:t>分，一般参数每有一项负偏离扣</w:t>
            </w:r>
            <w:r>
              <w:rPr>
                <w:rFonts w:hint="eastAsia" w:ascii="宋体" w:hAnsi="宋体" w:cs="宋体"/>
                <w:color w:val="auto"/>
                <w:sz w:val="24"/>
                <w:highlight w:val="none"/>
                <w:u w:val="single"/>
                <w:lang w:val="en-US" w:eastAsia="zh-CN"/>
              </w:rPr>
              <w:t>1</w:t>
            </w:r>
            <w:r>
              <w:rPr>
                <w:rFonts w:hint="eastAsia" w:ascii="宋体" w:hAnsi="宋体" w:cs="宋体"/>
                <w:color w:val="auto"/>
                <w:sz w:val="24"/>
                <w:highlight w:val="none"/>
                <w:u w:val="single"/>
              </w:rPr>
              <w:t>分。</w:t>
            </w:r>
          </w:p>
          <w:p w14:paraId="4677C16D">
            <w:pPr>
              <w:rPr>
                <w:rFonts w:ascii="宋体" w:hAnsi="宋体" w:cs="宋体"/>
                <w:color w:val="auto"/>
                <w:sz w:val="24"/>
                <w:highlight w:val="none"/>
                <w:u w:val="single"/>
              </w:rPr>
            </w:pPr>
            <w:r>
              <w:rPr>
                <w:rFonts w:hint="eastAsia" w:ascii="宋体" w:hAnsi="宋体" w:cs="宋体"/>
                <w:color w:val="auto"/>
                <w:sz w:val="24"/>
                <w:highlight w:val="none"/>
                <w:u w:val="single"/>
              </w:rPr>
              <w:t>②02包：重要参数（加注“▲”条款，需提供证明材料）每有一项负偏离扣</w:t>
            </w:r>
            <w:r>
              <w:rPr>
                <w:rFonts w:ascii="宋体" w:hAnsi="宋体" w:cs="宋体"/>
                <w:color w:val="auto"/>
                <w:sz w:val="24"/>
                <w:highlight w:val="none"/>
                <w:u w:val="single"/>
              </w:rPr>
              <w:t>4.1</w:t>
            </w:r>
            <w:r>
              <w:rPr>
                <w:rFonts w:hint="eastAsia" w:ascii="宋体" w:hAnsi="宋体" w:cs="宋体"/>
                <w:color w:val="auto"/>
                <w:sz w:val="24"/>
                <w:highlight w:val="none"/>
                <w:u w:val="single"/>
              </w:rPr>
              <w:t>分，一般参数每有一项负偏离扣</w:t>
            </w:r>
            <w:r>
              <w:rPr>
                <w:rFonts w:ascii="宋体" w:hAnsi="宋体" w:cs="宋体"/>
                <w:color w:val="auto"/>
                <w:sz w:val="24"/>
                <w:highlight w:val="none"/>
                <w:u w:val="single"/>
              </w:rPr>
              <w:t>2.2</w:t>
            </w:r>
            <w:r>
              <w:rPr>
                <w:rFonts w:hint="eastAsia" w:ascii="宋体" w:hAnsi="宋体" w:cs="宋体"/>
                <w:color w:val="auto"/>
                <w:sz w:val="24"/>
                <w:highlight w:val="none"/>
                <w:u w:val="single"/>
              </w:rPr>
              <w:t>分。</w:t>
            </w:r>
          </w:p>
          <w:p w14:paraId="0C64120F">
            <w:pPr>
              <w:rPr>
                <w:rFonts w:hint="eastAsia" w:ascii="宋体" w:hAnsi="宋体" w:cs="宋体"/>
                <w:color w:val="auto"/>
                <w:sz w:val="24"/>
                <w:highlight w:val="none"/>
                <w:u w:val="single"/>
              </w:rPr>
            </w:pPr>
            <w:r>
              <w:rPr>
                <w:rFonts w:hint="eastAsia" w:ascii="宋体" w:hAnsi="宋体" w:cs="宋体"/>
                <w:color w:val="auto"/>
                <w:sz w:val="24"/>
                <w:highlight w:val="none"/>
                <w:u w:val="single"/>
              </w:rPr>
              <w:t>③0</w:t>
            </w:r>
            <w:r>
              <w:rPr>
                <w:rFonts w:ascii="宋体" w:hAnsi="宋体" w:cs="宋体"/>
                <w:color w:val="auto"/>
                <w:sz w:val="24"/>
                <w:highlight w:val="none"/>
                <w:u w:val="single"/>
              </w:rPr>
              <w:t>3</w:t>
            </w:r>
            <w:r>
              <w:rPr>
                <w:rFonts w:hint="eastAsia" w:ascii="宋体" w:hAnsi="宋体" w:cs="宋体"/>
                <w:color w:val="auto"/>
                <w:sz w:val="24"/>
                <w:highlight w:val="none"/>
                <w:u w:val="single"/>
              </w:rPr>
              <w:t>包：重要参数（加注“▲”条款，需提供证明材料）每有一项负偏离扣</w:t>
            </w:r>
            <w:r>
              <w:rPr>
                <w:rFonts w:hint="eastAsia" w:ascii="宋体" w:hAnsi="宋体" w:cs="宋体"/>
                <w:color w:val="auto"/>
                <w:sz w:val="24"/>
                <w:highlight w:val="none"/>
                <w:u w:val="single"/>
                <w:lang w:val="en-US" w:eastAsia="zh-CN"/>
              </w:rPr>
              <w:t>6.5</w:t>
            </w:r>
            <w:r>
              <w:rPr>
                <w:rFonts w:hint="eastAsia" w:ascii="宋体" w:hAnsi="宋体" w:cs="宋体"/>
                <w:color w:val="auto"/>
                <w:sz w:val="24"/>
                <w:highlight w:val="none"/>
                <w:u w:val="single"/>
              </w:rPr>
              <w:t>分，一般参数每有一项负偏离扣</w:t>
            </w:r>
            <w:r>
              <w:rPr>
                <w:rFonts w:hint="eastAsia" w:ascii="宋体" w:hAnsi="宋体" w:cs="宋体"/>
                <w:color w:val="auto"/>
                <w:sz w:val="24"/>
                <w:highlight w:val="none"/>
                <w:u w:val="single"/>
                <w:lang w:val="en-US" w:eastAsia="zh-CN"/>
              </w:rPr>
              <w:t>4.1</w:t>
            </w:r>
            <w:r>
              <w:rPr>
                <w:rFonts w:hint="eastAsia" w:ascii="宋体" w:hAnsi="宋体" w:cs="宋体"/>
                <w:color w:val="auto"/>
                <w:sz w:val="24"/>
                <w:highlight w:val="none"/>
                <w:u w:val="single"/>
              </w:rPr>
              <w:t>分。</w:t>
            </w:r>
          </w:p>
          <w:p w14:paraId="33A95F27">
            <w:pPr>
              <w:rPr>
                <w:rFonts w:hint="eastAsia" w:ascii="宋体" w:hAnsi="宋体" w:cs="宋体"/>
                <w:color w:val="auto"/>
                <w:sz w:val="24"/>
                <w:highlight w:val="none"/>
                <w:u w:val="single"/>
              </w:rPr>
            </w:pPr>
            <w:r>
              <w:rPr>
                <w:rFonts w:hint="eastAsia" w:ascii="宋体" w:hAnsi="宋体" w:cs="仿宋"/>
                <w:color w:val="auto"/>
                <w:szCs w:val="21"/>
                <w:highlight w:val="none"/>
              </w:rPr>
              <w:t>注：“技术</w:t>
            </w:r>
            <w:r>
              <w:rPr>
                <w:rFonts w:hint="eastAsia" w:ascii="宋体" w:hAnsi="宋体" w:cs="仿宋"/>
                <w:color w:val="auto"/>
                <w:szCs w:val="21"/>
                <w:highlight w:val="none"/>
                <w:lang w:eastAsia="zh-CN"/>
              </w:rPr>
              <w:t>要求</w:t>
            </w:r>
            <w:r>
              <w:rPr>
                <w:rFonts w:hint="eastAsia" w:ascii="宋体" w:hAnsi="宋体" w:cs="仿宋"/>
                <w:color w:val="auto"/>
                <w:szCs w:val="21"/>
                <w:highlight w:val="none"/>
              </w:rPr>
              <w:t>”中标★及▲指标，均需提供证明材料，如技术需求中明确技术证明材料类型的，以具体要求为准</w:t>
            </w:r>
            <w:r>
              <w:rPr>
                <w:rFonts w:hint="eastAsia" w:ascii="宋体" w:hAnsi="宋体" w:cs="仿宋"/>
                <w:color w:val="auto"/>
                <w:szCs w:val="21"/>
                <w:highlight w:val="none"/>
                <w:lang w:eastAsia="zh-CN"/>
              </w:rPr>
              <w:t>，不适合提供佐证材料的，投标人须提供承诺函并加盖公章</w:t>
            </w:r>
            <w:r>
              <w:rPr>
                <w:rFonts w:hint="eastAsia" w:ascii="宋体" w:hAnsi="宋体" w:cs="仿宋"/>
                <w:color w:val="auto"/>
                <w:szCs w:val="21"/>
                <w:highlight w:val="none"/>
              </w:rPr>
              <w:t>。所有的证明材料均需在《技术需求响应及偏离表》中清楚标注每一证明材料对应项的具体页码，未提供或提供的不符合要求的，自行承担被视为负偏离的风险。</w:t>
            </w:r>
          </w:p>
        </w:tc>
      </w:tr>
      <w:tr w14:paraId="226DA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Merge w:val="restart"/>
            <w:tcBorders>
              <w:top w:val="single" w:color="auto" w:sz="4" w:space="0"/>
              <w:left w:val="single" w:color="auto" w:sz="4" w:space="0"/>
              <w:right w:val="single" w:color="auto" w:sz="4" w:space="0"/>
            </w:tcBorders>
            <w:vAlign w:val="center"/>
          </w:tcPr>
          <w:p w14:paraId="13CD0533">
            <w:pPr>
              <w:jc w:val="center"/>
              <w:rPr>
                <w:rFonts w:ascii="宋体" w:hAnsi="宋体" w:cs="宋体"/>
                <w:color w:val="auto"/>
                <w:sz w:val="24"/>
                <w:highlight w:val="none"/>
              </w:rPr>
            </w:pPr>
            <w:r>
              <w:rPr>
                <w:rFonts w:hint="eastAsia" w:ascii="宋体" w:hAnsi="宋体" w:cs="宋体"/>
                <w:color w:val="auto"/>
                <w:sz w:val="24"/>
                <w:highlight w:val="none"/>
              </w:rPr>
              <w:t>服务方案</w:t>
            </w:r>
          </w:p>
          <w:p w14:paraId="45A7F3E8">
            <w:pPr>
              <w:jc w:val="center"/>
              <w:rPr>
                <w:rFonts w:ascii="宋体" w:hAnsi="宋体" w:cs="宋体"/>
                <w:color w:val="auto"/>
                <w:sz w:val="24"/>
                <w:highlight w:val="none"/>
              </w:rPr>
            </w:pPr>
            <w:r>
              <w:rPr>
                <w:rFonts w:hint="eastAsia" w:ascii="宋体" w:hAnsi="宋体" w:cs="宋体"/>
                <w:color w:val="auto"/>
                <w:sz w:val="24"/>
                <w:highlight w:val="none"/>
              </w:rPr>
              <w:t>（24分）</w:t>
            </w:r>
          </w:p>
        </w:tc>
        <w:tc>
          <w:tcPr>
            <w:tcW w:w="7229" w:type="dxa"/>
            <w:tcBorders>
              <w:top w:val="single" w:color="auto" w:sz="4" w:space="0"/>
              <w:left w:val="single" w:color="auto" w:sz="4" w:space="0"/>
              <w:right w:val="single" w:color="auto" w:sz="4" w:space="0"/>
            </w:tcBorders>
            <w:vAlign w:val="center"/>
          </w:tcPr>
          <w:p w14:paraId="68C3A76D">
            <w:pPr>
              <w:widowControl/>
              <w:rPr>
                <w:rFonts w:ascii="宋体" w:hAnsi="宋体" w:cs="宋体"/>
                <w:color w:val="auto"/>
                <w:sz w:val="24"/>
                <w:highlight w:val="none"/>
              </w:rPr>
            </w:pPr>
            <w:r>
              <w:rPr>
                <w:rFonts w:hint="eastAsia" w:ascii="宋体" w:hAnsi="宋体" w:cs="宋体"/>
                <w:color w:val="auto"/>
                <w:sz w:val="24"/>
                <w:highlight w:val="none"/>
              </w:rPr>
              <w:t>1、根据各投标人提供的项目</w:t>
            </w:r>
            <w:r>
              <w:rPr>
                <w:rFonts w:hint="eastAsia" w:ascii="宋体" w:hAnsi="宋体" w:cs="宋体"/>
                <w:b/>
                <w:bCs/>
                <w:color w:val="auto"/>
                <w:sz w:val="24"/>
                <w:highlight w:val="none"/>
              </w:rPr>
              <w:t>维修服务方案</w:t>
            </w:r>
            <w:r>
              <w:rPr>
                <w:rFonts w:hint="eastAsia" w:ascii="宋体" w:hAnsi="宋体" w:cs="宋体"/>
                <w:color w:val="auto"/>
                <w:sz w:val="24"/>
                <w:highlight w:val="none"/>
              </w:rPr>
              <w:t>内容</w:t>
            </w:r>
            <w:r>
              <w:rPr>
                <w:rFonts w:hint="eastAsia" w:ascii="宋体" w:hAnsi="宋体" w:cs="宋体"/>
                <w:b/>
                <w:bCs/>
                <w:color w:val="auto"/>
                <w:sz w:val="24"/>
                <w:highlight w:val="none"/>
              </w:rPr>
              <w:t>（包括但不限于a保养方案、b项目实施流程及进度安排、c维保措施、d培训计划及师资安排等）</w:t>
            </w:r>
            <w:r>
              <w:rPr>
                <w:rFonts w:hint="eastAsia" w:ascii="宋体" w:hAnsi="宋体" w:cs="宋体"/>
                <w:color w:val="auto"/>
                <w:sz w:val="24"/>
                <w:highlight w:val="none"/>
              </w:rPr>
              <w:t>进行评审，每项1.5分，共6分：</w:t>
            </w:r>
          </w:p>
          <w:p w14:paraId="10D1DF38">
            <w:pPr>
              <w:widowControl/>
              <w:rPr>
                <w:rFonts w:ascii="宋体" w:hAnsi="宋体" w:cs="宋体"/>
                <w:color w:val="auto"/>
                <w:sz w:val="24"/>
                <w:highlight w:val="none"/>
              </w:rPr>
            </w:pPr>
            <w:r>
              <w:rPr>
                <w:rFonts w:hint="eastAsia" w:ascii="宋体" w:hAnsi="宋体" w:cs="宋体"/>
                <w:color w:val="auto"/>
                <w:sz w:val="24"/>
                <w:highlight w:val="none"/>
              </w:rPr>
              <w:t>以上每项内容须根据下述量化评审因素指标要求进行打分。</w:t>
            </w:r>
          </w:p>
          <w:p w14:paraId="186FBC3A">
            <w:pPr>
              <w:widowControl/>
              <w:rPr>
                <w:rFonts w:ascii="宋体" w:hAnsi="宋体" w:cs="宋体"/>
                <w:color w:val="auto"/>
                <w:sz w:val="24"/>
                <w:highlight w:val="none"/>
              </w:rPr>
            </w:pPr>
            <w:r>
              <w:rPr>
                <w:rFonts w:hint="eastAsia" w:ascii="宋体" w:hAnsi="宋体" w:cs="宋体"/>
                <w:color w:val="auto"/>
                <w:sz w:val="24"/>
                <w:highlight w:val="none"/>
              </w:rPr>
              <w:t>1、方案完整详尽，专业性、可行性强，考虑周全，思路特别清晰完善，得1.5分；</w:t>
            </w:r>
          </w:p>
          <w:p w14:paraId="1511A8E8">
            <w:pPr>
              <w:widowControl/>
              <w:rPr>
                <w:rFonts w:ascii="宋体" w:hAnsi="宋体" w:cs="宋体"/>
                <w:color w:val="auto"/>
                <w:sz w:val="24"/>
                <w:highlight w:val="none"/>
              </w:rPr>
            </w:pPr>
            <w:r>
              <w:rPr>
                <w:rFonts w:hint="eastAsia" w:ascii="宋体" w:hAnsi="宋体" w:cs="宋体"/>
                <w:color w:val="auto"/>
                <w:sz w:val="24"/>
                <w:highlight w:val="none"/>
              </w:rPr>
              <w:t>2、对项目执行有一定认识，方案较为完整，思路基本清晰，该项得0.75分；</w:t>
            </w:r>
          </w:p>
          <w:p w14:paraId="35D05DD7">
            <w:pPr>
              <w:rPr>
                <w:rFonts w:ascii="宋体" w:hAnsi="宋体" w:cs="宋体"/>
                <w:color w:val="auto"/>
                <w:sz w:val="24"/>
                <w:highlight w:val="none"/>
              </w:rPr>
            </w:pPr>
            <w:r>
              <w:rPr>
                <w:rFonts w:hint="eastAsia" w:ascii="宋体" w:hAnsi="宋体" w:cs="宋体"/>
                <w:color w:val="auto"/>
                <w:sz w:val="24"/>
                <w:highlight w:val="none"/>
              </w:rPr>
              <w:t>3、未提供或者经评标委员会认定完全不具备可行性的不得分。</w:t>
            </w:r>
          </w:p>
        </w:tc>
      </w:tr>
      <w:tr w14:paraId="09F9E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Merge w:val="continue"/>
            <w:tcBorders>
              <w:left w:val="single" w:color="auto" w:sz="4" w:space="0"/>
              <w:right w:val="single" w:color="auto" w:sz="4" w:space="0"/>
            </w:tcBorders>
            <w:vAlign w:val="center"/>
          </w:tcPr>
          <w:p w14:paraId="2AEB2BAB">
            <w:pPr>
              <w:jc w:val="center"/>
              <w:rPr>
                <w:rFonts w:ascii="宋体" w:hAnsi="宋体" w:cs="宋体"/>
                <w:color w:val="auto"/>
                <w:sz w:val="24"/>
                <w:highlight w:val="none"/>
              </w:rPr>
            </w:pPr>
          </w:p>
        </w:tc>
        <w:tc>
          <w:tcPr>
            <w:tcW w:w="7229" w:type="dxa"/>
            <w:tcBorders>
              <w:top w:val="single" w:color="auto" w:sz="4" w:space="0"/>
              <w:left w:val="single" w:color="auto" w:sz="4" w:space="0"/>
              <w:bottom w:val="single" w:color="auto" w:sz="4" w:space="0"/>
              <w:right w:val="single" w:color="auto" w:sz="4" w:space="0"/>
            </w:tcBorders>
            <w:vAlign w:val="center"/>
          </w:tcPr>
          <w:p w14:paraId="1F49B682">
            <w:pPr>
              <w:widowControl/>
              <w:rPr>
                <w:rFonts w:ascii="宋体" w:hAnsi="宋体" w:cs="宋体"/>
                <w:color w:val="auto"/>
                <w:sz w:val="24"/>
                <w:highlight w:val="none"/>
              </w:rPr>
            </w:pPr>
            <w:r>
              <w:rPr>
                <w:rFonts w:hint="eastAsia" w:ascii="宋体" w:hAnsi="宋体" w:cs="宋体"/>
                <w:color w:val="auto"/>
                <w:sz w:val="24"/>
                <w:highlight w:val="none"/>
              </w:rPr>
              <w:t>2、根据各投标人提供的项目</w:t>
            </w:r>
            <w:r>
              <w:rPr>
                <w:rFonts w:hint="eastAsia" w:ascii="宋体" w:hAnsi="宋体" w:cs="宋体"/>
                <w:b/>
                <w:bCs/>
                <w:color w:val="auto"/>
                <w:sz w:val="24"/>
                <w:highlight w:val="none"/>
              </w:rPr>
              <w:t>应急服务方案</w:t>
            </w:r>
            <w:r>
              <w:rPr>
                <w:rFonts w:hint="eastAsia" w:ascii="宋体" w:hAnsi="宋体" w:cs="宋体"/>
                <w:color w:val="auto"/>
                <w:sz w:val="24"/>
                <w:highlight w:val="none"/>
              </w:rPr>
              <w:t>内容</w:t>
            </w:r>
            <w:r>
              <w:rPr>
                <w:rFonts w:hint="eastAsia" w:ascii="宋体" w:hAnsi="宋体" w:cs="宋体"/>
                <w:b/>
                <w:bCs/>
                <w:color w:val="auto"/>
                <w:sz w:val="24"/>
                <w:highlight w:val="none"/>
              </w:rPr>
              <w:t>（包括但不限于a应对突发事件应急预案、b应急人员安排、c应急响应时间、d应急处理质量管控等）</w:t>
            </w:r>
            <w:r>
              <w:rPr>
                <w:rFonts w:hint="eastAsia" w:ascii="宋体" w:hAnsi="宋体" w:cs="宋体"/>
                <w:color w:val="auto"/>
                <w:sz w:val="24"/>
                <w:highlight w:val="none"/>
              </w:rPr>
              <w:t>进行评审，每项1.5分，共6分：</w:t>
            </w:r>
          </w:p>
          <w:p w14:paraId="57F347CC">
            <w:pPr>
              <w:widowControl/>
              <w:rPr>
                <w:rFonts w:ascii="宋体" w:hAnsi="宋体" w:cs="宋体"/>
                <w:color w:val="auto"/>
                <w:sz w:val="24"/>
                <w:highlight w:val="none"/>
              </w:rPr>
            </w:pPr>
            <w:r>
              <w:rPr>
                <w:rFonts w:hint="eastAsia" w:ascii="宋体" w:hAnsi="宋体" w:cs="宋体"/>
                <w:color w:val="auto"/>
                <w:sz w:val="24"/>
                <w:highlight w:val="none"/>
              </w:rPr>
              <w:t>以上每项内容须根据下述量化评审因素指标要求进行打分。</w:t>
            </w:r>
          </w:p>
          <w:p w14:paraId="603C0121">
            <w:pPr>
              <w:widowControl/>
              <w:rPr>
                <w:rFonts w:ascii="宋体" w:hAnsi="宋体" w:cs="宋体"/>
                <w:color w:val="auto"/>
                <w:sz w:val="24"/>
                <w:highlight w:val="none"/>
              </w:rPr>
            </w:pPr>
            <w:r>
              <w:rPr>
                <w:rFonts w:hint="eastAsia" w:ascii="宋体" w:hAnsi="宋体" w:cs="宋体"/>
                <w:color w:val="auto"/>
                <w:sz w:val="24"/>
                <w:highlight w:val="none"/>
              </w:rPr>
              <w:t>1、方案完整详尽，专业性、可行性强，考虑周全，思路特别清晰完善，得1.5分；</w:t>
            </w:r>
          </w:p>
          <w:p w14:paraId="6C8592A5">
            <w:pPr>
              <w:widowControl/>
              <w:rPr>
                <w:rFonts w:ascii="宋体" w:hAnsi="宋体" w:cs="宋体"/>
                <w:color w:val="auto"/>
                <w:sz w:val="24"/>
                <w:highlight w:val="none"/>
              </w:rPr>
            </w:pPr>
            <w:r>
              <w:rPr>
                <w:rFonts w:hint="eastAsia" w:ascii="宋体" w:hAnsi="宋体" w:cs="宋体"/>
                <w:color w:val="auto"/>
                <w:sz w:val="24"/>
                <w:highlight w:val="none"/>
              </w:rPr>
              <w:t>2、对项目执行有一定认识，方案较为完整，思路基本清晰，该项得0.75分；</w:t>
            </w:r>
          </w:p>
          <w:p w14:paraId="43A1E41C">
            <w:pPr>
              <w:rPr>
                <w:rFonts w:ascii="宋体" w:hAnsi="宋体" w:cs="宋体"/>
                <w:color w:val="auto"/>
                <w:sz w:val="24"/>
                <w:highlight w:val="none"/>
              </w:rPr>
            </w:pPr>
            <w:r>
              <w:rPr>
                <w:rFonts w:hint="eastAsia" w:ascii="宋体" w:hAnsi="宋体" w:cs="宋体"/>
                <w:color w:val="auto"/>
                <w:sz w:val="24"/>
                <w:highlight w:val="none"/>
              </w:rPr>
              <w:t>3、未提供或者经评标委员会认定完全不具备可行性的不得分。</w:t>
            </w:r>
          </w:p>
        </w:tc>
      </w:tr>
      <w:tr w14:paraId="0F6DD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Merge w:val="continue"/>
            <w:tcBorders>
              <w:left w:val="single" w:color="auto" w:sz="4" w:space="0"/>
              <w:right w:val="single" w:color="auto" w:sz="4" w:space="0"/>
            </w:tcBorders>
            <w:vAlign w:val="center"/>
          </w:tcPr>
          <w:p w14:paraId="2B8EE8E8">
            <w:pPr>
              <w:jc w:val="center"/>
              <w:rPr>
                <w:rFonts w:ascii="宋体" w:hAnsi="宋体" w:cs="宋体"/>
                <w:color w:val="auto"/>
                <w:sz w:val="24"/>
                <w:highlight w:val="none"/>
              </w:rPr>
            </w:pPr>
          </w:p>
        </w:tc>
        <w:tc>
          <w:tcPr>
            <w:tcW w:w="7229" w:type="dxa"/>
            <w:tcBorders>
              <w:top w:val="single" w:color="auto" w:sz="4" w:space="0"/>
              <w:left w:val="single" w:color="auto" w:sz="4" w:space="0"/>
              <w:bottom w:val="single" w:color="auto" w:sz="4" w:space="0"/>
              <w:right w:val="single" w:color="auto" w:sz="4" w:space="0"/>
            </w:tcBorders>
            <w:vAlign w:val="center"/>
          </w:tcPr>
          <w:p w14:paraId="52BBF663">
            <w:pPr>
              <w:widowControl/>
              <w:rPr>
                <w:rFonts w:ascii="宋体" w:hAnsi="宋体" w:cs="宋体"/>
                <w:bCs/>
                <w:color w:val="auto"/>
                <w:sz w:val="24"/>
                <w:highlight w:val="none"/>
              </w:rPr>
            </w:pPr>
            <w:r>
              <w:rPr>
                <w:rFonts w:hint="eastAsia" w:ascii="宋体" w:hAnsi="宋体" w:cs="宋体"/>
                <w:color w:val="auto"/>
                <w:sz w:val="24"/>
                <w:highlight w:val="none"/>
              </w:rPr>
              <w:t>3、根据各投标人提供的</w:t>
            </w:r>
            <w:r>
              <w:rPr>
                <w:rFonts w:hint="eastAsia" w:ascii="宋体" w:hAnsi="宋体" w:cs="宋体"/>
                <w:b/>
                <w:color w:val="auto"/>
                <w:sz w:val="24"/>
                <w:highlight w:val="none"/>
              </w:rPr>
              <w:t>团队人员配置管理情况</w:t>
            </w:r>
            <w:r>
              <w:rPr>
                <w:rFonts w:hint="eastAsia" w:ascii="宋体" w:hAnsi="宋体" w:cs="宋体"/>
                <w:color w:val="auto"/>
                <w:sz w:val="24"/>
                <w:highlight w:val="none"/>
              </w:rPr>
              <w:t>方案内容</w:t>
            </w:r>
            <w:r>
              <w:rPr>
                <w:rFonts w:hint="eastAsia" w:ascii="宋体" w:hAnsi="宋体" w:cs="宋体"/>
                <w:b/>
                <w:color w:val="auto"/>
                <w:sz w:val="24"/>
                <w:highlight w:val="none"/>
              </w:rPr>
              <w:t>（包括但不限于a人员配备、b人员管理制度及安全管理制度、c人员专业服务能力、d人员日常培训等）</w:t>
            </w:r>
            <w:r>
              <w:rPr>
                <w:rFonts w:hint="eastAsia" w:ascii="宋体" w:hAnsi="宋体" w:cs="宋体"/>
                <w:bCs/>
                <w:color w:val="auto"/>
                <w:sz w:val="24"/>
                <w:highlight w:val="none"/>
              </w:rPr>
              <w:t>进行评审，每项1.5分，共6分：</w:t>
            </w:r>
          </w:p>
          <w:p w14:paraId="06EE6001">
            <w:pPr>
              <w:widowControl/>
              <w:rPr>
                <w:rFonts w:ascii="宋体" w:hAnsi="宋体" w:cs="宋体"/>
                <w:color w:val="auto"/>
                <w:sz w:val="24"/>
                <w:highlight w:val="none"/>
              </w:rPr>
            </w:pPr>
            <w:r>
              <w:rPr>
                <w:rFonts w:hint="eastAsia" w:ascii="宋体" w:hAnsi="宋体" w:cs="宋体"/>
                <w:color w:val="auto"/>
                <w:sz w:val="24"/>
                <w:highlight w:val="none"/>
              </w:rPr>
              <w:t>以上每项内容须根据下述量化评审因素指标要求进行打分。</w:t>
            </w:r>
          </w:p>
          <w:p w14:paraId="315DF786">
            <w:pPr>
              <w:widowControl/>
              <w:rPr>
                <w:rFonts w:ascii="宋体" w:hAnsi="宋体" w:cs="宋体"/>
                <w:color w:val="auto"/>
                <w:sz w:val="24"/>
                <w:highlight w:val="none"/>
              </w:rPr>
            </w:pPr>
            <w:r>
              <w:rPr>
                <w:rFonts w:hint="eastAsia" w:ascii="宋体" w:hAnsi="宋体" w:cs="宋体"/>
                <w:color w:val="auto"/>
                <w:sz w:val="24"/>
                <w:highlight w:val="none"/>
              </w:rPr>
              <w:t>1、方案完整详尽，专业性、可行性强，考虑周全，思路特别清晰完善，得1.5分；</w:t>
            </w:r>
          </w:p>
          <w:p w14:paraId="6CD71850">
            <w:pPr>
              <w:widowControl/>
              <w:rPr>
                <w:rFonts w:ascii="宋体" w:hAnsi="宋体" w:cs="宋体"/>
                <w:color w:val="auto"/>
                <w:sz w:val="24"/>
                <w:highlight w:val="none"/>
              </w:rPr>
            </w:pPr>
            <w:r>
              <w:rPr>
                <w:rFonts w:hint="eastAsia" w:ascii="宋体" w:hAnsi="宋体" w:cs="宋体"/>
                <w:color w:val="auto"/>
                <w:sz w:val="24"/>
                <w:highlight w:val="none"/>
              </w:rPr>
              <w:t>2、对项目执行有一定认识，方案较为完整，思路基本清晰，该项得0.75分；</w:t>
            </w:r>
          </w:p>
          <w:p w14:paraId="1FC94A25">
            <w:pPr>
              <w:pStyle w:val="10"/>
              <w:ind w:firstLine="0" w:firstLineChars="0"/>
              <w:rPr>
                <w:color w:val="auto"/>
                <w:highlight w:val="none"/>
              </w:rPr>
            </w:pPr>
            <w:r>
              <w:rPr>
                <w:rFonts w:hint="eastAsia"/>
                <w:b w:val="0"/>
                <w:color w:val="auto"/>
                <w:sz w:val="24"/>
                <w:highlight w:val="none"/>
                <w:u w:val="none"/>
              </w:rPr>
              <w:t>3、未提供或者经评标委员会认定完全不具备可行性的不得分。</w:t>
            </w:r>
          </w:p>
        </w:tc>
      </w:tr>
      <w:tr w14:paraId="466C8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Merge w:val="continue"/>
            <w:tcBorders>
              <w:left w:val="single" w:color="auto" w:sz="4" w:space="0"/>
              <w:right w:val="single" w:color="auto" w:sz="4" w:space="0"/>
            </w:tcBorders>
            <w:vAlign w:val="center"/>
          </w:tcPr>
          <w:p w14:paraId="29E04B97">
            <w:pPr>
              <w:jc w:val="center"/>
              <w:rPr>
                <w:rFonts w:ascii="宋体" w:hAnsi="宋体" w:cs="宋体"/>
                <w:color w:val="auto"/>
                <w:sz w:val="24"/>
                <w:highlight w:val="none"/>
              </w:rPr>
            </w:pPr>
          </w:p>
        </w:tc>
        <w:tc>
          <w:tcPr>
            <w:tcW w:w="7229" w:type="dxa"/>
            <w:tcBorders>
              <w:top w:val="single" w:color="auto" w:sz="4" w:space="0"/>
              <w:left w:val="single" w:color="auto" w:sz="4" w:space="0"/>
              <w:bottom w:val="single" w:color="auto" w:sz="4" w:space="0"/>
              <w:right w:val="single" w:color="auto" w:sz="4" w:space="0"/>
            </w:tcBorders>
            <w:vAlign w:val="center"/>
          </w:tcPr>
          <w:p w14:paraId="20E647B5">
            <w:pPr>
              <w:widowControl/>
              <w:rPr>
                <w:rFonts w:ascii="宋体" w:hAnsi="宋体" w:cs="宋体"/>
                <w:b/>
                <w:color w:val="auto"/>
                <w:sz w:val="24"/>
                <w:highlight w:val="none"/>
                <w:u w:val="single"/>
              </w:rPr>
            </w:pPr>
            <w:r>
              <w:rPr>
                <w:rFonts w:hint="eastAsia" w:ascii="宋体" w:hAnsi="宋体" w:cs="宋体"/>
                <w:color w:val="auto"/>
                <w:sz w:val="24"/>
                <w:highlight w:val="none"/>
              </w:rPr>
              <w:t>4、根据各投标人提供的</w:t>
            </w:r>
            <w:r>
              <w:rPr>
                <w:rFonts w:hint="eastAsia" w:ascii="宋体" w:hAnsi="宋体" w:cs="宋体"/>
                <w:b/>
                <w:color w:val="auto"/>
                <w:sz w:val="24"/>
                <w:highlight w:val="none"/>
                <w:u w:val="single"/>
              </w:rPr>
              <w:t>售后服务</w:t>
            </w:r>
            <w:r>
              <w:rPr>
                <w:rFonts w:hint="eastAsia" w:ascii="宋体" w:hAnsi="宋体" w:cs="宋体"/>
                <w:color w:val="auto"/>
                <w:sz w:val="24"/>
                <w:highlight w:val="none"/>
              </w:rPr>
              <w:t>方案内容</w:t>
            </w:r>
            <w:r>
              <w:rPr>
                <w:rFonts w:hint="eastAsia" w:ascii="宋体" w:hAnsi="宋体" w:cs="宋体"/>
                <w:b/>
                <w:color w:val="auto"/>
                <w:sz w:val="24"/>
                <w:highlight w:val="none"/>
              </w:rPr>
              <w:t>（包括但不限于a售后人员安排、b质量管控方案、c资料档案管理、d、故障预防措施以及售后措施等）</w:t>
            </w:r>
            <w:r>
              <w:rPr>
                <w:rFonts w:hint="eastAsia" w:ascii="宋体" w:hAnsi="宋体" w:cs="宋体"/>
                <w:bCs/>
                <w:color w:val="auto"/>
                <w:sz w:val="24"/>
                <w:highlight w:val="none"/>
              </w:rPr>
              <w:t>进行评审，每项1.5分，共6分：</w:t>
            </w:r>
          </w:p>
          <w:p w14:paraId="486EBD3D">
            <w:pPr>
              <w:widowControl/>
              <w:rPr>
                <w:rFonts w:ascii="宋体" w:hAnsi="宋体" w:cs="宋体"/>
                <w:color w:val="auto"/>
                <w:sz w:val="24"/>
                <w:highlight w:val="none"/>
              </w:rPr>
            </w:pPr>
            <w:r>
              <w:rPr>
                <w:rFonts w:hint="eastAsia" w:ascii="宋体" w:hAnsi="宋体" w:cs="宋体"/>
                <w:color w:val="auto"/>
                <w:sz w:val="24"/>
                <w:highlight w:val="none"/>
              </w:rPr>
              <w:t>以上每项内容须根据下述量化评审因素指标要求进行打分。</w:t>
            </w:r>
          </w:p>
          <w:p w14:paraId="20BF3C1E">
            <w:pPr>
              <w:widowControl/>
              <w:rPr>
                <w:rFonts w:ascii="宋体" w:hAnsi="宋体" w:cs="宋体"/>
                <w:color w:val="auto"/>
                <w:sz w:val="24"/>
                <w:highlight w:val="none"/>
              </w:rPr>
            </w:pPr>
            <w:r>
              <w:rPr>
                <w:rFonts w:hint="eastAsia" w:ascii="宋体" w:hAnsi="宋体" w:cs="宋体"/>
                <w:color w:val="auto"/>
                <w:sz w:val="24"/>
                <w:highlight w:val="none"/>
              </w:rPr>
              <w:t>1、方案完整详尽，专业性、可行性强，考虑周全，思路特别清晰完善，得1.5分；</w:t>
            </w:r>
          </w:p>
          <w:p w14:paraId="10B84BBA">
            <w:pPr>
              <w:widowControl/>
              <w:rPr>
                <w:rFonts w:ascii="宋体" w:hAnsi="宋体" w:cs="宋体"/>
                <w:color w:val="auto"/>
                <w:sz w:val="24"/>
                <w:highlight w:val="none"/>
              </w:rPr>
            </w:pPr>
            <w:r>
              <w:rPr>
                <w:rFonts w:hint="eastAsia" w:ascii="宋体" w:hAnsi="宋体" w:cs="宋体"/>
                <w:color w:val="auto"/>
                <w:sz w:val="24"/>
                <w:highlight w:val="none"/>
              </w:rPr>
              <w:t>2、对项目执行有一定认识，方案较为完整，思路基本清晰，该项得0.75分；</w:t>
            </w:r>
          </w:p>
          <w:p w14:paraId="48E05B49">
            <w:pPr>
              <w:rPr>
                <w:rFonts w:hint="eastAsia" w:ascii="宋体" w:hAnsi="宋体"/>
                <w:color w:val="auto"/>
                <w:sz w:val="24"/>
                <w:highlight w:val="none"/>
                <w:lang w:val="zh-TW"/>
              </w:rPr>
            </w:pPr>
            <w:r>
              <w:rPr>
                <w:rFonts w:hint="eastAsia" w:ascii="宋体" w:hAnsi="宋体" w:cs="宋体"/>
                <w:color w:val="auto"/>
                <w:sz w:val="24"/>
                <w:highlight w:val="none"/>
              </w:rPr>
              <w:t>3、未提供或者经评标委员会认定完全不具备可行性的不得分。</w:t>
            </w:r>
          </w:p>
        </w:tc>
      </w:tr>
      <w:tr w14:paraId="445FD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Merge w:val="restart"/>
            <w:tcBorders>
              <w:left w:val="single" w:color="auto" w:sz="4" w:space="0"/>
              <w:right w:val="single" w:color="auto" w:sz="4" w:space="0"/>
            </w:tcBorders>
            <w:vAlign w:val="center"/>
          </w:tcPr>
          <w:p w14:paraId="42E28256">
            <w:pPr>
              <w:jc w:val="center"/>
              <w:rPr>
                <w:rFonts w:ascii="宋体" w:hAnsi="宋体"/>
                <w:color w:val="auto"/>
                <w:sz w:val="24"/>
                <w:highlight w:val="none"/>
                <w:lang w:val="zh-TW"/>
              </w:rPr>
            </w:pPr>
            <w:r>
              <w:rPr>
                <w:rFonts w:hint="eastAsia" w:ascii="宋体" w:hAnsi="宋体"/>
                <w:color w:val="auto"/>
                <w:sz w:val="24"/>
                <w:highlight w:val="none"/>
                <w:lang w:val="zh-TW"/>
              </w:rPr>
              <w:t>维保服务能力</w:t>
            </w:r>
          </w:p>
          <w:p w14:paraId="748B4F5E">
            <w:pPr>
              <w:jc w:val="center"/>
              <w:rPr>
                <w:rFonts w:ascii="宋体" w:hAnsi="宋体"/>
                <w:color w:val="auto"/>
                <w:sz w:val="24"/>
                <w:highlight w:val="none"/>
                <w:lang w:val="zh-TW"/>
              </w:rPr>
            </w:pPr>
            <w:r>
              <w:rPr>
                <w:rFonts w:hint="eastAsia" w:ascii="宋体" w:hAnsi="宋体"/>
                <w:color w:val="auto"/>
                <w:sz w:val="24"/>
                <w:highlight w:val="none"/>
                <w:lang w:val="zh-TW"/>
              </w:rPr>
              <w:t>（2</w:t>
            </w:r>
            <w:r>
              <w:rPr>
                <w:rFonts w:hint="eastAsia" w:ascii="宋体" w:hAnsi="宋体"/>
                <w:color w:val="auto"/>
                <w:sz w:val="24"/>
                <w:highlight w:val="none"/>
              </w:rPr>
              <w:t>6</w:t>
            </w:r>
            <w:r>
              <w:rPr>
                <w:rFonts w:hint="eastAsia" w:ascii="宋体" w:hAnsi="宋体"/>
                <w:color w:val="auto"/>
                <w:sz w:val="24"/>
                <w:highlight w:val="none"/>
                <w:lang w:val="zh-TW"/>
              </w:rPr>
              <w:t>分）</w:t>
            </w:r>
          </w:p>
        </w:tc>
        <w:tc>
          <w:tcPr>
            <w:tcW w:w="7229" w:type="dxa"/>
            <w:tcBorders>
              <w:top w:val="single" w:color="auto" w:sz="4" w:space="0"/>
              <w:left w:val="single" w:color="auto" w:sz="4" w:space="0"/>
              <w:bottom w:val="single" w:color="auto" w:sz="4" w:space="0"/>
              <w:right w:val="single" w:color="auto" w:sz="4" w:space="0"/>
            </w:tcBorders>
            <w:vAlign w:val="center"/>
          </w:tcPr>
          <w:p w14:paraId="3EA9188F">
            <w:pPr>
              <w:rPr>
                <w:rFonts w:ascii="宋体" w:hAnsi="宋体"/>
                <w:color w:val="auto"/>
                <w:sz w:val="24"/>
                <w:highlight w:val="none"/>
                <w:lang w:val="zh-TW"/>
              </w:rPr>
            </w:pPr>
            <w:r>
              <w:rPr>
                <w:rFonts w:hint="eastAsia" w:ascii="宋体" w:hAnsi="宋体"/>
                <w:color w:val="auto"/>
                <w:sz w:val="24"/>
                <w:highlight w:val="none"/>
              </w:rPr>
              <w:t>1</w:t>
            </w:r>
            <w:r>
              <w:rPr>
                <w:rFonts w:hint="eastAsia" w:ascii="宋体" w:hAnsi="宋体"/>
                <w:color w:val="auto"/>
                <w:sz w:val="24"/>
                <w:highlight w:val="none"/>
                <w:lang w:val="zh-TW"/>
              </w:rPr>
              <w:t>.工具配置及零配件储备情况12分：</w:t>
            </w:r>
          </w:p>
          <w:p w14:paraId="3AA6BFAB">
            <w:pPr>
              <w:rPr>
                <w:rFonts w:ascii="宋体" w:hAnsi="宋体"/>
                <w:color w:val="auto"/>
                <w:sz w:val="24"/>
                <w:highlight w:val="none"/>
                <w:lang w:val="zh-TW"/>
              </w:rPr>
            </w:pPr>
            <w:r>
              <w:rPr>
                <w:rFonts w:hint="eastAsia" w:ascii="宋体" w:hAnsi="宋体"/>
                <w:color w:val="auto"/>
                <w:sz w:val="24"/>
                <w:highlight w:val="none"/>
                <w:lang w:val="zh-TW"/>
              </w:rPr>
              <w:t>a) 投标人具有全套维修工具，并提供适用于本次维保设备的相关维修工具图片和清单；未提供不得分。（6分）</w:t>
            </w:r>
          </w:p>
          <w:p w14:paraId="4C5D86D1">
            <w:pPr>
              <w:rPr>
                <w:rFonts w:ascii="宋体" w:hAnsi="宋体"/>
                <w:color w:val="auto"/>
                <w:sz w:val="24"/>
                <w:highlight w:val="none"/>
                <w:lang w:val="zh-TW"/>
              </w:rPr>
            </w:pPr>
            <w:r>
              <w:rPr>
                <w:rFonts w:hint="eastAsia" w:ascii="宋体" w:hAnsi="宋体"/>
                <w:color w:val="auto"/>
                <w:sz w:val="24"/>
                <w:highlight w:val="none"/>
                <w:lang w:val="zh-TW"/>
              </w:rPr>
              <w:t>b) 投标人在国内设有零备件仓库，提供零备件仓库地址及联系人、联系电话，提供一个得</w:t>
            </w:r>
            <w:r>
              <w:rPr>
                <w:rFonts w:hint="eastAsia" w:ascii="宋体" w:hAnsi="宋体"/>
                <w:color w:val="auto"/>
                <w:sz w:val="24"/>
                <w:highlight w:val="none"/>
              </w:rPr>
              <w:t>3</w:t>
            </w:r>
            <w:r>
              <w:rPr>
                <w:rFonts w:hint="eastAsia" w:ascii="宋体" w:hAnsi="宋体"/>
                <w:color w:val="auto"/>
                <w:sz w:val="24"/>
                <w:highlight w:val="none"/>
                <w:lang w:val="zh-TW"/>
              </w:rPr>
              <w:t>分，最多得</w:t>
            </w:r>
            <w:r>
              <w:rPr>
                <w:rFonts w:hint="eastAsia" w:ascii="宋体" w:hAnsi="宋体"/>
                <w:color w:val="auto"/>
                <w:sz w:val="24"/>
                <w:highlight w:val="none"/>
              </w:rPr>
              <w:t>6</w:t>
            </w:r>
            <w:r>
              <w:rPr>
                <w:rFonts w:hint="eastAsia" w:ascii="宋体" w:hAnsi="宋体"/>
                <w:color w:val="auto"/>
                <w:sz w:val="24"/>
                <w:highlight w:val="none"/>
                <w:lang w:val="zh-TW"/>
              </w:rPr>
              <w:t>分，未提供或提供的资料不全不得分。</w:t>
            </w:r>
          </w:p>
          <w:p w14:paraId="5974B640">
            <w:pPr>
              <w:rPr>
                <w:rFonts w:ascii="宋体" w:hAnsi="宋体"/>
                <w:color w:val="auto"/>
                <w:sz w:val="24"/>
                <w:highlight w:val="none"/>
                <w:lang w:val="zh-TW"/>
              </w:rPr>
            </w:pPr>
            <w:r>
              <w:rPr>
                <w:rFonts w:hint="eastAsia" w:ascii="宋体" w:hAnsi="宋体"/>
                <w:color w:val="auto"/>
                <w:sz w:val="24"/>
                <w:highlight w:val="none"/>
                <w:lang w:val="zh-TW"/>
              </w:rPr>
              <w:t>注：自有仓库须提供仓库不动产产权证（证书上须明确体现投标人名称和面积）；租赁仓库须提供不动产产权证和租赁合同（租赁合同中须明确体现投标人的名称和面积）。</w:t>
            </w:r>
          </w:p>
          <w:p w14:paraId="7DF41D37">
            <w:pPr>
              <w:rPr>
                <w:rFonts w:ascii="宋体" w:hAnsi="宋体"/>
                <w:color w:val="auto"/>
                <w:sz w:val="24"/>
                <w:highlight w:val="none"/>
                <w:lang w:val="zh-TW"/>
              </w:rPr>
            </w:pPr>
            <w:r>
              <w:rPr>
                <w:rFonts w:hint="eastAsia" w:ascii="宋体" w:hAnsi="宋体"/>
                <w:color w:val="auto"/>
                <w:sz w:val="24"/>
                <w:highlight w:val="none"/>
                <w:lang w:val="zh-TW"/>
              </w:rPr>
              <w:t>投标人如为具备厂家授权的代理商或者与生产厂家签署维修服务合作协议，可使用厂家零件库的相关材料。</w:t>
            </w:r>
          </w:p>
        </w:tc>
      </w:tr>
      <w:tr w14:paraId="507E8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Merge w:val="continue"/>
            <w:tcBorders>
              <w:left w:val="single" w:color="auto" w:sz="4" w:space="0"/>
              <w:right w:val="single" w:color="auto" w:sz="4" w:space="0"/>
            </w:tcBorders>
            <w:vAlign w:val="center"/>
          </w:tcPr>
          <w:p w14:paraId="51E4EA15">
            <w:pPr>
              <w:rPr>
                <w:rFonts w:ascii="宋体" w:hAnsi="宋体"/>
                <w:color w:val="auto"/>
                <w:sz w:val="24"/>
                <w:highlight w:val="none"/>
                <w:lang w:val="zh-TW"/>
              </w:rPr>
            </w:pPr>
          </w:p>
        </w:tc>
        <w:tc>
          <w:tcPr>
            <w:tcW w:w="7229" w:type="dxa"/>
            <w:tcBorders>
              <w:top w:val="single" w:color="auto" w:sz="4" w:space="0"/>
              <w:left w:val="single" w:color="auto" w:sz="4" w:space="0"/>
              <w:bottom w:val="single" w:color="auto" w:sz="4" w:space="0"/>
              <w:right w:val="single" w:color="auto" w:sz="4" w:space="0"/>
            </w:tcBorders>
            <w:vAlign w:val="center"/>
          </w:tcPr>
          <w:p w14:paraId="0EFFA7BB">
            <w:pPr>
              <w:rPr>
                <w:rFonts w:ascii="宋体" w:hAnsi="宋体"/>
                <w:color w:val="auto"/>
                <w:sz w:val="24"/>
                <w:highlight w:val="none"/>
                <w:lang w:val="zh-TW"/>
              </w:rPr>
            </w:pPr>
            <w:r>
              <w:rPr>
                <w:rFonts w:hint="eastAsia" w:ascii="宋体" w:hAnsi="宋体"/>
                <w:color w:val="auto"/>
                <w:sz w:val="24"/>
                <w:highlight w:val="none"/>
              </w:rPr>
              <w:t>2.</w:t>
            </w:r>
            <w:r>
              <w:rPr>
                <w:rFonts w:hint="eastAsia" w:ascii="宋体" w:hAnsi="宋体"/>
                <w:color w:val="auto"/>
                <w:sz w:val="24"/>
                <w:highlight w:val="none"/>
                <w:lang w:val="zh-TW"/>
              </w:rPr>
              <w:t>投标人提供具有维保设备原厂或其他受原厂委托机构出具的同品牌</w:t>
            </w:r>
            <w:r>
              <w:rPr>
                <w:rFonts w:hint="eastAsia" w:ascii="宋体" w:hAnsi="宋体"/>
                <w:color w:val="auto"/>
                <w:sz w:val="24"/>
                <w:highlight w:val="none"/>
              </w:rPr>
              <w:t>设备</w:t>
            </w:r>
            <w:r>
              <w:rPr>
                <w:rFonts w:hint="eastAsia" w:ascii="宋体" w:hAnsi="宋体"/>
                <w:color w:val="auto"/>
                <w:sz w:val="24"/>
                <w:highlight w:val="none"/>
                <w:lang w:val="zh-TW"/>
              </w:rPr>
              <w:t>维保或维修培训证书的工程师团队，同时提供培训证书（复印件并加盖公章）、投标人为该工程师缴纳的社保记录（投标文件递交截止时间前六个月内任一月份的记录复印件），或投标人为具备厂家授权的代理商或者与生产厂家签署维修服务合作协议的，可使用厂家工程师（提供为该工程师缴纳的社保记录（投标文件递交截止时间前六个月内任一月份的记录复印件）。工程师团队人数在满足招标文件要求</w:t>
            </w:r>
            <w:r>
              <w:rPr>
                <w:rFonts w:hint="default" w:ascii="宋体" w:hAnsi="宋体"/>
                <w:color w:val="auto"/>
                <w:sz w:val="24"/>
                <w:highlight w:val="none"/>
                <w:u w:val="single"/>
                <w:lang w:val="en-US"/>
              </w:rPr>
              <w:t>（0</w:t>
            </w:r>
            <w:r>
              <w:rPr>
                <w:rFonts w:hint="default" w:ascii="宋体" w:hAnsi="宋体" w:eastAsia="PMingLiU"/>
                <w:color w:val="auto"/>
                <w:sz w:val="24"/>
                <w:highlight w:val="none"/>
                <w:u w:val="single"/>
                <w:lang w:val="en-US" w:eastAsia="zh-TW"/>
              </w:rPr>
              <w:t>1</w:t>
            </w:r>
            <w:r>
              <w:rPr>
                <w:rFonts w:hint="default" w:asciiTheme="minorEastAsia" w:hAnsiTheme="minorEastAsia" w:eastAsiaTheme="minorEastAsia"/>
                <w:color w:val="auto"/>
                <w:sz w:val="24"/>
                <w:highlight w:val="none"/>
                <w:u w:val="single"/>
                <w:lang w:val="en-US"/>
              </w:rPr>
              <w:t>包：</w:t>
            </w:r>
            <w:r>
              <w:rPr>
                <w:rFonts w:hint="default" w:ascii="宋体" w:hAnsi="宋体"/>
                <w:color w:val="auto"/>
                <w:sz w:val="24"/>
                <w:highlight w:val="none"/>
                <w:u w:val="single"/>
                <w:lang w:val="en-US"/>
              </w:rPr>
              <w:t>2人，0</w:t>
            </w:r>
            <w:r>
              <w:rPr>
                <w:rFonts w:hint="default" w:ascii="宋体" w:hAnsi="宋体" w:eastAsia="PMingLiU"/>
                <w:color w:val="auto"/>
                <w:sz w:val="24"/>
                <w:highlight w:val="none"/>
                <w:u w:val="single"/>
                <w:lang w:val="en-US" w:eastAsia="zh-TW"/>
              </w:rPr>
              <w:t>2</w:t>
            </w:r>
            <w:r>
              <w:rPr>
                <w:rFonts w:hint="default" w:asciiTheme="minorEastAsia" w:hAnsiTheme="minorEastAsia" w:eastAsiaTheme="minorEastAsia"/>
                <w:color w:val="auto"/>
                <w:sz w:val="24"/>
                <w:highlight w:val="none"/>
                <w:u w:val="single"/>
                <w:lang w:val="en-US"/>
              </w:rPr>
              <w:t>包：</w:t>
            </w:r>
            <w:r>
              <w:rPr>
                <w:rFonts w:hint="default" w:ascii="宋体" w:hAnsi="宋体" w:eastAsiaTheme="minorEastAsia"/>
                <w:color w:val="auto"/>
                <w:sz w:val="24"/>
                <w:highlight w:val="none"/>
                <w:u w:val="single"/>
                <w:lang w:val="en-US"/>
              </w:rPr>
              <w:t>3人，0</w:t>
            </w:r>
            <w:r>
              <w:rPr>
                <w:rFonts w:hint="default" w:ascii="宋体" w:hAnsi="宋体" w:eastAsia="PMingLiU"/>
                <w:color w:val="auto"/>
                <w:sz w:val="24"/>
                <w:highlight w:val="none"/>
                <w:u w:val="single"/>
                <w:lang w:val="en-US" w:eastAsia="zh-TW"/>
              </w:rPr>
              <w:t>3</w:t>
            </w:r>
            <w:r>
              <w:rPr>
                <w:rFonts w:hint="default" w:asciiTheme="minorEastAsia" w:hAnsiTheme="minorEastAsia" w:eastAsiaTheme="minorEastAsia"/>
                <w:color w:val="auto"/>
                <w:sz w:val="24"/>
                <w:highlight w:val="none"/>
                <w:u w:val="single"/>
                <w:lang w:val="en-US"/>
              </w:rPr>
              <w:t>包：</w:t>
            </w:r>
            <w:r>
              <w:rPr>
                <w:rFonts w:hint="default" w:ascii="宋体" w:hAnsi="宋体" w:eastAsiaTheme="minorEastAsia"/>
                <w:color w:val="auto"/>
                <w:sz w:val="24"/>
                <w:highlight w:val="none"/>
                <w:u w:val="single"/>
                <w:lang w:val="en-US"/>
              </w:rPr>
              <w:t>3人</w:t>
            </w:r>
            <w:r>
              <w:rPr>
                <w:rFonts w:hint="default" w:ascii="宋体" w:hAnsi="宋体"/>
                <w:color w:val="auto"/>
                <w:sz w:val="24"/>
                <w:highlight w:val="none"/>
                <w:u w:val="single"/>
                <w:lang w:val="en-US"/>
              </w:rPr>
              <w:t>）</w:t>
            </w:r>
            <w:r>
              <w:rPr>
                <w:rFonts w:hint="eastAsia" w:ascii="宋体" w:hAnsi="宋体"/>
                <w:color w:val="auto"/>
                <w:sz w:val="24"/>
                <w:highlight w:val="none"/>
                <w:lang w:val="zh-TW"/>
              </w:rPr>
              <w:t>的基础上，每多一人得2分，最多得</w:t>
            </w:r>
            <w:r>
              <w:rPr>
                <w:rFonts w:hint="eastAsia" w:ascii="宋体" w:hAnsi="宋体"/>
                <w:color w:val="auto"/>
                <w:sz w:val="24"/>
                <w:highlight w:val="none"/>
              </w:rPr>
              <w:t>8</w:t>
            </w:r>
            <w:r>
              <w:rPr>
                <w:rFonts w:hint="eastAsia" w:ascii="宋体" w:hAnsi="宋体"/>
                <w:color w:val="auto"/>
                <w:sz w:val="24"/>
                <w:highlight w:val="none"/>
                <w:lang w:val="zh-TW"/>
              </w:rPr>
              <w:t>分。</w:t>
            </w:r>
          </w:p>
        </w:tc>
      </w:tr>
      <w:tr w14:paraId="75E1A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Merge w:val="continue"/>
            <w:tcBorders>
              <w:left w:val="single" w:color="auto" w:sz="4" w:space="0"/>
              <w:right w:val="single" w:color="auto" w:sz="4" w:space="0"/>
            </w:tcBorders>
            <w:vAlign w:val="center"/>
          </w:tcPr>
          <w:p w14:paraId="07167667">
            <w:pPr>
              <w:rPr>
                <w:rFonts w:ascii="宋体" w:hAnsi="宋体"/>
                <w:color w:val="auto"/>
                <w:sz w:val="24"/>
                <w:highlight w:val="none"/>
                <w:lang w:val="zh-TW"/>
              </w:rPr>
            </w:pPr>
          </w:p>
        </w:tc>
        <w:tc>
          <w:tcPr>
            <w:tcW w:w="7229" w:type="dxa"/>
            <w:tcBorders>
              <w:top w:val="single" w:color="auto" w:sz="4" w:space="0"/>
              <w:left w:val="single" w:color="auto" w:sz="4" w:space="0"/>
              <w:bottom w:val="single" w:color="auto" w:sz="4" w:space="0"/>
              <w:right w:val="single" w:color="auto" w:sz="4" w:space="0"/>
            </w:tcBorders>
            <w:vAlign w:val="center"/>
          </w:tcPr>
          <w:p w14:paraId="6A87B9A2">
            <w:pPr>
              <w:rPr>
                <w:rFonts w:ascii="宋体" w:hAnsi="宋体"/>
                <w:color w:val="auto"/>
                <w:sz w:val="24"/>
                <w:highlight w:val="none"/>
                <w:lang w:val="zh-TW"/>
              </w:rPr>
            </w:pPr>
            <w:r>
              <w:rPr>
                <w:rFonts w:hint="eastAsia" w:ascii="宋体" w:hAnsi="宋体"/>
                <w:color w:val="auto"/>
                <w:sz w:val="24"/>
                <w:highlight w:val="none"/>
              </w:rPr>
              <w:t>3</w:t>
            </w:r>
            <w:r>
              <w:rPr>
                <w:rFonts w:hint="eastAsia" w:ascii="宋体" w:hAnsi="宋体"/>
                <w:color w:val="auto"/>
                <w:sz w:val="24"/>
                <w:highlight w:val="none"/>
                <w:lang w:val="zh-TW"/>
              </w:rPr>
              <w:t>.投标人为维保设备原生产厂家，或者具备生产厂家的售后授权，或者与生产厂家签署维修服务合作协议的，得</w:t>
            </w:r>
            <w:r>
              <w:rPr>
                <w:rFonts w:hint="eastAsia" w:ascii="宋体" w:hAnsi="宋体"/>
                <w:color w:val="auto"/>
                <w:sz w:val="24"/>
                <w:highlight w:val="none"/>
              </w:rPr>
              <w:t>6</w:t>
            </w:r>
            <w:r>
              <w:rPr>
                <w:rFonts w:hint="eastAsia" w:ascii="宋体" w:hAnsi="宋体"/>
                <w:color w:val="auto"/>
                <w:sz w:val="24"/>
                <w:highlight w:val="none"/>
                <w:lang w:val="zh-TW"/>
              </w:rPr>
              <w:t>分。</w:t>
            </w:r>
          </w:p>
        </w:tc>
      </w:tr>
    </w:tbl>
    <w:p w14:paraId="1282A6B3">
      <w:pPr>
        <w:rPr>
          <w:rFonts w:ascii="宋体" w:hAnsi="宋体"/>
          <w:color w:val="auto"/>
          <w:sz w:val="24"/>
          <w:highlight w:val="none"/>
          <w:lang w:val="zh-TW"/>
        </w:rPr>
      </w:pPr>
    </w:p>
    <w:p w14:paraId="249B1714">
      <w:pPr>
        <w:widowControl/>
        <w:spacing w:line="276" w:lineRule="auto"/>
        <w:jc w:val="center"/>
        <w:outlineLvl w:val="0"/>
        <w:rPr>
          <w:rFonts w:ascii="宋体" w:hAnsi="宋体" w:cs="宋体"/>
          <w:b/>
          <w:color w:val="auto"/>
          <w:sz w:val="32"/>
          <w:szCs w:val="32"/>
          <w:highlight w:val="none"/>
        </w:rPr>
      </w:pPr>
      <w:r>
        <w:rPr>
          <w:rFonts w:hint="eastAsia" w:ascii="宋体" w:hAnsi="宋体" w:cs="宋体"/>
          <w:color w:val="auto"/>
          <w:szCs w:val="21"/>
          <w:highlight w:val="none"/>
        </w:rPr>
        <w:br w:type="page"/>
      </w:r>
      <w:bookmarkStart w:id="180" w:name="_Toc16197"/>
      <w:r>
        <w:rPr>
          <w:rFonts w:hint="eastAsia" w:ascii="宋体" w:hAnsi="宋体" w:cs="宋体"/>
          <w:b/>
          <w:color w:val="auto"/>
          <w:sz w:val="32"/>
          <w:szCs w:val="32"/>
          <w:highlight w:val="none"/>
        </w:rPr>
        <w:t>第六章  投标文件格式</w:t>
      </w:r>
      <w:bookmarkEnd w:id="180"/>
    </w:p>
    <w:p w14:paraId="42F8B7DB">
      <w:pPr>
        <w:spacing w:line="276" w:lineRule="auto"/>
        <w:rPr>
          <w:rFonts w:ascii="宋体" w:hAnsi="宋体" w:cs="宋体"/>
          <w:color w:val="auto"/>
          <w:szCs w:val="21"/>
          <w:highlight w:val="none"/>
        </w:rPr>
      </w:pPr>
    </w:p>
    <w:p w14:paraId="1DDC832E">
      <w:pPr>
        <w:spacing w:line="276" w:lineRule="auto"/>
        <w:jc w:val="center"/>
        <w:rPr>
          <w:rFonts w:ascii="宋体" w:hAnsi="宋体" w:cs="宋体"/>
          <w:b/>
          <w:color w:val="auto"/>
          <w:sz w:val="72"/>
          <w:szCs w:val="21"/>
          <w:highlight w:val="none"/>
        </w:rPr>
      </w:pPr>
    </w:p>
    <w:p w14:paraId="61B83086">
      <w:pPr>
        <w:jc w:val="center"/>
        <w:rPr>
          <w:b/>
          <w:bCs/>
          <w:color w:val="auto"/>
          <w:sz w:val="72"/>
          <w:szCs w:val="72"/>
          <w:highlight w:val="none"/>
        </w:rPr>
      </w:pPr>
      <w:bookmarkStart w:id="181" w:name="_Toc184129787"/>
      <w:r>
        <w:rPr>
          <w:rFonts w:hint="eastAsia"/>
          <w:b/>
          <w:bCs/>
          <w:color w:val="auto"/>
          <w:sz w:val="72"/>
          <w:szCs w:val="72"/>
          <w:highlight w:val="none"/>
        </w:rPr>
        <w:t>投  标  文  件</w:t>
      </w:r>
      <w:bookmarkEnd w:id="181"/>
    </w:p>
    <w:p w14:paraId="17E911E2">
      <w:pPr>
        <w:spacing w:line="276" w:lineRule="auto"/>
        <w:jc w:val="center"/>
        <w:rPr>
          <w:rFonts w:ascii="宋体" w:hAnsi="宋体" w:cs="宋体"/>
          <w:b/>
          <w:color w:val="auto"/>
          <w:sz w:val="72"/>
          <w:szCs w:val="21"/>
          <w:highlight w:val="none"/>
        </w:rPr>
      </w:pPr>
    </w:p>
    <w:p w14:paraId="2F92B380">
      <w:pPr>
        <w:spacing w:line="276" w:lineRule="auto"/>
        <w:jc w:val="center"/>
        <w:rPr>
          <w:rFonts w:ascii="宋体" w:hAnsi="宋体" w:cs="宋体"/>
          <w:b/>
          <w:color w:val="auto"/>
          <w:sz w:val="72"/>
          <w:szCs w:val="21"/>
          <w:highlight w:val="none"/>
        </w:rPr>
      </w:pPr>
    </w:p>
    <w:tbl>
      <w:tblPr>
        <w:tblStyle w:val="31"/>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552"/>
        <w:gridCol w:w="6379"/>
      </w:tblGrid>
      <w:tr w14:paraId="29393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552" w:type="dxa"/>
            <w:tcBorders>
              <w:tl2br w:val="nil"/>
              <w:tr2bl w:val="nil"/>
            </w:tcBorders>
            <w:vAlign w:val="center"/>
          </w:tcPr>
          <w:p w14:paraId="60EC958B">
            <w:pPr>
              <w:spacing w:line="276" w:lineRule="auto"/>
              <w:jc w:val="center"/>
              <w:rPr>
                <w:rFonts w:ascii="宋体" w:hAnsi="宋体" w:cs="宋体"/>
                <w:b/>
                <w:color w:val="auto"/>
                <w:sz w:val="32"/>
                <w:szCs w:val="32"/>
                <w:highlight w:val="none"/>
              </w:rPr>
            </w:pPr>
            <w:r>
              <w:rPr>
                <w:rFonts w:hint="eastAsia" w:ascii="宋体" w:hAnsi="宋体" w:cs="宋体"/>
                <w:b/>
                <w:color w:val="auto"/>
                <w:sz w:val="32"/>
                <w:szCs w:val="32"/>
                <w:highlight w:val="none"/>
              </w:rPr>
              <w:t>项目名称：</w:t>
            </w:r>
          </w:p>
        </w:tc>
        <w:tc>
          <w:tcPr>
            <w:tcW w:w="6379" w:type="dxa"/>
            <w:tcBorders>
              <w:tl2br w:val="nil"/>
              <w:tr2bl w:val="nil"/>
            </w:tcBorders>
            <w:vAlign w:val="center"/>
          </w:tcPr>
          <w:p w14:paraId="5A9A1909">
            <w:pPr>
              <w:spacing w:line="276" w:lineRule="auto"/>
              <w:rPr>
                <w:rFonts w:ascii="宋体" w:hAnsi="宋体" w:cs="宋体"/>
                <w:b/>
                <w:color w:val="auto"/>
                <w:sz w:val="32"/>
                <w:szCs w:val="32"/>
                <w:highlight w:val="none"/>
              </w:rPr>
            </w:pPr>
            <w:r>
              <w:rPr>
                <w:rFonts w:hint="eastAsia" w:ascii="宋体" w:hAnsi="宋体" w:cs="宋体"/>
                <w:b/>
                <w:color w:val="auto"/>
                <w:sz w:val="32"/>
                <w:szCs w:val="32"/>
                <w:highlight w:val="none"/>
              </w:rPr>
              <w:t>南京市江宁医院医疗设备维保服务采购项目</w:t>
            </w:r>
          </w:p>
        </w:tc>
      </w:tr>
      <w:tr w14:paraId="1329C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552" w:type="dxa"/>
            <w:tcBorders>
              <w:tl2br w:val="nil"/>
              <w:tr2bl w:val="nil"/>
            </w:tcBorders>
            <w:vAlign w:val="center"/>
          </w:tcPr>
          <w:p w14:paraId="1A2648B4">
            <w:pPr>
              <w:spacing w:line="276" w:lineRule="auto"/>
              <w:jc w:val="center"/>
              <w:rPr>
                <w:rFonts w:ascii="宋体" w:hAnsi="宋体" w:cs="宋体"/>
                <w:b/>
                <w:color w:val="auto"/>
                <w:sz w:val="32"/>
                <w:szCs w:val="32"/>
                <w:highlight w:val="none"/>
              </w:rPr>
            </w:pPr>
            <w:r>
              <w:rPr>
                <w:rFonts w:hint="eastAsia" w:ascii="宋体" w:hAnsi="宋体" w:cs="宋体"/>
                <w:b/>
                <w:color w:val="auto"/>
                <w:sz w:val="32"/>
                <w:szCs w:val="32"/>
                <w:highlight w:val="none"/>
              </w:rPr>
              <w:t>项目编号：</w:t>
            </w:r>
          </w:p>
        </w:tc>
        <w:tc>
          <w:tcPr>
            <w:tcW w:w="6379" w:type="dxa"/>
            <w:tcBorders>
              <w:tl2br w:val="nil"/>
              <w:tr2bl w:val="nil"/>
            </w:tcBorders>
            <w:vAlign w:val="center"/>
          </w:tcPr>
          <w:p w14:paraId="5F54682A">
            <w:pPr>
              <w:spacing w:line="276" w:lineRule="auto"/>
              <w:jc w:val="left"/>
              <w:rPr>
                <w:rFonts w:ascii="宋体" w:hAnsi="宋体" w:cs="宋体"/>
                <w:b/>
                <w:color w:val="auto"/>
                <w:sz w:val="32"/>
                <w:szCs w:val="32"/>
                <w:highlight w:val="none"/>
              </w:rPr>
            </w:pPr>
            <w:r>
              <w:rPr>
                <w:rFonts w:ascii="宋体" w:hAnsi="宋体" w:cs="宋体"/>
                <w:b/>
                <w:color w:val="auto"/>
                <w:sz w:val="32"/>
                <w:szCs w:val="32"/>
                <w:highlight w:val="none"/>
              </w:rPr>
              <w:t>JSZC-320115-SHGK-G2026-0054</w:t>
            </w:r>
          </w:p>
        </w:tc>
      </w:tr>
      <w:tr w14:paraId="38E45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552" w:type="dxa"/>
            <w:tcBorders>
              <w:tl2br w:val="nil"/>
              <w:tr2bl w:val="nil"/>
            </w:tcBorders>
            <w:vAlign w:val="center"/>
          </w:tcPr>
          <w:p w14:paraId="0D049CB3">
            <w:pPr>
              <w:spacing w:line="276" w:lineRule="auto"/>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包号：</w:t>
            </w:r>
          </w:p>
        </w:tc>
        <w:tc>
          <w:tcPr>
            <w:tcW w:w="6379" w:type="dxa"/>
            <w:tcBorders>
              <w:tl2br w:val="nil"/>
              <w:tr2bl w:val="nil"/>
            </w:tcBorders>
            <w:vAlign w:val="center"/>
          </w:tcPr>
          <w:p w14:paraId="695CD5A4">
            <w:pPr>
              <w:spacing w:line="276" w:lineRule="auto"/>
              <w:jc w:val="left"/>
              <w:rPr>
                <w:rFonts w:hint="eastAsia" w:ascii="宋体" w:hAnsi="宋体" w:cs="宋体"/>
                <w:b/>
                <w:color w:val="auto"/>
                <w:sz w:val="32"/>
                <w:szCs w:val="32"/>
                <w:highlight w:val="none"/>
              </w:rPr>
            </w:pPr>
            <w:r>
              <w:rPr>
                <w:rFonts w:hint="eastAsia" w:ascii="宋体" w:hAnsi="宋体" w:cs="宋体"/>
                <w:b/>
                <w:color w:val="auto"/>
                <w:sz w:val="32"/>
                <w:szCs w:val="32"/>
                <w:highlight w:val="none"/>
              </w:rPr>
              <w:t>X</w:t>
            </w:r>
            <w:r>
              <w:rPr>
                <w:rFonts w:ascii="宋体" w:hAnsi="宋体" w:cs="宋体"/>
                <w:b/>
                <w:color w:val="auto"/>
                <w:sz w:val="32"/>
                <w:szCs w:val="32"/>
                <w:highlight w:val="none"/>
              </w:rPr>
              <w:t>X</w:t>
            </w:r>
          </w:p>
        </w:tc>
      </w:tr>
      <w:tr w14:paraId="7846A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552" w:type="dxa"/>
            <w:tcBorders>
              <w:tl2br w:val="nil"/>
              <w:tr2bl w:val="nil"/>
            </w:tcBorders>
            <w:vAlign w:val="center"/>
          </w:tcPr>
          <w:p w14:paraId="05F3A979">
            <w:pPr>
              <w:spacing w:line="276" w:lineRule="auto"/>
              <w:jc w:val="center"/>
              <w:rPr>
                <w:rFonts w:ascii="宋体" w:hAnsi="宋体" w:cs="宋体"/>
                <w:b/>
                <w:color w:val="auto"/>
                <w:sz w:val="32"/>
                <w:szCs w:val="32"/>
                <w:highlight w:val="none"/>
              </w:rPr>
            </w:pPr>
            <w:r>
              <w:rPr>
                <w:rFonts w:hint="eastAsia" w:ascii="宋体" w:hAnsi="宋体" w:cs="宋体"/>
                <w:b/>
                <w:color w:val="auto"/>
                <w:sz w:val="36"/>
                <w:szCs w:val="21"/>
                <w:highlight w:val="none"/>
              </w:rPr>
              <w:t>投标人名称：</w:t>
            </w:r>
          </w:p>
        </w:tc>
        <w:tc>
          <w:tcPr>
            <w:tcW w:w="6379" w:type="dxa"/>
            <w:tcBorders>
              <w:tl2br w:val="nil"/>
              <w:tr2bl w:val="nil"/>
            </w:tcBorders>
            <w:vAlign w:val="center"/>
          </w:tcPr>
          <w:p w14:paraId="36C55233">
            <w:pPr>
              <w:spacing w:line="276" w:lineRule="auto"/>
              <w:rPr>
                <w:rFonts w:ascii="宋体" w:hAnsi="宋体" w:cs="宋体"/>
                <w:b/>
                <w:color w:val="auto"/>
                <w:sz w:val="32"/>
                <w:szCs w:val="32"/>
                <w:highlight w:val="none"/>
              </w:rPr>
            </w:pPr>
            <w:r>
              <w:rPr>
                <w:rFonts w:hint="eastAsia" w:ascii="宋体" w:hAnsi="宋体" w:cs="宋体"/>
                <w:b/>
                <w:color w:val="auto"/>
                <w:sz w:val="36"/>
                <w:szCs w:val="21"/>
                <w:highlight w:val="none"/>
              </w:rPr>
              <w:t>（加盖CA电子公章）</w:t>
            </w:r>
          </w:p>
        </w:tc>
      </w:tr>
      <w:tr w14:paraId="7F252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552" w:type="dxa"/>
            <w:tcBorders>
              <w:tl2br w:val="nil"/>
              <w:tr2bl w:val="nil"/>
            </w:tcBorders>
            <w:vAlign w:val="center"/>
          </w:tcPr>
          <w:p w14:paraId="752D615E">
            <w:pPr>
              <w:spacing w:line="276" w:lineRule="auto"/>
              <w:jc w:val="center"/>
              <w:rPr>
                <w:rFonts w:ascii="宋体" w:hAnsi="宋体" w:cs="宋体"/>
                <w:b/>
                <w:color w:val="auto"/>
                <w:sz w:val="32"/>
                <w:szCs w:val="32"/>
                <w:highlight w:val="none"/>
              </w:rPr>
            </w:pPr>
            <w:r>
              <w:rPr>
                <w:rFonts w:hint="eastAsia" w:ascii="宋体" w:hAnsi="宋体" w:cs="宋体"/>
                <w:b/>
                <w:color w:val="auto"/>
                <w:sz w:val="32"/>
                <w:szCs w:val="32"/>
                <w:highlight w:val="none"/>
              </w:rPr>
              <w:t>日期</w:t>
            </w:r>
            <w:r>
              <w:rPr>
                <w:rFonts w:hint="eastAsia" w:ascii="宋体" w:hAnsi="宋体" w:cs="宋体"/>
                <w:b/>
                <w:color w:val="auto"/>
                <w:sz w:val="36"/>
                <w:szCs w:val="21"/>
                <w:highlight w:val="none"/>
              </w:rPr>
              <w:t>：</w:t>
            </w:r>
          </w:p>
        </w:tc>
        <w:tc>
          <w:tcPr>
            <w:tcW w:w="6379" w:type="dxa"/>
            <w:tcBorders>
              <w:tl2br w:val="nil"/>
              <w:tr2bl w:val="nil"/>
            </w:tcBorders>
            <w:vAlign w:val="center"/>
          </w:tcPr>
          <w:p w14:paraId="22B73702">
            <w:pPr>
              <w:spacing w:line="276" w:lineRule="auto"/>
              <w:rPr>
                <w:rFonts w:ascii="宋体" w:hAnsi="宋体" w:cs="宋体"/>
                <w:b/>
                <w:color w:val="auto"/>
                <w:sz w:val="32"/>
                <w:szCs w:val="32"/>
                <w:highlight w:val="none"/>
              </w:rPr>
            </w:pPr>
            <w:r>
              <w:rPr>
                <w:rFonts w:hint="eastAsia" w:ascii="宋体" w:hAnsi="宋体" w:cs="宋体"/>
                <w:b/>
                <w:color w:val="auto"/>
                <w:sz w:val="32"/>
                <w:szCs w:val="32"/>
                <w:highlight w:val="none"/>
              </w:rPr>
              <w:t>2026年XX月XX日</w:t>
            </w:r>
          </w:p>
        </w:tc>
      </w:tr>
    </w:tbl>
    <w:p w14:paraId="4073F4B9">
      <w:pPr>
        <w:spacing w:line="276" w:lineRule="auto"/>
        <w:jc w:val="center"/>
        <w:rPr>
          <w:rFonts w:ascii="宋体" w:hAnsi="宋体" w:cs="宋体"/>
          <w:b/>
          <w:color w:val="auto"/>
          <w:sz w:val="36"/>
          <w:szCs w:val="21"/>
          <w:highlight w:val="none"/>
        </w:rPr>
      </w:pPr>
    </w:p>
    <w:p w14:paraId="2F22BABD">
      <w:pPr>
        <w:spacing w:line="276" w:lineRule="auto"/>
        <w:jc w:val="center"/>
        <w:rPr>
          <w:rFonts w:ascii="宋体" w:hAnsi="宋体" w:cs="宋体"/>
          <w:b/>
          <w:color w:val="auto"/>
          <w:sz w:val="36"/>
          <w:szCs w:val="21"/>
          <w:highlight w:val="none"/>
        </w:rPr>
      </w:pPr>
    </w:p>
    <w:p w14:paraId="5063FA3C">
      <w:pPr>
        <w:spacing w:line="276" w:lineRule="auto"/>
        <w:jc w:val="center"/>
        <w:rPr>
          <w:rFonts w:ascii="宋体" w:hAnsi="宋体" w:cs="宋体"/>
          <w:b/>
          <w:color w:val="auto"/>
          <w:sz w:val="36"/>
          <w:szCs w:val="21"/>
          <w:highlight w:val="none"/>
        </w:rPr>
      </w:pPr>
    </w:p>
    <w:p w14:paraId="3EFB081A">
      <w:pPr>
        <w:spacing w:line="276" w:lineRule="auto"/>
        <w:rPr>
          <w:rFonts w:ascii="宋体" w:hAnsi="宋体" w:cs="宋体"/>
          <w:color w:val="auto"/>
          <w:szCs w:val="21"/>
          <w:highlight w:val="none"/>
        </w:rPr>
      </w:pPr>
    </w:p>
    <w:p w14:paraId="4B6A5746">
      <w:pPr>
        <w:spacing w:line="276" w:lineRule="auto"/>
        <w:rPr>
          <w:rFonts w:ascii="宋体" w:hAnsi="宋体" w:cs="宋体"/>
          <w:color w:val="auto"/>
          <w:szCs w:val="21"/>
          <w:highlight w:val="none"/>
        </w:rPr>
      </w:pPr>
    </w:p>
    <w:p w14:paraId="01EA0B26">
      <w:pPr>
        <w:spacing w:line="276" w:lineRule="auto"/>
        <w:jc w:val="center"/>
        <w:outlineLvl w:val="1"/>
        <w:rPr>
          <w:rFonts w:ascii="宋体" w:hAnsi="宋体" w:cs="宋体"/>
          <w:i/>
          <w:color w:val="auto"/>
          <w:sz w:val="32"/>
          <w:szCs w:val="32"/>
          <w:highlight w:val="none"/>
          <w:u w:val="single"/>
        </w:rPr>
      </w:pPr>
      <w:r>
        <w:rPr>
          <w:rFonts w:hint="eastAsia" w:ascii="宋体" w:hAnsi="宋体" w:cs="宋体"/>
          <w:color w:val="auto"/>
          <w:szCs w:val="21"/>
          <w:highlight w:val="none"/>
        </w:rPr>
        <w:br w:type="page"/>
      </w:r>
      <w:bookmarkStart w:id="182" w:name="_Toc184129789"/>
      <w:r>
        <w:rPr>
          <w:rFonts w:hint="eastAsia" w:ascii="宋体" w:hAnsi="宋体" w:cs="宋体"/>
          <w:i/>
          <w:color w:val="auto"/>
          <w:sz w:val="32"/>
          <w:szCs w:val="32"/>
          <w:highlight w:val="none"/>
        </w:rPr>
        <w:t>南京市政府采购投标人信用记录表暨信用承诺书</w:t>
      </w:r>
    </w:p>
    <w:p w14:paraId="0EDEDB11">
      <w:pPr>
        <w:pBdr>
          <w:top w:val="none" w:color="000000" w:sz="0" w:space="0"/>
          <w:left w:val="none" w:color="000000" w:sz="0" w:space="0"/>
          <w:bottom w:val="none" w:color="000000" w:sz="0" w:space="0"/>
          <w:right w:val="none" w:color="000000" w:sz="0" w:space="0"/>
        </w:pBdr>
        <w:spacing w:before="270" w:line="360" w:lineRule="atLeast"/>
        <w:jc w:val="right"/>
        <w:rPr>
          <w:rFonts w:ascii="宋体" w:hAnsi="宋体" w:cs="宋体"/>
          <w:color w:val="auto"/>
          <w:highlight w:val="none"/>
        </w:rPr>
      </w:pPr>
      <w:r>
        <w:rPr>
          <w:rFonts w:hint="eastAsia" w:ascii="宋体" w:hAnsi="宋体" w:cs="宋体"/>
          <w:color w:val="auto"/>
          <w:spacing w:val="-12"/>
          <w:sz w:val="24"/>
          <w:highlight w:val="none"/>
        </w:rPr>
        <w:t>20</w:t>
      </w:r>
      <w:r>
        <w:rPr>
          <w:rFonts w:hint="eastAsia" w:ascii="宋体" w:hAnsi="宋体" w:cs="宋体"/>
          <w:color w:val="auto"/>
          <w:spacing w:val="9"/>
          <w:sz w:val="24"/>
          <w:highlight w:val="none"/>
        </w:rPr>
        <w:t>  </w:t>
      </w:r>
      <w:r>
        <w:rPr>
          <w:rFonts w:hint="eastAsia" w:ascii="宋体" w:hAnsi="宋体" w:cs="宋体"/>
          <w:color w:val="auto"/>
          <w:spacing w:val="-12"/>
          <w:sz w:val="24"/>
          <w:highlight w:val="none"/>
        </w:rPr>
        <w:t>年</w:t>
      </w:r>
      <w:r>
        <w:rPr>
          <w:rFonts w:hint="eastAsia" w:ascii="宋体" w:hAnsi="宋体" w:cs="宋体"/>
          <w:color w:val="auto"/>
          <w:spacing w:val="14"/>
          <w:sz w:val="24"/>
          <w:highlight w:val="none"/>
        </w:rPr>
        <w:t>  </w:t>
      </w:r>
      <w:r>
        <w:rPr>
          <w:rFonts w:hint="eastAsia" w:ascii="宋体" w:hAnsi="宋体" w:cs="宋体"/>
          <w:color w:val="auto"/>
          <w:spacing w:val="-12"/>
          <w:sz w:val="24"/>
          <w:highlight w:val="none"/>
        </w:rPr>
        <w:t>月</w:t>
      </w:r>
      <w:r>
        <w:rPr>
          <w:rFonts w:hint="eastAsia" w:ascii="宋体" w:hAnsi="宋体" w:cs="宋体"/>
          <w:color w:val="auto"/>
          <w:spacing w:val="22"/>
          <w:sz w:val="24"/>
          <w:highlight w:val="none"/>
        </w:rPr>
        <w:t>   </w:t>
      </w:r>
      <w:r>
        <w:rPr>
          <w:rFonts w:hint="eastAsia" w:ascii="宋体" w:hAnsi="宋体" w:cs="宋体"/>
          <w:color w:val="auto"/>
          <w:spacing w:val="-12"/>
          <w:sz w:val="24"/>
          <w:highlight w:val="none"/>
        </w:rPr>
        <w:t>日</w:t>
      </w:r>
    </w:p>
    <w:p w14:paraId="2F6CCA96">
      <w:pPr>
        <w:pBdr>
          <w:top w:val="none" w:color="000000" w:sz="0" w:space="0"/>
          <w:left w:val="none" w:color="000000" w:sz="0" w:space="0"/>
          <w:bottom w:val="none" w:color="000000" w:sz="0" w:space="0"/>
          <w:right w:val="none" w:color="000000" w:sz="0" w:space="0"/>
        </w:pBdr>
        <w:spacing w:line="143" w:lineRule="atLeast"/>
        <w:rPr>
          <w:rFonts w:ascii="仿宋" w:hAnsi="仿宋" w:eastAsia="仿宋" w:cs="仿宋"/>
          <w:color w:val="auto"/>
          <w:highlight w:val="none"/>
        </w:rPr>
      </w:pPr>
      <w:r>
        <w:rPr>
          <w:rFonts w:hint="eastAsia" w:ascii="仿宋" w:hAnsi="仿宋" w:eastAsia="仿宋" w:cs="仿宋"/>
          <w:color w:val="auto"/>
          <w:highlight w:val="none"/>
        </w:rPr>
        <w:t> </w:t>
      </w:r>
    </w:p>
    <w:tbl>
      <w:tblPr>
        <w:tblStyle w:val="1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0" w:type="dxa"/>
          <w:bottom w:w="0" w:type="dxa"/>
          <w:right w:w="0" w:type="dxa"/>
        </w:tblCellMar>
      </w:tblPr>
      <w:tblGrid>
        <w:gridCol w:w="2003"/>
        <w:gridCol w:w="1931"/>
        <w:gridCol w:w="2001"/>
        <w:gridCol w:w="3137"/>
      </w:tblGrid>
      <w:tr w14:paraId="10C6B9A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642" w:hRule="atLeast"/>
        </w:trPr>
        <w:tc>
          <w:tcPr>
            <w:tcW w:w="2082" w:type="dxa"/>
            <w:tcMar>
              <w:top w:w="0" w:type="dxa"/>
              <w:left w:w="0" w:type="dxa"/>
              <w:bottom w:w="0" w:type="dxa"/>
              <w:right w:w="0" w:type="dxa"/>
            </w:tcMar>
          </w:tcPr>
          <w:p w14:paraId="30EC0343">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color w:val="auto"/>
                <w:spacing w:val="-3"/>
                <w:sz w:val="24"/>
                <w:highlight w:val="none"/>
              </w:rPr>
              <w:t>单位名称</w:t>
            </w:r>
          </w:p>
        </w:tc>
        <w:tc>
          <w:tcPr>
            <w:tcW w:w="1974" w:type="dxa"/>
            <w:tcMar>
              <w:top w:w="0" w:type="dxa"/>
              <w:left w:w="0" w:type="dxa"/>
              <w:bottom w:w="0" w:type="dxa"/>
              <w:right w:w="0" w:type="dxa"/>
            </w:tcMar>
          </w:tcPr>
          <w:p w14:paraId="3F4EE15E">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color w:val="auto"/>
                <w:sz w:val="24"/>
                <w:highlight w:val="none"/>
              </w:rPr>
              <w:t> </w:t>
            </w:r>
          </w:p>
        </w:tc>
        <w:tc>
          <w:tcPr>
            <w:tcW w:w="2046" w:type="dxa"/>
            <w:tcMar>
              <w:top w:w="0" w:type="dxa"/>
              <w:left w:w="0" w:type="dxa"/>
              <w:bottom w:w="0" w:type="dxa"/>
              <w:right w:w="0" w:type="dxa"/>
            </w:tcMar>
          </w:tcPr>
          <w:p w14:paraId="1E235392">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color w:val="auto"/>
                <w:spacing w:val="-2"/>
                <w:sz w:val="24"/>
                <w:highlight w:val="none"/>
              </w:rPr>
              <w:t>统一社会信用代码</w:t>
            </w:r>
          </w:p>
        </w:tc>
        <w:tc>
          <w:tcPr>
            <w:tcW w:w="3214" w:type="dxa"/>
            <w:tcMar>
              <w:top w:w="0" w:type="dxa"/>
              <w:left w:w="0" w:type="dxa"/>
              <w:bottom w:w="0" w:type="dxa"/>
              <w:right w:w="0" w:type="dxa"/>
            </w:tcMar>
          </w:tcPr>
          <w:p w14:paraId="240B03B3">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color w:val="auto"/>
                <w:sz w:val="24"/>
                <w:highlight w:val="none"/>
              </w:rPr>
              <w:t> </w:t>
            </w:r>
          </w:p>
        </w:tc>
      </w:tr>
      <w:tr w14:paraId="081274F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548" w:hRule="atLeast"/>
        </w:trPr>
        <w:tc>
          <w:tcPr>
            <w:tcW w:w="2082" w:type="dxa"/>
            <w:tcMar>
              <w:top w:w="0" w:type="dxa"/>
              <w:left w:w="0" w:type="dxa"/>
              <w:bottom w:w="0" w:type="dxa"/>
              <w:right w:w="0" w:type="dxa"/>
            </w:tcMar>
          </w:tcPr>
          <w:p w14:paraId="0E52435B">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color w:val="auto"/>
                <w:spacing w:val="-3"/>
                <w:sz w:val="24"/>
                <w:highlight w:val="none"/>
              </w:rPr>
              <w:t>法定代表人</w:t>
            </w:r>
          </w:p>
        </w:tc>
        <w:tc>
          <w:tcPr>
            <w:tcW w:w="1974" w:type="dxa"/>
            <w:tcMar>
              <w:top w:w="0" w:type="dxa"/>
              <w:left w:w="0" w:type="dxa"/>
              <w:bottom w:w="0" w:type="dxa"/>
              <w:right w:w="0" w:type="dxa"/>
            </w:tcMar>
          </w:tcPr>
          <w:p w14:paraId="380F5F79">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color w:val="auto"/>
                <w:sz w:val="24"/>
                <w:highlight w:val="none"/>
              </w:rPr>
              <w:t> </w:t>
            </w:r>
          </w:p>
        </w:tc>
        <w:tc>
          <w:tcPr>
            <w:tcW w:w="2046" w:type="dxa"/>
            <w:tcMar>
              <w:top w:w="0" w:type="dxa"/>
              <w:left w:w="0" w:type="dxa"/>
              <w:bottom w:w="0" w:type="dxa"/>
              <w:right w:w="0" w:type="dxa"/>
            </w:tcMar>
          </w:tcPr>
          <w:p w14:paraId="7FD2BFA6">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color w:val="auto"/>
                <w:spacing w:val="-3"/>
                <w:sz w:val="24"/>
                <w:highlight w:val="none"/>
              </w:rPr>
              <w:t>联系人</w:t>
            </w:r>
          </w:p>
        </w:tc>
        <w:tc>
          <w:tcPr>
            <w:tcW w:w="3214" w:type="dxa"/>
            <w:tcMar>
              <w:top w:w="0" w:type="dxa"/>
              <w:left w:w="0" w:type="dxa"/>
              <w:bottom w:w="0" w:type="dxa"/>
              <w:right w:w="0" w:type="dxa"/>
            </w:tcMar>
          </w:tcPr>
          <w:p w14:paraId="726E71A9">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color w:val="auto"/>
                <w:sz w:val="24"/>
                <w:highlight w:val="none"/>
              </w:rPr>
              <w:t> </w:t>
            </w:r>
          </w:p>
        </w:tc>
      </w:tr>
      <w:tr w14:paraId="2378FF9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543" w:hRule="atLeast"/>
        </w:trPr>
        <w:tc>
          <w:tcPr>
            <w:tcW w:w="2082" w:type="dxa"/>
            <w:tcMar>
              <w:top w:w="0" w:type="dxa"/>
              <w:left w:w="0" w:type="dxa"/>
              <w:bottom w:w="0" w:type="dxa"/>
              <w:right w:w="0" w:type="dxa"/>
            </w:tcMar>
          </w:tcPr>
          <w:p w14:paraId="0AF9F7FA">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color w:val="auto"/>
                <w:spacing w:val="-2"/>
                <w:sz w:val="24"/>
                <w:highlight w:val="none"/>
              </w:rPr>
              <w:t>联系地址</w:t>
            </w:r>
          </w:p>
        </w:tc>
        <w:tc>
          <w:tcPr>
            <w:tcW w:w="1974" w:type="dxa"/>
            <w:tcMar>
              <w:top w:w="0" w:type="dxa"/>
              <w:left w:w="0" w:type="dxa"/>
              <w:bottom w:w="0" w:type="dxa"/>
              <w:right w:w="0" w:type="dxa"/>
            </w:tcMar>
          </w:tcPr>
          <w:p w14:paraId="30846C68">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color w:val="auto"/>
                <w:sz w:val="24"/>
                <w:highlight w:val="none"/>
              </w:rPr>
              <w:t> </w:t>
            </w:r>
          </w:p>
        </w:tc>
        <w:tc>
          <w:tcPr>
            <w:tcW w:w="2046" w:type="dxa"/>
            <w:tcMar>
              <w:top w:w="0" w:type="dxa"/>
              <w:left w:w="0" w:type="dxa"/>
              <w:bottom w:w="0" w:type="dxa"/>
              <w:right w:w="0" w:type="dxa"/>
            </w:tcMar>
          </w:tcPr>
          <w:p w14:paraId="15AD395B">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color w:val="auto"/>
                <w:spacing w:val="-2"/>
                <w:sz w:val="24"/>
                <w:highlight w:val="none"/>
              </w:rPr>
              <w:t>联系电话</w:t>
            </w:r>
          </w:p>
        </w:tc>
        <w:tc>
          <w:tcPr>
            <w:tcW w:w="3214" w:type="dxa"/>
            <w:tcMar>
              <w:top w:w="0" w:type="dxa"/>
              <w:left w:w="0" w:type="dxa"/>
              <w:bottom w:w="0" w:type="dxa"/>
              <w:right w:w="0" w:type="dxa"/>
            </w:tcMar>
          </w:tcPr>
          <w:p w14:paraId="4957F38C">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color w:val="auto"/>
                <w:sz w:val="24"/>
                <w:highlight w:val="none"/>
              </w:rPr>
              <w:t> </w:t>
            </w:r>
          </w:p>
        </w:tc>
      </w:tr>
      <w:tr w14:paraId="7BE81D7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90" w:hRule="atLeast"/>
        </w:trPr>
        <w:tc>
          <w:tcPr>
            <w:tcW w:w="2082" w:type="dxa"/>
            <w:tcMar>
              <w:top w:w="0" w:type="dxa"/>
              <w:left w:w="0" w:type="dxa"/>
              <w:bottom w:w="0" w:type="dxa"/>
              <w:right w:w="0" w:type="dxa"/>
            </w:tcMar>
          </w:tcPr>
          <w:p w14:paraId="6C56CCDD">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color w:val="auto"/>
                <w:spacing w:val="-1"/>
                <w:sz w:val="24"/>
                <w:highlight w:val="none"/>
              </w:rPr>
              <w:t>诚信档案记录情况</w:t>
            </w:r>
          </w:p>
        </w:tc>
        <w:tc>
          <w:tcPr>
            <w:tcW w:w="7235" w:type="dxa"/>
            <w:gridSpan w:val="3"/>
            <w:tcMar>
              <w:top w:w="0" w:type="dxa"/>
              <w:left w:w="0" w:type="dxa"/>
              <w:bottom w:w="0" w:type="dxa"/>
              <w:right w:w="0" w:type="dxa"/>
            </w:tcMar>
          </w:tcPr>
          <w:p w14:paraId="1204C0AD">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color w:val="auto"/>
                <w:sz w:val="24"/>
                <w:highlight w:val="none"/>
              </w:rPr>
              <w:t> </w:t>
            </w:r>
          </w:p>
        </w:tc>
      </w:tr>
      <w:tr w14:paraId="13727EE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4565" w:hRule="atLeast"/>
        </w:trPr>
        <w:tc>
          <w:tcPr>
            <w:tcW w:w="2082" w:type="dxa"/>
            <w:tcMar>
              <w:top w:w="0" w:type="dxa"/>
              <w:left w:w="0" w:type="dxa"/>
              <w:bottom w:w="0" w:type="dxa"/>
              <w:right w:w="0" w:type="dxa"/>
            </w:tcMar>
          </w:tcPr>
          <w:p w14:paraId="0BA3854E">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color w:val="auto"/>
                <w:spacing w:val="-3"/>
                <w:sz w:val="24"/>
                <w:highlight w:val="none"/>
              </w:rPr>
              <w:t>信用承诺</w:t>
            </w:r>
          </w:p>
        </w:tc>
        <w:tc>
          <w:tcPr>
            <w:tcW w:w="7235" w:type="dxa"/>
            <w:gridSpan w:val="3"/>
            <w:tcMar>
              <w:top w:w="0" w:type="dxa"/>
              <w:left w:w="0" w:type="dxa"/>
              <w:bottom w:w="0" w:type="dxa"/>
              <w:right w:w="0" w:type="dxa"/>
            </w:tcMar>
          </w:tcPr>
          <w:p w14:paraId="69B236EC">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color w:val="auto"/>
                <w:spacing w:val="-12"/>
                <w:sz w:val="24"/>
                <w:highlight w:val="none"/>
              </w:rPr>
              <w:t>我公司自愿参加贵中心（公司）</w:t>
            </w:r>
            <w:r>
              <w:rPr>
                <w:rFonts w:hint="eastAsia" w:ascii="宋体" w:hAnsi="宋体" w:cs="宋体"/>
                <w:color w:val="auto"/>
                <w:spacing w:val="-4"/>
                <w:sz w:val="24"/>
                <w:highlight w:val="none"/>
              </w:rPr>
              <w:t> </w:t>
            </w:r>
            <w:r>
              <w:rPr>
                <w:rFonts w:hint="eastAsia" w:ascii="宋体" w:hAnsi="宋体" w:cs="宋体"/>
                <w:color w:val="auto"/>
                <w:spacing w:val="-12"/>
                <w:sz w:val="24"/>
                <w:highlight w:val="none"/>
              </w:rPr>
              <w:t>组织的本次采购活动，严格遵守《中</w:t>
            </w:r>
            <w:r>
              <w:rPr>
                <w:rFonts w:hint="eastAsia" w:ascii="宋体" w:hAnsi="宋体" w:cs="宋体"/>
                <w:color w:val="auto"/>
                <w:spacing w:val="-8"/>
                <w:sz w:val="24"/>
                <w:highlight w:val="none"/>
              </w:rPr>
              <w:t>华人民共和国政府采购法》及相关法律法规，坚守公开、公平、公正和诚实信用</w:t>
            </w:r>
            <w:r>
              <w:rPr>
                <w:rFonts w:hint="eastAsia" w:ascii="宋体" w:hAnsi="宋体" w:cs="宋体"/>
                <w:color w:val="auto"/>
                <w:spacing w:val="-11"/>
                <w:sz w:val="24"/>
                <w:highlight w:val="none"/>
              </w:rPr>
              <w:t>的原则，依法诚信经营，无条件遵守本次政府采购活动的各项规定。我们</w:t>
            </w:r>
            <w:r>
              <w:rPr>
                <w:rFonts w:hint="eastAsia" w:ascii="宋体" w:hAnsi="宋体" w:cs="宋体"/>
                <w:color w:val="auto"/>
                <w:spacing w:val="-17"/>
                <w:sz w:val="24"/>
                <w:highlight w:val="none"/>
              </w:rPr>
              <w:t>郑重承诺，本公司符合《中华人民共和国政府采购法》第二十二条规定的条件，包括：具</w:t>
            </w:r>
            <w:r>
              <w:rPr>
                <w:rFonts w:hint="eastAsia" w:ascii="宋体" w:hAnsi="宋体" w:cs="宋体"/>
                <w:color w:val="auto"/>
                <w:spacing w:val="-2"/>
                <w:sz w:val="24"/>
                <w:highlight w:val="none"/>
              </w:rPr>
              <w:t>有独立承担民事责任的能力；具有良好的商业信誉和健全的财务会计制</w:t>
            </w:r>
            <w:r>
              <w:rPr>
                <w:rFonts w:hint="eastAsia" w:ascii="宋体" w:hAnsi="宋体" w:cs="宋体"/>
                <w:color w:val="auto"/>
                <w:spacing w:val="-10"/>
                <w:sz w:val="24"/>
                <w:highlight w:val="none"/>
              </w:rPr>
              <w:t>度；具有履行合同所必需的设备和专业技术能力；有依法缴纳税收和社会保</w:t>
            </w:r>
            <w:r>
              <w:rPr>
                <w:rFonts w:hint="eastAsia" w:ascii="宋体" w:hAnsi="宋体" w:cs="宋体"/>
                <w:color w:val="auto"/>
                <w:spacing w:val="-11"/>
                <w:sz w:val="24"/>
                <w:highlight w:val="none"/>
              </w:rPr>
              <w:t>障资金的良好记录；参加政府采购活动前三年内，在经营活动中没有重大</w:t>
            </w:r>
            <w:r>
              <w:rPr>
                <w:rFonts w:hint="eastAsia" w:ascii="宋体" w:hAnsi="宋体" w:cs="宋体"/>
                <w:color w:val="auto"/>
                <w:spacing w:val="-8"/>
                <w:sz w:val="24"/>
                <w:highlight w:val="none"/>
              </w:rPr>
              <w:t>违法记录；符合法律、行政法规和招标文件规定的其他条件。如有弄虚作</w:t>
            </w:r>
            <w:r>
              <w:rPr>
                <w:rFonts w:hint="eastAsia" w:ascii="宋体" w:hAnsi="宋体" w:cs="宋体"/>
                <w:color w:val="auto"/>
                <w:spacing w:val="-11"/>
                <w:sz w:val="24"/>
                <w:highlight w:val="none"/>
              </w:rPr>
              <w:t>假或其他违法违规行为，愿承担一切法律责任，接受各级政府采购监管部</w:t>
            </w:r>
            <w:r>
              <w:rPr>
                <w:rFonts w:hint="eastAsia" w:ascii="宋体" w:hAnsi="宋体" w:cs="宋体"/>
                <w:color w:val="auto"/>
                <w:spacing w:val="-2"/>
                <w:sz w:val="24"/>
                <w:highlight w:val="none"/>
              </w:rPr>
              <w:t>门和有权机关的审查和处罚。</w:t>
            </w:r>
          </w:p>
        </w:tc>
      </w:tr>
      <w:tr w14:paraId="7081BED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2039" w:hRule="atLeast"/>
        </w:trPr>
        <w:tc>
          <w:tcPr>
            <w:tcW w:w="2082" w:type="dxa"/>
            <w:tcMar>
              <w:top w:w="0" w:type="dxa"/>
              <w:left w:w="0" w:type="dxa"/>
              <w:bottom w:w="0" w:type="dxa"/>
              <w:right w:w="0" w:type="dxa"/>
            </w:tcMar>
          </w:tcPr>
          <w:p w14:paraId="4C5EDDFF">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color w:val="auto"/>
                <w:sz w:val="24"/>
                <w:highlight w:val="none"/>
              </w:rPr>
              <w:t> </w:t>
            </w:r>
          </w:p>
        </w:tc>
        <w:tc>
          <w:tcPr>
            <w:tcW w:w="7235" w:type="dxa"/>
            <w:gridSpan w:val="3"/>
            <w:tcMar>
              <w:top w:w="0" w:type="dxa"/>
              <w:left w:w="0" w:type="dxa"/>
              <w:bottom w:w="0" w:type="dxa"/>
              <w:right w:w="0" w:type="dxa"/>
            </w:tcMar>
          </w:tcPr>
          <w:p w14:paraId="3272682B">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color w:val="auto"/>
                <w:sz w:val="24"/>
                <w:highlight w:val="none"/>
              </w:rPr>
              <w:t> </w:t>
            </w:r>
          </w:p>
          <w:p w14:paraId="3B0CC800">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color w:val="auto"/>
                <w:sz w:val="24"/>
                <w:highlight w:val="none"/>
              </w:rPr>
              <w:t> </w:t>
            </w:r>
          </w:p>
          <w:p w14:paraId="5E0AAEF5">
            <w:pPr>
              <w:pBdr>
                <w:top w:val="none" w:color="000000" w:sz="0" w:space="0"/>
                <w:left w:val="none" w:color="000000" w:sz="0" w:space="0"/>
                <w:bottom w:val="none" w:color="000000" w:sz="0" w:space="0"/>
                <w:right w:val="none" w:color="000000" w:sz="0" w:space="0"/>
              </w:pBdr>
              <w:spacing w:line="440" w:lineRule="exact"/>
              <w:jc w:val="center"/>
              <w:rPr>
                <w:rFonts w:ascii="宋体" w:hAnsi="宋体" w:cs="宋体"/>
                <w:color w:val="auto"/>
                <w:sz w:val="24"/>
                <w:highlight w:val="none"/>
              </w:rPr>
            </w:pPr>
            <w:r>
              <w:rPr>
                <w:rFonts w:hint="eastAsia" w:ascii="宋体" w:hAnsi="宋体" w:cs="宋体"/>
                <w:color w:val="auto"/>
                <w:spacing w:val="-10"/>
                <w:sz w:val="24"/>
                <w:highlight w:val="none"/>
              </w:rPr>
              <w:t>投标人名称（盖章</w:t>
            </w:r>
            <w:r>
              <w:rPr>
                <w:rFonts w:hint="eastAsia" w:ascii="宋体" w:hAnsi="宋体" w:cs="宋体"/>
                <w:color w:val="auto"/>
                <w:spacing w:val="-24"/>
                <w:sz w:val="24"/>
                <w:highlight w:val="none"/>
              </w:rPr>
              <w:t>）</w:t>
            </w:r>
            <w:r>
              <w:rPr>
                <w:rFonts w:hint="eastAsia" w:ascii="宋体" w:hAnsi="宋体" w:cs="宋体"/>
                <w:color w:val="auto"/>
                <w:spacing w:val="9"/>
                <w:sz w:val="24"/>
                <w:highlight w:val="none"/>
              </w:rPr>
              <w:t> </w:t>
            </w:r>
            <w:r>
              <w:rPr>
                <w:rFonts w:hint="eastAsia" w:ascii="宋体" w:hAnsi="宋体" w:cs="宋体"/>
                <w:color w:val="auto"/>
                <w:spacing w:val="-24"/>
                <w:sz w:val="24"/>
                <w:highlight w:val="none"/>
              </w:rPr>
              <w:t>：</w:t>
            </w:r>
          </w:p>
          <w:p w14:paraId="6DDBBAC2">
            <w:pPr>
              <w:pBdr>
                <w:top w:val="none" w:color="000000" w:sz="0" w:space="0"/>
                <w:left w:val="none" w:color="000000" w:sz="0" w:space="0"/>
                <w:bottom w:val="none" w:color="000000" w:sz="0" w:space="0"/>
                <w:right w:val="none" w:color="000000" w:sz="0" w:space="0"/>
              </w:pBdr>
              <w:spacing w:line="440" w:lineRule="exact"/>
              <w:jc w:val="center"/>
              <w:rPr>
                <w:rFonts w:ascii="宋体" w:hAnsi="宋体" w:cs="宋体"/>
                <w:color w:val="auto"/>
                <w:sz w:val="24"/>
                <w:highlight w:val="none"/>
              </w:rPr>
            </w:pPr>
            <w:r>
              <w:rPr>
                <w:rFonts w:hint="eastAsia" w:ascii="宋体" w:hAnsi="宋体" w:cs="宋体"/>
                <w:color w:val="auto"/>
                <w:spacing w:val="-10"/>
                <w:sz w:val="24"/>
                <w:highlight w:val="none"/>
              </w:rPr>
              <w:t>法定代表人（签字</w:t>
            </w:r>
            <w:r>
              <w:rPr>
                <w:rFonts w:hint="eastAsia" w:ascii="宋体" w:hAnsi="宋体" w:cs="宋体"/>
                <w:color w:val="auto"/>
                <w:spacing w:val="-26"/>
                <w:sz w:val="24"/>
                <w:highlight w:val="none"/>
              </w:rPr>
              <w:t>）</w:t>
            </w:r>
            <w:r>
              <w:rPr>
                <w:rFonts w:hint="eastAsia" w:ascii="宋体" w:hAnsi="宋体" w:cs="宋体"/>
                <w:color w:val="auto"/>
                <w:spacing w:val="8"/>
                <w:sz w:val="24"/>
                <w:highlight w:val="none"/>
              </w:rPr>
              <w:t> </w:t>
            </w:r>
            <w:r>
              <w:rPr>
                <w:rFonts w:hint="eastAsia" w:ascii="宋体" w:hAnsi="宋体" w:cs="宋体"/>
                <w:color w:val="auto"/>
                <w:spacing w:val="-26"/>
                <w:sz w:val="24"/>
                <w:highlight w:val="none"/>
              </w:rPr>
              <w:t>：</w:t>
            </w:r>
          </w:p>
          <w:p w14:paraId="55D29B83">
            <w:pPr>
              <w:pBdr>
                <w:top w:val="none" w:color="000000" w:sz="0" w:space="0"/>
                <w:left w:val="none" w:color="000000" w:sz="0" w:space="0"/>
                <w:bottom w:val="none" w:color="000000" w:sz="0" w:space="0"/>
                <w:right w:val="none" w:color="000000" w:sz="0" w:space="0"/>
              </w:pBdr>
              <w:spacing w:line="440" w:lineRule="exact"/>
              <w:jc w:val="center"/>
              <w:rPr>
                <w:rFonts w:ascii="宋体" w:hAnsi="宋体" w:cs="宋体"/>
                <w:color w:val="auto"/>
                <w:sz w:val="24"/>
                <w:highlight w:val="none"/>
              </w:rPr>
            </w:pPr>
            <w:r>
              <w:rPr>
                <w:rFonts w:hint="eastAsia" w:ascii="宋体" w:hAnsi="宋体" w:cs="宋体"/>
                <w:color w:val="auto"/>
                <w:spacing w:val="-12"/>
                <w:sz w:val="24"/>
                <w:highlight w:val="none"/>
              </w:rPr>
              <w:t>二〇</w:t>
            </w:r>
            <w:r>
              <w:rPr>
                <w:rFonts w:hint="eastAsia" w:ascii="宋体" w:hAnsi="宋体" w:cs="宋体"/>
                <w:color w:val="auto"/>
                <w:spacing w:val="5"/>
                <w:sz w:val="24"/>
                <w:highlight w:val="none"/>
              </w:rPr>
              <w:t>    </w:t>
            </w:r>
            <w:r>
              <w:rPr>
                <w:rFonts w:hint="eastAsia" w:ascii="宋体" w:hAnsi="宋体" w:cs="宋体"/>
                <w:color w:val="auto"/>
                <w:spacing w:val="-12"/>
                <w:sz w:val="24"/>
                <w:highlight w:val="none"/>
              </w:rPr>
              <w:t>年</w:t>
            </w:r>
            <w:r>
              <w:rPr>
                <w:rFonts w:hint="eastAsia" w:ascii="宋体" w:hAnsi="宋体" w:cs="宋体"/>
                <w:color w:val="auto"/>
                <w:spacing w:val="11"/>
                <w:sz w:val="24"/>
                <w:highlight w:val="none"/>
              </w:rPr>
              <w:t>  </w:t>
            </w:r>
            <w:r>
              <w:rPr>
                <w:rFonts w:hint="eastAsia" w:ascii="宋体" w:hAnsi="宋体" w:cs="宋体"/>
                <w:color w:val="auto"/>
                <w:spacing w:val="-12"/>
                <w:sz w:val="24"/>
                <w:highlight w:val="none"/>
              </w:rPr>
              <w:t>月</w:t>
            </w:r>
            <w:r>
              <w:rPr>
                <w:rFonts w:hint="eastAsia" w:ascii="宋体" w:hAnsi="宋体" w:cs="宋体"/>
                <w:color w:val="auto"/>
                <w:spacing w:val="14"/>
                <w:sz w:val="24"/>
                <w:highlight w:val="none"/>
              </w:rPr>
              <w:t>    </w:t>
            </w:r>
            <w:r>
              <w:rPr>
                <w:rFonts w:hint="eastAsia" w:ascii="宋体" w:hAnsi="宋体" w:cs="宋体"/>
                <w:color w:val="auto"/>
                <w:spacing w:val="-12"/>
                <w:sz w:val="24"/>
                <w:highlight w:val="none"/>
              </w:rPr>
              <w:t>日</w:t>
            </w:r>
          </w:p>
        </w:tc>
      </w:tr>
    </w:tbl>
    <w:p w14:paraId="72B610D4">
      <w:pPr>
        <w:pBdr>
          <w:top w:val="none" w:color="000000" w:sz="0" w:space="0"/>
          <w:left w:val="none" w:color="000000" w:sz="0" w:space="0"/>
          <w:bottom w:val="none" w:color="000000" w:sz="0" w:space="0"/>
          <w:right w:val="none" w:color="000000" w:sz="0" w:space="0"/>
        </w:pBdr>
        <w:spacing w:before="240" w:after="120"/>
        <w:ind w:firstLine="482"/>
        <w:rPr>
          <w:rFonts w:ascii="宋体" w:hAnsi="宋体" w:cs="宋体"/>
          <w:color w:val="auto"/>
          <w:sz w:val="24"/>
          <w:highlight w:val="none"/>
        </w:rPr>
      </w:pPr>
      <w:r>
        <w:rPr>
          <w:rFonts w:hint="eastAsia" w:ascii="宋体" w:hAnsi="宋体" w:cs="宋体"/>
          <w:b/>
          <w:color w:val="auto"/>
          <w:sz w:val="24"/>
          <w:highlight w:val="none"/>
        </w:rPr>
        <w:t>注：</w:t>
      </w:r>
    </w:p>
    <w:p w14:paraId="7C874F29">
      <w:pPr>
        <w:numPr>
          <w:ilvl w:val="0"/>
          <w:numId w:val="10"/>
        </w:numPr>
        <w:pBdr>
          <w:top w:val="none" w:color="000000" w:sz="0" w:space="0"/>
          <w:left w:val="none" w:color="000000" w:sz="0" w:space="0"/>
          <w:bottom w:val="none" w:color="000000" w:sz="0" w:space="0"/>
          <w:right w:val="none" w:color="000000" w:sz="0" w:space="0"/>
        </w:pBd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投标人需每次参加政府采购活动时，在采购文件发布之日起至递交投标（响应）文件截止日前在线打印本表，经法定代表人签名签章后作为投标（响应）文件的组成部分。</w:t>
      </w:r>
    </w:p>
    <w:p w14:paraId="732A6C7C">
      <w:pPr>
        <w:numPr>
          <w:ilvl w:val="0"/>
          <w:numId w:val="10"/>
        </w:numPr>
        <w:pBdr>
          <w:top w:val="none" w:color="000000" w:sz="0" w:space="0"/>
          <w:left w:val="none" w:color="000000" w:sz="0" w:space="0"/>
          <w:bottom w:val="none" w:color="000000" w:sz="0" w:space="0"/>
          <w:right w:val="none" w:color="000000" w:sz="0" w:space="0"/>
        </w:pBd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“南京市政府采购投标人信用记录表”是其参加政府采购活动的必备材料。</w:t>
      </w:r>
    </w:p>
    <w:p w14:paraId="147AF264">
      <w:pPr>
        <w:numPr>
          <w:ilvl w:val="0"/>
          <w:numId w:val="10"/>
        </w:numPr>
        <w:pBdr>
          <w:top w:val="none" w:color="000000" w:sz="0" w:space="0"/>
          <w:left w:val="none" w:color="000000" w:sz="0" w:space="0"/>
          <w:bottom w:val="none" w:color="000000" w:sz="0" w:space="0"/>
          <w:right w:val="none" w:color="000000" w:sz="0" w:space="0"/>
        </w:pBdr>
        <w:spacing w:line="440" w:lineRule="exact"/>
        <w:ind w:firstLine="482"/>
        <w:rPr>
          <w:rFonts w:ascii="宋体" w:hAnsi="宋体" w:cs="宋体"/>
          <w:color w:val="auto"/>
          <w:sz w:val="24"/>
          <w:highlight w:val="none"/>
        </w:rPr>
      </w:pPr>
      <w:r>
        <w:rPr>
          <w:rFonts w:hint="eastAsia" w:ascii="宋体" w:hAnsi="宋体" w:cs="宋体"/>
          <w:b/>
          <w:color w:val="auto"/>
          <w:sz w:val="24"/>
          <w:highlight w:val="none"/>
        </w:rPr>
        <w:t>自身符合《中华人民共和国政府采购法》第二十二条规定、按约定提交相关材料的承诺，以及违背承诺自愿承担相关责任的约定。</w:t>
      </w:r>
    </w:p>
    <w:p w14:paraId="5B8BA95B">
      <w:pPr>
        <w:numPr>
          <w:ilvl w:val="0"/>
          <w:numId w:val="10"/>
        </w:numPr>
        <w:pBdr>
          <w:top w:val="none" w:color="000000" w:sz="0" w:space="0"/>
          <w:left w:val="none" w:color="000000" w:sz="0" w:space="0"/>
          <w:bottom w:val="none" w:color="000000" w:sz="0" w:space="0"/>
          <w:right w:val="none" w:color="000000" w:sz="0" w:space="0"/>
        </w:pBdr>
        <w:spacing w:line="440" w:lineRule="exact"/>
        <w:ind w:firstLine="482"/>
        <w:rPr>
          <w:rFonts w:ascii="宋体" w:hAnsi="宋体" w:cs="宋体"/>
          <w:b/>
          <w:color w:val="auto"/>
          <w:sz w:val="24"/>
          <w:highlight w:val="none"/>
        </w:rPr>
      </w:pPr>
      <w:r>
        <w:rPr>
          <w:rFonts w:hint="eastAsia" w:ascii="宋体" w:hAnsi="宋体" w:cs="宋体"/>
          <w:b/>
          <w:color w:val="auto"/>
          <w:sz w:val="24"/>
          <w:highlight w:val="none"/>
        </w:rPr>
        <w:t>不适用信用承诺的情形</w:t>
      </w:r>
    </w:p>
    <w:p w14:paraId="040CD451">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（一）投标人被列入严重失信主体名单； </w:t>
      </w:r>
    </w:p>
    <w:p w14:paraId="692DBF6F">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（二）被相关监管部门作出行政处罚且尚在处罚有效期内； </w:t>
      </w:r>
    </w:p>
    <w:p w14:paraId="235F6ADC">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（三）其他法律、行政法规规定的不适用信用承诺的情形。</w:t>
      </w:r>
    </w:p>
    <w:p w14:paraId="364C5F68">
      <w:pPr>
        <w:numPr>
          <w:ilvl w:val="0"/>
          <w:numId w:val="10"/>
        </w:numPr>
        <w:pBdr>
          <w:top w:val="none" w:color="000000" w:sz="0" w:space="0"/>
          <w:left w:val="none" w:color="000000" w:sz="0" w:space="0"/>
          <w:bottom w:val="none" w:color="000000" w:sz="0" w:space="0"/>
          <w:right w:val="none" w:color="000000" w:sz="0" w:space="0"/>
        </w:pBdr>
        <w:spacing w:line="440" w:lineRule="exact"/>
        <w:ind w:firstLine="482"/>
        <w:rPr>
          <w:rFonts w:ascii="宋体" w:hAnsi="宋体" w:cs="宋体"/>
          <w:b/>
          <w:color w:val="auto"/>
          <w:sz w:val="24"/>
          <w:highlight w:val="none"/>
        </w:rPr>
      </w:pPr>
      <w:r>
        <w:rPr>
          <w:rFonts w:hint="eastAsia" w:ascii="宋体" w:hAnsi="宋体" w:cs="宋体"/>
          <w:b/>
          <w:color w:val="auto"/>
          <w:sz w:val="24"/>
          <w:highlight w:val="none"/>
        </w:rPr>
        <w:t>违反信用承诺的法律责任 </w:t>
      </w:r>
    </w:p>
    <w:p w14:paraId="630389E2">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投标人对信用承诺内容的真实性、合法性、有效性负责。如作出虚假信用承诺，视同为“提供虚假材料谋取中标、成交”的违法行为。经调查核实后，按照《中华人民共和国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55CD30F9">
      <w:pPr>
        <w:ind w:firstLine="482" w:firstLineChars="200"/>
        <w:rPr>
          <w:b/>
          <w:bCs/>
          <w:color w:val="auto"/>
          <w:sz w:val="24"/>
          <w:highlight w:val="none"/>
        </w:rPr>
      </w:pPr>
      <w:r>
        <w:rPr>
          <w:rFonts w:hint="eastAsia"/>
          <w:b/>
          <w:bCs/>
          <w:color w:val="auto"/>
          <w:sz w:val="24"/>
          <w:highlight w:val="none"/>
        </w:rPr>
        <w:t>不适用信用承诺的投标人仍须按招标文件要求提供资格审查要求的证明材料。</w:t>
      </w:r>
    </w:p>
    <w:p w14:paraId="3755D2F8">
      <w:pPr>
        <w:rPr>
          <w:color w:val="auto"/>
          <w:highlight w:val="none"/>
        </w:rPr>
      </w:pPr>
    </w:p>
    <w:p w14:paraId="18E30422">
      <w:pPr>
        <w:rPr>
          <w:color w:val="auto"/>
          <w:highlight w:val="none"/>
        </w:rPr>
      </w:pPr>
    </w:p>
    <w:p w14:paraId="44CF33C8">
      <w:pPr>
        <w:rPr>
          <w:color w:val="auto"/>
          <w:highlight w:val="none"/>
        </w:rPr>
      </w:pPr>
    </w:p>
    <w:bookmarkEnd w:id="182"/>
    <w:p w14:paraId="0AD49790">
      <w:pPr>
        <w:rPr>
          <w:rFonts w:ascii="宋体" w:hAnsi="宋体" w:cs="宋体"/>
          <w:i/>
          <w:color w:val="auto"/>
          <w:sz w:val="32"/>
          <w:szCs w:val="32"/>
          <w:highlight w:val="none"/>
          <w:u w:val="single"/>
        </w:rPr>
      </w:pPr>
      <w:bookmarkStart w:id="183" w:name="_Toc184129792"/>
      <w:r>
        <w:rPr>
          <w:rFonts w:hint="eastAsia" w:ascii="宋体" w:hAnsi="宋体" w:cs="宋体"/>
          <w:i/>
          <w:color w:val="auto"/>
          <w:sz w:val="32"/>
          <w:szCs w:val="32"/>
          <w:highlight w:val="none"/>
          <w:u w:val="single"/>
        </w:rPr>
        <w:br w:type="page"/>
      </w:r>
    </w:p>
    <w:p w14:paraId="029665F1">
      <w:pPr>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以下提供《中华人民共和国政府采购法》第二十二条第一款规定的6项条件中具备履行合同所必需的设备和专业技术能力的声明和无重大违法声明模板，其他资料自行提供。不适用信用承诺的投标人仍须按采购文件要求在本部分按照顺序提供资格审查要求的证明材料。</w:t>
      </w:r>
    </w:p>
    <w:p w14:paraId="7DD21449">
      <w:pPr>
        <w:rPr>
          <w:color w:val="auto"/>
          <w:highlight w:val="none"/>
        </w:rPr>
      </w:pPr>
    </w:p>
    <w:p w14:paraId="24200528">
      <w:pPr>
        <w:rPr>
          <w:color w:val="auto"/>
          <w:highlight w:val="none"/>
        </w:rPr>
      </w:pPr>
    </w:p>
    <w:p w14:paraId="127F8A04">
      <w:pPr>
        <w:rPr>
          <w:color w:val="auto"/>
          <w:highlight w:val="none"/>
        </w:rPr>
      </w:pPr>
    </w:p>
    <w:p w14:paraId="33AEC1AC">
      <w:pPr>
        <w:spacing w:line="276" w:lineRule="auto"/>
        <w:jc w:val="center"/>
        <w:outlineLvl w:val="1"/>
        <w:rPr>
          <w:rFonts w:ascii="宋体" w:hAnsi="宋体" w:cs="宋体"/>
          <w:i/>
          <w:color w:val="auto"/>
          <w:sz w:val="32"/>
          <w:szCs w:val="32"/>
          <w:highlight w:val="none"/>
          <w:u w:val="single"/>
        </w:rPr>
      </w:pPr>
      <w:r>
        <w:rPr>
          <w:rFonts w:hint="eastAsia" w:ascii="宋体" w:hAnsi="宋体" w:cs="宋体"/>
          <w:i/>
          <w:color w:val="auto"/>
          <w:sz w:val="32"/>
          <w:szCs w:val="32"/>
          <w:highlight w:val="none"/>
          <w:u w:val="single"/>
        </w:rPr>
        <w:t>具备履行合同所必需的设备和专业技术能力的书面声明</w:t>
      </w:r>
      <w:bookmarkEnd w:id="183"/>
    </w:p>
    <w:p w14:paraId="11105C93">
      <w:pPr>
        <w:spacing w:line="276" w:lineRule="auto"/>
        <w:jc w:val="center"/>
        <w:rPr>
          <w:rFonts w:ascii="宋体" w:hAnsi="宋体" w:cs="宋体"/>
          <w:bCs/>
          <w:color w:val="auto"/>
          <w:sz w:val="32"/>
          <w:szCs w:val="32"/>
          <w:highlight w:val="none"/>
        </w:rPr>
      </w:pPr>
      <w:r>
        <w:rPr>
          <w:rFonts w:hint="eastAsia" w:ascii="宋体" w:hAnsi="宋体" w:cs="宋体"/>
          <w:bCs/>
          <w:color w:val="auto"/>
          <w:sz w:val="32"/>
          <w:szCs w:val="32"/>
          <w:highlight w:val="none"/>
        </w:rPr>
        <w:t>声明</w:t>
      </w:r>
    </w:p>
    <w:p w14:paraId="63091D47">
      <w:pPr>
        <w:spacing w:line="276"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致：南京市江宁医院</w:t>
      </w:r>
    </w:p>
    <w:p w14:paraId="75668611">
      <w:pPr>
        <w:spacing w:line="276"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我公司郑重声明：具有履行编号为JSZC-320115-SHGK-G2026-0054招标项下</w:t>
      </w:r>
      <w:r>
        <w:rPr>
          <w:rFonts w:hint="eastAsia" w:ascii="宋体" w:hAnsi="宋体" w:cs="宋体"/>
          <w:bCs/>
          <w:color w:val="auto"/>
          <w:sz w:val="24"/>
          <w:highlight w:val="none"/>
          <w:u w:val="single"/>
        </w:rPr>
        <w:t>医疗设备维保服务采购项目</w:t>
      </w:r>
      <w:r>
        <w:rPr>
          <w:rFonts w:hint="eastAsia" w:ascii="宋体" w:hAnsi="宋体" w:cs="宋体"/>
          <w:bCs/>
          <w:color w:val="auto"/>
          <w:sz w:val="24"/>
          <w:highlight w:val="none"/>
        </w:rPr>
        <w:t>合同的设备和专业技术能力。</w:t>
      </w:r>
    </w:p>
    <w:p w14:paraId="0737A255">
      <w:pPr>
        <w:spacing w:line="276" w:lineRule="auto"/>
        <w:ind w:firstLine="480" w:firstLineChars="200"/>
        <w:rPr>
          <w:rFonts w:ascii="宋体" w:hAnsi="宋体" w:cs="宋体"/>
          <w:bCs/>
          <w:color w:val="auto"/>
          <w:sz w:val="24"/>
          <w:szCs w:val="21"/>
          <w:highlight w:val="none"/>
        </w:rPr>
      </w:pPr>
      <w:r>
        <w:rPr>
          <w:rFonts w:hint="eastAsia" w:ascii="宋体" w:hAnsi="宋体" w:cs="宋体"/>
          <w:bCs/>
          <w:color w:val="auto"/>
          <w:sz w:val="24"/>
          <w:szCs w:val="21"/>
          <w:highlight w:val="none"/>
        </w:rPr>
        <w:t>特此声明！</w:t>
      </w:r>
    </w:p>
    <w:p w14:paraId="33423636">
      <w:pPr>
        <w:spacing w:line="276" w:lineRule="auto"/>
        <w:ind w:firstLine="480" w:firstLineChars="200"/>
        <w:rPr>
          <w:rFonts w:ascii="宋体" w:hAnsi="宋体" w:cs="宋体"/>
          <w:bCs/>
          <w:color w:val="auto"/>
          <w:sz w:val="24"/>
          <w:szCs w:val="21"/>
          <w:highlight w:val="none"/>
        </w:rPr>
      </w:pPr>
    </w:p>
    <w:p w14:paraId="4BDF1823">
      <w:pPr>
        <w:spacing w:line="360" w:lineRule="auto"/>
        <w:ind w:firstLine="480" w:firstLineChars="200"/>
        <w:rPr>
          <w:rFonts w:ascii="宋体" w:hAnsi="宋体" w:cs="宋体"/>
          <w:bCs/>
          <w:color w:val="auto"/>
          <w:sz w:val="24"/>
          <w:szCs w:val="20"/>
          <w:highlight w:val="none"/>
        </w:rPr>
      </w:pPr>
      <w:r>
        <w:rPr>
          <w:rFonts w:hint="eastAsia" w:ascii="宋体" w:hAnsi="宋体" w:cs="宋体"/>
          <w:bCs/>
          <w:color w:val="auto"/>
          <w:sz w:val="24"/>
          <w:szCs w:val="20"/>
          <w:highlight w:val="none"/>
        </w:rPr>
        <w:t>单位名称：</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 xml:space="preserve">（签章）                    </w:t>
      </w:r>
    </w:p>
    <w:p w14:paraId="27EAD996">
      <w:pPr>
        <w:spacing w:line="360" w:lineRule="auto"/>
        <w:ind w:firstLine="480" w:firstLineChars="200"/>
        <w:rPr>
          <w:rFonts w:ascii="宋体" w:hAnsi="宋体" w:cs="宋体"/>
          <w:bCs/>
          <w:color w:val="auto"/>
          <w:sz w:val="24"/>
          <w:szCs w:val="20"/>
          <w:highlight w:val="none"/>
        </w:rPr>
      </w:pPr>
      <w:r>
        <w:rPr>
          <w:rFonts w:hint="eastAsia" w:ascii="宋体" w:hAnsi="宋体" w:cs="宋体"/>
          <w:bCs/>
          <w:color w:val="auto"/>
          <w:sz w:val="24"/>
          <w:szCs w:val="20"/>
          <w:highlight w:val="none"/>
        </w:rPr>
        <w:t>法定代表人（或授权代表）：</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 xml:space="preserve">（签字/签章）                    </w:t>
      </w:r>
    </w:p>
    <w:p w14:paraId="404E7A84">
      <w:pPr>
        <w:spacing w:line="360" w:lineRule="auto"/>
        <w:ind w:firstLine="480" w:firstLineChars="200"/>
        <w:rPr>
          <w:rFonts w:ascii="宋体" w:hAnsi="宋体" w:cs="宋体"/>
          <w:color w:val="auto"/>
          <w:sz w:val="32"/>
          <w:szCs w:val="32"/>
          <w:highlight w:val="none"/>
        </w:rPr>
      </w:pPr>
      <w:r>
        <w:rPr>
          <w:rFonts w:hint="eastAsia" w:ascii="宋体" w:hAnsi="宋体" w:cs="宋体"/>
          <w:bCs/>
          <w:color w:val="auto"/>
          <w:sz w:val="24"/>
          <w:szCs w:val="20"/>
          <w:highlight w:val="none"/>
        </w:rPr>
        <w:t>日期：</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年</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月</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 xml:space="preserve">日 </w:t>
      </w:r>
    </w:p>
    <w:p w14:paraId="5995A3BD">
      <w:pPr>
        <w:spacing w:line="360" w:lineRule="auto"/>
        <w:ind w:firstLine="640" w:firstLineChars="200"/>
        <w:rPr>
          <w:rFonts w:ascii="宋体" w:hAnsi="宋体" w:cs="宋体"/>
          <w:i/>
          <w:color w:val="auto"/>
          <w:sz w:val="32"/>
          <w:szCs w:val="32"/>
          <w:highlight w:val="none"/>
          <w:u w:val="single"/>
        </w:rPr>
      </w:pPr>
      <w:bookmarkStart w:id="184" w:name="_Toc184129793"/>
      <w:r>
        <w:rPr>
          <w:rFonts w:hint="eastAsia" w:ascii="宋体" w:hAnsi="宋体" w:cs="宋体"/>
          <w:i/>
          <w:color w:val="auto"/>
          <w:sz w:val="32"/>
          <w:szCs w:val="32"/>
          <w:highlight w:val="none"/>
          <w:u w:val="single"/>
        </w:rPr>
        <w:br w:type="page"/>
      </w:r>
    </w:p>
    <w:p w14:paraId="54B0FC1A">
      <w:pPr>
        <w:spacing w:line="276" w:lineRule="auto"/>
        <w:jc w:val="center"/>
        <w:outlineLvl w:val="1"/>
        <w:rPr>
          <w:rFonts w:ascii="宋体" w:hAnsi="宋体" w:cs="宋体"/>
          <w:i/>
          <w:color w:val="auto"/>
          <w:sz w:val="32"/>
          <w:szCs w:val="32"/>
          <w:highlight w:val="none"/>
          <w:u w:val="single"/>
        </w:rPr>
      </w:pPr>
      <w:r>
        <w:rPr>
          <w:rFonts w:hint="eastAsia" w:ascii="宋体" w:hAnsi="宋体" w:cs="宋体"/>
          <w:i/>
          <w:color w:val="auto"/>
          <w:sz w:val="32"/>
          <w:szCs w:val="32"/>
          <w:highlight w:val="none"/>
          <w:u w:val="single"/>
        </w:rPr>
        <w:t>参加政府采购活动前 3 年内在经营活动中没有重大违法记录的书面声明</w:t>
      </w:r>
      <w:bookmarkEnd w:id="184"/>
    </w:p>
    <w:p w14:paraId="6164DA38">
      <w:pPr>
        <w:rPr>
          <w:color w:val="auto"/>
          <w:highlight w:val="none"/>
        </w:rPr>
      </w:pPr>
    </w:p>
    <w:p w14:paraId="21145BB0">
      <w:pPr>
        <w:spacing w:line="276" w:lineRule="auto"/>
        <w:jc w:val="center"/>
        <w:rPr>
          <w:rFonts w:ascii="宋体" w:hAnsi="宋体" w:cs="宋体"/>
          <w:bCs/>
          <w:color w:val="auto"/>
          <w:sz w:val="24"/>
          <w:highlight w:val="none"/>
        </w:rPr>
      </w:pPr>
      <w:r>
        <w:rPr>
          <w:rFonts w:hint="eastAsia" w:ascii="宋体" w:hAnsi="宋体" w:cs="宋体"/>
          <w:bCs/>
          <w:color w:val="auto"/>
          <w:sz w:val="32"/>
          <w:szCs w:val="32"/>
          <w:highlight w:val="none"/>
        </w:rPr>
        <w:t>声明</w:t>
      </w:r>
    </w:p>
    <w:p w14:paraId="2638B0B9">
      <w:pPr>
        <w:spacing w:line="276" w:lineRule="auto"/>
        <w:ind w:firstLine="480" w:firstLineChars="200"/>
        <w:jc w:val="left"/>
        <w:rPr>
          <w:rFonts w:ascii="宋体" w:hAnsi="宋体" w:cs="宋体"/>
          <w:b/>
          <w:bCs/>
          <w:color w:val="auto"/>
          <w:sz w:val="44"/>
          <w:szCs w:val="44"/>
          <w:highlight w:val="none"/>
        </w:rPr>
      </w:pPr>
      <w:r>
        <w:rPr>
          <w:rFonts w:hint="eastAsia" w:ascii="宋体" w:hAnsi="宋体" w:cs="宋体"/>
          <w:bCs/>
          <w:color w:val="auto"/>
          <w:sz w:val="24"/>
          <w:highlight w:val="none"/>
        </w:rPr>
        <w:t>致：南京市江宁医院</w:t>
      </w:r>
    </w:p>
    <w:p w14:paraId="329A00C6">
      <w:pPr>
        <w:spacing w:line="276" w:lineRule="auto"/>
        <w:rPr>
          <w:rFonts w:ascii="宋体" w:hAnsi="宋体" w:cs="宋体"/>
          <w:bCs/>
          <w:color w:val="auto"/>
          <w:sz w:val="24"/>
          <w:szCs w:val="21"/>
          <w:highlight w:val="none"/>
        </w:rPr>
      </w:pPr>
      <w:r>
        <w:rPr>
          <w:rFonts w:hint="eastAsia" w:ascii="宋体" w:hAnsi="宋体" w:cs="宋体"/>
          <w:b/>
          <w:bCs/>
          <w:color w:val="auto"/>
          <w:sz w:val="24"/>
          <w:szCs w:val="21"/>
          <w:highlight w:val="none"/>
        </w:rPr>
        <w:t xml:space="preserve">    </w:t>
      </w:r>
      <w:r>
        <w:rPr>
          <w:rFonts w:hint="eastAsia" w:ascii="宋体" w:hAnsi="宋体" w:cs="宋体"/>
          <w:bCs/>
          <w:color w:val="auto"/>
          <w:sz w:val="24"/>
          <w:szCs w:val="21"/>
          <w:highlight w:val="none"/>
        </w:rPr>
        <w:t>我单位郑重声明：参加本次政府采购活动前3年内，我单位在经营活动中没有因违法经营受到刑事处罚或者责令停产停业、吊销许可证或者执照、较大数额罚款等行政处罚。</w:t>
      </w:r>
    </w:p>
    <w:p w14:paraId="1F15A99B">
      <w:pPr>
        <w:spacing w:line="276" w:lineRule="auto"/>
        <w:ind w:firstLine="480" w:firstLineChars="200"/>
        <w:rPr>
          <w:rFonts w:ascii="宋体" w:hAnsi="宋体" w:cs="宋体"/>
          <w:bCs/>
          <w:color w:val="auto"/>
          <w:sz w:val="24"/>
          <w:szCs w:val="21"/>
          <w:highlight w:val="none"/>
        </w:rPr>
      </w:pPr>
      <w:r>
        <w:rPr>
          <w:rFonts w:hint="eastAsia" w:ascii="宋体" w:hAnsi="宋体" w:cs="宋体"/>
          <w:bCs/>
          <w:color w:val="auto"/>
          <w:sz w:val="24"/>
          <w:szCs w:val="21"/>
          <w:highlight w:val="none"/>
        </w:rPr>
        <w:t>特此声明！</w:t>
      </w:r>
    </w:p>
    <w:p w14:paraId="6B3BDEA6">
      <w:pPr>
        <w:spacing w:line="276" w:lineRule="auto"/>
        <w:ind w:firstLine="480" w:firstLineChars="200"/>
        <w:rPr>
          <w:rFonts w:ascii="宋体" w:hAnsi="宋体" w:cs="宋体"/>
          <w:bCs/>
          <w:color w:val="auto"/>
          <w:sz w:val="24"/>
          <w:szCs w:val="21"/>
          <w:highlight w:val="none"/>
        </w:rPr>
      </w:pPr>
      <w:r>
        <w:rPr>
          <w:rFonts w:hint="eastAsia" w:ascii="宋体" w:hAnsi="宋体" w:cs="宋体"/>
          <w:bCs/>
          <w:color w:val="auto"/>
          <w:sz w:val="24"/>
          <w:szCs w:val="21"/>
          <w:highlight w:val="none"/>
        </w:rPr>
        <w:t>（说明：重大违法记录是指投标人因违法经营受到刑事处罚或者责令停产停业、吊销许可证或者执照、较大数额罚款等行政处罚， 其中较大数额罚款指200万元以上的罚款。）</w:t>
      </w:r>
    </w:p>
    <w:p w14:paraId="4162D81C">
      <w:pPr>
        <w:spacing w:line="276" w:lineRule="auto"/>
        <w:ind w:firstLine="480" w:firstLineChars="200"/>
        <w:rPr>
          <w:rFonts w:ascii="宋体" w:hAnsi="宋体" w:cs="宋体"/>
          <w:bCs/>
          <w:color w:val="auto"/>
          <w:sz w:val="24"/>
          <w:szCs w:val="21"/>
          <w:highlight w:val="none"/>
        </w:rPr>
      </w:pPr>
    </w:p>
    <w:p w14:paraId="108AF484">
      <w:pPr>
        <w:spacing w:line="276" w:lineRule="auto"/>
        <w:ind w:firstLine="480" w:firstLineChars="200"/>
        <w:rPr>
          <w:rFonts w:ascii="宋体" w:hAnsi="宋体" w:cs="宋体"/>
          <w:bCs/>
          <w:color w:val="auto"/>
          <w:sz w:val="24"/>
          <w:szCs w:val="21"/>
          <w:highlight w:val="none"/>
        </w:rPr>
      </w:pPr>
    </w:p>
    <w:p w14:paraId="10DF4FB6">
      <w:pPr>
        <w:spacing w:line="360" w:lineRule="auto"/>
        <w:ind w:firstLine="480" w:firstLineChars="200"/>
        <w:rPr>
          <w:rFonts w:ascii="宋体" w:hAnsi="宋体" w:cs="宋体"/>
          <w:bCs/>
          <w:color w:val="auto"/>
          <w:sz w:val="24"/>
          <w:szCs w:val="20"/>
          <w:highlight w:val="none"/>
        </w:rPr>
      </w:pPr>
      <w:bookmarkStart w:id="185" w:name="_Toc184129794"/>
      <w:r>
        <w:rPr>
          <w:rFonts w:hint="eastAsia" w:ascii="宋体" w:hAnsi="宋体" w:cs="宋体"/>
          <w:bCs/>
          <w:color w:val="auto"/>
          <w:sz w:val="24"/>
          <w:szCs w:val="20"/>
          <w:highlight w:val="none"/>
        </w:rPr>
        <w:t>单位名称：</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 xml:space="preserve">（签章）                    </w:t>
      </w:r>
    </w:p>
    <w:p w14:paraId="62788532">
      <w:pPr>
        <w:spacing w:line="360" w:lineRule="auto"/>
        <w:ind w:firstLine="480" w:firstLineChars="200"/>
        <w:rPr>
          <w:rFonts w:ascii="宋体" w:hAnsi="宋体" w:cs="宋体"/>
          <w:bCs/>
          <w:color w:val="auto"/>
          <w:sz w:val="24"/>
          <w:szCs w:val="20"/>
          <w:highlight w:val="none"/>
        </w:rPr>
      </w:pPr>
      <w:r>
        <w:rPr>
          <w:rFonts w:hint="eastAsia" w:ascii="宋体" w:hAnsi="宋体" w:cs="宋体"/>
          <w:bCs/>
          <w:color w:val="auto"/>
          <w:sz w:val="24"/>
          <w:szCs w:val="20"/>
          <w:highlight w:val="none"/>
        </w:rPr>
        <w:t>法定代表人（或授权代表）：</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 xml:space="preserve">（签字/签章）                    </w:t>
      </w:r>
    </w:p>
    <w:p w14:paraId="47F7EBD4">
      <w:pPr>
        <w:spacing w:line="360" w:lineRule="auto"/>
        <w:ind w:firstLine="480" w:firstLineChars="200"/>
        <w:rPr>
          <w:rFonts w:ascii="宋体" w:hAnsi="宋体" w:cs="宋体"/>
          <w:i/>
          <w:color w:val="auto"/>
          <w:sz w:val="32"/>
          <w:szCs w:val="32"/>
          <w:highlight w:val="none"/>
          <w:u w:val="single"/>
        </w:rPr>
      </w:pPr>
      <w:r>
        <w:rPr>
          <w:rFonts w:hint="eastAsia" w:ascii="宋体" w:hAnsi="宋体" w:cs="宋体"/>
          <w:bCs/>
          <w:color w:val="auto"/>
          <w:sz w:val="24"/>
          <w:szCs w:val="20"/>
          <w:highlight w:val="none"/>
        </w:rPr>
        <w:t>日期：</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年</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月</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 xml:space="preserve">日 </w:t>
      </w:r>
      <w:r>
        <w:rPr>
          <w:rFonts w:hint="eastAsia" w:ascii="宋体" w:hAnsi="宋体" w:cs="宋体"/>
          <w:i/>
          <w:color w:val="auto"/>
          <w:sz w:val="32"/>
          <w:szCs w:val="32"/>
          <w:highlight w:val="none"/>
          <w:u w:val="single"/>
        </w:rPr>
        <w:br w:type="page"/>
      </w:r>
    </w:p>
    <w:p w14:paraId="4534F03D">
      <w:pPr>
        <w:spacing w:line="276" w:lineRule="auto"/>
        <w:outlineLvl w:val="1"/>
        <w:rPr>
          <w:rFonts w:ascii="宋体" w:hAnsi="宋体" w:cs="宋体"/>
          <w:i/>
          <w:color w:val="auto"/>
          <w:sz w:val="32"/>
          <w:szCs w:val="32"/>
          <w:highlight w:val="none"/>
          <w:u w:val="single"/>
        </w:rPr>
      </w:pPr>
      <w:r>
        <w:rPr>
          <w:rFonts w:hint="eastAsia" w:ascii="宋体" w:hAnsi="宋体" w:cs="宋体"/>
          <w:i/>
          <w:color w:val="auto"/>
          <w:sz w:val="32"/>
          <w:szCs w:val="32"/>
          <w:highlight w:val="none"/>
          <w:u w:val="single"/>
        </w:rPr>
        <w:t>特定资格要求的证明文件</w:t>
      </w:r>
      <w:bookmarkEnd w:id="185"/>
    </w:p>
    <w:p w14:paraId="73BCC3A8">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1）投标人须</w:t>
      </w:r>
      <w:r>
        <w:rPr>
          <w:rFonts w:hint="eastAsia" w:ascii="宋体" w:hAnsi="宋体"/>
          <w:color w:val="auto"/>
          <w:sz w:val="24"/>
          <w:highlight w:val="none"/>
          <w:lang w:eastAsia="zh-CN"/>
        </w:rPr>
        <w:t>具备</w:t>
      </w:r>
      <w:r>
        <w:rPr>
          <w:rFonts w:hint="eastAsia" w:ascii="宋体" w:hAnsi="宋体"/>
          <w:color w:val="auto"/>
          <w:sz w:val="24"/>
          <w:highlight w:val="none"/>
        </w:rPr>
        <w:t>《医疗器械经营许可证》</w:t>
      </w:r>
    </w:p>
    <w:p w14:paraId="45B5508F">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2）投标人须</w:t>
      </w:r>
      <w:r>
        <w:rPr>
          <w:rFonts w:hint="eastAsia" w:ascii="宋体" w:hAnsi="宋体"/>
          <w:color w:val="auto"/>
          <w:sz w:val="24"/>
          <w:highlight w:val="none"/>
          <w:lang w:eastAsia="zh-CN"/>
        </w:rPr>
        <w:t>具备</w:t>
      </w:r>
      <w:r>
        <w:rPr>
          <w:rFonts w:hint="eastAsia" w:ascii="宋体" w:hAnsi="宋体"/>
          <w:color w:val="auto"/>
          <w:sz w:val="24"/>
          <w:highlight w:val="none"/>
        </w:rPr>
        <w:t>《辐射安全许可证》</w:t>
      </w:r>
    </w:p>
    <w:p w14:paraId="5871E211">
      <w:pPr>
        <w:rPr>
          <w:iCs/>
          <w:color w:val="auto"/>
          <w:highlight w:val="none"/>
        </w:rPr>
      </w:pPr>
      <w:r>
        <w:rPr>
          <w:iCs/>
          <w:color w:val="auto"/>
          <w:highlight w:val="none"/>
        </w:rPr>
        <w:br w:type="page"/>
      </w:r>
    </w:p>
    <w:p w14:paraId="406AEE9E">
      <w:pPr>
        <w:spacing w:line="276" w:lineRule="auto"/>
        <w:jc w:val="center"/>
        <w:outlineLvl w:val="1"/>
        <w:rPr>
          <w:rFonts w:ascii="宋体" w:hAnsi="宋体" w:cs="宋体"/>
          <w:iCs/>
          <w:color w:val="auto"/>
          <w:sz w:val="32"/>
          <w:szCs w:val="32"/>
          <w:highlight w:val="none"/>
        </w:rPr>
      </w:pPr>
      <w:bookmarkStart w:id="186" w:name="_Toc184129795"/>
      <w:r>
        <w:rPr>
          <w:rFonts w:hint="eastAsia" w:ascii="宋体" w:hAnsi="宋体" w:cs="宋体"/>
          <w:iCs/>
          <w:color w:val="auto"/>
          <w:sz w:val="32"/>
          <w:szCs w:val="32"/>
          <w:highlight w:val="none"/>
        </w:rPr>
        <w:t>法人授权书</w:t>
      </w:r>
      <w:bookmarkEnd w:id="186"/>
    </w:p>
    <w:p w14:paraId="11CBB189">
      <w:pPr>
        <w:tabs>
          <w:tab w:val="left" w:pos="360"/>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本授权书声明：____________（投标人名称）授权________________（被授权人的姓名）为我方就JSZC-</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号项目采购活动的合法代理人，以本单位名义全权处理一切与该项目采购有关的事务。</w:t>
      </w:r>
    </w:p>
    <w:p w14:paraId="36FA48F2">
      <w:pPr>
        <w:tabs>
          <w:tab w:val="left" w:pos="360"/>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本授权书于______年____月____日起生效，特此声明。</w:t>
      </w:r>
    </w:p>
    <w:p w14:paraId="37CA18DF">
      <w:pPr>
        <w:tabs>
          <w:tab w:val="left" w:pos="360"/>
        </w:tabs>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          被授权人身份证号码：</w:t>
      </w:r>
      <w:r>
        <w:rPr>
          <w:rFonts w:hint="eastAsia" w:ascii="宋体" w:hAnsi="宋体" w:cs="宋体"/>
          <w:color w:val="auto"/>
          <w:sz w:val="24"/>
          <w:highlight w:val="none"/>
          <w:u w:val="single"/>
        </w:rPr>
        <w:t xml:space="preserve">                              </w:t>
      </w:r>
    </w:p>
    <w:p w14:paraId="5E3118CD">
      <w:pPr>
        <w:tabs>
          <w:tab w:val="left" w:pos="360"/>
        </w:tabs>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          被授权人联系电话：（手机）</w:t>
      </w:r>
      <w:r>
        <w:rPr>
          <w:rFonts w:hint="eastAsia" w:ascii="宋体" w:hAnsi="宋体" w:cs="宋体"/>
          <w:color w:val="auto"/>
          <w:sz w:val="24"/>
          <w:highlight w:val="none"/>
          <w:u w:val="single"/>
        </w:rPr>
        <w:t xml:space="preserve">                          </w:t>
      </w:r>
    </w:p>
    <w:p w14:paraId="655E2C9E">
      <w:pPr>
        <w:tabs>
          <w:tab w:val="left" w:pos="360"/>
        </w:tabs>
        <w:spacing w:line="360" w:lineRule="auto"/>
        <w:ind w:firstLine="1200"/>
        <w:rPr>
          <w:rFonts w:ascii="宋体" w:hAnsi="宋体" w:cs="宋体"/>
          <w:color w:val="auto"/>
          <w:sz w:val="24"/>
          <w:highlight w:val="none"/>
        </w:rPr>
      </w:pPr>
      <w:r>
        <w:rPr>
          <w:rFonts w:hint="eastAsia" w:ascii="宋体" w:hAnsi="宋体" w:cs="宋体"/>
          <w:color w:val="auto"/>
          <w:sz w:val="24"/>
          <w:highlight w:val="none"/>
        </w:rPr>
        <w:t>授权单位名称：</w:t>
      </w:r>
      <w:r>
        <w:rPr>
          <w:rFonts w:hint="eastAsia" w:ascii="宋体" w:hAnsi="宋体" w:cs="宋体"/>
          <w:color w:val="auto"/>
          <w:sz w:val="24"/>
          <w:highlight w:val="none"/>
          <w:u w:val="single"/>
        </w:rPr>
        <w:t>（加盖CA电子公章）</w:t>
      </w:r>
    </w:p>
    <w:p w14:paraId="2A0AC4BB">
      <w:pPr>
        <w:tabs>
          <w:tab w:val="left" w:pos="360"/>
        </w:tabs>
        <w:spacing w:line="360" w:lineRule="auto"/>
        <w:ind w:firstLine="480"/>
        <w:rPr>
          <w:rFonts w:ascii="宋体" w:hAnsi="宋体" w:cs="宋体"/>
          <w:color w:val="auto"/>
          <w:sz w:val="24"/>
          <w:highlight w:val="none"/>
          <w:u w:val="single"/>
        </w:rPr>
      </w:pPr>
      <w:r>
        <w:rPr>
          <w:rFonts w:hint="eastAsia" w:ascii="宋体" w:hAnsi="宋体" w:cs="宋体"/>
          <w:color w:val="auto"/>
          <w:sz w:val="24"/>
          <w:highlight w:val="none"/>
        </w:rPr>
        <w:t xml:space="preserve">      单位地址：</w:t>
      </w:r>
      <w:r>
        <w:rPr>
          <w:rFonts w:hint="eastAsia" w:ascii="宋体" w:hAnsi="宋体" w:cs="宋体"/>
          <w:color w:val="auto"/>
          <w:sz w:val="24"/>
          <w:highlight w:val="none"/>
          <w:u w:val="single"/>
        </w:rPr>
        <w:t xml:space="preserve">                                         </w:t>
      </w:r>
    </w:p>
    <w:p w14:paraId="014CDCE1">
      <w:pPr>
        <w:tabs>
          <w:tab w:val="left" w:pos="360"/>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 xml:space="preserve">      日期：</w:t>
      </w:r>
      <w:bookmarkStart w:id="187" w:name="_Hlt26671380"/>
      <w:bookmarkEnd w:id="187"/>
      <w:bookmarkStart w:id="188" w:name="_格式3__银行出具的资信证明"/>
      <w:bookmarkEnd w:id="188"/>
      <w:bookmarkStart w:id="189" w:name="_Hlt26955070"/>
      <w:bookmarkEnd w:id="189"/>
      <w:r>
        <w:rPr>
          <w:rFonts w:hint="eastAsia" w:ascii="宋体" w:hAnsi="宋体" w:cs="宋体"/>
          <w:color w:val="auto"/>
          <w:sz w:val="24"/>
          <w:highlight w:val="none"/>
          <w:u w:val="single"/>
        </w:rPr>
        <w:t xml:space="preserve">                                         </w:t>
      </w:r>
    </w:p>
    <w:p w14:paraId="347CC8FF">
      <w:pPr>
        <w:spacing w:line="360" w:lineRule="auto"/>
        <w:ind w:firstLine="420"/>
        <w:rPr>
          <w:i/>
          <w:color w:val="auto"/>
          <w:sz w:val="24"/>
          <w:highlight w:val="none"/>
          <w:u w:val="single"/>
        </w:rPr>
      </w:pPr>
    </w:p>
    <w:p w14:paraId="1DFE5486">
      <w:pPr>
        <w:rPr>
          <w:color w:val="auto"/>
          <w:szCs w:val="21"/>
          <w:highlight w:val="none"/>
        </w:rPr>
      </w:pPr>
    </w:p>
    <w:p w14:paraId="1ED041EE">
      <w:pPr>
        <w:pBdr>
          <w:top w:val="none" w:color="000000" w:sz="0" w:space="0"/>
          <w:left w:val="none" w:color="000000" w:sz="0" w:space="0"/>
          <w:bottom w:val="none" w:color="000000" w:sz="0" w:space="0"/>
          <w:right w:val="none" w:color="000000" w:sz="0" w:space="0"/>
        </w:pBdr>
        <w:tabs>
          <w:tab w:val="left" w:pos="360"/>
        </w:tabs>
        <w:spacing w:line="360" w:lineRule="auto"/>
        <w:ind w:firstLine="560"/>
        <w:rPr>
          <w:rFonts w:ascii="宋体" w:hAnsi="宋体" w:cs="宋体"/>
          <w:color w:val="auto"/>
          <w:sz w:val="24"/>
          <w:highlight w:val="none"/>
        </w:rPr>
      </w:pPr>
      <w:r>
        <w:rPr>
          <w:rFonts w:hint="eastAsia" w:ascii="宋体" w:hAnsi="宋体" w:cs="宋体"/>
          <w:color w:val="auto"/>
          <w:sz w:val="24"/>
          <w:highlight w:val="none"/>
        </w:rPr>
        <w:t>说明:</w:t>
      </w:r>
    </w:p>
    <w:p w14:paraId="7EC002C6">
      <w:pPr>
        <w:pBdr>
          <w:top w:val="none" w:color="000000" w:sz="0" w:space="0"/>
          <w:left w:val="none" w:color="000000" w:sz="0" w:space="0"/>
          <w:bottom w:val="none" w:color="000000" w:sz="0" w:space="0"/>
          <w:right w:val="none" w:color="000000" w:sz="0" w:space="0"/>
        </w:pBdr>
        <w:tabs>
          <w:tab w:val="left" w:pos="360"/>
        </w:tabs>
        <w:spacing w:line="360" w:lineRule="auto"/>
        <w:ind w:firstLine="560"/>
        <w:rPr>
          <w:rFonts w:ascii="宋体" w:hAnsi="宋体" w:cs="宋体"/>
          <w:color w:val="auto"/>
          <w:sz w:val="24"/>
          <w:highlight w:val="none"/>
        </w:rPr>
      </w:pPr>
      <w:r>
        <w:rPr>
          <w:rFonts w:hint="eastAsia" w:ascii="宋体" w:hAnsi="宋体" w:cs="宋体"/>
          <w:color w:val="auto"/>
          <w:sz w:val="24"/>
          <w:highlight w:val="none"/>
        </w:rPr>
        <w:t>(1)本授权委托书之后需附上授权代表身份证复印件。</w:t>
      </w:r>
    </w:p>
    <w:p w14:paraId="7728D4C7">
      <w:pPr>
        <w:pBdr>
          <w:top w:val="none" w:color="000000" w:sz="0" w:space="0"/>
          <w:left w:val="none" w:color="000000" w:sz="0" w:space="0"/>
          <w:bottom w:val="none" w:color="000000" w:sz="0" w:space="0"/>
          <w:right w:val="none" w:color="000000" w:sz="0" w:space="0"/>
        </w:pBdr>
        <w:tabs>
          <w:tab w:val="left" w:pos="360"/>
        </w:tabs>
        <w:spacing w:line="360" w:lineRule="auto"/>
        <w:ind w:firstLine="560"/>
        <w:rPr>
          <w:rFonts w:ascii="宋体" w:hAnsi="宋体" w:cs="宋体"/>
          <w:color w:val="auto"/>
          <w:sz w:val="24"/>
          <w:highlight w:val="none"/>
        </w:rPr>
      </w:pPr>
      <w:r>
        <w:rPr>
          <w:rFonts w:hint="eastAsia" w:ascii="宋体" w:hAnsi="宋体" w:cs="宋体"/>
          <w:color w:val="auto"/>
          <w:sz w:val="24"/>
          <w:highlight w:val="none"/>
        </w:rPr>
        <w:t>(2)如果投标人有法定代表人且由其直接参与投标的可以不提供，但必须在营业执照后附法定代表人身份证复印件。</w:t>
      </w:r>
    </w:p>
    <w:p w14:paraId="48A6B1FB">
      <w:pPr>
        <w:pBdr>
          <w:top w:val="none" w:color="000000" w:sz="0" w:space="0"/>
          <w:left w:val="none" w:color="000000" w:sz="0" w:space="0"/>
          <w:bottom w:val="none" w:color="000000" w:sz="0" w:space="0"/>
          <w:right w:val="none" w:color="000000" w:sz="0" w:space="0"/>
        </w:pBdr>
        <w:tabs>
          <w:tab w:val="left" w:pos="360"/>
        </w:tabs>
        <w:spacing w:line="360" w:lineRule="auto"/>
        <w:ind w:firstLine="560"/>
        <w:rPr>
          <w:rFonts w:ascii="宋体" w:hAnsi="宋体" w:cs="宋体"/>
          <w:color w:val="auto"/>
          <w:sz w:val="24"/>
          <w:highlight w:val="none"/>
        </w:rPr>
      </w:pPr>
      <w:r>
        <w:rPr>
          <w:rFonts w:hint="eastAsia" w:ascii="宋体" w:hAnsi="宋体" w:cs="宋体"/>
          <w:color w:val="auto"/>
          <w:sz w:val="24"/>
          <w:highlight w:val="none"/>
        </w:rPr>
        <w:t>(3)提供投标人代表参加本次政府采购活动六个月内任一月份投标单位为其缴纳社会保障资金的凭据（复印件加盖公章），如果是法定代表人直接参与投标的可以不提供；</w:t>
      </w:r>
    </w:p>
    <w:p w14:paraId="44CBF841">
      <w:pPr>
        <w:pBdr>
          <w:top w:val="none" w:color="000000" w:sz="0" w:space="0"/>
          <w:left w:val="none" w:color="000000" w:sz="0" w:space="0"/>
          <w:bottom w:val="none" w:color="000000" w:sz="0" w:space="0"/>
          <w:right w:val="none" w:color="000000" w:sz="0" w:space="0"/>
        </w:pBdr>
        <w:tabs>
          <w:tab w:val="left" w:pos="360"/>
        </w:tabs>
        <w:spacing w:line="360" w:lineRule="auto"/>
        <w:ind w:firstLine="560"/>
        <w:rPr>
          <w:rFonts w:ascii="宋体" w:hAnsi="宋体" w:cs="宋体"/>
          <w:color w:val="auto"/>
          <w:szCs w:val="21"/>
          <w:highlight w:val="none"/>
        </w:rPr>
      </w:pPr>
      <w:r>
        <w:rPr>
          <w:rFonts w:hint="eastAsia" w:ascii="宋体" w:hAnsi="宋体" w:cs="宋体"/>
          <w:color w:val="auto"/>
          <w:sz w:val="24"/>
          <w:highlight w:val="none"/>
        </w:rPr>
        <w:t>(4)未按上述规定提供相关资料的，投标无效。</w:t>
      </w:r>
    </w:p>
    <w:p w14:paraId="11CBEC21">
      <w:pPr>
        <w:keepNext/>
        <w:keepLines/>
        <w:spacing w:before="260" w:after="260" w:line="276" w:lineRule="auto"/>
        <w:jc w:val="center"/>
        <w:outlineLvl w:val="1"/>
        <w:rPr>
          <w:rFonts w:ascii="黑体" w:hAnsi="黑体" w:eastAsia="黑体"/>
          <w:b/>
          <w:i/>
          <w:color w:val="auto"/>
          <w:sz w:val="32"/>
          <w:szCs w:val="32"/>
          <w:highlight w:val="none"/>
          <w:u w:val="single"/>
        </w:rPr>
      </w:pPr>
      <w:r>
        <w:rPr>
          <w:rFonts w:hint="eastAsia"/>
          <w:color w:val="auto"/>
          <w:szCs w:val="21"/>
          <w:highlight w:val="none"/>
        </w:rPr>
        <w:br w:type="page"/>
      </w:r>
      <w:bookmarkStart w:id="190" w:name="_Toc184129796"/>
      <w:r>
        <w:rPr>
          <w:rFonts w:hint="eastAsia" w:ascii="宋体" w:hAnsi="宋体" w:cs="宋体"/>
          <w:iCs/>
          <w:color w:val="auto"/>
          <w:sz w:val="32"/>
          <w:szCs w:val="32"/>
          <w:highlight w:val="none"/>
        </w:rPr>
        <w:t>投标函</w:t>
      </w:r>
      <w:bookmarkEnd w:id="190"/>
    </w:p>
    <w:p w14:paraId="216A5313">
      <w:pPr>
        <w:spacing w:line="276" w:lineRule="auto"/>
        <w:rPr>
          <w:rFonts w:ascii="宋体" w:hAnsi="宋体"/>
          <w:color w:val="auto"/>
          <w:sz w:val="24"/>
          <w:szCs w:val="21"/>
          <w:highlight w:val="none"/>
        </w:rPr>
      </w:pPr>
      <w:r>
        <w:rPr>
          <w:rFonts w:hint="eastAsia" w:ascii="宋体" w:hAnsi="宋体"/>
          <w:color w:val="auto"/>
          <w:sz w:val="24"/>
          <w:szCs w:val="21"/>
          <w:highlight w:val="none"/>
        </w:rPr>
        <w:t>致：江苏苏豪创新科技集团高科有限公司</w:t>
      </w:r>
    </w:p>
    <w:p w14:paraId="06E9D1ED">
      <w:pPr>
        <w:spacing w:line="276" w:lineRule="auto"/>
        <w:ind w:firstLine="480"/>
        <w:rPr>
          <w:rFonts w:ascii="宋体" w:hAnsi="宋体"/>
          <w:color w:val="auto"/>
          <w:sz w:val="24"/>
          <w:szCs w:val="21"/>
          <w:highlight w:val="none"/>
        </w:rPr>
      </w:pPr>
      <w:r>
        <w:rPr>
          <w:rFonts w:hint="eastAsia" w:ascii="宋体" w:hAnsi="宋体"/>
          <w:color w:val="auto"/>
          <w:sz w:val="24"/>
          <w:szCs w:val="21"/>
          <w:highlight w:val="none"/>
        </w:rPr>
        <w:t>根据贵方的JSZC-320115-SHGK-G2026-0054号招标文件，正式授权下述签字人_________________(姓名)代表我方______________（投标人的名称），全权处理本次项目投标的有关事宜。</w:t>
      </w:r>
    </w:p>
    <w:p w14:paraId="342E539B">
      <w:pPr>
        <w:spacing w:line="276" w:lineRule="auto"/>
        <w:ind w:firstLine="480"/>
        <w:rPr>
          <w:rFonts w:ascii="宋体" w:hAnsi="宋体"/>
          <w:color w:val="auto"/>
          <w:sz w:val="24"/>
          <w:szCs w:val="21"/>
          <w:highlight w:val="none"/>
        </w:rPr>
      </w:pPr>
      <w:r>
        <w:rPr>
          <w:rFonts w:hint="eastAsia" w:ascii="宋体" w:hAnsi="宋体"/>
          <w:color w:val="auto"/>
          <w:sz w:val="24"/>
          <w:szCs w:val="21"/>
          <w:highlight w:val="none"/>
        </w:rPr>
        <w:t>据此函，__________签字人兹宣布同意如下：</w:t>
      </w:r>
    </w:p>
    <w:p w14:paraId="78F87829">
      <w:pPr>
        <w:spacing w:line="276" w:lineRule="auto"/>
        <w:ind w:firstLine="480"/>
        <w:rPr>
          <w:rFonts w:ascii="宋体" w:hAnsi="宋体"/>
          <w:color w:val="auto"/>
          <w:sz w:val="24"/>
          <w:szCs w:val="21"/>
          <w:highlight w:val="none"/>
        </w:rPr>
      </w:pPr>
      <w:r>
        <w:rPr>
          <w:rFonts w:hint="eastAsia" w:ascii="宋体" w:hAnsi="宋体"/>
          <w:color w:val="auto"/>
          <w:sz w:val="24"/>
          <w:szCs w:val="21"/>
          <w:highlight w:val="none"/>
        </w:rPr>
        <w:t>1.按招标文件规定的各项要求，向买方提供所需货物（包含与货物相关的服务）。</w:t>
      </w:r>
    </w:p>
    <w:p w14:paraId="4F3E2A27">
      <w:pPr>
        <w:spacing w:line="276" w:lineRule="auto"/>
        <w:ind w:firstLine="480"/>
        <w:rPr>
          <w:rFonts w:ascii="宋体" w:hAnsi="宋体"/>
          <w:color w:val="auto"/>
          <w:sz w:val="24"/>
          <w:szCs w:val="21"/>
          <w:highlight w:val="none"/>
        </w:rPr>
      </w:pPr>
      <w:r>
        <w:rPr>
          <w:rFonts w:hint="eastAsia" w:ascii="宋体" w:hAnsi="宋体"/>
          <w:color w:val="auto"/>
          <w:sz w:val="24"/>
          <w:szCs w:val="21"/>
          <w:highlight w:val="none"/>
        </w:rPr>
        <w:t>2.我们完全理解贵方不一定将合同授予最低报价的投标人。</w:t>
      </w:r>
    </w:p>
    <w:p w14:paraId="644F04B3">
      <w:pPr>
        <w:spacing w:line="276" w:lineRule="auto"/>
        <w:ind w:firstLine="480"/>
        <w:rPr>
          <w:rFonts w:ascii="宋体" w:hAnsi="宋体"/>
          <w:color w:val="auto"/>
          <w:sz w:val="24"/>
          <w:szCs w:val="21"/>
          <w:highlight w:val="none"/>
        </w:rPr>
      </w:pPr>
      <w:r>
        <w:rPr>
          <w:rFonts w:hint="eastAsia" w:ascii="宋体" w:hAnsi="宋体"/>
          <w:color w:val="auto"/>
          <w:sz w:val="24"/>
          <w:szCs w:val="21"/>
          <w:highlight w:val="none"/>
        </w:rPr>
        <w:t>3.我们已详细审核全部招标文件及其有效补充文件，我们知道必须放弃提出含糊不清或误解问题的权利。</w:t>
      </w:r>
    </w:p>
    <w:p w14:paraId="25E0C2F9">
      <w:pPr>
        <w:spacing w:line="276" w:lineRule="auto"/>
        <w:ind w:firstLine="480"/>
        <w:rPr>
          <w:rFonts w:ascii="宋体" w:hAnsi="宋体"/>
          <w:color w:val="auto"/>
          <w:sz w:val="24"/>
          <w:szCs w:val="21"/>
          <w:highlight w:val="none"/>
        </w:rPr>
      </w:pPr>
      <w:r>
        <w:rPr>
          <w:rFonts w:hint="eastAsia" w:ascii="宋体" w:hAnsi="宋体"/>
          <w:color w:val="auto"/>
          <w:sz w:val="24"/>
          <w:szCs w:val="21"/>
          <w:highlight w:val="none"/>
        </w:rPr>
        <w:t>4.我们同意从规定的开标日期起遵循本投标文件，并在投标有效期</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rPr>
        <w:t>天之前均具有约束力。</w:t>
      </w:r>
    </w:p>
    <w:p w14:paraId="19F9D49B">
      <w:pPr>
        <w:spacing w:line="276" w:lineRule="auto"/>
        <w:ind w:firstLine="480"/>
        <w:rPr>
          <w:rFonts w:ascii="宋体" w:hAnsi="宋体"/>
          <w:color w:val="auto"/>
          <w:sz w:val="24"/>
          <w:szCs w:val="21"/>
          <w:highlight w:val="none"/>
        </w:rPr>
      </w:pPr>
      <w:r>
        <w:rPr>
          <w:rFonts w:ascii="宋体" w:hAnsi="宋体"/>
          <w:color w:val="auto"/>
          <w:sz w:val="24"/>
          <w:szCs w:val="21"/>
          <w:highlight w:val="none"/>
        </w:rPr>
        <w:t>5</w:t>
      </w:r>
      <w:r>
        <w:rPr>
          <w:rFonts w:hint="eastAsia" w:ascii="宋体" w:hAnsi="宋体"/>
          <w:color w:val="auto"/>
          <w:sz w:val="24"/>
          <w:szCs w:val="21"/>
          <w:highlight w:val="none"/>
        </w:rPr>
        <w:t>.同意向贵方提供贵方可能另外要求的与投标有关的任何证据或资料，并保证我方已提供和将要提供的文件是真实的、准确的。</w:t>
      </w:r>
    </w:p>
    <w:p w14:paraId="427BF9C0">
      <w:pPr>
        <w:spacing w:line="276" w:lineRule="auto"/>
        <w:ind w:firstLine="480"/>
        <w:rPr>
          <w:rFonts w:ascii="宋体" w:hAnsi="宋体"/>
          <w:color w:val="auto"/>
          <w:sz w:val="24"/>
          <w:szCs w:val="21"/>
          <w:highlight w:val="none"/>
        </w:rPr>
      </w:pPr>
      <w:r>
        <w:rPr>
          <w:rFonts w:ascii="宋体" w:hAnsi="宋体"/>
          <w:color w:val="auto"/>
          <w:sz w:val="24"/>
          <w:szCs w:val="21"/>
          <w:highlight w:val="none"/>
        </w:rPr>
        <w:t>6</w:t>
      </w:r>
      <w:r>
        <w:rPr>
          <w:rFonts w:hint="eastAsia" w:ascii="宋体" w:hAnsi="宋体"/>
          <w:color w:val="auto"/>
          <w:sz w:val="24"/>
          <w:szCs w:val="21"/>
          <w:highlight w:val="none"/>
        </w:rPr>
        <w:t>.一旦我方中标,我方将根据招标文件的规定，严格履行合同的责任和义务,并保证在招标文件规定的时间完成项目，交付买方验收、使用。</w:t>
      </w:r>
    </w:p>
    <w:p w14:paraId="4309030D">
      <w:pPr>
        <w:spacing w:line="276" w:lineRule="auto"/>
        <w:ind w:left="425"/>
        <w:rPr>
          <w:rFonts w:ascii="宋体" w:hAnsi="宋体"/>
          <w:color w:val="auto"/>
          <w:sz w:val="24"/>
          <w:szCs w:val="21"/>
          <w:highlight w:val="none"/>
        </w:rPr>
      </w:pPr>
      <w:r>
        <w:rPr>
          <w:rFonts w:ascii="宋体" w:hAnsi="宋体"/>
          <w:color w:val="auto"/>
          <w:sz w:val="24"/>
          <w:szCs w:val="21"/>
          <w:highlight w:val="none"/>
        </w:rPr>
        <w:t>7</w:t>
      </w:r>
      <w:r>
        <w:rPr>
          <w:rFonts w:hint="eastAsia" w:ascii="宋体" w:hAnsi="宋体"/>
          <w:color w:val="auto"/>
          <w:sz w:val="24"/>
          <w:szCs w:val="21"/>
          <w:highlight w:val="none"/>
        </w:rPr>
        <w:t>.与本投标有关的正式通讯地址为：</w:t>
      </w:r>
    </w:p>
    <w:p w14:paraId="787E9107">
      <w:pPr>
        <w:spacing w:line="276" w:lineRule="auto"/>
        <w:ind w:left="420" w:firstLine="480"/>
        <w:jc w:val="left"/>
        <w:rPr>
          <w:rFonts w:ascii="宋体" w:hAnsi="宋体"/>
          <w:color w:val="auto"/>
          <w:sz w:val="24"/>
          <w:szCs w:val="21"/>
          <w:highlight w:val="none"/>
        </w:rPr>
      </w:pPr>
      <w:r>
        <w:rPr>
          <w:rFonts w:hint="eastAsia" w:ascii="宋体" w:hAnsi="宋体"/>
          <w:color w:val="auto"/>
          <w:sz w:val="24"/>
          <w:szCs w:val="21"/>
          <w:highlight w:val="none"/>
        </w:rPr>
        <w:t>地        址：</w:t>
      </w:r>
    </w:p>
    <w:p w14:paraId="52EF0431">
      <w:pPr>
        <w:spacing w:line="276" w:lineRule="auto"/>
        <w:ind w:left="420" w:firstLine="480"/>
        <w:jc w:val="left"/>
        <w:rPr>
          <w:rFonts w:ascii="宋体" w:hAnsi="宋体"/>
          <w:color w:val="auto"/>
          <w:sz w:val="24"/>
          <w:szCs w:val="21"/>
          <w:highlight w:val="none"/>
        </w:rPr>
      </w:pPr>
      <w:r>
        <w:rPr>
          <w:rFonts w:hint="eastAsia" w:ascii="宋体" w:hAnsi="宋体"/>
          <w:color w:val="auto"/>
          <w:sz w:val="24"/>
          <w:szCs w:val="21"/>
          <w:highlight w:val="none"/>
        </w:rPr>
        <w:t>邮        编：</w:t>
      </w:r>
    </w:p>
    <w:p w14:paraId="4E04F1A3">
      <w:pPr>
        <w:spacing w:line="276" w:lineRule="auto"/>
        <w:ind w:left="420" w:firstLine="480"/>
        <w:jc w:val="left"/>
        <w:rPr>
          <w:rFonts w:ascii="宋体" w:hAnsi="宋体"/>
          <w:color w:val="auto"/>
          <w:sz w:val="24"/>
          <w:szCs w:val="21"/>
          <w:highlight w:val="none"/>
        </w:rPr>
      </w:pPr>
      <w:r>
        <w:rPr>
          <w:rFonts w:hint="eastAsia" w:ascii="宋体" w:hAnsi="宋体"/>
          <w:color w:val="auto"/>
          <w:sz w:val="24"/>
          <w:szCs w:val="21"/>
          <w:highlight w:val="none"/>
        </w:rPr>
        <w:t>电        话：</w:t>
      </w:r>
    </w:p>
    <w:p w14:paraId="4E6C6069">
      <w:pPr>
        <w:spacing w:line="276" w:lineRule="auto"/>
        <w:ind w:left="420" w:firstLine="480"/>
        <w:jc w:val="left"/>
        <w:rPr>
          <w:rFonts w:ascii="宋体" w:hAnsi="宋体"/>
          <w:color w:val="auto"/>
          <w:sz w:val="24"/>
          <w:szCs w:val="21"/>
          <w:highlight w:val="none"/>
        </w:rPr>
      </w:pPr>
      <w:r>
        <w:rPr>
          <w:rFonts w:hint="eastAsia" w:ascii="宋体" w:hAnsi="宋体"/>
          <w:color w:val="auto"/>
          <w:sz w:val="24"/>
          <w:szCs w:val="21"/>
          <w:highlight w:val="none"/>
        </w:rPr>
        <w:t>传        真：</w:t>
      </w:r>
    </w:p>
    <w:p w14:paraId="3F4824EC">
      <w:pPr>
        <w:spacing w:line="276" w:lineRule="auto"/>
        <w:ind w:left="420" w:firstLine="480"/>
        <w:jc w:val="left"/>
        <w:rPr>
          <w:rFonts w:ascii="宋体" w:hAnsi="宋体"/>
          <w:color w:val="auto"/>
          <w:sz w:val="24"/>
          <w:szCs w:val="21"/>
          <w:highlight w:val="none"/>
        </w:rPr>
      </w:pPr>
      <w:r>
        <w:rPr>
          <w:rFonts w:hint="eastAsia" w:ascii="宋体" w:hAnsi="宋体"/>
          <w:color w:val="auto"/>
          <w:sz w:val="24"/>
          <w:szCs w:val="21"/>
          <w:highlight w:val="none"/>
        </w:rPr>
        <w:t>投标人开户行：</w:t>
      </w:r>
    </w:p>
    <w:p w14:paraId="7D805D74">
      <w:pPr>
        <w:spacing w:line="276" w:lineRule="auto"/>
        <w:ind w:left="420" w:firstLine="480"/>
        <w:jc w:val="left"/>
        <w:rPr>
          <w:rFonts w:ascii="宋体" w:hAnsi="宋体"/>
          <w:color w:val="auto"/>
          <w:sz w:val="24"/>
          <w:szCs w:val="21"/>
          <w:highlight w:val="none"/>
        </w:rPr>
      </w:pPr>
      <w:r>
        <w:rPr>
          <w:rFonts w:hint="eastAsia" w:ascii="宋体" w:hAnsi="宋体"/>
          <w:color w:val="auto"/>
          <w:sz w:val="24"/>
          <w:szCs w:val="21"/>
          <w:highlight w:val="none"/>
        </w:rPr>
        <w:t xml:space="preserve">账        号： </w:t>
      </w:r>
    </w:p>
    <w:p w14:paraId="7937D159">
      <w:pPr>
        <w:spacing w:line="276" w:lineRule="auto"/>
        <w:ind w:left="420" w:firstLine="480"/>
        <w:jc w:val="left"/>
        <w:rPr>
          <w:rFonts w:ascii="宋体" w:hAnsi="宋体"/>
          <w:color w:val="auto"/>
          <w:sz w:val="24"/>
          <w:szCs w:val="21"/>
          <w:highlight w:val="none"/>
        </w:rPr>
      </w:pPr>
      <w:r>
        <w:rPr>
          <w:rFonts w:hint="eastAsia" w:ascii="宋体" w:hAnsi="宋体"/>
          <w:color w:val="auto"/>
          <w:sz w:val="24"/>
          <w:szCs w:val="21"/>
          <w:highlight w:val="none"/>
        </w:rPr>
        <w:t>日        期：________年____月____日</w:t>
      </w:r>
    </w:p>
    <w:p w14:paraId="3A952CCC">
      <w:pPr>
        <w:spacing w:line="276" w:lineRule="auto"/>
        <w:jc w:val="center"/>
        <w:outlineLvl w:val="1"/>
        <w:rPr>
          <w:rFonts w:ascii="宋体" w:hAnsi="宋体" w:cs="宋体"/>
          <w:iCs/>
          <w:color w:val="auto"/>
          <w:sz w:val="32"/>
          <w:szCs w:val="32"/>
          <w:highlight w:val="none"/>
        </w:rPr>
      </w:pPr>
      <w:r>
        <w:rPr>
          <w:rFonts w:hint="eastAsia"/>
          <w:color w:val="auto"/>
          <w:szCs w:val="21"/>
          <w:highlight w:val="none"/>
        </w:rPr>
        <w:br w:type="page"/>
      </w:r>
      <w:bookmarkStart w:id="191" w:name="_Toc184129797"/>
      <w:r>
        <w:rPr>
          <w:rFonts w:hint="eastAsia" w:ascii="宋体" w:hAnsi="宋体" w:cs="宋体"/>
          <w:iCs/>
          <w:color w:val="auto"/>
          <w:sz w:val="32"/>
          <w:szCs w:val="32"/>
          <w:highlight w:val="none"/>
        </w:rPr>
        <w:t>小微企业声明函（服务）（如适用）</w:t>
      </w:r>
      <w:bookmarkEnd w:id="191"/>
    </w:p>
    <w:p w14:paraId="74FE16BB">
      <w:pPr>
        <w:spacing w:line="276" w:lineRule="auto"/>
        <w:ind w:firstLine="480" w:firstLineChars="200"/>
        <w:rPr>
          <w:rFonts w:ascii="宋体" w:hAnsi="宋体"/>
          <w:color w:val="auto"/>
          <w:sz w:val="24"/>
          <w:highlight w:val="none"/>
        </w:rPr>
      </w:pPr>
    </w:p>
    <w:p w14:paraId="51E1F1D1">
      <w:pPr>
        <w:widowControl/>
        <w:jc w:val="center"/>
        <w:rPr>
          <w:rFonts w:ascii="宋体" w:hAnsi="宋体" w:cs="宋体"/>
          <w:b/>
          <w:bCs/>
          <w:color w:val="auto"/>
          <w:kern w:val="0"/>
          <w:sz w:val="36"/>
          <w:szCs w:val="36"/>
          <w:highlight w:val="none"/>
        </w:rPr>
      </w:pPr>
      <w:r>
        <w:rPr>
          <w:rFonts w:hint="eastAsia" w:ascii="宋体" w:hAnsi="宋体" w:cs="宋体"/>
          <w:b/>
          <w:bCs/>
          <w:color w:val="auto"/>
          <w:kern w:val="0"/>
          <w:sz w:val="36"/>
          <w:szCs w:val="36"/>
          <w:highlight w:val="none"/>
        </w:rPr>
        <w:t>中小企业声明函</w:t>
      </w:r>
    </w:p>
    <w:p w14:paraId="48556431">
      <w:pPr>
        <w:pStyle w:val="22"/>
        <w:rPr>
          <w:color w:val="auto"/>
          <w:highlight w:val="none"/>
        </w:rPr>
      </w:pPr>
    </w:p>
    <w:p w14:paraId="281AC7CB">
      <w:pPr>
        <w:widowControl/>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本公司（联合体）郑重声明，根据《政府采购促进中小企业发展管理办法》（财库﹝2020﹞46 号）的规定，本公司（联合体）参加</w:t>
      </w:r>
      <w:r>
        <w:rPr>
          <w:rFonts w:hint="eastAsia" w:ascii="宋体" w:hAnsi="宋体" w:cs="宋体"/>
          <w:i/>
          <w:iCs/>
          <w:color w:val="auto"/>
          <w:kern w:val="0"/>
          <w:szCs w:val="21"/>
          <w:highlight w:val="none"/>
        </w:rPr>
        <w:t>（单位名称）</w:t>
      </w:r>
      <w:r>
        <w:rPr>
          <w:rFonts w:hint="eastAsia" w:ascii="宋体" w:hAnsi="宋体" w:cs="宋体"/>
          <w:color w:val="auto"/>
          <w:kern w:val="0"/>
          <w:szCs w:val="21"/>
          <w:highlight w:val="none"/>
        </w:rPr>
        <w:t>的</w:t>
      </w:r>
      <w:r>
        <w:rPr>
          <w:rFonts w:hint="eastAsia" w:ascii="宋体" w:hAnsi="宋体" w:cs="宋体"/>
          <w:i/>
          <w:iCs/>
          <w:color w:val="auto"/>
          <w:kern w:val="0"/>
          <w:szCs w:val="21"/>
          <w:highlight w:val="none"/>
        </w:rPr>
        <w:t>（项目名称）</w:t>
      </w:r>
      <w:r>
        <w:rPr>
          <w:rFonts w:hint="eastAsia" w:ascii="宋体" w:hAnsi="宋体" w:cs="宋体"/>
          <w:color w:val="auto"/>
          <w:kern w:val="0"/>
          <w:szCs w:val="21"/>
          <w:highlight w:val="none"/>
        </w:rPr>
        <w:t>采购活动，服务全部由符合政策要求的中小企业承接。相关企业（含联合体中的中小企业、签订分包意向协议的中小企业）的具体情况如下：</w:t>
      </w:r>
    </w:p>
    <w:p w14:paraId="5F458F10">
      <w:pPr>
        <w:widowControl/>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 </w:t>
      </w:r>
      <w:r>
        <w:rPr>
          <w:rFonts w:hint="eastAsia" w:ascii="宋体" w:hAnsi="宋体" w:cs="宋体"/>
          <w:i/>
          <w:iCs/>
          <w:color w:val="auto"/>
          <w:kern w:val="0"/>
          <w:szCs w:val="21"/>
          <w:highlight w:val="none"/>
        </w:rPr>
        <w:t xml:space="preserve">（标的名称） </w:t>
      </w:r>
      <w:r>
        <w:rPr>
          <w:rFonts w:hint="eastAsia" w:ascii="宋体" w:hAnsi="宋体" w:cs="宋体"/>
          <w:color w:val="auto"/>
          <w:kern w:val="0"/>
          <w:szCs w:val="21"/>
          <w:highlight w:val="none"/>
        </w:rPr>
        <w:t>，属于</w:t>
      </w:r>
      <w:r>
        <w:rPr>
          <w:rFonts w:hint="eastAsia" w:ascii="宋体" w:hAnsi="宋体" w:cs="宋体"/>
          <w:i/>
          <w:iCs/>
          <w:color w:val="auto"/>
          <w:kern w:val="0"/>
          <w:szCs w:val="21"/>
          <w:highlight w:val="none"/>
        </w:rPr>
        <w:t>（采购文件中明确的所属行业）</w:t>
      </w:r>
      <w:r>
        <w:rPr>
          <w:rFonts w:hint="eastAsia" w:ascii="宋体" w:hAnsi="宋体" w:cs="宋体"/>
          <w:color w:val="auto"/>
          <w:kern w:val="0"/>
          <w:szCs w:val="21"/>
          <w:highlight w:val="none"/>
        </w:rPr>
        <w:t>；承建（承接）企业为</w:t>
      </w:r>
      <w:r>
        <w:rPr>
          <w:rFonts w:hint="eastAsia" w:ascii="宋体" w:hAnsi="宋体" w:cs="宋体"/>
          <w:i/>
          <w:iCs/>
          <w:color w:val="auto"/>
          <w:kern w:val="0"/>
          <w:szCs w:val="21"/>
          <w:highlight w:val="none"/>
        </w:rPr>
        <w:t>（企业名称）</w:t>
      </w:r>
      <w:r>
        <w:rPr>
          <w:rFonts w:hint="eastAsia" w:ascii="宋体" w:hAnsi="宋体" w:cs="宋体"/>
          <w:color w:val="auto"/>
          <w:kern w:val="0"/>
          <w:szCs w:val="21"/>
          <w:highlight w:val="none"/>
        </w:rPr>
        <w:t>，从业人员</w:t>
      </w:r>
      <w:r>
        <w:rPr>
          <w:rFonts w:hint="eastAsia" w:ascii="宋体" w:hAnsi="宋体" w:cs="宋体"/>
          <w:color w:val="auto"/>
          <w:kern w:val="0"/>
          <w:szCs w:val="21"/>
          <w:highlight w:val="none"/>
          <w:u w:val="single"/>
        </w:rPr>
        <w:t xml:space="preserve"> </w:t>
      </w:r>
      <w:r>
        <w:rPr>
          <w:rFonts w:ascii="宋体" w:hAnsi="宋体" w:cs="宋体"/>
          <w:color w:val="auto"/>
          <w:kern w:val="0"/>
          <w:szCs w:val="21"/>
          <w:highlight w:val="none"/>
          <w:u w:val="single"/>
        </w:rPr>
        <w:t xml:space="preserve">   </w:t>
      </w:r>
      <w:r>
        <w:rPr>
          <w:rFonts w:hint="eastAsia" w:ascii="宋体" w:hAnsi="宋体" w:cs="宋体"/>
          <w:color w:val="auto"/>
          <w:kern w:val="0"/>
          <w:szCs w:val="21"/>
          <w:highlight w:val="none"/>
        </w:rPr>
        <w:t>人，营业收入为</w:t>
      </w:r>
      <w:r>
        <w:rPr>
          <w:rFonts w:hint="eastAsia" w:ascii="宋体" w:hAnsi="宋体" w:cs="宋体"/>
          <w:color w:val="auto"/>
          <w:kern w:val="0"/>
          <w:szCs w:val="21"/>
          <w:highlight w:val="none"/>
          <w:u w:val="single"/>
        </w:rPr>
        <w:t xml:space="preserve"> </w:t>
      </w:r>
      <w:r>
        <w:rPr>
          <w:rFonts w:ascii="宋体" w:hAnsi="宋体" w:cs="宋体"/>
          <w:color w:val="auto"/>
          <w:kern w:val="0"/>
          <w:szCs w:val="21"/>
          <w:highlight w:val="none"/>
          <w:u w:val="single"/>
        </w:rPr>
        <w:t xml:space="preserve">    </w:t>
      </w:r>
      <w:r>
        <w:rPr>
          <w:rFonts w:hint="eastAsia" w:ascii="宋体" w:hAnsi="宋体" w:cs="宋体"/>
          <w:color w:val="auto"/>
          <w:kern w:val="0"/>
          <w:szCs w:val="21"/>
          <w:highlight w:val="none"/>
        </w:rPr>
        <w:t>万元，资产总额为</w:t>
      </w:r>
      <w:r>
        <w:rPr>
          <w:rFonts w:hint="eastAsia" w:ascii="宋体" w:hAnsi="宋体" w:cs="宋体"/>
          <w:color w:val="auto"/>
          <w:kern w:val="0"/>
          <w:szCs w:val="21"/>
          <w:highlight w:val="none"/>
          <w:u w:val="single"/>
        </w:rPr>
        <w:t xml:space="preserve"> </w:t>
      </w:r>
      <w:r>
        <w:rPr>
          <w:rFonts w:ascii="宋体" w:hAnsi="宋体" w:cs="宋体"/>
          <w:color w:val="auto"/>
          <w:kern w:val="0"/>
          <w:szCs w:val="21"/>
          <w:highlight w:val="none"/>
          <w:u w:val="single"/>
        </w:rPr>
        <w:t xml:space="preserve">    </w:t>
      </w:r>
      <w:r>
        <w:rPr>
          <w:rFonts w:hint="eastAsia" w:ascii="宋体" w:hAnsi="宋体" w:cs="宋体"/>
          <w:color w:val="auto"/>
          <w:kern w:val="0"/>
          <w:szCs w:val="21"/>
          <w:highlight w:val="none"/>
        </w:rPr>
        <w:t>万元，属于</w:t>
      </w:r>
      <w:r>
        <w:rPr>
          <w:rFonts w:hint="eastAsia" w:ascii="宋体" w:hAnsi="宋体" w:cs="宋体"/>
          <w:i/>
          <w:iCs/>
          <w:color w:val="auto"/>
          <w:kern w:val="0"/>
          <w:szCs w:val="21"/>
          <w:highlight w:val="none"/>
        </w:rPr>
        <w:t>（中型企业、小型企业、微型企业）</w:t>
      </w:r>
      <w:r>
        <w:rPr>
          <w:rFonts w:hint="eastAsia" w:ascii="宋体" w:hAnsi="宋体" w:cs="宋体"/>
          <w:color w:val="auto"/>
          <w:kern w:val="0"/>
          <w:szCs w:val="21"/>
          <w:highlight w:val="none"/>
        </w:rPr>
        <w:t xml:space="preserve">； </w:t>
      </w:r>
    </w:p>
    <w:p w14:paraId="1EC23BDC">
      <w:pPr>
        <w:widowControl/>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2. </w:t>
      </w:r>
      <w:r>
        <w:rPr>
          <w:rFonts w:hint="eastAsia" w:ascii="宋体" w:hAnsi="宋体" w:cs="宋体"/>
          <w:i/>
          <w:iCs/>
          <w:color w:val="auto"/>
          <w:kern w:val="0"/>
          <w:szCs w:val="21"/>
          <w:highlight w:val="none"/>
        </w:rPr>
        <w:t xml:space="preserve">（标的名称） </w:t>
      </w:r>
      <w:r>
        <w:rPr>
          <w:rFonts w:hint="eastAsia" w:ascii="宋体" w:hAnsi="宋体" w:cs="宋体"/>
          <w:color w:val="auto"/>
          <w:kern w:val="0"/>
          <w:szCs w:val="21"/>
          <w:highlight w:val="none"/>
        </w:rPr>
        <w:t>，属于</w:t>
      </w:r>
      <w:r>
        <w:rPr>
          <w:rFonts w:hint="eastAsia" w:ascii="宋体" w:hAnsi="宋体" w:cs="宋体"/>
          <w:i/>
          <w:iCs/>
          <w:color w:val="auto"/>
          <w:kern w:val="0"/>
          <w:szCs w:val="21"/>
          <w:highlight w:val="none"/>
        </w:rPr>
        <w:t>（采购文件中明确的所属行业）</w:t>
      </w:r>
      <w:r>
        <w:rPr>
          <w:rFonts w:hint="eastAsia" w:ascii="宋体" w:hAnsi="宋体" w:cs="宋体"/>
          <w:color w:val="auto"/>
          <w:kern w:val="0"/>
          <w:szCs w:val="21"/>
          <w:highlight w:val="none"/>
        </w:rPr>
        <w:t>；承建（承接）企业为</w:t>
      </w:r>
      <w:r>
        <w:rPr>
          <w:rFonts w:hint="eastAsia" w:ascii="宋体" w:hAnsi="宋体" w:cs="宋体"/>
          <w:i/>
          <w:iCs/>
          <w:color w:val="auto"/>
          <w:kern w:val="0"/>
          <w:szCs w:val="21"/>
          <w:highlight w:val="none"/>
        </w:rPr>
        <w:t>（企业名称）</w:t>
      </w:r>
      <w:r>
        <w:rPr>
          <w:rFonts w:hint="eastAsia" w:ascii="宋体" w:hAnsi="宋体" w:cs="宋体"/>
          <w:color w:val="auto"/>
          <w:kern w:val="0"/>
          <w:szCs w:val="21"/>
          <w:highlight w:val="none"/>
        </w:rPr>
        <w:t>，从业人员</w:t>
      </w:r>
      <w:r>
        <w:rPr>
          <w:rFonts w:hint="eastAsia" w:ascii="宋体" w:hAnsi="宋体" w:cs="宋体"/>
          <w:color w:val="auto"/>
          <w:kern w:val="0"/>
          <w:szCs w:val="21"/>
          <w:highlight w:val="none"/>
          <w:u w:val="single"/>
        </w:rPr>
        <w:t xml:space="preserve"> </w:t>
      </w:r>
      <w:r>
        <w:rPr>
          <w:rFonts w:ascii="宋体" w:hAnsi="宋体" w:cs="宋体"/>
          <w:color w:val="auto"/>
          <w:kern w:val="0"/>
          <w:szCs w:val="21"/>
          <w:highlight w:val="none"/>
          <w:u w:val="single"/>
        </w:rPr>
        <w:t xml:space="preserve">   </w:t>
      </w:r>
      <w:r>
        <w:rPr>
          <w:rFonts w:hint="eastAsia" w:ascii="宋体" w:hAnsi="宋体" w:cs="宋体"/>
          <w:color w:val="auto"/>
          <w:kern w:val="0"/>
          <w:szCs w:val="21"/>
          <w:highlight w:val="none"/>
        </w:rPr>
        <w:t>人，营业收入为</w:t>
      </w:r>
      <w:r>
        <w:rPr>
          <w:rFonts w:hint="eastAsia" w:ascii="宋体" w:hAnsi="宋体" w:cs="宋体"/>
          <w:i/>
          <w:color w:val="auto"/>
          <w:kern w:val="0"/>
          <w:szCs w:val="21"/>
          <w:highlight w:val="none"/>
        </w:rPr>
        <w:t xml:space="preserve"> </w:t>
      </w:r>
      <w:r>
        <w:rPr>
          <w:rFonts w:ascii="宋体" w:hAnsi="宋体" w:cs="宋体"/>
          <w:i/>
          <w:color w:val="auto"/>
          <w:kern w:val="0"/>
          <w:szCs w:val="21"/>
          <w:highlight w:val="none"/>
          <w:u w:val="single"/>
        </w:rPr>
        <w:t xml:space="preserve">     </w:t>
      </w:r>
      <w:r>
        <w:rPr>
          <w:rFonts w:hint="eastAsia" w:ascii="宋体" w:hAnsi="宋体" w:cs="宋体"/>
          <w:color w:val="auto"/>
          <w:kern w:val="0"/>
          <w:szCs w:val="21"/>
          <w:highlight w:val="none"/>
        </w:rPr>
        <w:t>万元，资产总额为</w:t>
      </w:r>
      <w:r>
        <w:rPr>
          <w:rFonts w:hint="eastAsia" w:ascii="宋体" w:hAnsi="宋体" w:cs="宋体"/>
          <w:color w:val="auto"/>
          <w:kern w:val="0"/>
          <w:szCs w:val="21"/>
          <w:highlight w:val="none"/>
          <w:u w:val="single"/>
        </w:rPr>
        <w:t xml:space="preserve"> </w:t>
      </w:r>
      <w:r>
        <w:rPr>
          <w:rFonts w:ascii="宋体" w:hAnsi="宋体" w:cs="宋体"/>
          <w:color w:val="auto"/>
          <w:kern w:val="0"/>
          <w:szCs w:val="21"/>
          <w:highlight w:val="none"/>
          <w:u w:val="single"/>
        </w:rPr>
        <w:t xml:space="preserve">    </w:t>
      </w:r>
      <w:r>
        <w:rPr>
          <w:rFonts w:hint="eastAsia" w:ascii="宋体" w:hAnsi="宋体" w:cs="宋体"/>
          <w:color w:val="auto"/>
          <w:kern w:val="0"/>
          <w:szCs w:val="21"/>
          <w:highlight w:val="none"/>
        </w:rPr>
        <w:t>万元，属于</w:t>
      </w:r>
      <w:r>
        <w:rPr>
          <w:rFonts w:hint="eastAsia" w:ascii="宋体" w:hAnsi="宋体" w:cs="宋体"/>
          <w:i/>
          <w:iCs/>
          <w:color w:val="auto"/>
          <w:kern w:val="0"/>
          <w:szCs w:val="21"/>
          <w:highlight w:val="none"/>
        </w:rPr>
        <w:t>（中型企业、小型企业、微型企业）</w:t>
      </w:r>
      <w:r>
        <w:rPr>
          <w:rFonts w:hint="eastAsia" w:ascii="宋体" w:hAnsi="宋体" w:cs="宋体"/>
          <w:color w:val="auto"/>
          <w:kern w:val="0"/>
          <w:szCs w:val="21"/>
          <w:highlight w:val="none"/>
        </w:rPr>
        <w:t xml:space="preserve">； </w:t>
      </w:r>
    </w:p>
    <w:p w14:paraId="40836A01">
      <w:pPr>
        <w:widowControl/>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w:t>
      </w:r>
    </w:p>
    <w:p w14:paraId="23422CAE">
      <w:pPr>
        <w:widowControl/>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以上企业，不属于大企业的分支机构，不存在控股股东为大企业的情形，也不存在与大企业的负责人为同一人的情形。</w:t>
      </w:r>
    </w:p>
    <w:p w14:paraId="22C9A88D">
      <w:pPr>
        <w:widowControl/>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本企业对上述声明内容的真实性负责。如有虚假，将依法承担相应责任。 </w:t>
      </w:r>
    </w:p>
    <w:p w14:paraId="3D91584D">
      <w:pPr>
        <w:widowControl/>
        <w:spacing w:line="360" w:lineRule="auto"/>
        <w:ind w:firstLine="420" w:firstLineChars="200"/>
        <w:jc w:val="left"/>
        <w:rPr>
          <w:rFonts w:ascii="宋体" w:hAnsi="宋体" w:cs="宋体"/>
          <w:color w:val="auto"/>
          <w:kern w:val="0"/>
          <w:szCs w:val="21"/>
          <w:highlight w:val="none"/>
        </w:rPr>
      </w:pPr>
    </w:p>
    <w:p w14:paraId="7F79E39A">
      <w:pPr>
        <w:widowControl/>
        <w:spacing w:line="360" w:lineRule="auto"/>
        <w:ind w:firstLine="420" w:firstLineChars="200"/>
        <w:jc w:val="right"/>
        <w:rPr>
          <w:rFonts w:ascii="宋体" w:hAnsi="宋体" w:cs="宋体"/>
          <w:color w:val="auto"/>
          <w:kern w:val="0"/>
          <w:szCs w:val="21"/>
          <w:highlight w:val="none"/>
        </w:rPr>
      </w:pPr>
      <w:r>
        <w:rPr>
          <w:rFonts w:hint="eastAsia" w:ascii="宋体" w:hAnsi="宋体" w:cs="宋体"/>
          <w:color w:val="auto"/>
          <w:kern w:val="0"/>
          <w:szCs w:val="21"/>
          <w:highlight w:val="none"/>
        </w:rPr>
        <w:t xml:space="preserve">企业名称（盖章）： </w:t>
      </w:r>
    </w:p>
    <w:p w14:paraId="0304B3F6">
      <w:pPr>
        <w:spacing w:line="360" w:lineRule="auto"/>
        <w:ind w:firstLine="420" w:firstLineChars="200"/>
        <w:jc w:val="right"/>
        <w:rPr>
          <w:rFonts w:ascii="宋体" w:hAnsi="宋体" w:cs="宋体"/>
          <w:color w:val="auto"/>
          <w:kern w:val="0"/>
          <w:szCs w:val="21"/>
          <w:highlight w:val="none"/>
        </w:rPr>
      </w:pPr>
      <w:r>
        <w:rPr>
          <w:rFonts w:hint="eastAsia" w:ascii="宋体" w:hAnsi="宋体" w:cs="宋体"/>
          <w:color w:val="auto"/>
          <w:kern w:val="0"/>
          <w:szCs w:val="21"/>
          <w:highlight w:val="none"/>
        </w:rPr>
        <w:t>日 期：</w:t>
      </w:r>
    </w:p>
    <w:p w14:paraId="55BDABCD">
      <w:pPr>
        <w:widowControl/>
        <w:spacing w:line="360" w:lineRule="auto"/>
        <w:jc w:val="left"/>
        <w:rPr>
          <w:rFonts w:ascii="宋体" w:hAnsi="宋体" w:cs="宋体"/>
          <w:color w:val="auto"/>
          <w:kern w:val="0"/>
          <w:sz w:val="18"/>
          <w:szCs w:val="18"/>
          <w:highlight w:val="none"/>
        </w:rPr>
      </w:pPr>
    </w:p>
    <w:p w14:paraId="43B13D35">
      <w:pPr>
        <w:widowControl/>
        <w:spacing w:line="360" w:lineRule="auto"/>
        <w:jc w:val="left"/>
        <w:rPr>
          <w:rFonts w:ascii="宋体" w:hAnsi="宋体"/>
          <w:color w:val="auto"/>
          <w:sz w:val="24"/>
          <w:highlight w:val="none"/>
        </w:rPr>
      </w:pPr>
      <w:r>
        <w:rPr>
          <w:rFonts w:hint="eastAsia" w:ascii="宋体" w:hAnsi="宋体" w:cs="宋体"/>
          <w:color w:val="auto"/>
          <w:kern w:val="0"/>
          <w:sz w:val="18"/>
          <w:szCs w:val="18"/>
          <w:highlight w:val="none"/>
        </w:rPr>
        <w:t>备注1：从业人员、营业收入、资产总额填报上一年度数据，无上一年度数据的新成立企业可不填报。</w:t>
      </w:r>
    </w:p>
    <w:p w14:paraId="18FAEBED">
      <w:pPr>
        <w:widowControl/>
        <w:spacing w:line="360" w:lineRule="auto"/>
        <w:jc w:val="left"/>
        <w:rPr>
          <w:rFonts w:ascii="宋体" w:hAnsi="宋体" w:cs="宋体"/>
          <w:color w:val="auto"/>
          <w:kern w:val="0"/>
          <w:sz w:val="18"/>
          <w:szCs w:val="18"/>
          <w:highlight w:val="none"/>
        </w:rPr>
      </w:pPr>
      <w:r>
        <w:rPr>
          <w:rFonts w:hint="eastAsia" w:ascii="宋体" w:hAnsi="宋体" w:cs="宋体"/>
          <w:color w:val="auto"/>
          <w:kern w:val="0"/>
          <w:sz w:val="18"/>
          <w:szCs w:val="18"/>
          <w:highlight w:val="none"/>
        </w:rPr>
        <w:t>备注2：供应商如不提供此声明函，价格将不做相应扣除。</w:t>
      </w:r>
    </w:p>
    <w:p w14:paraId="6786808D">
      <w:pPr>
        <w:spacing w:line="276" w:lineRule="auto"/>
        <w:jc w:val="center"/>
        <w:outlineLvl w:val="1"/>
        <w:rPr>
          <w:rFonts w:ascii="宋体" w:hAnsi="宋体" w:cs="宋体"/>
          <w:iCs/>
          <w:color w:val="auto"/>
          <w:sz w:val="32"/>
          <w:szCs w:val="32"/>
          <w:highlight w:val="none"/>
        </w:rPr>
      </w:pPr>
      <w:r>
        <w:rPr>
          <w:rFonts w:ascii="黑体" w:hAnsi="黑体" w:eastAsia="黑体"/>
          <w:b/>
          <w:color w:val="auto"/>
          <w:sz w:val="32"/>
          <w:szCs w:val="32"/>
          <w:highlight w:val="none"/>
        </w:rPr>
        <w:br w:type="page" w:clear="all"/>
      </w:r>
      <w:bookmarkStart w:id="192" w:name="_Toc184129798"/>
      <w:r>
        <w:rPr>
          <w:rFonts w:hint="eastAsia" w:ascii="宋体" w:hAnsi="宋体" w:cs="宋体"/>
          <w:iCs/>
          <w:color w:val="auto"/>
          <w:sz w:val="32"/>
          <w:szCs w:val="32"/>
          <w:highlight w:val="none"/>
        </w:rPr>
        <w:t>残疾人福利性单位声明函（如适用）</w:t>
      </w:r>
      <w:bookmarkEnd w:id="192"/>
    </w:p>
    <w:p w14:paraId="4327CF38">
      <w:pPr>
        <w:spacing w:line="276" w:lineRule="auto"/>
        <w:ind w:firstLine="480" w:firstLineChars="200"/>
        <w:rPr>
          <w:rFonts w:ascii="宋体" w:hAnsi="宋体"/>
          <w:color w:val="auto"/>
          <w:sz w:val="24"/>
          <w:szCs w:val="21"/>
          <w:highlight w:val="none"/>
        </w:rPr>
      </w:pPr>
      <w:r>
        <w:rPr>
          <w:rFonts w:hint="eastAsia" w:ascii="宋体" w:hAnsi="宋体"/>
          <w:color w:val="auto"/>
          <w:sz w:val="24"/>
          <w:szCs w:val="21"/>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项目（分包号：**）采购活动提供本单位制造的货物，或者提供其他残疾人福利性单位制造的货物（不包括使用非残疾人福利性单位注册商标的货物）。</w:t>
      </w:r>
    </w:p>
    <w:p w14:paraId="3D231DF2">
      <w:pPr>
        <w:spacing w:line="276" w:lineRule="auto"/>
        <w:ind w:firstLine="480" w:firstLineChars="200"/>
        <w:rPr>
          <w:rFonts w:ascii="宋体" w:hAnsi="宋体"/>
          <w:color w:val="auto"/>
          <w:sz w:val="24"/>
          <w:szCs w:val="21"/>
          <w:highlight w:val="none"/>
        </w:rPr>
      </w:pPr>
      <w:r>
        <w:rPr>
          <w:rFonts w:hint="eastAsia" w:ascii="宋体" w:hAnsi="宋体"/>
          <w:color w:val="auto"/>
          <w:sz w:val="24"/>
          <w:szCs w:val="21"/>
          <w:highlight w:val="none"/>
        </w:rPr>
        <w:t>本单位对上述声明的真实性负责。如有虚假，将依法承担相应责任。</w:t>
      </w:r>
    </w:p>
    <w:p w14:paraId="42C17172">
      <w:pPr>
        <w:spacing w:line="276" w:lineRule="auto"/>
        <w:ind w:firstLine="480" w:firstLineChars="200"/>
        <w:rPr>
          <w:rFonts w:ascii="宋体" w:hAnsi="宋体"/>
          <w:color w:val="auto"/>
          <w:sz w:val="24"/>
          <w:szCs w:val="21"/>
          <w:highlight w:val="none"/>
        </w:rPr>
      </w:pPr>
    </w:p>
    <w:p w14:paraId="6ACE30F8">
      <w:pPr>
        <w:spacing w:line="276" w:lineRule="auto"/>
        <w:ind w:firstLine="480" w:firstLineChars="200"/>
        <w:rPr>
          <w:rFonts w:ascii="宋体" w:hAnsi="宋体"/>
          <w:color w:val="auto"/>
          <w:sz w:val="24"/>
          <w:szCs w:val="21"/>
          <w:highlight w:val="none"/>
        </w:rPr>
      </w:pPr>
      <w:r>
        <w:rPr>
          <w:rFonts w:hint="eastAsia" w:ascii="宋体" w:hAnsi="宋体"/>
          <w:color w:val="auto"/>
          <w:sz w:val="24"/>
          <w:szCs w:val="21"/>
          <w:highlight w:val="none"/>
        </w:rPr>
        <w:t>（备注：1、供应商如不提供此声明函，价格将不做相应扣除。2、中标供应商为残疾人福利单位的，此声明函将随中标结果同时公告，接受社会监督）</w:t>
      </w:r>
    </w:p>
    <w:p w14:paraId="17270998">
      <w:pPr>
        <w:spacing w:line="276" w:lineRule="auto"/>
        <w:rPr>
          <w:rFonts w:ascii="宋体" w:hAnsi="宋体"/>
          <w:color w:val="auto"/>
          <w:sz w:val="24"/>
          <w:highlight w:val="none"/>
        </w:rPr>
      </w:pPr>
    </w:p>
    <w:p w14:paraId="1FBD6444">
      <w:pPr>
        <w:spacing w:line="276" w:lineRule="auto"/>
        <w:jc w:val="center"/>
        <w:rPr>
          <w:rFonts w:ascii="宋体" w:hAnsi="宋体"/>
          <w:color w:val="auto"/>
          <w:sz w:val="24"/>
          <w:highlight w:val="none"/>
        </w:rPr>
      </w:pPr>
      <w:r>
        <w:rPr>
          <w:rFonts w:hint="eastAsia" w:ascii="宋体" w:hAnsi="宋体"/>
          <w:color w:val="auto"/>
          <w:sz w:val="24"/>
          <w:highlight w:val="none"/>
        </w:rPr>
        <w:t xml:space="preserve">                                  企业名称（加盖CA电子公章）：</w:t>
      </w:r>
    </w:p>
    <w:p w14:paraId="1C8BA4A6">
      <w:pPr>
        <w:spacing w:line="276" w:lineRule="auto"/>
        <w:jc w:val="center"/>
        <w:rPr>
          <w:rFonts w:ascii="宋体" w:hAnsi="宋体"/>
          <w:color w:val="auto"/>
          <w:sz w:val="24"/>
          <w:highlight w:val="none"/>
        </w:rPr>
      </w:pPr>
      <w:r>
        <w:rPr>
          <w:rFonts w:hint="eastAsia" w:ascii="宋体" w:hAnsi="宋体"/>
          <w:color w:val="auto"/>
          <w:sz w:val="24"/>
          <w:highlight w:val="none"/>
        </w:rPr>
        <w:t xml:space="preserve">                                                       日  期：</w:t>
      </w:r>
    </w:p>
    <w:p w14:paraId="3E4CD397">
      <w:pPr>
        <w:spacing w:line="276" w:lineRule="auto"/>
        <w:rPr>
          <w:rFonts w:ascii="黑体" w:hAnsi="黑体" w:eastAsia="黑体"/>
          <w:b/>
          <w:color w:val="auto"/>
          <w:sz w:val="32"/>
          <w:szCs w:val="32"/>
          <w:highlight w:val="none"/>
        </w:rPr>
      </w:pPr>
      <w:r>
        <w:rPr>
          <w:rFonts w:hint="eastAsia" w:ascii="黑体" w:hAnsi="黑体" w:eastAsia="黑体"/>
          <w:b/>
          <w:color w:val="auto"/>
          <w:sz w:val="32"/>
          <w:szCs w:val="32"/>
          <w:highlight w:val="none"/>
        </w:rPr>
        <w:br w:type="page"/>
      </w:r>
    </w:p>
    <w:p w14:paraId="62AE3B18">
      <w:pPr>
        <w:spacing w:line="276" w:lineRule="auto"/>
        <w:jc w:val="center"/>
        <w:outlineLvl w:val="1"/>
        <w:rPr>
          <w:rFonts w:ascii="宋体" w:hAnsi="宋体" w:cs="宋体"/>
          <w:iCs/>
          <w:color w:val="auto"/>
          <w:sz w:val="32"/>
          <w:szCs w:val="32"/>
          <w:highlight w:val="none"/>
        </w:rPr>
      </w:pPr>
      <w:bookmarkStart w:id="193" w:name="_Toc184129799"/>
      <w:r>
        <w:rPr>
          <w:rFonts w:hint="eastAsia" w:ascii="宋体" w:hAnsi="宋体" w:cs="宋体"/>
          <w:iCs/>
          <w:color w:val="auto"/>
          <w:sz w:val="32"/>
          <w:szCs w:val="32"/>
          <w:highlight w:val="none"/>
        </w:rPr>
        <w:t>技术要求响应及偏离表</w:t>
      </w:r>
      <w:bookmarkEnd w:id="193"/>
    </w:p>
    <w:p w14:paraId="60B381F0">
      <w:pPr>
        <w:jc w:val="center"/>
        <w:rPr>
          <w:color w:val="auto"/>
          <w:highlight w:val="none"/>
        </w:rPr>
      </w:pPr>
      <w:r>
        <w:rPr>
          <w:rFonts w:hint="eastAsia"/>
          <w:color w:val="auto"/>
          <w:highlight w:val="none"/>
        </w:rPr>
        <w:t>（根据招标文件《第四章：采购需求》中</w:t>
      </w:r>
      <w:r>
        <w:rPr>
          <w:rFonts w:hint="eastAsia"/>
          <w:color w:val="auto"/>
          <w:highlight w:val="none"/>
          <w:u w:val="single"/>
        </w:rPr>
        <w:t xml:space="preserve">二、技术参数 </w:t>
      </w:r>
      <w:r>
        <w:rPr>
          <w:rFonts w:hint="eastAsia"/>
          <w:color w:val="auto"/>
          <w:highlight w:val="none"/>
        </w:rPr>
        <w:t>的内容填写，必须点对点应答）</w:t>
      </w:r>
    </w:p>
    <w:tbl>
      <w:tblPr>
        <w:tblStyle w:val="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6"/>
        <w:gridCol w:w="2556"/>
        <w:gridCol w:w="2292"/>
        <w:gridCol w:w="1986"/>
        <w:gridCol w:w="1381"/>
      </w:tblGrid>
      <w:tr w14:paraId="05847F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816" w:type="dxa"/>
            <w:vAlign w:val="center"/>
          </w:tcPr>
          <w:p w14:paraId="2E2D9A2C">
            <w:pPr>
              <w:spacing w:line="276" w:lineRule="auto"/>
              <w:jc w:val="center"/>
              <w:rPr>
                <w:rFonts w:ascii="宋体" w:hAnsi="宋体"/>
                <w:color w:val="auto"/>
                <w:sz w:val="24"/>
                <w:highlight w:val="none"/>
              </w:rPr>
            </w:pPr>
            <w:r>
              <w:rPr>
                <w:rFonts w:hint="eastAsia" w:ascii="宋体" w:hAnsi="宋体"/>
                <w:color w:val="auto"/>
                <w:sz w:val="24"/>
                <w:highlight w:val="none"/>
              </w:rPr>
              <w:t>序号</w:t>
            </w:r>
          </w:p>
        </w:tc>
        <w:tc>
          <w:tcPr>
            <w:tcW w:w="2556" w:type="dxa"/>
            <w:vAlign w:val="center"/>
          </w:tcPr>
          <w:p w14:paraId="6C86DC7A">
            <w:pPr>
              <w:spacing w:line="276" w:lineRule="auto"/>
              <w:jc w:val="center"/>
              <w:rPr>
                <w:rFonts w:ascii="宋体" w:hAnsi="宋体"/>
                <w:color w:val="auto"/>
                <w:sz w:val="24"/>
                <w:highlight w:val="none"/>
              </w:rPr>
            </w:pPr>
            <w:r>
              <w:rPr>
                <w:rFonts w:hint="eastAsia" w:ascii="宋体" w:hAnsi="宋体"/>
                <w:color w:val="auto"/>
                <w:sz w:val="24"/>
                <w:highlight w:val="none"/>
              </w:rPr>
              <w:t>招标文件要求</w:t>
            </w:r>
          </w:p>
        </w:tc>
        <w:tc>
          <w:tcPr>
            <w:tcW w:w="2292" w:type="dxa"/>
            <w:vAlign w:val="center"/>
          </w:tcPr>
          <w:p w14:paraId="08F994CA">
            <w:pPr>
              <w:spacing w:line="276" w:lineRule="auto"/>
              <w:jc w:val="center"/>
              <w:rPr>
                <w:rFonts w:ascii="宋体" w:hAnsi="宋体"/>
                <w:color w:val="auto"/>
                <w:sz w:val="24"/>
                <w:highlight w:val="none"/>
              </w:rPr>
            </w:pPr>
            <w:r>
              <w:rPr>
                <w:rFonts w:hint="eastAsia" w:ascii="宋体" w:hAnsi="宋体"/>
                <w:color w:val="auto"/>
                <w:sz w:val="24"/>
                <w:highlight w:val="none"/>
              </w:rPr>
              <w:t>投标响应情况</w:t>
            </w:r>
          </w:p>
        </w:tc>
        <w:tc>
          <w:tcPr>
            <w:tcW w:w="1986" w:type="dxa"/>
            <w:vAlign w:val="center"/>
          </w:tcPr>
          <w:p w14:paraId="04538AC3">
            <w:pPr>
              <w:spacing w:line="276" w:lineRule="auto"/>
              <w:jc w:val="center"/>
              <w:rPr>
                <w:rFonts w:ascii="宋体" w:hAnsi="宋体"/>
                <w:color w:val="auto"/>
                <w:sz w:val="24"/>
                <w:highlight w:val="none"/>
              </w:rPr>
            </w:pPr>
            <w:r>
              <w:rPr>
                <w:rFonts w:hint="eastAsia" w:ascii="宋体" w:hAnsi="宋体"/>
                <w:color w:val="auto"/>
                <w:sz w:val="24"/>
                <w:highlight w:val="none"/>
              </w:rPr>
              <w:t>超出、符合或偏离</w:t>
            </w:r>
          </w:p>
        </w:tc>
        <w:tc>
          <w:tcPr>
            <w:tcW w:w="1381" w:type="dxa"/>
            <w:vAlign w:val="center"/>
          </w:tcPr>
          <w:p w14:paraId="43F78013">
            <w:pPr>
              <w:spacing w:line="276" w:lineRule="auto"/>
              <w:jc w:val="center"/>
              <w:rPr>
                <w:rFonts w:ascii="宋体" w:hAnsi="宋体"/>
                <w:color w:val="auto"/>
                <w:sz w:val="24"/>
                <w:highlight w:val="none"/>
              </w:rPr>
            </w:pPr>
            <w:r>
              <w:rPr>
                <w:rFonts w:hint="eastAsia" w:ascii="宋体" w:hAnsi="宋体"/>
                <w:color w:val="auto"/>
                <w:sz w:val="24"/>
                <w:highlight w:val="none"/>
              </w:rPr>
              <w:t>证明材料</w:t>
            </w:r>
          </w:p>
          <w:p w14:paraId="26C9066E">
            <w:pPr>
              <w:spacing w:line="276" w:lineRule="auto"/>
              <w:jc w:val="center"/>
              <w:rPr>
                <w:rFonts w:ascii="宋体" w:hAnsi="宋体"/>
                <w:color w:val="auto"/>
                <w:sz w:val="24"/>
                <w:highlight w:val="none"/>
              </w:rPr>
            </w:pPr>
            <w:r>
              <w:rPr>
                <w:rFonts w:hint="eastAsia" w:ascii="宋体" w:hAnsi="宋体"/>
                <w:color w:val="auto"/>
                <w:sz w:val="24"/>
                <w:highlight w:val="none"/>
              </w:rPr>
              <w:t>对应位置</w:t>
            </w:r>
          </w:p>
        </w:tc>
      </w:tr>
      <w:tr w14:paraId="2BF51D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816" w:type="dxa"/>
          </w:tcPr>
          <w:p w14:paraId="4CDACF78">
            <w:pPr>
              <w:spacing w:line="276" w:lineRule="auto"/>
              <w:jc w:val="center"/>
              <w:rPr>
                <w:rFonts w:ascii="宋体" w:hAnsi="宋体"/>
                <w:color w:val="auto"/>
                <w:sz w:val="24"/>
                <w:highlight w:val="none"/>
              </w:rPr>
            </w:pPr>
          </w:p>
        </w:tc>
        <w:tc>
          <w:tcPr>
            <w:tcW w:w="2556" w:type="dxa"/>
          </w:tcPr>
          <w:p w14:paraId="59E1F50B">
            <w:pPr>
              <w:spacing w:line="276" w:lineRule="auto"/>
              <w:jc w:val="center"/>
              <w:rPr>
                <w:rFonts w:ascii="宋体" w:hAnsi="宋体"/>
                <w:color w:val="auto"/>
                <w:sz w:val="24"/>
                <w:highlight w:val="none"/>
              </w:rPr>
            </w:pPr>
          </w:p>
        </w:tc>
        <w:tc>
          <w:tcPr>
            <w:tcW w:w="2292" w:type="dxa"/>
          </w:tcPr>
          <w:p w14:paraId="041E6CFF">
            <w:pPr>
              <w:spacing w:line="276" w:lineRule="auto"/>
              <w:jc w:val="center"/>
              <w:rPr>
                <w:rFonts w:ascii="宋体" w:hAnsi="宋体"/>
                <w:color w:val="auto"/>
                <w:sz w:val="24"/>
                <w:highlight w:val="none"/>
              </w:rPr>
            </w:pPr>
          </w:p>
        </w:tc>
        <w:tc>
          <w:tcPr>
            <w:tcW w:w="1986" w:type="dxa"/>
          </w:tcPr>
          <w:p w14:paraId="23D62965">
            <w:pPr>
              <w:spacing w:line="276" w:lineRule="auto"/>
              <w:jc w:val="center"/>
              <w:rPr>
                <w:rFonts w:ascii="宋体" w:hAnsi="宋体"/>
                <w:color w:val="auto"/>
                <w:sz w:val="24"/>
                <w:highlight w:val="none"/>
              </w:rPr>
            </w:pPr>
          </w:p>
        </w:tc>
        <w:tc>
          <w:tcPr>
            <w:tcW w:w="1381" w:type="dxa"/>
          </w:tcPr>
          <w:p w14:paraId="65E818C0">
            <w:pPr>
              <w:spacing w:line="276" w:lineRule="auto"/>
              <w:jc w:val="center"/>
              <w:rPr>
                <w:rFonts w:ascii="宋体" w:hAnsi="宋体"/>
                <w:color w:val="auto"/>
                <w:sz w:val="24"/>
                <w:highlight w:val="none"/>
              </w:rPr>
            </w:pPr>
          </w:p>
        </w:tc>
      </w:tr>
      <w:tr w14:paraId="6D9444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816" w:type="dxa"/>
          </w:tcPr>
          <w:p w14:paraId="60BAEA98">
            <w:pPr>
              <w:spacing w:line="276" w:lineRule="auto"/>
              <w:jc w:val="center"/>
              <w:rPr>
                <w:rFonts w:ascii="宋体" w:hAnsi="宋体"/>
                <w:color w:val="auto"/>
                <w:sz w:val="24"/>
                <w:highlight w:val="none"/>
              </w:rPr>
            </w:pPr>
          </w:p>
        </w:tc>
        <w:tc>
          <w:tcPr>
            <w:tcW w:w="2556" w:type="dxa"/>
          </w:tcPr>
          <w:p w14:paraId="4016FF85">
            <w:pPr>
              <w:spacing w:line="276" w:lineRule="auto"/>
              <w:jc w:val="center"/>
              <w:rPr>
                <w:rFonts w:ascii="宋体" w:hAnsi="宋体"/>
                <w:color w:val="auto"/>
                <w:sz w:val="24"/>
                <w:highlight w:val="none"/>
              </w:rPr>
            </w:pPr>
          </w:p>
        </w:tc>
        <w:tc>
          <w:tcPr>
            <w:tcW w:w="2292" w:type="dxa"/>
          </w:tcPr>
          <w:p w14:paraId="1DC9AC86">
            <w:pPr>
              <w:spacing w:line="276" w:lineRule="auto"/>
              <w:jc w:val="center"/>
              <w:rPr>
                <w:rFonts w:ascii="宋体" w:hAnsi="宋体"/>
                <w:color w:val="auto"/>
                <w:sz w:val="24"/>
                <w:highlight w:val="none"/>
              </w:rPr>
            </w:pPr>
          </w:p>
        </w:tc>
        <w:tc>
          <w:tcPr>
            <w:tcW w:w="1986" w:type="dxa"/>
          </w:tcPr>
          <w:p w14:paraId="7D5AEE7C">
            <w:pPr>
              <w:spacing w:line="276" w:lineRule="auto"/>
              <w:jc w:val="center"/>
              <w:rPr>
                <w:rFonts w:ascii="宋体" w:hAnsi="宋体"/>
                <w:color w:val="auto"/>
                <w:sz w:val="24"/>
                <w:highlight w:val="none"/>
              </w:rPr>
            </w:pPr>
          </w:p>
        </w:tc>
        <w:tc>
          <w:tcPr>
            <w:tcW w:w="1381" w:type="dxa"/>
          </w:tcPr>
          <w:p w14:paraId="43D06C40">
            <w:pPr>
              <w:spacing w:line="276" w:lineRule="auto"/>
              <w:jc w:val="center"/>
              <w:rPr>
                <w:rFonts w:ascii="宋体" w:hAnsi="宋体"/>
                <w:color w:val="auto"/>
                <w:sz w:val="24"/>
                <w:highlight w:val="none"/>
              </w:rPr>
            </w:pPr>
          </w:p>
        </w:tc>
      </w:tr>
      <w:tr w14:paraId="2FE559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816" w:type="dxa"/>
          </w:tcPr>
          <w:p w14:paraId="4700ECCA">
            <w:pPr>
              <w:spacing w:line="276" w:lineRule="auto"/>
              <w:jc w:val="center"/>
              <w:rPr>
                <w:rFonts w:ascii="宋体" w:hAnsi="宋体"/>
                <w:color w:val="auto"/>
                <w:sz w:val="24"/>
                <w:highlight w:val="none"/>
              </w:rPr>
            </w:pPr>
          </w:p>
        </w:tc>
        <w:tc>
          <w:tcPr>
            <w:tcW w:w="2556" w:type="dxa"/>
          </w:tcPr>
          <w:p w14:paraId="2177E416">
            <w:pPr>
              <w:spacing w:line="276" w:lineRule="auto"/>
              <w:jc w:val="center"/>
              <w:rPr>
                <w:rFonts w:ascii="宋体" w:hAnsi="宋体"/>
                <w:color w:val="auto"/>
                <w:sz w:val="24"/>
                <w:highlight w:val="none"/>
              </w:rPr>
            </w:pPr>
          </w:p>
        </w:tc>
        <w:tc>
          <w:tcPr>
            <w:tcW w:w="2292" w:type="dxa"/>
          </w:tcPr>
          <w:p w14:paraId="734C8F2A">
            <w:pPr>
              <w:spacing w:line="276" w:lineRule="auto"/>
              <w:jc w:val="center"/>
              <w:rPr>
                <w:rFonts w:ascii="宋体" w:hAnsi="宋体"/>
                <w:color w:val="auto"/>
                <w:sz w:val="24"/>
                <w:highlight w:val="none"/>
              </w:rPr>
            </w:pPr>
          </w:p>
        </w:tc>
        <w:tc>
          <w:tcPr>
            <w:tcW w:w="1986" w:type="dxa"/>
          </w:tcPr>
          <w:p w14:paraId="4F4937FE">
            <w:pPr>
              <w:spacing w:line="276" w:lineRule="auto"/>
              <w:jc w:val="center"/>
              <w:rPr>
                <w:rFonts w:ascii="宋体" w:hAnsi="宋体"/>
                <w:color w:val="auto"/>
                <w:sz w:val="24"/>
                <w:highlight w:val="none"/>
              </w:rPr>
            </w:pPr>
          </w:p>
        </w:tc>
        <w:tc>
          <w:tcPr>
            <w:tcW w:w="1381" w:type="dxa"/>
          </w:tcPr>
          <w:p w14:paraId="3CE479E8">
            <w:pPr>
              <w:spacing w:line="276" w:lineRule="auto"/>
              <w:jc w:val="center"/>
              <w:rPr>
                <w:rFonts w:ascii="宋体" w:hAnsi="宋体"/>
                <w:color w:val="auto"/>
                <w:sz w:val="24"/>
                <w:highlight w:val="none"/>
              </w:rPr>
            </w:pPr>
          </w:p>
        </w:tc>
      </w:tr>
      <w:tr w14:paraId="2BC28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816" w:type="dxa"/>
          </w:tcPr>
          <w:p w14:paraId="4FC7C825">
            <w:pPr>
              <w:spacing w:line="276" w:lineRule="auto"/>
              <w:jc w:val="center"/>
              <w:rPr>
                <w:rFonts w:ascii="宋体" w:hAnsi="宋体"/>
                <w:color w:val="auto"/>
                <w:sz w:val="24"/>
                <w:highlight w:val="none"/>
              </w:rPr>
            </w:pPr>
          </w:p>
        </w:tc>
        <w:tc>
          <w:tcPr>
            <w:tcW w:w="2556" w:type="dxa"/>
          </w:tcPr>
          <w:p w14:paraId="020C28D0">
            <w:pPr>
              <w:spacing w:line="276" w:lineRule="auto"/>
              <w:jc w:val="center"/>
              <w:rPr>
                <w:rFonts w:ascii="宋体" w:hAnsi="宋体"/>
                <w:color w:val="auto"/>
                <w:sz w:val="24"/>
                <w:highlight w:val="none"/>
              </w:rPr>
            </w:pPr>
          </w:p>
        </w:tc>
        <w:tc>
          <w:tcPr>
            <w:tcW w:w="2292" w:type="dxa"/>
          </w:tcPr>
          <w:p w14:paraId="628CC4C4">
            <w:pPr>
              <w:spacing w:line="276" w:lineRule="auto"/>
              <w:jc w:val="center"/>
              <w:rPr>
                <w:rFonts w:ascii="宋体" w:hAnsi="宋体"/>
                <w:color w:val="auto"/>
                <w:sz w:val="24"/>
                <w:highlight w:val="none"/>
              </w:rPr>
            </w:pPr>
          </w:p>
        </w:tc>
        <w:tc>
          <w:tcPr>
            <w:tcW w:w="1986" w:type="dxa"/>
          </w:tcPr>
          <w:p w14:paraId="7A38ACC5">
            <w:pPr>
              <w:spacing w:line="276" w:lineRule="auto"/>
              <w:jc w:val="center"/>
              <w:rPr>
                <w:rFonts w:ascii="宋体" w:hAnsi="宋体"/>
                <w:color w:val="auto"/>
                <w:sz w:val="24"/>
                <w:highlight w:val="none"/>
              </w:rPr>
            </w:pPr>
          </w:p>
        </w:tc>
        <w:tc>
          <w:tcPr>
            <w:tcW w:w="1381" w:type="dxa"/>
          </w:tcPr>
          <w:p w14:paraId="0566A67A">
            <w:pPr>
              <w:spacing w:line="276" w:lineRule="auto"/>
              <w:jc w:val="center"/>
              <w:rPr>
                <w:rFonts w:ascii="宋体" w:hAnsi="宋体"/>
                <w:color w:val="auto"/>
                <w:sz w:val="24"/>
                <w:highlight w:val="none"/>
              </w:rPr>
            </w:pPr>
          </w:p>
        </w:tc>
      </w:tr>
      <w:tr w14:paraId="160B06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816" w:type="dxa"/>
          </w:tcPr>
          <w:p w14:paraId="4A3516F0">
            <w:pPr>
              <w:spacing w:line="276" w:lineRule="auto"/>
              <w:jc w:val="center"/>
              <w:rPr>
                <w:rFonts w:ascii="宋体" w:hAnsi="宋体"/>
                <w:color w:val="auto"/>
                <w:sz w:val="24"/>
                <w:highlight w:val="none"/>
              </w:rPr>
            </w:pPr>
          </w:p>
        </w:tc>
        <w:tc>
          <w:tcPr>
            <w:tcW w:w="2556" w:type="dxa"/>
          </w:tcPr>
          <w:p w14:paraId="1D27ADE5">
            <w:pPr>
              <w:spacing w:line="276" w:lineRule="auto"/>
              <w:jc w:val="center"/>
              <w:rPr>
                <w:rFonts w:ascii="宋体" w:hAnsi="宋体"/>
                <w:color w:val="auto"/>
                <w:sz w:val="24"/>
                <w:highlight w:val="none"/>
              </w:rPr>
            </w:pPr>
          </w:p>
        </w:tc>
        <w:tc>
          <w:tcPr>
            <w:tcW w:w="2292" w:type="dxa"/>
          </w:tcPr>
          <w:p w14:paraId="5E9133EB">
            <w:pPr>
              <w:spacing w:line="276" w:lineRule="auto"/>
              <w:jc w:val="center"/>
              <w:rPr>
                <w:rFonts w:ascii="宋体" w:hAnsi="宋体"/>
                <w:color w:val="auto"/>
                <w:sz w:val="24"/>
                <w:highlight w:val="none"/>
              </w:rPr>
            </w:pPr>
          </w:p>
        </w:tc>
        <w:tc>
          <w:tcPr>
            <w:tcW w:w="1986" w:type="dxa"/>
          </w:tcPr>
          <w:p w14:paraId="594B3B59">
            <w:pPr>
              <w:spacing w:line="276" w:lineRule="auto"/>
              <w:jc w:val="center"/>
              <w:rPr>
                <w:rFonts w:ascii="宋体" w:hAnsi="宋体"/>
                <w:color w:val="auto"/>
                <w:sz w:val="24"/>
                <w:highlight w:val="none"/>
              </w:rPr>
            </w:pPr>
          </w:p>
        </w:tc>
        <w:tc>
          <w:tcPr>
            <w:tcW w:w="1381" w:type="dxa"/>
          </w:tcPr>
          <w:p w14:paraId="51B6B646">
            <w:pPr>
              <w:spacing w:line="276" w:lineRule="auto"/>
              <w:jc w:val="center"/>
              <w:rPr>
                <w:rFonts w:ascii="宋体" w:hAnsi="宋体"/>
                <w:color w:val="auto"/>
                <w:sz w:val="24"/>
                <w:highlight w:val="none"/>
              </w:rPr>
            </w:pPr>
          </w:p>
        </w:tc>
      </w:tr>
      <w:tr w14:paraId="365E64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816" w:type="dxa"/>
          </w:tcPr>
          <w:p w14:paraId="3E02A09D">
            <w:pPr>
              <w:spacing w:line="276" w:lineRule="auto"/>
              <w:jc w:val="center"/>
              <w:rPr>
                <w:rFonts w:ascii="宋体" w:hAnsi="宋体"/>
                <w:color w:val="auto"/>
                <w:sz w:val="24"/>
                <w:highlight w:val="none"/>
              </w:rPr>
            </w:pPr>
          </w:p>
        </w:tc>
        <w:tc>
          <w:tcPr>
            <w:tcW w:w="2556" w:type="dxa"/>
          </w:tcPr>
          <w:p w14:paraId="1196B810">
            <w:pPr>
              <w:spacing w:line="276" w:lineRule="auto"/>
              <w:jc w:val="center"/>
              <w:rPr>
                <w:rFonts w:ascii="宋体" w:hAnsi="宋体"/>
                <w:color w:val="auto"/>
                <w:sz w:val="24"/>
                <w:highlight w:val="none"/>
              </w:rPr>
            </w:pPr>
          </w:p>
        </w:tc>
        <w:tc>
          <w:tcPr>
            <w:tcW w:w="2292" w:type="dxa"/>
          </w:tcPr>
          <w:p w14:paraId="282FED59">
            <w:pPr>
              <w:spacing w:line="276" w:lineRule="auto"/>
              <w:jc w:val="center"/>
              <w:rPr>
                <w:rFonts w:ascii="宋体" w:hAnsi="宋体"/>
                <w:color w:val="auto"/>
                <w:sz w:val="24"/>
                <w:highlight w:val="none"/>
              </w:rPr>
            </w:pPr>
          </w:p>
        </w:tc>
        <w:tc>
          <w:tcPr>
            <w:tcW w:w="1986" w:type="dxa"/>
          </w:tcPr>
          <w:p w14:paraId="2AA8CBCD">
            <w:pPr>
              <w:spacing w:line="276" w:lineRule="auto"/>
              <w:jc w:val="center"/>
              <w:rPr>
                <w:rFonts w:ascii="宋体" w:hAnsi="宋体"/>
                <w:color w:val="auto"/>
                <w:sz w:val="24"/>
                <w:highlight w:val="none"/>
              </w:rPr>
            </w:pPr>
          </w:p>
        </w:tc>
        <w:tc>
          <w:tcPr>
            <w:tcW w:w="1381" w:type="dxa"/>
          </w:tcPr>
          <w:p w14:paraId="4AB69BCC">
            <w:pPr>
              <w:spacing w:line="276" w:lineRule="auto"/>
              <w:jc w:val="center"/>
              <w:rPr>
                <w:rFonts w:ascii="宋体" w:hAnsi="宋体"/>
                <w:color w:val="auto"/>
                <w:sz w:val="24"/>
                <w:highlight w:val="none"/>
              </w:rPr>
            </w:pPr>
          </w:p>
        </w:tc>
      </w:tr>
      <w:tr w14:paraId="7897A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816" w:type="dxa"/>
          </w:tcPr>
          <w:p w14:paraId="428463C9">
            <w:pPr>
              <w:spacing w:line="276" w:lineRule="auto"/>
              <w:jc w:val="center"/>
              <w:rPr>
                <w:rFonts w:ascii="宋体" w:hAnsi="宋体"/>
                <w:color w:val="auto"/>
                <w:sz w:val="24"/>
                <w:highlight w:val="none"/>
              </w:rPr>
            </w:pPr>
          </w:p>
        </w:tc>
        <w:tc>
          <w:tcPr>
            <w:tcW w:w="2556" w:type="dxa"/>
          </w:tcPr>
          <w:p w14:paraId="2C8D696D">
            <w:pPr>
              <w:spacing w:line="276" w:lineRule="auto"/>
              <w:jc w:val="center"/>
              <w:rPr>
                <w:rFonts w:ascii="宋体" w:hAnsi="宋体"/>
                <w:color w:val="auto"/>
                <w:sz w:val="24"/>
                <w:highlight w:val="none"/>
              </w:rPr>
            </w:pPr>
          </w:p>
        </w:tc>
        <w:tc>
          <w:tcPr>
            <w:tcW w:w="2292" w:type="dxa"/>
          </w:tcPr>
          <w:p w14:paraId="59375332">
            <w:pPr>
              <w:spacing w:line="276" w:lineRule="auto"/>
              <w:jc w:val="center"/>
              <w:rPr>
                <w:rFonts w:ascii="宋体" w:hAnsi="宋体"/>
                <w:color w:val="auto"/>
                <w:sz w:val="24"/>
                <w:highlight w:val="none"/>
              </w:rPr>
            </w:pPr>
          </w:p>
        </w:tc>
        <w:tc>
          <w:tcPr>
            <w:tcW w:w="1986" w:type="dxa"/>
          </w:tcPr>
          <w:p w14:paraId="57E4792F">
            <w:pPr>
              <w:spacing w:line="276" w:lineRule="auto"/>
              <w:jc w:val="center"/>
              <w:rPr>
                <w:rFonts w:ascii="宋体" w:hAnsi="宋体"/>
                <w:color w:val="auto"/>
                <w:sz w:val="24"/>
                <w:highlight w:val="none"/>
              </w:rPr>
            </w:pPr>
          </w:p>
        </w:tc>
        <w:tc>
          <w:tcPr>
            <w:tcW w:w="1381" w:type="dxa"/>
          </w:tcPr>
          <w:p w14:paraId="5E148F36">
            <w:pPr>
              <w:spacing w:line="276" w:lineRule="auto"/>
              <w:jc w:val="center"/>
              <w:rPr>
                <w:rFonts w:ascii="宋体" w:hAnsi="宋体"/>
                <w:color w:val="auto"/>
                <w:sz w:val="24"/>
                <w:highlight w:val="none"/>
              </w:rPr>
            </w:pPr>
          </w:p>
        </w:tc>
      </w:tr>
      <w:tr w14:paraId="2C395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816" w:type="dxa"/>
          </w:tcPr>
          <w:p w14:paraId="1CBDE3FE">
            <w:pPr>
              <w:spacing w:line="276" w:lineRule="auto"/>
              <w:jc w:val="center"/>
              <w:rPr>
                <w:rFonts w:ascii="宋体" w:hAnsi="宋体"/>
                <w:color w:val="auto"/>
                <w:sz w:val="24"/>
                <w:highlight w:val="none"/>
              </w:rPr>
            </w:pPr>
          </w:p>
        </w:tc>
        <w:tc>
          <w:tcPr>
            <w:tcW w:w="2556" w:type="dxa"/>
          </w:tcPr>
          <w:p w14:paraId="4F76A009">
            <w:pPr>
              <w:spacing w:line="276" w:lineRule="auto"/>
              <w:jc w:val="center"/>
              <w:rPr>
                <w:rFonts w:ascii="宋体" w:hAnsi="宋体"/>
                <w:color w:val="auto"/>
                <w:sz w:val="24"/>
                <w:highlight w:val="none"/>
              </w:rPr>
            </w:pPr>
            <w:r>
              <w:rPr>
                <w:rFonts w:ascii="宋体" w:hAnsi="宋体"/>
                <w:color w:val="auto"/>
                <w:sz w:val="24"/>
                <w:highlight w:val="none"/>
              </w:rPr>
              <w:t>……</w:t>
            </w:r>
          </w:p>
        </w:tc>
        <w:tc>
          <w:tcPr>
            <w:tcW w:w="2292" w:type="dxa"/>
          </w:tcPr>
          <w:p w14:paraId="2DFFC57D">
            <w:pPr>
              <w:spacing w:line="276" w:lineRule="auto"/>
              <w:jc w:val="center"/>
              <w:rPr>
                <w:rFonts w:ascii="宋体" w:hAnsi="宋体"/>
                <w:color w:val="auto"/>
                <w:sz w:val="24"/>
                <w:highlight w:val="none"/>
              </w:rPr>
            </w:pPr>
          </w:p>
        </w:tc>
        <w:tc>
          <w:tcPr>
            <w:tcW w:w="1986" w:type="dxa"/>
          </w:tcPr>
          <w:p w14:paraId="0BF83A43">
            <w:pPr>
              <w:spacing w:line="276" w:lineRule="auto"/>
              <w:jc w:val="center"/>
              <w:rPr>
                <w:rFonts w:ascii="宋体" w:hAnsi="宋体"/>
                <w:color w:val="auto"/>
                <w:sz w:val="24"/>
                <w:highlight w:val="none"/>
              </w:rPr>
            </w:pPr>
          </w:p>
        </w:tc>
        <w:tc>
          <w:tcPr>
            <w:tcW w:w="1381" w:type="dxa"/>
          </w:tcPr>
          <w:p w14:paraId="0078B3BE">
            <w:pPr>
              <w:spacing w:line="276" w:lineRule="auto"/>
              <w:jc w:val="center"/>
              <w:rPr>
                <w:rFonts w:ascii="宋体" w:hAnsi="宋体"/>
                <w:color w:val="auto"/>
                <w:sz w:val="24"/>
                <w:highlight w:val="none"/>
              </w:rPr>
            </w:pPr>
          </w:p>
        </w:tc>
      </w:tr>
    </w:tbl>
    <w:p w14:paraId="2F6ECCE4">
      <w:pPr>
        <w:spacing w:line="276" w:lineRule="auto"/>
        <w:rPr>
          <w:rFonts w:ascii="宋体" w:hAnsi="宋体"/>
          <w:color w:val="auto"/>
          <w:szCs w:val="21"/>
          <w:highlight w:val="none"/>
        </w:rPr>
      </w:pPr>
      <w:r>
        <w:rPr>
          <w:rFonts w:hint="eastAsia" w:ascii="宋体" w:hAnsi="宋体"/>
          <w:color w:val="auto"/>
          <w:szCs w:val="21"/>
          <w:highlight w:val="none"/>
        </w:rPr>
        <w:t xml:space="preserve">注： </w:t>
      </w:r>
    </w:p>
    <w:p w14:paraId="6891837C">
      <w:pPr>
        <w:spacing w:line="276" w:lineRule="auto"/>
        <w:rPr>
          <w:rFonts w:ascii="宋体" w:hAnsi="宋体" w:cs="宋体"/>
          <w:color w:val="auto"/>
          <w:szCs w:val="21"/>
          <w:highlight w:val="none"/>
        </w:rPr>
      </w:pPr>
      <w:r>
        <w:rPr>
          <w:rFonts w:hint="eastAsia" w:ascii="宋体" w:hAnsi="宋体" w:cs="宋体"/>
          <w:color w:val="auto"/>
          <w:szCs w:val="21"/>
          <w:highlight w:val="none"/>
        </w:rPr>
        <w:t>1.行数不够，可自行添加；</w:t>
      </w:r>
    </w:p>
    <w:p w14:paraId="7332F55D">
      <w:pPr>
        <w:spacing w:line="276" w:lineRule="auto"/>
        <w:rPr>
          <w:rFonts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b/>
          <w:color w:val="auto"/>
          <w:szCs w:val="21"/>
          <w:highlight w:val="none"/>
          <w:u w:val="single"/>
        </w:rPr>
        <w:t>参数中若提及要提供承诺书或证明材料的，及重要参数（加注“▲”条款）需提供证明材料的，投标文件中应明确对应位置并附于本表后</w:t>
      </w:r>
      <w:r>
        <w:rPr>
          <w:rFonts w:hint="eastAsia" w:ascii="宋体" w:hAnsi="宋体" w:cs="宋体"/>
          <w:color w:val="auto"/>
          <w:szCs w:val="21"/>
          <w:highlight w:val="none"/>
        </w:rPr>
        <w:t>。无相关资料证实的，评委会有权做负偏离处理；</w:t>
      </w:r>
    </w:p>
    <w:p w14:paraId="37C4F8B5">
      <w:pPr>
        <w:spacing w:line="276" w:lineRule="auto"/>
        <w:rPr>
          <w:rFonts w:ascii="宋体" w:hAnsi="宋体" w:cs="宋体"/>
          <w:color w:val="auto"/>
          <w:szCs w:val="21"/>
          <w:highlight w:val="none"/>
        </w:rPr>
      </w:pPr>
      <w:r>
        <w:rPr>
          <w:rFonts w:ascii="宋体" w:hAnsi="宋体" w:cs="宋体"/>
          <w:color w:val="auto"/>
          <w:szCs w:val="21"/>
          <w:highlight w:val="none"/>
        </w:rPr>
        <w:t>3</w:t>
      </w:r>
      <w:r>
        <w:rPr>
          <w:rFonts w:hint="eastAsia" w:ascii="宋体" w:hAnsi="宋体" w:cs="宋体"/>
          <w:color w:val="auto"/>
          <w:szCs w:val="21"/>
          <w:highlight w:val="none"/>
        </w:rPr>
        <w:t>.投标人需确保提供佐证材料的真实性，如被认定提供实质性虚假材料，将会导致无效投标处理；</w:t>
      </w:r>
    </w:p>
    <w:p w14:paraId="6574FADB">
      <w:pPr>
        <w:spacing w:line="276" w:lineRule="auto"/>
        <w:rPr>
          <w:rFonts w:ascii="宋体" w:hAnsi="宋体" w:cs="宋体"/>
          <w:color w:val="auto"/>
          <w:szCs w:val="21"/>
          <w:highlight w:val="none"/>
        </w:rPr>
      </w:pPr>
      <w:r>
        <w:rPr>
          <w:rFonts w:ascii="宋体" w:hAnsi="宋体" w:cs="宋体"/>
          <w:color w:val="auto"/>
          <w:szCs w:val="21"/>
          <w:highlight w:val="none"/>
        </w:rPr>
        <w:t>4.</w:t>
      </w:r>
      <w:r>
        <w:rPr>
          <w:rFonts w:hint="eastAsia" w:ascii="宋体" w:hAnsi="宋体" w:cs="宋体"/>
          <w:color w:val="auto"/>
          <w:szCs w:val="21"/>
          <w:highlight w:val="none"/>
        </w:rPr>
        <w:t>证明材料附后。</w:t>
      </w:r>
    </w:p>
    <w:p w14:paraId="5DB2D3DE">
      <w:pPr>
        <w:spacing w:line="276" w:lineRule="auto"/>
        <w:rPr>
          <w:rFonts w:ascii="宋体" w:hAnsi="宋体" w:cs="宋体"/>
          <w:color w:val="auto"/>
          <w:szCs w:val="21"/>
          <w:highlight w:val="none"/>
        </w:rPr>
      </w:pPr>
    </w:p>
    <w:p w14:paraId="0E298E50">
      <w:pPr>
        <w:spacing w:line="360" w:lineRule="auto"/>
        <w:rPr>
          <w:rFonts w:ascii="宋体" w:hAnsi="宋体" w:cs="宋体"/>
          <w:bCs/>
          <w:color w:val="auto"/>
          <w:sz w:val="24"/>
          <w:szCs w:val="20"/>
          <w:highlight w:val="none"/>
        </w:rPr>
      </w:pPr>
      <w:r>
        <w:rPr>
          <w:rFonts w:hint="eastAsia" w:ascii="宋体" w:hAnsi="宋体" w:cs="宋体"/>
          <w:bCs/>
          <w:color w:val="auto"/>
          <w:sz w:val="24"/>
          <w:szCs w:val="20"/>
          <w:highlight w:val="none"/>
        </w:rPr>
        <w:t>单位名称：</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 xml:space="preserve">（签章）                    </w:t>
      </w:r>
    </w:p>
    <w:p w14:paraId="58F73A2A">
      <w:pPr>
        <w:spacing w:line="360" w:lineRule="auto"/>
        <w:rPr>
          <w:rFonts w:ascii="宋体" w:hAnsi="宋体" w:cs="宋体"/>
          <w:bCs/>
          <w:color w:val="auto"/>
          <w:sz w:val="24"/>
          <w:szCs w:val="20"/>
          <w:highlight w:val="none"/>
        </w:rPr>
      </w:pPr>
      <w:r>
        <w:rPr>
          <w:rFonts w:hint="eastAsia" w:ascii="宋体" w:hAnsi="宋体" w:cs="宋体"/>
          <w:bCs/>
          <w:color w:val="auto"/>
          <w:sz w:val="24"/>
          <w:szCs w:val="20"/>
          <w:highlight w:val="none"/>
        </w:rPr>
        <w:t>法定代表人（或授权代表）：</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 xml:space="preserve">（签字/签章）                    </w:t>
      </w:r>
    </w:p>
    <w:p w14:paraId="6E5933D4">
      <w:pPr>
        <w:spacing w:line="360" w:lineRule="auto"/>
        <w:jc w:val="left"/>
        <w:rPr>
          <w:rFonts w:ascii="仿宋" w:hAnsi="仿宋" w:eastAsia="仿宋" w:cs="仿宋"/>
          <w:b/>
          <w:bCs/>
          <w:color w:val="auto"/>
          <w:sz w:val="24"/>
          <w:szCs w:val="28"/>
          <w:highlight w:val="none"/>
        </w:rPr>
      </w:pPr>
      <w:r>
        <w:rPr>
          <w:rFonts w:hint="eastAsia" w:ascii="宋体" w:hAnsi="宋体" w:cs="宋体"/>
          <w:bCs/>
          <w:color w:val="auto"/>
          <w:sz w:val="24"/>
          <w:szCs w:val="20"/>
          <w:highlight w:val="none"/>
        </w:rPr>
        <w:t>日期：</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年</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月</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 xml:space="preserve">日 </w:t>
      </w:r>
      <w:r>
        <w:rPr>
          <w:rFonts w:hint="eastAsia" w:ascii="仿宋" w:hAnsi="仿宋" w:eastAsia="仿宋" w:cs="仿宋"/>
          <w:b/>
          <w:color w:val="auto"/>
          <w:sz w:val="24"/>
          <w:szCs w:val="20"/>
          <w:highlight w:val="none"/>
        </w:rPr>
        <w:t xml:space="preserve">    </w:t>
      </w:r>
    </w:p>
    <w:p w14:paraId="5373E48C">
      <w:pPr>
        <w:spacing w:line="276" w:lineRule="auto"/>
        <w:rPr>
          <w:rFonts w:ascii="宋体" w:hAnsi="宋体" w:cs="宋体"/>
          <w:color w:val="auto"/>
          <w:szCs w:val="21"/>
          <w:highlight w:val="none"/>
        </w:rPr>
      </w:pPr>
    </w:p>
    <w:p w14:paraId="491AF633">
      <w:pPr>
        <w:spacing w:line="276" w:lineRule="auto"/>
        <w:rPr>
          <w:rFonts w:ascii="宋体" w:hAnsi="宋体" w:cs="宋体"/>
          <w:color w:val="auto"/>
          <w:sz w:val="24"/>
          <w:highlight w:val="none"/>
        </w:rPr>
      </w:pPr>
    </w:p>
    <w:p w14:paraId="4BE383B2">
      <w:pPr>
        <w:spacing w:line="276" w:lineRule="auto"/>
        <w:rPr>
          <w:rFonts w:ascii="宋体" w:hAnsi="宋体"/>
          <w:color w:val="auto"/>
          <w:sz w:val="24"/>
          <w:highlight w:val="none"/>
        </w:rPr>
      </w:pPr>
    </w:p>
    <w:p w14:paraId="55BC1AC1">
      <w:pPr>
        <w:spacing w:line="276" w:lineRule="auto"/>
        <w:jc w:val="center"/>
        <w:outlineLvl w:val="1"/>
        <w:rPr>
          <w:rFonts w:ascii="宋体" w:hAnsi="宋体" w:cs="宋体"/>
          <w:iCs/>
          <w:color w:val="auto"/>
          <w:sz w:val="32"/>
          <w:szCs w:val="32"/>
          <w:highlight w:val="none"/>
        </w:rPr>
      </w:pPr>
      <w:bookmarkStart w:id="194" w:name="_Hlt26955054"/>
      <w:bookmarkEnd w:id="194"/>
      <w:bookmarkStart w:id="195" w:name="_Toc184129800"/>
      <w:r>
        <w:rPr>
          <w:rFonts w:hint="eastAsia" w:ascii="宋体" w:hAnsi="宋体" w:cs="宋体"/>
          <w:iCs/>
          <w:color w:val="auto"/>
          <w:sz w:val="32"/>
          <w:szCs w:val="32"/>
          <w:highlight w:val="none"/>
        </w:rPr>
        <w:t>商务要求响应及偏离表</w:t>
      </w:r>
      <w:bookmarkEnd w:id="195"/>
    </w:p>
    <w:p w14:paraId="5EDFDC2D">
      <w:pPr>
        <w:ind w:left="562" w:hanging="420"/>
        <w:jc w:val="center"/>
        <w:rPr>
          <w:color w:val="auto"/>
          <w:highlight w:val="none"/>
        </w:rPr>
      </w:pPr>
      <w:r>
        <w:rPr>
          <w:rFonts w:hint="eastAsia"/>
          <w:color w:val="auto"/>
          <w:highlight w:val="none"/>
        </w:rPr>
        <w:t>（根据招标文件《第四章：采购需求》中</w:t>
      </w:r>
      <w:r>
        <w:rPr>
          <w:rFonts w:hint="eastAsia"/>
          <w:color w:val="auto"/>
          <w:highlight w:val="none"/>
          <w:u w:val="single"/>
        </w:rPr>
        <w:t>三、商务要求</w:t>
      </w:r>
      <w:r>
        <w:rPr>
          <w:rFonts w:hint="eastAsia"/>
          <w:color w:val="auto"/>
          <w:highlight w:val="none"/>
        </w:rPr>
        <w:t>的内容填写，必须点对点应答）</w:t>
      </w:r>
    </w:p>
    <w:tbl>
      <w:tblPr>
        <w:tblStyle w:val="30"/>
        <w:tblW w:w="896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815"/>
        <w:gridCol w:w="2510"/>
        <w:gridCol w:w="2735"/>
        <w:gridCol w:w="1861"/>
        <w:gridCol w:w="1046"/>
      </w:tblGrid>
      <w:tr w14:paraId="0183C6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850" w:hRule="atLeast"/>
          <w:jc w:val="center"/>
        </w:trPr>
        <w:tc>
          <w:tcPr>
            <w:tcW w:w="815" w:type="dxa"/>
            <w:tcBorders>
              <w:top w:val="single" w:color="auto" w:sz="4" w:space="0"/>
              <w:bottom w:val="single" w:color="auto" w:sz="4" w:space="0"/>
              <w:right w:val="single" w:color="auto" w:sz="4" w:space="0"/>
            </w:tcBorders>
            <w:vAlign w:val="center"/>
          </w:tcPr>
          <w:p w14:paraId="5F2D747D">
            <w:pPr>
              <w:jc w:val="center"/>
              <w:rPr>
                <w:rFonts w:ascii="宋体" w:hAnsi="宋体"/>
                <w:color w:val="auto"/>
                <w:sz w:val="24"/>
                <w:highlight w:val="none"/>
              </w:rPr>
            </w:pPr>
            <w:r>
              <w:rPr>
                <w:rFonts w:hint="eastAsia" w:ascii="宋体" w:hAnsi="宋体"/>
                <w:color w:val="auto"/>
                <w:sz w:val="24"/>
                <w:highlight w:val="none"/>
              </w:rPr>
              <w:t>序号</w:t>
            </w:r>
          </w:p>
        </w:tc>
        <w:tc>
          <w:tcPr>
            <w:tcW w:w="2510" w:type="dxa"/>
            <w:tcBorders>
              <w:top w:val="single" w:color="auto" w:sz="4" w:space="0"/>
              <w:left w:val="single" w:color="auto" w:sz="4" w:space="0"/>
              <w:bottom w:val="single" w:color="auto" w:sz="4" w:space="0"/>
              <w:right w:val="single" w:color="auto" w:sz="4" w:space="0"/>
            </w:tcBorders>
            <w:vAlign w:val="center"/>
          </w:tcPr>
          <w:p w14:paraId="2302457E">
            <w:pPr>
              <w:jc w:val="center"/>
              <w:rPr>
                <w:rFonts w:ascii="宋体" w:hAnsi="宋体"/>
                <w:color w:val="auto"/>
                <w:sz w:val="24"/>
                <w:highlight w:val="none"/>
              </w:rPr>
            </w:pPr>
            <w:r>
              <w:rPr>
                <w:rFonts w:hint="eastAsia" w:ascii="宋体" w:hAnsi="宋体"/>
                <w:color w:val="auto"/>
                <w:sz w:val="24"/>
                <w:highlight w:val="none"/>
              </w:rPr>
              <w:t>招标文件商务条款</w:t>
            </w:r>
          </w:p>
        </w:tc>
        <w:tc>
          <w:tcPr>
            <w:tcW w:w="2735" w:type="dxa"/>
            <w:tcBorders>
              <w:top w:val="single" w:color="auto" w:sz="4" w:space="0"/>
              <w:left w:val="single" w:color="auto" w:sz="4" w:space="0"/>
              <w:bottom w:val="single" w:color="auto" w:sz="4" w:space="0"/>
              <w:right w:val="single" w:color="auto" w:sz="4" w:space="0"/>
            </w:tcBorders>
            <w:vAlign w:val="center"/>
          </w:tcPr>
          <w:p w14:paraId="4401CA34">
            <w:pPr>
              <w:jc w:val="center"/>
              <w:rPr>
                <w:rFonts w:ascii="宋体" w:hAnsi="宋体"/>
                <w:color w:val="auto"/>
                <w:sz w:val="24"/>
                <w:highlight w:val="none"/>
              </w:rPr>
            </w:pPr>
            <w:r>
              <w:rPr>
                <w:rFonts w:hint="eastAsia" w:ascii="宋体" w:hAnsi="宋体"/>
                <w:color w:val="auto"/>
                <w:sz w:val="24"/>
                <w:highlight w:val="none"/>
              </w:rPr>
              <w:t>供应商商务响应</w:t>
            </w:r>
          </w:p>
        </w:tc>
        <w:tc>
          <w:tcPr>
            <w:tcW w:w="1861" w:type="dxa"/>
            <w:tcBorders>
              <w:top w:val="single" w:color="auto" w:sz="4" w:space="0"/>
              <w:left w:val="single" w:color="auto" w:sz="4" w:space="0"/>
              <w:bottom w:val="single" w:color="auto" w:sz="4" w:space="0"/>
              <w:right w:val="single" w:color="auto" w:sz="4" w:space="0"/>
            </w:tcBorders>
            <w:vAlign w:val="center"/>
          </w:tcPr>
          <w:p w14:paraId="16BC51F5">
            <w:pPr>
              <w:jc w:val="center"/>
              <w:rPr>
                <w:rFonts w:ascii="宋体" w:hAnsi="宋体"/>
                <w:color w:val="auto"/>
                <w:sz w:val="24"/>
                <w:highlight w:val="none"/>
              </w:rPr>
            </w:pPr>
            <w:r>
              <w:rPr>
                <w:rFonts w:hint="eastAsia" w:ascii="宋体" w:hAnsi="宋体"/>
                <w:color w:val="auto"/>
                <w:sz w:val="24"/>
                <w:highlight w:val="none"/>
              </w:rPr>
              <w:t>说明</w:t>
            </w:r>
          </w:p>
        </w:tc>
        <w:tc>
          <w:tcPr>
            <w:tcW w:w="1046" w:type="dxa"/>
            <w:tcBorders>
              <w:top w:val="single" w:color="auto" w:sz="4" w:space="0"/>
              <w:left w:val="single" w:color="auto" w:sz="4" w:space="0"/>
              <w:bottom w:val="single" w:color="auto" w:sz="4" w:space="0"/>
            </w:tcBorders>
            <w:vAlign w:val="center"/>
          </w:tcPr>
          <w:p w14:paraId="2FC94381">
            <w:pPr>
              <w:jc w:val="center"/>
              <w:rPr>
                <w:rFonts w:ascii="宋体" w:hAnsi="宋体"/>
                <w:color w:val="auto"/>
                <w:sz w:val="24"/>
                <w:highlight w:val="none"/>
              </w:rPr>
            </w:pPr>
            <w:r>
              <w:rPr>
                <w:rFonts w:hint="eastAsia" w:ascii="宋体" w:hAnsi="宋体"/>
                <w:color w:val="auto"/>
                <w:sz w:val="24"/>
                <w:highlight w:val="none"/>
              </w:rPr>
              <w:t>备注</w:t>
            </w:r>
          </w:p>
        </w:tc>
      </w:tr>
      <w:tr w14:paraId="53FB85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567" w:hRule="atLeast"/>
          <w:jc w:val="center"/>
        </w:trPr>
        <w:tc>
          <w:tcPr>
            <w:tcW w:w="815" w:type="dxa"/>
            <w:tcBorders>
              <w:top w:val="single" w:color="auto" w:sz="4" w:space="0"/>
              <w:bottom w:val="single" w:color="auto" w:sz="4" w:space="0"/>
              <w:right w:val="single" w:color="auto" w:sz="4" w:space="0"/>
            </w:tcBorders>
            <w:vAlign w:val="center"/>
          </w:tcPr>
          <w:p w14:paraId="3E8F7DC7">
            <w:pPr>
              <w:rPr>
                <w:rFonts w:ascii="宋体" w:hAnsi="宋体"/>
                <w:color w:val="auto"/>
                <w:sz w:val="24"/>
                <w:highlight w:val="none"/>
              </w:rPr>
            </w:pPr>
          </w:p>
        </w:tc>
        <w:tc>
          <w:tcPr>
            <w:tcW w:w="2510" w:type="dxa"/>
            <w:tcBorders>
              <w:top w:val="single" w:color="auto" w:sz="4" w:space="0"/>
              <w:left w:val="single" w:color="auto" w:sz="4" w:space="0"/>
              <w:bottom w:val="single" w:color="auto" w:sz="4" w:space="0"/>
              <w:right w:val="single" w:color="auto" w:sz="4" w:space="0"/>
            </w:tcBorders>
            <w:vAlign w:val="center"/>
          </w:tcPr>
          <w:p w14:paraId="7C0918D5">
            <w:pPr>
              <w:rPr>
                <w:rFonts w:ascii="宋体" w:hAnsi="宋体"/>
                <w:color w:val="auto"/>
                <w:sz w:val="24"/>
                <w:highlight w:val="none"/>
              </w:rPr>
            </w:pPr>
          </w:p>
        </w:tc>
        <w:tc>
          <w:tcPr>
            <w:tcW w:w="2735" w:type="dxa"/>
            <w:tcBorders>
              <w:top w:val="single" w:color="auto" w:sz="4" w:space="0"/>
              <w:left w:val="single" w:color="auto" w:sz="4" w:space="0"/>
              <w:bottom w:val="single" w:color="auto" w:sz="4" w:space="0"/>
              <w:right w:val="single" w:color="auto" w:sz="4" w:space="0"/>
            </w:tcBorders>
            <w:vAlign w:val="center"/>
          </w:tcPr>
          <w:p w14:paraId="3F9D99B4">
            <w:pPr>
              <w:rPr>
                <w:rFonts w:ascii="宋体" w:hAnsi="宋体"/>
                <w:color w:val="auto"/>
                <w:sz w:val="24"/>
                <w:highlight w:val="none"/>
              </w:rPr>
            </w:pPr>
          </w:p>
        </w:tc>
        <w:tc>
          <w:tcPr>
            <w:tcW w:w="1861" w:type="dxa"/>
            <w:tcBorders>
              <w:top w:val="single" w:color="auto" w:sz="4" w:space="0"/>
              <w:left w:val="single" w:color="auto" w:sz="4" w:space="0"/>
              <w:bottom w:val="single" w:color="auto" w:sz="4" w:space="0"/>
              <w:right w:val="single" w:color="auto" w:sz="4" w:space="0"/>
            </w:tcBorders>
            <w:vAlign w:val="center"/>
          </w:tcPr>
          <w:p w14:paraId="77C8C9CE">
            <w:pPr>
              <w:rPr>
                <w:rFonts w:ascii="宋体" w:hAnsi="宋体"/>
                <w:color w:val="auto"/>
                <w:sz w:val="24"/>
                <w:highlight w:val="none"/>
              </w:rPr>
            </w:pPr>
          </w:p>
        </w:tc>
        <w:tc>
          <w:tcPr>
            <w:tcW w:w="1046" w:type="dxa"/>
            <w:tcBorders>
              <w:top w:val="single" w:color="auto" w:sz="4" w:space="0"/>
              <w:left w:val="single" w:color="auto" w:sz="4" w:space="0"/>
              <w:bottom w:val="single" w:color="auto" w:sz="4" w:space="0"/>
            </w:tcBorders>
            <w:vAlign w:val="center"/>
          </w:tcPr>
          <w:p w14:paraId="7CCAB692">
            <w:pPr>
              <w:rPr>
                <w:rFonts w:ascii="宋体" w:hAnsi="宋体"/>
                <w:color w:val="auto"/>
                <w:sz w:val="24"/>
                <w:highlight w:val="none"/>
              </w:rPr>
            </w:pPr>
          </w:p>
        </w:tc>
      </w:tr>
      <w:tr w14:paraId="4F67E4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567" w:hRule="atLeast"/>
          <w:jc w:val="center"/>
        </w:trPr>
        <w:tc>
          <w:tcPr>
            <w:tcW w:w="815" w:type="dxa"/>
            <w:tcBorders>
              <w:top w:val="single" w:color="auto" w:sz="4" w:space="0"/>
              <w:right w:val="single" w:color="auto" w:sz="4" w:space="0"/>
            </w:tcBorders>
            <w:vAlign w:val="center"/>
          </w:tcPr>
          <w:p w14:paraId="06224FD6">
            <w:pPr>
              <w:rPr>
                <w:rFonts w:ascii="宋体" w:hAnsi="宋体"/>
                <w:color w:val="auto"/>
                <w:sz w:val="24"/>
                <w:highlight w:val="none"/>
              </w:rPr>
            </w:pPr>
          </w:p>
        </w:tc>
        <w:tc>
          <w:tcPr>
            <w:tcW w:w="2510" w:type="dxa"/>
            <w:tcBorders>
              <w:top w:val="single" w:color="auto" w:sz="4" w:space="0"/>
              <w:left w:val="single" w:color="auto" w:sz="4" w:space="0"/>
              <w:right w:val="single" w:color="auto" w:sz="4" w:space="0"/>
            </w:tcBorders>
            <w:vAlign w:val="center"/>
          </w:tcPr>
          <w:p w14:paraId="71A16AE9">
            <w:pPr>
              <w:rPr>
                <w:rFonts w:ascii="宋体" w:hAnsi="宋体"/>
                <w:color w:val="auto"/>
                <w:sz w:val="24"/>
                <w:highlight w:val="none"/>
              </w:rPr>
            </w:pPr>
          </w:p>
        </w:tc>
        <w:tc>
          <w:tcPr>
            <w:tcW w:w="2735" w:type="dxa"/>
            <w:tcBorders>
              <w:top w:val="single" w:color="auto" w:sz="4" w:space="0"/>
              <w:left w:val="single" w:color="auto" w:sz="4" w:space="0"/>
              <w:right w:val="single" w:color="auto" w:sz="4" w:space="0"/>
            </w:tcBorders>
            <w:vAlign w:val="center"/>
          </w:tcPr>
          <w:p w14:paraId="755E5F07">
            <w:pPr>
              <w:rPr>
                <w:rFonts w:ascii="宋体" w:hAnsi="宋体"/>
                <w:color w:val="auto"/>
                <w:sz w:val="24"/>
                <w:highlight w:val="none"/>
              </w:rPr>
            </w:pPr>
          </w:p>
        </w:tc>
        <w:tc>
          <w:tcPr>
            <w:tcW w:w="1861" w:type="dxa"/>
            <w:tcBorders>
              <w:top w:val="single" w:color="auto" w:sz="4" w:space="0"/>
              <w:left w:val="single" w:color="auto" w:sz="4" w:space="0"/>
              <w:right w:val="single" w:color="auto" w:sz="4" w:space="0"/>
            </w:tcBorders>
            <w:vAlign w:val="center"/>
          </w:tcPr>
          <w:p w14:paraId="3BD1CF8A">
            <w:pPr>
              <w:rPr>
                <w:rFonts w:ascii="宋体" w:hAnsi="宋体"/>
                <w:color w:val="auto"/>
                <w:sz w:val="24"/>
                <w:highlight w:val="none"/>
              </w:rPr>
            </w:pPr>
          </w:p>
        </w:tc>
        <w:tc>
          <w:tcPr>
            <w:tcW w:w="1046" w:type="dxa"/>
            <w:tcBorders>
              <w:top w:val="single" w:color="auto" w:sz="4" w:space="0"/>
              <w:left w:val="single" w:color="auto" w:sz="4" w:space="0"/>
            </w:tcBorders>
            <w:vAlign w:val="center"/>
          </w:tcPr>
          <w:p w14:paraId="3B744845">
            <w:pPr>
              <w:rPr>
                <w:rFonts w:ascii="宋体" w:hAnsi="宋体"/>
                <w:color w:val="auto"/>
                <w:sz w:val="24"/>
                <w:highlight w:val="none"/>
              </w:rPr>
            </w:pPr>
          </w:p>
        </w:tc>
      </w:tr>
      <w:tr w14:paraId="0C71AF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567" w:hRule="atLeast"/>
          <w:jc w:val="center"/>
        </w:trPr>
        <w:tc>
          <w:tcPr>
            <w:tcW w:w="815" w:type="dxa"/>
            <w:tcBorders>
              <w:top w:val="single" w:color="auto" w:sz="4" w:space="0"/>
              <w:right w:val="single" w:color="auto" w:sz="4" w:space="0"/>
            </w:tcBorders>
            <w:vAlign w:val="center"/>
          </w:tcPr>
          <w:p w14:paraId="7765BB38">
            <w:pPr>
              <w:rPr>
                <w:rFonts w:ascii="宋体" w:hAnsi="宋体"/>
                <w:color w:val="auto"/>
                <w:sz w:val="24"/>
                <w:highlight w:val="none"/>
              </w:rPr>
            </w:pPr>
          </w:p>
        </w:tc>
        <w:tc>
          <w:tcPr>
            <w:tcW w:w="2510" w:type="dxa"/>
            <w:tcBorders>
              <w:top w:val="single" w:color="auto" w:sz="4" w:space="0"/>
              <w:left w:val="single" w:color="auto" w:sz="4" w:space="0"/>
              <w:right w:val="single" w:color="auto" w:sz="4" w:space="0"/>
            </w:tcBorders>
            <w:vAlign w:val="center"/>
          </w:tcPr>
          <w:p w14:paraId="74B518D0">
            <w:pPr>
              <w:rPr>
                <w:rFonts w:ascii="宋体" w:hAnsi="宋体"/>
                <w:color w:val="auto"/>
                <w:sz w:val="24"/>
                <w:highlight w:val="none"/>
              </w:rPr>
            </w:pPr>
          </w:p>
        </w:tc>
        <w:tc>
          <w:tcPr>
            <w:tcW w:w="2735" w:type="dxa"/>
            <w:tcBorders>
              <w:top w:val="single" w:color="auto" w:sz="4" w:space="0"/>
              <w:left w:val="single" w:color="auto" w:sz="4" w:space="0"/>
              <w:right w:val="single" w:color="auto" w:sz="4" w:space="0"/>
            </w:tcBorders>
            <w:vAlign w:val="center"/>
          </w:tcPr>
          <w:p w14:paraId="7929D18A">
            <w:pPr>
              <w:rPr>
                <w:rFonts w:ascii="宋体" w:hAnsi="宋体"/>
                <w:color w:val="auto"/>
                <w:sz w:val="24"/>
                <w:highlight w:val="none"/>
              </w:rPr>
            </w:pPr>
          </w:p>
        </w:tc>
        <w:tc>
          <w:tcPr>
            <w:tcW w:w="1861" w:type="dxa"/>
            <w:tcBorders>
              <w:top w:val="single" w:color="auto" w:sz="4" w:space="0"/>
              <w:left w:val="single" w:color="auto" w:sz="4" w:space="0"/>
              <w:right w:val="single" w:color="auto" w:sz="4" w:space="0"/>
            </w:tcBorders>
            <w:vAlign w:val="center"/>
          </w:tcPr>
          <w:p w14:paraId="280DA0BB">
            <w:pPr>
              <w:rPr>
                <w:rFonts w:ascii="宋体" w:hAnsi="宋体"/>
                <w:color w:val="auto"/>
                <w:sz w:val="24"/>
                <w:highlight w:val="none"/>
              </w:rPr>
            </w:pPr>
          </w:p>
        </w:tc>
        <w:tc>
          <w:tcPr>
            <w:tcW w:w="1046" w:type="dxa"/>
            <w:tcBorders>
              <w:top w:val="single" w:color="auto" w:sz="4" w:space="0"/>
              <w:left w:val="single" w:color="auto" w:sz="4" w:space="0"/>
            </w:tcBorders>
            <w:vAlign w:val="center"/>
          </w:tcPr>
          <w:p w14:paraId="592DBBA1">
            <w:pPr>
              <w:rPr>
                <w:rFonts w:ascii="宋体" w:hAnsi="宋体"/>
                <w:color w:val="auto"/>
                <w:sz w:val="24"/>
                <w:highlight w:val="none"/>
              </w:rPr>
            </w:pPr>
          </w:p>
        </w:tc>
      </w:tr>
      <w:tr w14:paraId="4A8621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567" w:hRule="atLeast"/>
          <w:jc w:val="center"/>
        </w:trPr>
        <w:tc>
          <w:tcPr>
            <w:tcW w:w="815" w:type="dxa"/>
            <w:tcBorders>
              <w:top w:val="single" w:color="auto" w:sz="4" w:space="0"/>
              <w:right w:val="single" w:color="auto" w:sz="4" w:space="0"/>
            </w:tcBorders>
            <w:vAlign w:val="center"/>
          </w:tcPr>
          <w:p w14:paraId="02E065E5">
            <w:pPr>
              <w:rPr>
                <w:rFonts w:ascii="宋体" w:hAnsi="宋体"/>
                <w:color w:val="auto"/>
                <w:sz w:val="24"/>
                <w:highlight w:val="none"/>
              </w:rPr>
            </w:pPr>
          </w:p>
        </w:tc>
        <w:tc>
          <w:tcPr>
            <w:tcW w:w="2510" w:type="dxa"/>
            <w:tcBorders>
              <w:top w:val="single" w:color="auto" w:sz="4" w:space="0"/>
              <w:left w:val="single" w:color="auto" w:sz="4" w:space="0"/>
              <w:right w:val="single" w:color="auto" w:sz="4" w:space="0"/>
            </w:tcBorders>
            <w:vAlign w:val="center"/>
          </w:tcPr>
          <w:p w14:paraId="3CD5D99E">
            <w:pPr>
              <w:rPr>
                <w:rFonts w:ascii="宋体" w:hAnsi="宋体"/>
                <w:color w:val="auto"/>
                <w:sz w:val="24"/>
                <w:highlight w:val="none"/>
              </w:rPr>
            </w:pPr>
          </w:p>
        </w:tc>
        <w:tc>
          <w:tcPr>
            <w:tcW w:w="2735" w:type="dxa"/>
            <w:tcBorders>
              <w:top w:val="single" w:color="auto" w:sz="4" w:space="0"/>
              <w:left w:val="single" w:color="auto" w:sz="4" w:space="0"/>
              <w:right w:val="single" w:color="auto" w:sz="4" w:space="0"/>
            </w:tcBorders>
            <w:vAlign w:val="center"/>
          </w:tcPr>
          <w:p w14:paraId="686150AE">
            <w:pPr>
              <w:rPr>
                <w:rFonts w:ascii="宋体" w:hAnsi="宋体"/>
                <w:color w:val="auto"/>
                <w:sz w:val="24"/>
                <w:highlight w:val="none"/>
              </w:rPr>
            </w:pPr>
          </w:p>
        </w:tc>
        <w:tc>
          <w:tcPr>
            <w:tcW w:w="1861" w:type="dxa"/>
            <w:tcBorders>
              <w:top w:val="single" w:color="auto" w:sz="4" w:space="0"/>
              <w:left w:val="single" w:color="auto" w:sz="4" w:space="0"/>
              <w:right w:val="single" w:color="auto" w:sz="4" w:space="0"/>
            </w:tcBorders>
            <w:vAlign w:val="center"/>
          </w:tcPr>
          <w:p w14:paraId="768193F8">
            <w:pPr>
              <w:rPr>
                <w:rFonts w:ascii="宋体" w:hAnsi="宋体"/>
                <w:color w:val="auto"/>
                <w:sz w:val="24"/>
                <w:highlight w:val="none"/>
              </w:rPr>
            </w:pPr>
          </w:p>
        </w:tc>
        <w:tc>
          <w:tcPr>
            <w:tcW w:w="1046" w:type="dxa"/>
            <w:tcBorders>
              <w:top w:val="single" w:color="auto" w:sz="4" w:space="0"/>
              <w:left w:val="single" w:color="auto" w:sz="4" w:space="0"/>
            </w:tcBorders>
            <w:vAlign w:val="center"/>
          </w:tcPr>
          <w:p w14:paraId="3943C2D5">
            <w:pPr>
              <w:rPr>
                <w:rFonts w:ascii="宋体" w:hAnsi="宋体"/>
                <w:color w:val="auto"/>
                <w:sz w:val="24"/>
                <w:highlight w:val="none"/>
              </w:rPr>
            </w:pPr>
          </w:p>
        </w:tc>
      </w:tr>
      <w:tr w14:paraId="7498B7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567" w:hRule="atLeast"/>
          <w:jc w:val="center"/>
        </w:trPr>
        <w:tc>
          <w:tcPr>
            <w:tcW w:w="815" w:type="dxa"/>
            <w:tcBorders>
              <w:top w:val="single" w:color="auto" w:sz="4" w:space="0"/>
              <w:bottom w:val="single" w:color="auto" w:sz="4" w:space="0"/>
              <w:right w:val="single" w:color="auto" w:sz="4" w:space="0"/>
            </w:tcBorders>
            <w:vAlign w:val="center"/>
          </w:tcPr>
          <w:p w14:paraId="450599F1">
            <w:pPr>
              <w:rPr>
                <w:rFonts w:ascii="宋体" w:hAnsi="宋体"/>
                <w:color w:val="auto"/>
                <w:sz w:val="24"/>
                <w:highlight w:val="none"/>
              </w:rPr>
            </w:pPr>
          </w:p>
        </w:tc>
        <w:tc>
          <w:tcPr>
            <w:tcW w:w="2510" w:type="dxa"/>
            <w:tcBorders>
              <w:top w:val="single" w:color="auto" w:sz="4" w:space="0"/>
              <w:left w:val="single" w:color="auto" w:sz="4" w:space="0"/>
              <w:bottom w:val="single" w:color="auto" w:sz="4" w:space="0"/>
              <w:right w:val="single" w:color="auto" w:sz="4" w:space="0"/>
            </w:tcBorders>
            <w:vAlign w:val="center"/>
          </w:tcPr>
          <w:p w14:paraId="5B55D95C">
            <w:pPr>
              <w:rPr>
                <w:rFonts w:ascii="宋体" w:hAnsi="宋体"/>
                <w:color w:val="auto"/>
                <w:sz w:val="24"/>
                <w:highlight w:val="none"/>
              </w:rPr>
            </w:pPr>
          </w:p>
        </w:tc>
        <w:tc>
          <w:tcPr>
            <w:tcW w:w="2735" w:type="dxa"/>
            <w:tcBorders>
              <w:top w:val="single" w:color="auto" w:sz="4" w:space="0"/>
              <w:left w:val="single" w:color="auto" w:sz="4" w:space="0"/>
              <w:bottom w:val="single" w:color="auto" w:sz="4" w:space="0"/>
              <w:right w:val="single" w:color="auto" w:sz="4" w:space="0"/>
            </w:tcBorders>
            <w:vAlign w:val="center"/>
          </w:tcPr>
          <w:p w14:paraId="1E425739">
            <w:pPr>
              <w:rPr>
                <w:rFonts w:ascii="宋体" w:hAnsi="宋体"/>
                <w:color w:val="auto"/>
                <w:sz w:val="24"/>
                <w:highlight w:val="none"/>
              </w:rPr>
            </w:pPr>
          </w:p>
        </w:tc>
        <w:tc>
          <w:tcPr>
            <w:tcW w:w="1861" w:type="dxa"/>
            <w:tcBorders>
              <w:top w:val="single" w:color="auto" w:sz="4" w:space="0"/>
              <w:left w:val="single" w:color="auto" w:sz="4" w:space="0"/>
              <w:bottom w:val="single" w:color="auto" w:sz="4" w:space="0"/>
              <w:right w:val="single" w:color="auto" w:sz="4" w:space="0"/>
            </w:tcBorders>
            <w:vAlign w:val="center"/>
          </w:tcPr>
          <w:p w14:paraId="35D36F8C">
            <w:pPr>
              <w:rPr>
                <w:rFonts w:ascii="宋体" w:hAnsi="宋体"/>
                <w:color w:val="auto"/>
                <w:sz w:val="24"/>
                <w:highlight w:val="none"/>
              </w:rPr>
            </w:pPr>
          </w:p>
        </w:tc>
        <w:tc>
          <w:tcPr>
            <w:tcW w:w="1046" w:type="dxa"/>
            <w:tcBorders>
              <w:top w:val="single" w:color="auto" w:sz="4" w:space="0"/>
              <w:left w:val="single" w:color="auto" w:sz="4" w:space="0"/>
              <w:bottom w:val="single" w:color="auto" w:sz="4" w:space="0"/>
            </w:tcBorders>
            <w:vAlign w:val="center"/>
          </w:tcPr>
          <w:p w14:paraId="2C5B6C0F">
            <w:pPr>
              <w:rPr>
                <w:rFonts w:ascii="宋体" w:hAnsi="宋体"/>
                <w:color w:val="auto"/>
                <w:sz w:val="24"/>
                <w:highlight w:val="none"/>
              </w:rPr>
            </w:pPr>
          </w:p>
        </w:tc>
      </w:tr>
      <w:tr w14:paraId="0083B8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567" w:hRule="atLeast"/>
          <w:jc w:val="center"/>
        </w:trPr>
        <w:tc>
          <w:tcPr>
            <w:tcW w:w="815" w:type="dxa"/>
            <w:tcBorders>
              <w:top w:val="single" w:color="auto" w:sz="4" w:space="0"/>
              <w:bottom w:val="single" w:color="auto" w:sz="4" w:space="0"/>
              <w:right w:val="single" w:color="auto" w:sz="4" w:space="0"/>
            </w:tcBorders>
            <w:vAlign w:val="center"/>
          </w:tcPr>
          <w:p w14:paraId="5CCEF7C7">
            <w:pPr>
              <w:rPr>
                <w:rFonts w:ascii="宋体" w:hAnsi="宋体"/>
                <w:color w:val="auto"/>
                <w:sz w:val="24"/>
                <w:highlight w:val="none"/>
              </w:rPr>
            </w:pPr>
          </w:p>
        </w:tc>
        <w:tc>
          <w:tcPr>
            <w:tcW w:w="2510" w:type="dxa"/>
            <w:tcBorders>
              <w:top w:val="single" w:color="auto" w:sz="4" w:space="0"/>
              <w:left w:val="single" w:color="auto" w:sz="4" w:space="0"/>
              <w:bottom w:val="single" w:color="auto" w:sz="4" w:space="0"/>
              <w:right w:val="single" w:color="auto" w:sz="4" w:space="0"/>
            </w:tcBorders>
            <w:vAlign w:val="center"/>
          </w:tcPr>
          <w:p w14:paraId="0F3EEA16">
            <w:pPr>
              <w:rPr>
                <w:rFonts w:ascii="宋体" w:hAnsi="宋体"/>
                <w:color w:val="auto"/>
                <w:sz w:val="24"/>
                <w:highlight w:val="none"/>
              </w:rPr>
            </w:pPr>
          </w:p>
        </w:tc>
        <w:tc>
          <w:tcPr>
            <w:tcW w:w="2735" w:type="dxa"/>
            <w:tcBorders>
              <w:top w:val="single" w:color="auto" w:sz="4" w:space="0"/>
              <w:left w:val="single" w:color="auto" w:sz="4" w:space="0"/>
              <w:bottom w:val="single" w:color="auto" w:sz="4" w:space="0"/>
              <w:right w:val="single" w:color="auto" w:sz="4" w:space="0"/>
            </w:tcBorders>
            <w:vAlign w:val="center"/>
          </w:tcPr>
          <w:p w14:paraId="1EF1F50A">
            <w:pPr>
              <w:rPr>
                <w:rFonts w:ascii="宋体" w:hAnsi="宋体"/>
                <w:color w:val="auto"/>
                <w:sz w:val="24"/>
                <w:highlight w:val="none"/>
              </w:rPr>
            </w:pPr>
          </w:p>
        </w:tc>
        <w:tc>
          <w:tcPr>
            <w:tcW w:w="1861" w:type="dxa"/>
            <w:tcBorders>
              <w:top w:val="single" w:color="auto" w:sz="4" w:space="0"/>
              <w:left w:val="single" w:color="auto" w:sz="4" w:space="0"/>
              <w:bottom w:val="single" w:color="auto" w:sz="4" w:space="0"/>
              <w:right w:val="single" w:color="auto" w:sz="4" w:space="0"/>
            </w:tcBorders>
            <w:vAlign w:val="center"/>
          </w:tcPr>
          <w:p w14:paraId="2BAB69F9">
            <w:pPr>
              <w:rPr>
                <w:rFonts w:ascii="宋体" w:hAnsi="宋体"/>
                <w:color w:val="auto"/>
                <w:sz w:val="24"/>
                <w:highlight w:val="none"/>
              </w:rPr>
            </w:pPr>
          </w:p>
        </w:tc>
        <w:tc>
          <w:tcPr>
            <w:tcW w:w="1046" w:type="dxa"/>
            <w:tcBorders>
              <w:top w:val="single" w:color="auto" w:sz="4" w:space="0"/>
              <w:left w:val="single" w:color="auto" w:sz="4" w:space="0"/>
              <w:bottom w:val="single" w:color="auto" w:sz="4" w:space="0"/>
            </w:tcBorders>
            <w:vAlign w:val="center"/>
          </w:tcPr>
          <w:p w14:paraId="0B882C5A">
            <w:pPr>
              <w:rPr>
                <w:rFonts w:ascii="宋体" w:hAnsi="宋体"/>
                <w:color w:val="auto"/>
                <w:sz w:val="24"/>
                <w:highlight w:val="none"/>
              </w:rPr>
            </w:pPr>
          </w:p>
        </w:tc>
      </w:tr>
    </w:tbl>
    <w:p w14:paraId="0BF577E8">
      <w:pPr>
        <w:rPr>
          <w:color w:val="auto"/>
          <w:highlight w:val="none"/>
        </w:rPr>
      </w:pPr>
      <w:r>
        <w:rPr>
          <w:rFonts w:hint="eastAsia"/>
          <w:color w:val="auto"/>
          <w:highlight w:val="none"/>
        </w:rPr>
        <w:t>填表说明：</w:t>
      </w:r>
    </w:p>
    <w:p w14:paraId="3C3976B9">
      <w:pPr>
        <w:numPr>
          <w:ilvl w:val="0"/>
          <w:numId w:val="11"/>
        </w:numPr>
        <w:rPr>
          <w:color w:val="auto"/>
          <w:highlight w:val="none"/>
        </w:rPr>
      </w:pPr>
      <w:r>
        <w:rPr>
          <w:rFonts w:hint="eastAsia"/>
          <w:color w:val="auto"/>
          <w:highlight w:val="none"/>
        </w:rPr>
        <w:t>本项目商务要求属实质性响应条款，不接受任何负偏离。</w:t>
      </w:r>
    </w:p>
    <w:p w14:paraId="31FE6F3C">
      <w:pPr>
        <w:rPr>
          <w:color w:val="auto"/>
          <w:highlight w:val="none"/>
        </w:rPr>
      </w:pPr>
    </w:p>
    <w:p w14:paraId="115928CE">
      <w:pPr>
        <w:spacing w:line="360" w:lineRule="auto"/>
        <w:rPr>
          <w:color w:val="auto"/>
          <w:highlight w:val="none"/>
        </w:rPr>
      </w:pPr>
    </w:p>
    <w:p w14:paraId="3F87D265">
      <w:pPr>
        <w:spacing w:line="360" w:lineRule="auto"/>
        <w:rPr>
          <w:rFonts w:ascii="宋体" w:hAnsi="宋体" w:cs="宋体"/>
          <w:bCs/>
          <w:color w:val="auto"/>
          <w:sz w:val="24"/>
          <w:szCs w:val="20"/>
          <w:highlight w:val="none"/>
        </w:rPr>
      </w:pPr>
      <w:r>
        <w:rPr>
          <w:rFonts w:hint="eastAsia" w:ascii="宋体" w:hAnsi="宋体" w:cs="宋体"/>
          <w:bCs/>
          <w:color w:val="auto"/>
          <w:sz w:val="24"/>
          <w:szCs w:val="20"/>
          <w:highlight w:val="none"/>
        </w:rPr>
        <w:t>单位名称：</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 xml:space="preserve">（签章）                    </w:t>
      </w:r>
    </w:p>
    <w:p w14:paraId="1CE307F8">
      <w:pPr>
        <w:spacing w:line="360" w:lineRule="auto"/>
        <w:rPr>
          <w:rFonts w:ascii="宋体" w:hAnsi="宋体" w:cs="宋体"/>
          <w:bCs/>
          <w:color w:val="auto"/>
          <w:sz w:val="24"/>
          <w:szCs w:val="20"/>
          <w:highlight w:val="none"/>
        </w:rPr>
      </w:pPr>
      <w:r>
        <w:rPr>
          <w:rFonts w:hint="eastAsia" w:ascii="宋体" w:hAnsi="宋体" w:cs="宋体"/>
          <w:bCs/>
          <w:color w:val="auto"/>
          <w:sz w:val="24"/>
          <w:szCs w:val="20"/>
          <w:highlight w:val="none"/>
        </w:rPr>
        <w:t>法定代表人（或授权代表）：</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 xml:space="preserve">（签字/签章）                    </w:t>
      </w:r>
    </w:p>
    <w:p w14:paraId="3C43EDFA">
      <w:pPr>
        <w:spacing w:line="360" w:lineRule="auto"/>
        <w:rPr>
          <w:color w:val="auto"/>
          <w:highlight w:val="none"/>
        </w:rPr>
      </w:pPr>
      <w:r>
        <w:rPr>
          <w:rFonts w:hint="eastAsia" w:ascii="宋体" w:hAnsi="宋体" w:cs="宋体"/>
          <w:bCs/>
          <w:color w:val="auto"/>
          <w:sz w:val="24"/>
          <w:szCs w:val="20"/>
          <w:highlight w:val="none"/>
        </w:rPr>
        <w:t>日期：</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年</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月</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 xml:space="preserve">日 </w:t>
      </w:r>
    </w:p>
    <w:p w14:paraId="52DE041D">
      <w:pPr>
        <w:spacing w:line="276" w:lineRule="auto"/>
        <w:rPr>
          <w:rFonts w:ascii="宋体" w:hAnsi="宋体"/>
          <w:color w:val="auto"/>
          <w:sz w:val="24"/>
          <w:highlight w:val="none"/>
        </w:rPr>
      </w:pPr>
    </w:p>
    <w:p w14:paraId="7CCBE038">
      <w:pPr>
        <w:spacing w:line="276" w:lineRule="auto"/>
        <w:rPr>
          <w:rFonts w:ascii="仿宋_GB2312" w:hAnsi="Arial"/>
          <w:color w:val="auto"/>
          <w:sz w:val="30"/>
          <w:szCs w:val="21"/>
          <w:highlight w:val="none"/>
        </w:rPr>
      </w:pPr>
    </w:p>
    <w:p w14:paraId="1D2378A8">
      <w:pPr>
        <w:widowControl/>
        <w:jc w:val="left"/>
        <w:rPr>
          <w:rFonts w:ascii="宋体" w:hAnsi="宋体"/>
          <w:color w:val="auto"/>
          <w:sz w:val="24"/>
          <w:szCs w:val="21"/>
          <w:highlight w:val="none"/>
        </w:rPr>
      </w:pPr>
      <w:bookmarkStart w:id="196" w:name="_Hlt26609389"/>
      <w:bookmarkEnd w:id="196"/>
      <w:bookmarkStart w:id="197" w:name="_Hlt26955066"/>
      <w:bookmarkEnd w:id="197"/>
      <w:bookmarkStart w:id="198" w:name="_Hlt26671374"/>
      <w:bookmarkEnd w:id="198"/>
      <w:bookmarkStart w:id="199" w:name="_Toc462564146"/>
      <w:r>
        <w:rPr>
          <w:rFonts w:ascii="宋体" w:hAnsi="宋体"/>
          <w:color w:val="auto"/>
          <w:sz w:val="24"/>
          <w:szCs w:val="21"/>
          <w:highlight w:val="none"/>
        </w:rPr>
        <w:br w:type="page"/>
      </w:r>
    </w:p>
    <w:bookmarkEnd w:id="199"/>
    <w:p w14:paraId="1F58BD9D">
      <w:pPr>
        <w:keepNext/>
        <w:keepLines/>
        <w:spacing w:before="260" w:after="260" w:line="276" w:lineRule="auto"/>
        <w:jc w:val="center"/>
        <w:outlineLvl w:val="1"/>
        <w:rPr>
          <w:rFonts w:ascii="宋体" w:hAnsi="宋体" w:cs="宋体"/>
          <w:iCs/>
          <w:color w:val="auto"/>
          <w:sz w:val="32"/>
          <w:szCs w:val="32"/>
          <w:highlight w:val="none"/>
        </w:rPr>
      </w:pPr>
      <w:bookmarkStart w:id="200" w:name="_格式2__法定代表人授权书"/>
      <w:bookmarkEnd w:id="200"/>
      <w:bookmarkStart w:id="201" w:name="_Toc184129801"/>
      <w:r>
        <w:rPr>
          <w:rFonts w:hint="eastAsia" w:ascii="宋体" w:hAnsi="宋体" w:cs="宋体"/>
          <w:iCs/>
          <w:color w:val="auto"/>
          <w:sz w:val="32"/>
          <w:szCs w:val="32"/>
          <w:highlight w:val="none"/>
        </w:rPr>
        <w:t>开标一览表</w:t>
      </w:r>
      <w:bookmarkEnd w:id="201"/>
    </w:p>
    <w:p w14:paraId="44927F8B">
      <w:pPr>
        <w:spacing w:line="276" w:lineRule="auto"/>
        <w:ind w:firstLine="480"/>
        <w:rPr>
          <w:rFonts w:ascii="宋体" w:hAnsi="宋体" w:cs="宋体"/>
          <w:color w:val="auto"/>
          <w:sz w:val="24"/>
          <w:highlight w:val="none"/>
        </w:rPr>
      </w:pPr>
      <w:r>
        <w:rPr>
          <w:rFonts w:hint="eastAsia" w:ascii="宋体" w:hAnsi="宋体" w:cs="宋体"/>
          <w:color w:val="auto"/>
          <w:sz w:val="24"/>
          <w:highlight w:val="none"/>
        </w:rPr>
        <w:t>投标人全称（加盖CA电子签章）：</w:t>
      </w:r>
    </w:p>
    <w:p w14:paraId="038365E7">
      <w:pPr>
        <w:spacing w:line="276" w:lineRule="auto"/>
        <w:ind w:firstLine="480"/>
        <w:rPr>
          <w:rFonts w:ascii="宋体" w:hAnsi="宋体" w:cs="宋体"/>
          <w:color w:val="auto"/>
          <w:sz w:val="24"/>
          <w:highlight w:val="none"/>
        </w:rPr>
      </w:pPr>
      <w:r>
        <w:rPr>
          <w:rFonts w:hint="eastAsia" w:ascii="宋体" w:hAnsi="宋体" w:cs="宋体"/>
          <w:color w:val="auto"/>
          <w:sz w:val="24"/>
          <w:highlight w:val="none"/>
        </w:rPr>
        <w:t>项目名称：</w:t>
      </w:r>
    </w:p>
    <w:p w14:paraId="4AF3CFA5">
      <w:pPr>
        <w:spacing w:line="276" w:lineRule="auto"/>
        <w:ind w:firstLine="480"/>
        <w:rPr>
          <w:rFonts w:ascii="宋体" w:hAnsi="宋体" w:cs="宋体"/>
          <w:color w:val="auto"/>
          <w:sz w:val="24"/>
          <w:highlight w:val="none"/>
        </w:rPr>
      </w:pPr>
      <w:r>
        <w:rPr>
          <w:rFonts w:hint="eastAsia" w:ascii="宋体" w:hAnsi="宋体" w:cs="宋体"/>
          <w:color w:val="auto"/>
          <w:sz w:val="24"/>
          <w:highlight w:val="none"/>
        </w:rPr>
        <w:t>项目编号：                                   分包号：/</w:t>
      </w:r>
    </w:p>
    <w:tbl>
      <w:tblPr>
        <w:tblStyle w:val="30"/>
        <w:tblW w:w="906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66"/>
      </w:tblGrid>
      <w:tr w14:paraId="6B246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34" w:hRule="atLeast"/>
        </w:trPr>
        <w:tc>
          <w:tcPr>
            <w:tcW w:w="9066" w:type="dxa"/>
            <w:vAlign w:val="center"/>
          </w:tcPr>
          <w:p w14:paraId="38C3D654">
            <w:pPr>
              <w:spacing w:line="276" w:lineRule="auto"/>
              <w:jc w:val="center"/>
              <w:rPr>
                <w:rFonts w:ascii="宋体" w:hAnsi="宋体"/>
                <w:color w:val="auto"/>
                <w:sz w:val="24"/>
                <w:highlight w:val="none"/>
              </w:rPr>
            </w:pPr>
            <w:r>
              <w:rPr>
                <w:rFonts w:hint="eastAsia" w:ascii="宋体" w:hAnsi="宋体"/>
                <w:color w:val="auto"/>
                <w:sz w:val="24"/>
                <w:highlight w:val="none"/>
              </w:rPr>
              <w:t>投标总报价</w:t>
            </w:r>
          </w:p>
        </w:tc>
      </w:tr>
      <w:tr w14:paraId="68B9B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34" w:hRule="atLeast"/>
        </w:trPr>
        <w:tc>
          <w:tcPr>
            <w:tcW w:w="9066" w:type="dxa"/>
            <w:vAlign w:val="center"/>
          </w:tcPr>
          <w:p w14:paraId="2478876E">
            <w:pPr>
              <w:spacing w:line="276" w:lineRule="auto"/>
              <w:jc w:val="left"/>
              <w:rPr>
                <w:rFonts w:ascii="宋体" w:hAnsi="宋体"/>
                <w:color w:val="auto"/>
                <w:sz w:val="24"/>
                <w:szCs w:val="21"/>
                <w:highlight w:val="none"/>
              </w:rPr>
            </w:pPr>
            <w:r>
              <w:rPr>
                <w:rFonts w:hint="eastAsia" w:ascii="宋体" w:hAnsi="宋体" w:cs="宋体"/>
                <w:color w:val="auto"/>
                <w:sz w:val="24"/>
                <w:highlight w:val="none"/>
              </w:rPr>
              <w:t>小写：                             （人民币：元）</w:t>
            </w:r>
          </w:p>
        </w:tc>
      </w:tr>
    </w:tbl>
    <w:p w14:paraId="5A82F6F2">
      <w:pPr>
        <w:spacing w:line="276" w:lineRule="auto"/>
        <w:rPr>
          <w:rFonts w:ascii="宋体" w:hAnsi="宋体"/>
          <w:color w:val="auto"/>
          <w:sz w:val="24"/>
          <w:highlight w:val="none"/>
        </w:rPr>
      </w:pPr>
    </w:p>
    <w:p w14:paraId="54780E9C">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                                        </w:t>
      </w:r>
    </w:p>
    <w:p w14:paraId="0093978D">
      <w:pPr>
        <w:spacing w:line="276" w:lineRule="auto"/>
        <w:ind w:firstLine="0" w:firstLineChars="0"/>
        <w:rPr>
          <w:rFonts w:ascii="宋体" w:hAnsi="宋体"/>
          <w:color w:val="auto"/>
          <w:sz w:val="24"/>
          <w:highlight w:val="none"/>
        </w:rPr>
      </w:pPr>
      <w:r>
        <w:rPr>
          <w:rFonts w:hint="eastAsia" w:ascii="宋体" w:hAnsi="宋体"/>
          <w:color w:val="auto"/>
          <w:sz w:val="24"/>
          <w:highlight w:val="none"/>
        </w:rPr>
        <w:t>备注：上述报价为</w:t>
      </w:r>
      <w:r>
        <w:rPr>
          <w:rFonts w:hint="eastAsia" w:ascii="宋体" w:hAnsi="宋体"/>
          <w:color w:val="auto"/>
          <w:sz w:val="24"/>
          <w:highlight w:val="none"/>
          <w:lang w:eastAsia="zh-CN"/>
        </w:rPr>
        <w:t>服务期限内的</w:t>
      </w:r>
      <w:r>
        <w:rPr>
          <w:rFonts w:hint="eastAsia" w:ascii="宋体" w:hAnsi="宋体"/>
          <w:color w:val="auto"/>
          <w:sz w:val="24"/>
          <w:highlight w:val="none"/>
        </w:rPr>
        <w:t>总价</w:t>
      </w:r>
    </w:p>
    <w:p w14:paraId="02B21D2C">
      <w:pPr>
        <w:spacing w:line="276" w:lineRule="auto"/>
        <w:ind w:firstLine="5760" w:firstLineChars="2400"/>
        <w:rPr>
          <w:rFonts w:ascii="宋体" w:hAnsi="宋体"/>
          <w:color w:val="auto"/>
          <w:sz w:val="24"/>
          <w:highlight w:val="none"/>
        </w:rPr>
      </w:pPr>
      <w:r>
        <w:rPr>
          <w:rFonts w:hint="eastAsia" w:ascii="宋体" w:hAnsi="宋体"/>
          <w:color w:val="auto"/>
          <w:sz w:val="24"/>
          <w:highlight w:val="none"/>
        </w:rPr>
        <w:t xml:space="preserve">日期：  </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14:paraId="6B606528">
      <w:pPr>
        <w:spacing w:line="276" w:lineRule="auto"/>
        <w:rPr>
          <w:rFonts w:ascii="黑体" w:hAnsi="黑体" w:eastAsia="黑体"/>
          <w:b/>
          <w:color w:val="auto"/>
          <w:sz w:val="32"/>
          <w:szCs w:val="32"/>
          <w:highlight w:val="none"/>
        </w:rPr>
      </w:pPr>
    </w:p>
    <w:p w14:paraId="3170B770">
      <w:pPr>
        <w:spacing w:line="276" w:lineRule="auto"/>
        <w:ind w:firstLine="480"/>
        <w:rPr>
          <w:rFonts w:ascii="宋体" w:hAnsi="宋体"/>
          <w:color w:val="auto"/>
          <w:sz w:val="24"/>
          <w:highlight w:val="none"/>
        </w:rPr>
      </w:pPr>
    </w:p>
    <w:p w14:paraId="3EB8C1B1">
      <w:pPr>
        <w:keepNext/>
        <w:keepLines/>
        <w:spacing w:before="260" w:after="260" w:line="276" w:lineRule="auto"/>
        <w:jc w:val="center"/>
        <w:outlineLvl w:val="1"/>
        <w:rPr>
          <w:rFonts w:ascii="仿宋" w:hAnsi="仿宋" w:eastAsia="仿宋" w:cs="仿宋"/>
          <w:bCs/>
          <w:color w:val="auto"/>
          <w:sz w:val="36"/>
          <w:szCs w:val="36"/>
          <w:highlight w:val="none"/>
        </w:rPr>
      </w:pPr>
      <w:bookmarkStart w:id="202" w:name="_Toc184129802"/>
      <w:r>
        <w:rPr>
          <w:rFonts w:hint="eastAsia" w:ascii="宋体" w:hAnsi="宋体" w:cs="宋体"/>
          <w:color w:val="auto"/>
          <w:sz w:val="32"/>
          <w:szCs w:val="32"/>
          <w:highlight w:val="none"/>
        </w:rPr>
        <w:br w:type="page"/>
      </w:r>
      <w:r>
        <w:rPr>
          <w:rFonts w:hint="eastAsia" w:ascii="宋体" w:hAnsi="宋体" w:cs="宋体"/>
          <w:iCs/>
          <w:color w:val="auto"/>
          <w:sz w:val="32"/>
          <w:szCs w:val="32"/>
          <w:highlight w:val="none"/>
        </w:rPr>
        <w:t>分项报价表</w:t>
      </w:r>
    </w:p>
    <w:p w14:paraId="60FDF880">
      <w:pPr>
        <w:spacing w:line="276" w:lineRule="auto"/>
        <w:ind w:firstLine="480"/>
        <w:rPr>
          <w:rFonts w:ascii="宋体" w:hAnsi="宋体" w:cs="宋体"/>
          <w:color w:val="auto"/>
          <w:sz w:val="24"/>
          <w:highlight w:val="none"/>
        </w:rPr>
      </w:pPr>
      <w:r>
        <w:rPr>
          <w:rFonts w:hint="eastAsia" w:ascii="宋体" w:hAnsi="宋体" w:cs="宋体"/>
          <w:color w:val="auto"/>
          <w:sz w:val="24"/>
          <w:highlight w:val="none"/>
        </w:rPr>
        <w:t>投标人全称（加盖CA电子签章）：</w:t>
      </w:r>
    </w:p>
    <w:p w14:paraId="6CE61902">
      <w:pPr>
        <w:spacing w:line="276" w:lineRule="auto"/>
        <w:ind w:firstLine="480"/>
        <w:rPr>
          <w:rFonts w:ascii="宋体" w:hAnsi="宋体" w:cs="宋体"/>
          <w:color w:val="auto"/>
          <w:sz w:val="24"/>
          <w:highlight w:val="none"/>
        </w:rPr>
      </w:pPr>
      <w:r>
        <w:rPr>
          <w:rFonts w:hint="eastAsia" w:ascii="宋体" w:hAnsi="宋体" w:cs="宋体"/>
          <w:color w:val="auto"/>
          <w:sz w:val="24"/>
          <w:highlight w:val="none"/>
        </w:rPr>
        <w:t>项目名称：</w:t>
      </w:r>
    </w:p>
    <w:p w14:paraId="5601D205">
      <w:pPr>
        <w:widowControl/>
        <w:ind w:firstLine="480" w:firstLineChars="200"/>
        <w:rPr>
          <w:rFonts w:ascii="仿宋" w:hAnsi="仿宋" w:eastAsia="仿宋" w:cs="仿宋"/>
          <w:bCs/>
          <w:color w:val="auto"/>
          <w:sz w:val="36"/>
          <w:szCs w:val="36"/>
          <w:highlight w:val="none"/>
        </w:rPr>
      </w:pPr>
      <w:r>
        <w:rPr>
          <w:rFonts w:hint="eastAsia" w:ascii="宋体" w:hAnsi="宋体" w:cs="宋体"/>
          <w:color w:val="auto"/>
          <w:sz w:val="24"/>
          <w:highlight w:val="none"/>
        </w:rPr>
        <w:t xml:space="preserve">项目编号/包号：  </w:t>
      </w:r>
    </w:p>
    <w:tbl>
      <w:tblPr>
        <w:tblStyle w:val="30"/>
        <w:tblW w:w="92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62"/>
        <w:gridCol w:w="3636"/>
        <w:gridCol w:w="1134"/>
        <w:gridCol w:w="1524"/>
        <w:gridCol w:w="1541"/>
        <w:gridCol w:w="313"/>
      </w:tblGrid>
      <w:tr w14:paraId="6A96A7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313" w:type="dxa"/>
          <w:cantSplit/>
          <w:trHeight w:val="1090" w:hRule="atLeast"/>
          <w:jc w:val="center"/>
        </w:trPr>
        <w:tc>
          <w:tcPr>
            <w:tcW w:w="1062" w:type="dxa"/>
            <w:vAlign w:val="center"/>
          </w:tcPr>
          <w:p w14:paraId="6217C393">
            <w:pPr>
              <w:widowControl/>
              <w:spacing w:line="36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序号</w:t>
            </w:r>
          </w:p>
        </w:tc>
        <w:tc>
          <w:tcPr>
            <w:tcW w:w="3636" w:type="dxa"/>
            <w:vAlign w:val="center"/>
          </w:tcPr>
          <w:p w14:paraId="2CF8DD72">
            <w:pPr>
              <w:widowControl/>
              <w:spacing w:line="36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服务项目名称</w:t>
            </w:r>
          </w:p>
        </w:tc>
        <w:tc>
          <w:tcPr>
            <w:tcW w:w="1134" w:type="dxa"/>
            <w:vAlign w:val="center"/>
          </w:tcPr>
          <w:p w14:paraId="7BF2B763">
            <w:pPr>
              <w:widowControl/>
              <w:spacing w:line="36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数量</w:t>
            </w:r>
          </w:p>
        </w:tc>
        <w:tc>
          <w:tcPr>
            <w:tcW w:w="1524" w:type="dxa"/>
            <w:vAlign w:val="center"/>
          </w:tcPr>
          <w:p w14:paraId="3367246E">
            <w:pPr>
              <w:widowControl/>
              <w:spacing w:line="36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单价</w:t>
            </w:r>
          </w:p>
          <w:p w14:paraId="0AE72319">
            <w:pPr>
              <w:widowControl/>
              <w:spacing w:line="36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（元）</w:t>
            </w:r>
          </w:p>
        </w:tc>
        <w:tc>
          <w:tcPr>
            <w:tcW w:w="1541" w:type="dxa"/>
            <w:vAlign w:val="center"/>
          </w:tcPr>
          <w:p w14:paraId="7CC85785">
            <w:pPr>
              <w:widowControl/>
              <w:spacing w:line="36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合价</w:t>
            </w:r>
          </w:p>
          <w:p w14:paraId="3931F4F2">
            <w:pPr>
              <w:widowControl/>
              <w:spacing w:line="36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（元）</w:t>
            </w:r>
          </w:p>
        </w:tc>
      </w:tr>
      <w:tr w14:paraId="17F16E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313" w:type="dxa"/>
          <w:cantSplit/>
          <w:trHeight w:val="482" w:hRule="atLeast"/>
          <w:jc w:val="center"/>
        </w:trPr>
        <w:tc>
          <w:tcPr>
            <w:tcW w:w="1062" w:type="dxa"/>
            <w:vAlign w:val="center"/>
          </w:tcPr>
          <w:p w14:paraId="0E192FF3">
            <w:pPr>
              <w:widowControl/>
              <w:spacing w:beforeAutospacing="1" w:afterAutospacing="1"/>
              <w:jc w:val="center"/>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1</w:t>
            </w:r>
          </w:p>
        </w:tc>
        <w:tc>
          <w:tcPr>
            <w:tcW w:w="3636" w:type="dxa"/>
            <w:shd w:val="clear" w:color="auto" w:fill="auto"/>
            <w:vAlign w:val="center"/>
          </w:tcPr>
          <w:p w14:paraId="2314F81B">
            <w:pPr>
              <w:widowControl/>
              <w:spacing w:line="360" w:lineRule="exact"/>
              <w:jc w:val="center"/>
              <w:rPr>
                <w:rFonts w:asciiTheme="minorEastAsia" w:hAnsiTheme="minorEastAsia" w:eastAsiaTheme="minorEastAsia" w:cstheme="minorEastAsia"/>
                <w:color w:val="auto"/>
                <w:sz w:val="24"/>
                <w:highlight w:val="none"/>
              </w:rPr>
            </w:pPr>
          </w:p>
        </w:tc>
        <w:tc>
          <w:tcPr>
            <w:tcW w:w="1134" w:type="dxa"/>
            <w:vAlign w:val="center"/>
          </w:tcPr>
          <w:p w14:paraId="1F8C9B86">
            <w:pPr>
              <w:spacing w:line="560" w:lineRule="exact"/>
              <w:jc w:val="center"/>
              <w:rPr>
                <w:rFonts w:asciiTheme="minorEastAsia" w:hAnsiTheme="minorEastAsia" w:eastAsiaTheme="minorEastAsia" w:cstheme="minorEastAsia"/>
                <w:color w:val="auto"/>
                <w:sz w:val="24"/>
                <w:highlight w:val="none"/>
              </w:rPr>
            </w:pPr>
          </w:p>
        </w:tc>
        <w:tc>
          <w:tcPr>
            <w:tcW w:w="1524" w:type="dxa"/>
            <w:shd w:val="clear" w:color="auto" w:fill="auto"/>
            <w:vAlign w:val="center"/>
          </w:tcPr>
          <w:p w14:paraId="214D1907">
            <w:pPr>
              <w:widowControl/>
              <w:spacing w:beforeAutospacing="1" w:afterAutospacing="1"/>
              <w:jc w:val="center"/>
              <w:rPr>
                <w:rFonts w:asciiTheme="minorEastAsia" w:hAnsiTheme="minorEastAsia" w:eastAsiaTheme="minorEastAsia" w:cstheme="minorEastAsia"/>
                <w:color w:val="auto"/>
                <w:sz w:val="24"/>
                <w:highlight w:val="none"/>
                <w:lang w:bidi="ar"/>
              </w:rPr>
            </w:pPr>
          </w:p>
        </w:tc>
        <w:tc>
          <w:tcPr>
            <w:tcW w:w="1541" w:type="dxa"/>
            <w:vAlign w:val="center"/>
          </w:tcPr>
          <w:p w14:paraId="5796380B">
            <w:pPr>
              <w:spacing w:line="560" w:lineRule="exact"/>
              <w:jc w:val="center"/>
              <w:rPr>
                <w:rFonts w:asciiTheme="minorEastAsia" w:hAnsiTheme="minorEastAsia" w:eastAsiaTheme="minorEastAsia" w:cstheme="minorEastAsia"/>
                <w:color w:val="auto"/>
                <w:sz w:val="24"/>
                <w:highlight w:val="none"/>
              </w:rPr>
            </w:pPr>
          </w:p>
        </w:tc>
      </w:tr>
      <w:tr w14:paraId="395F4B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313" w:type="dxa"/>
          <w:cantSplit/>
          <w:trHeight w:val="376" w:hRule="atLeast"/>
          <w:jc w:val="center"/>
        </w:trPr>
        <w:tc>
          <w:tcPr>
            <w:tcW w:w="1062" w:type="dxa"/>
            <w:vAlign w:val="center"/>
          </w:tcPr>
          <w:p w14:paraId="555FA455">
            <w:pPr>
              <w:widowControl/>
              <w:spacing w:beforeAutospacing="1" w:afterAutospacing="1"/>
              <w:jc w:val="center"/>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2</w:t>
            </w:r>
          </w:p>
        </w:tc>
        <w:tc>
          <w:tcPr>
            <w:tcW w:w="3636" w:type="dxa"/>
            <w:shd w:val="clear" w:color="auto" w:fill="auto"/>
            <w:vAlign w:val="center"/>
          </w:tcPr>
          <w:p w14:paraId="784064E4">
            <w:pPr>
              <w:widowControl/>
              <w:spacing w:line="360" w:lineRule="exact"/>
              <w:jc w:val="center"/>
              <w:rPr>
                <w:rFonts w:asciiTheme="minorEastAsia" w:hAnsiTheme="minorEastAsia" w:eastAsiaTheme="minorEastAsia" w:cstheme="minorEastAsia"/>
                <w:color w:val="auto"/>
                <w:sz w:val="24"/>
                <w:highlight w:val="none"/>
              </w:rPr>
            </w:pPr>
          </w:p>
        </w:tc>
        <w:tc>
          <w:tcPr>
            <w:tcW w:w="1134" w:type="dxa"/>
            <w:vAlign w:val="center"/>
          </w:tcPr>
          <w:p w14:paraId="4D22B4A9">
            <w:pPr>
              <w:spacing w:line="560" w:lineRule="exact"/>
              <w:jc w:val="center"/>
              <w:rPr>
                <w:rFonts w:asciiTheme="minorEastAsia" w:hAnsiTheme="minorEastAsia" w:eastAsiaTheme="minorEastAsia" w:cstheme="minorEastAsia"/>
                <w:color w:val="auto"/>
                <w:sz w:val="24"/>
                <w:highlight w:val="none"/>
              </w:rPr>
            </w:pPr>
          </w:p>
        </w:tc>
        <w:tc>
          <w:tcPr>
            <w:tcW w:w="1524" w:type="dxa"/>
            <w:shd w:val="clear" w:color="auto" w:fill="auto"/>
            <w:vAlign w:val="center"/>
          </w:tcPr>
          <w:p w14:paraId="3AB25A68">
            <w:pPr>
              <w:widowControl/>
              <w:spacing w:beforeAutospacing="1" w:afterAutospacing="1"/>
              <w:jc w:val="center"/>
              <w:rPr>
                <w:rFonts w:asciiTheme="minorEastAsia" w:hAnsiTheme="minorEastAsia" w:eastAsiaTheme="minorEastAsia" w:cstheme="minorEastAsia"/>
                <w:color w:val="auto"/>
                <w:sz w:val="24"/>
                <w:highlight w:val="none"/>
                <w:lang w:bidi="ar"/>
              </w:rPr>
            </w:pPr>
          </w:p>
        </w:tc>
        <w:tc>
          <w:tcPr>
            <w:tcW w:w="1541" w:type="dxa"/>
            <w:vAlign w:val="center"/>
          </w:tcPr>
          <w:p w14:paraId="5C6CACC8">
            <w:pPr>
              <w:spacing w:line="560" w:lineRule="exact"/>
              <w:jc w:val="center"/>
              <w:rPr>
                <w:rFonts w:asciiTheme="minorEastAsia" w:hAnsiTheme="minorEastAsia" w:eastAsiaTheme="minorEastAsia" w:cstheme="minorEastAsia"/>
                <w:color w:val="auto"/>
                <w:sz w:val="24"/>
                <w:highlight w:val="none"/>
              </w:rPr>
            </w:pPr>
          </w:p>
        </w:tc>
      </w:tr>
      <w:tr w14:paraId="014018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313" w:type="dxa"/>
          <w:cantSplit/>
          <w:trHeight w:val="200" w:hRule="atLeast"/>
          <w:jc w:val="center"/>
        </w:trPr>
        <w:tc>
          <w:tcPr>
            <w:tcW w:w="1062" w:type="dxa"/>
            <w:vAlign w:val="center"/>
          </w:tcPr>
          <w:p w14:paraId="27A4DCE0">
            <w:pPr>
              <w:widowControl/>
              <w:spacing w:beforeAutospacing="1" w:afterAutospacing="1"/>
              <w:jc w:val="center"/>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3</w:t>
            </w:r>
          </w:p>
        </w:tc>
        <w:tc>
          <w:tcPr>
            <w:tcW w:w="3636" w:type="dxa"/>
            <w:shd w:val="clear" w:color="auto" w:fill="auto"/>
            <w:vAlign w:val="center"/>
          </w:tcPr>
          <w:p w14:paraId="6CCF0E23">
            <w:pPr>
              <w:widowControl/>
              <w:spacing w:line="360" w:lineRule="exact"/>
              <w:jc w:val="center"/>
              <w:rPr>
                <w:rFonts w:asciiTheme="minorEastAsia" w:hAnsiTheme="minorEastAsia" w:eastAsiaTheme="minorEastAsia" w:cstheme="minorEastAsia"/>
                <w:color w:val="auto"/>
                <w:sz w:val="24"/>
                <w:highlight w:val="none"/>
              </w:rPr>
            </w:pPr>
          </w:p>
        </w:tc>
        <w:tc>
          <w:tcPr>
            <w:tcW w:w="1134" w:type="dxa"/>
            <w:vAlign w:val="center"/>
          </w:tcPr>
          <w:p w14:paraId="1598F633">
            <w:pPr>
              <w:spacing w:line="560" w:lineRule="exact"/>
              <w:jc w:val="center"/>
              <w:rPr>
                <w:rFonts w:asciiTheme="minorEastAsia" w:hAnsiTheme="minorEastAsia" w:eastAsiaTheme="minorEastAsia" w:cstheme="minorEastAsia"/>
                <w:color w:val="auto"/>
                <w:sz w:val="24"/>
                <w:highlight w:val="none"/>
              </w:rPr>
            </w:pPr>
          </w:p>
        </w:tc>
        <w:tc>
          <w:tcPr>
            <w:tcW w:w="1524" w:type="dxa"/>
            <w:shd w:val="clear" w:color="auto" w:fill="auto"/>
            <w:vAlign w:val="center"/>
          </w:tcPr>
          <w:p w14:paraId="4547B0E3">
            <w:pPr>
              <w:widowControl/>
              <w:spacing w:beforeAutospacing="1" w:afterAutospacing="1"/>
              <w:jc w:val="center"/>
              <w:rPr>
                <w:rFonts w:asciiTheme="minorEastAsia" w:hAnsiTheme="minorEastAsia" w:eastAsiaTheme="minorEastAsia" w:cstheme="minorEastAsia"/>
                <w:color w:val="auto"/>
                <w:sz w:val="24"/>
                <w:highlight w:val="none"/>
                <w:lang w:bidi="ar"/>
              </w:rPr>
            </w:pPr>
          </w:p>
        </w:tc>
        <w:tc>
          <w:tcPr>
            <w:tcW w:w="1541" w:type="dxa"/>
            <w:vAlign w:val="center"/>
          </w:tcPr>
          <w:p w14:paraId="44D5F7CD">
            <w:pPr>
              <w:spacing w:line="560" w:lineRule="exact"/>
              <w:jc w:val="center"/>
              <w:rPr>
                <w:rFonts w:asciiTheme="minorEastAsia" w:hAnsiTheme="minorEastAsia" w:eastAsiaTheme="minorEastAsia" w:cstheme="minorEastAsia"/>
                <w:color w:val="auto"/>
                <w:sz w:val="24"/>
                <w:highlight w:val="none"/>
              </w:rPr>
            </w:pPr>
          </w:p>
        </w:tc>
      </w:tr>
      <w:tr w14:paraId="77CD2E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313" w:type="dxa"/>
          <w:cantSplit/>
          <w:trHeight w:val="70" w:hRule="atLeast"/>
          <w:jc w:val="center"/>
        </w:trPr>
        <w:tc>
          <w:tcPr>
            <w:tcW w:w="1062" w:type="dxa"/>
            <w:vAlign w:val="center"/>
          </w:tcPr>
          <w:p w14:paraId="13E1EFD7">
            <w:pPr>
              <w:widowControl/>
              <w:spacing w:beforeAutospacing="1" w:afterAutospacing="1"/>
              <w:jc w:val="center"/>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4</w:t>
            </w:r>
          </w:p>
        </w:tc>
        <w:tc>
          <w:tcPr>
            <w:tcW w:w="3636" w:type="dxa"/>
            <w:shd w:val="clear" w:color="auto" w:fill="auto"/>
            <w:vAlign w:val="center"/>
          </w:tcPr>
          <w:p w14:paraId="07B6EDD0">
            <w:pPr>
              <w:widowControl/>
              <w:spacing w:line="360" w:lineRule="exact"/>
              <w:jc w:val="center"/>
              <w:rPr>
                <w:rFonts w:asciiTheme="minorEastAsia" w:hAnsiTheme="minorEastAsia" w:eastAsiaTheme="minorEastAsia" w:cstheme="minorEastAsia"/>
                <w:color w:val="auto"/>
                <w:sz w:val="24"/>
                <w:highlight w:val="none"/>
              </w:rPr>
            </w:pPr>
          </w:p>
        </w:tc>
        <w:tc>
          <w:tcPr>
            <w:tcW w:w="1134" w:type="dxa"/>
            <w:vAlign w:val="center"/>
          </w:tcPr>
          <w:p w14:paraId="6C1F059C">
            <w:pPr>
              <w:spacing w:line="560" w:lineRule="exact"/>
              <w:jc w:val="center"/>
              <w:rPr>
                <w:rFonts w:asciiTheme="minorEastAsia" w:hAnsiTheme="minorEastAsia" w:eastAsiaTheme="minorEastAsia" w:cstheme="minorEastAsia"/>
                <w:color w:val="auto"/>
                <w:sz w:val="24"/>
                <w:highlight w:val="none"/>
              </w:rPr>
            </w:pPr>
          </w:p>
        </w:tc>
        <w:tc>
          <w:tcPr>
            <w:tcW w:w="1524" w:type="dxa"/>
            <w:shd w:val="clear" w:color="auto" w:fill="auto"/>
            <w:vAlign w:val="center"/>
          </w:tcPr>
          <w:p w14:paraId="39E47C90">
            <w:pPr>
              <w:widowControl/>
              <w:spacing w:beforeAutospacing="1" w:afterAutospacing="1"/>
              <w:jc w:val="center"/>
              <w:rPr>
                <w:rFonts w:asciiTheme="minorEastAsia" w:hAnsiTheme="minorEastAsia" w:eastAsiaTheme="minorEastAsia" w:cstheme="minorEastAsia"/>
                <w:color w:val="auto"/>
                <w:sz w:val="24"/>
                <w:highlight w:val="none"/>
                <w:lang w:bidi="ar"/>
              </w:rPr>
            </w:pPr>
          </w:p>
        </w:tc>
        <w:tc>
          <w:tcPr>
            <w:tcW w:w="1541" w:type="dxa"/>
            <w:shd w:val="clear" w:color="auto" w:fill="auto"/>
            <w:vAlign w:val="center"/>
          </w:tcPr>
          <w:p w14:paraId="31B85DAF">
            <w:pPr>
              <w:widowControl/>
              <w:jc w:val="center"/>
              <w:rPr>
                <w:rFonts w:asciiTheme="minorEastAsia" w:hAnsiTheme="minorEastAsia" w:eastAsiaTheme="minorEastAsia" w:cstheme="minorEastAsia"/>
                <w:color w:val="auto"/>
                <w:sz w:val="24"/>
                <w:highlight w:val="none"/>
              </w:rPr>
            </w:pPr>
          </w:p>
        </w:tc>
      </w:tr>
      <w:tr w14:paraId="390A3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313" w:type="dxa"/>
          <w:cantSplit/>
          <w:trHeight w:val="70" w:hRule="atLeast"/>
          <w:jc w:val="center"/>
        </w:trPr>
        <w:tc>
          <w:tcPr>
            <w:tcW w:w="1062" w:type="dxa"/>
            <w:vAlign w:val="center"/>
          </w:tcPr>
          <w:p w14:paraId="4212D0CC">
            <w:pPr>
              <w:widowControl/>
              <w:spacing w:beforeAutospacing="1" w:afterAutospacing="1"/>
              <w:jc w:val="center"/>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5</w:t>
            </w:r>
          </w:p>
        </w:tc>
        <w:tc>
          <w:tcPr>
            <w:tcW w:w="3636" w:type="dxa"/>
            <w:shd w:val="clear" w:color="auto" w:fill="auto"/>
            <w:vAlign w:val="center"/>
          </w:tcPr>
          <w:p w14:paraId="1998B838">
            <w:pPr>
              <w:widowControl/>
              <w:spacing w:line="360" w:lineRule="exact"/>
              <w:jc w:val="center"/>
              <w:rPr>
                <w:rFonts w:asciiTheme="minorEastAsia" w:hAnsiTheme="minorEastAsia" w:eastAsiaTheme="minorEastAsia" w:cstheme="minorEastAsia"/>
                <w:color w:val="auto"/>
                <w:sz w:val="24"/>
                <w:highlight w:val="none"/>
              </w:rPr>
            </w:pPr>
          </w:p>
        </w:tc>
        <w:tc>
          <w:tcPr>
            <w:tcW w:w="1134" w:type="dxa"/>
            <w:vAlign w:val="center"/>
          </w:tcPr>
          <w:p w14:paraId="76967CDC">
            <w:pPr>
              <w:spacing w:line="560" w:lineRule="exact"/>
              <w:jc w:val="center"/>
              <w:rPr>
                <w:rFonts w:asciiTheme="minorEastAsia" w:hAnsiTheme="minorEastAsia" w:eastAsiaTheme="minorEastAsia" w:cstheme="minorEastAsia"/>
                <w:color w:val="auto"/>
                <w:sz w:val="24"/>
                <w:highlight w:val="none"/>
              </w:rPr>
            </w:pPr>
          </w:p>
        </w:tc>
        <w:tc>
          <w:tcPr>
            <w:tcW w:w="1524" w:type="dxa"/>
            <w:shd w:val="clear" w:color="auto" w:fill="auto"/>
            <w:vAlign w:val="center"/>
          </w:tcPr>
          <w:p w14:paraId="49286301">
            <w:pPr>
              <w:widowControl/>
              <w:spacing w:beforeAutospacing="1" w:afterAutospacing="1"/>
              <w:jc w:val="center"/>
              <w:rPr>
                <w:rFonts w:asciiTheme="minorEastAsia" w:hAnsiTheme="minorEastAsia" w:eastAsiaTheme="minorEastAsia" w:cstheme="minorEastAsia"/>
                <w:color w:val="auto"/>
                <w:sz w:val="24"/>
                <w:highlight w:val="none"/>
                <w:lang w:bidi="ar"/>
              </w:rPr>
            </w:pPr>
          </w:p>
        </w:tc>
        <w:tc>
          <w:tcPr>
            <w:tcW w:w="1541" w:type="dxa"/>
            <w:shd w:val="clear" w:color="auto" w:fill="auto"/>
            <w:vAlign w:val="center"/>
          </w:tcPr>
          <w:p w14:paraId="29E53DC8">
            <w:pPr>
              <w:widowControl/>
              <w:jc w:val="center"/>
              <w:rPr>
                <w:rFonts w:asciiTheme="minorEastAsia" w:hAnsiTheme="minorEastAsia" w:eastAsiaTheme="minorEastAsia" w:cstheme="minorEastAsia"/>
                <w:color w:val="auto"/>
                <w:sz w:val="24"/>
                <w:highlight w:val="none"/>
              </w:rPr>
            </w:pPr>
          </w:p>
        </w:tc>
      </w:tr>
      <w:tr w14:paraId="3D4095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313" w:type="dxa"/>
          <w:cantSplit/>
          <w:trHeight w:val="70" w:hRule="atLeast"/>
          <w:jc w:val="center"/>
        </w:trPr>
        <w:tc>
          <w:tcPr>
            <w:tcW w:w="1062" w:type="dxa"/>
            <w:vAlign w:val="center"/>
          </w:tcPr>
          <w:p w14:paraId="361AB099">
            <w:pPr>
              <w:widowControl/>
              <w:spacing w:beforeAutospacing="1" w:afterAutospacing="1"/>
              <w:jc w:val="center"/>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w:t>
            </w:r>
          </w:p>
        </w:tc>
        <w:tc>
          <w:tcPr>
            <w:tcW w:w="3636" w:type="dxa"/>
            <w:shd w:val="clear" w:color="auto" w:fill="auto"/>
            <w:vAlign w:val="center"/>
          </w:tcPr>
          <w:p w14:paraId="0F27B24F">
            <w:pPr>
              <w:widowControl/>
              <w:spacing w:line="360" w:lineRule="exact"/>
              <w:jc w:val="center"/>
              <w:rPr>
                <w:rFonts w:asciiTheme="minorEastAsia" w:hAnsiTheme="minorEastAsia" w:eastAsiaTheme="minorEastAsia" w:cstheme="minorEastAsia"/>
                <w:color w:val="auto"/>
                <w:sz w:val="24"/>
                <w:highlight w:val="none"/>
              </w:rPr>
            </w:pPr>
          </w:p>
        </w:tc>
        <w:tc>
          <w:tcPr>
            <w:tcW w:w="1134" w:type="dxa"/>
            <w:vAlign w:val="center"/>
          </w:tcPr>
          <w:p w14:paraId="59D48EDB">
            <w:pPr>
              <w:spacing w:line="560" w:lineRule="exact"/>
              <w:jc w:val="center"/>
              <w:rPr>
                <w:rFonts w:asciiTheme="minorEastAsia" w:hAnsiTheme="minorEastAsia" w:eastAsiaTheme="minorEastAsia" w:cstheme="minorEastAsia"/>
                <w:color w:val="auto"/>
                <w:sz w:val="24"/>
                <w:highlight w:val="none"/>
              </w:rPr>
            </w:pPr>
          </w:p>
        </w:tc>
        <w:tc>
          <w:tcPr>
            <w:tcW w:w="1524" w:type="dxa"/>
            <w:shd w:val="clear" w:color="auto" w:fill="auto"/>
            <w:vAlign w:val="center"/>
          </w:tcPr>
          <w:p w14:paraId="169CE5B4">
            <w:pPr>
              <w:widowControl/>
              <w:spacing w:beforeAutospacing="1" w:afterAutospacing="1"/>
              <w:jc w:val="center"/>
              <w:rPr>
                <w:rFonts w:asciiTheme="minorEastAsia" w:hAnsiTheme="minorEastAsia" w:eastAsiaTheme="minorEastAsia" w:cstheme="minorEastAsia"/>
                <w:color w:val="auto"/>
                <w:sz w:val="24"/>
                <w:highlight w:val="none"/>
                <w:lang w:bidi="ar"/>
              </w:rPr>
            </w:pPr>
          </w:p>
        </w:tc>
        <w:tc>
          <w:tcPr>
            <w:tcW w:w="1541" w:type="dxa"/>
            <w:shd w:val="clear" w:color="auto" w:fill="auto"/>
            <w:vAlign w:val="center"/>
          </w:tcPr>
          <w:p w14:paraId="7066B2D3">
            <w:pPr>
              <w:widowControl/>
              <w:jc w:val="center"/>
              <w:rPr>
                <w:rFonts w:asciiTheme="minorEastAsia" w:hAnsiTheme="minorEastAsia" w:eastAsiaTheme="minorEastAsia" w:cstheme="minorEastAsia"/>
                <w:color w:val="auto"/>
                <w:sz w:val="24"/>
                <w:highlight w:val="none"/>
              </w:rPr>
            </w:pPr>
          </w:p>
        </w:tc>
      </w:tr>
      <w:tr w14:paraId="65948D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1062" w:type="dxa"/>
            <w:vAlign w:val="center"/>
          </w:tcPr>
          <w:p w14:paraId="1CF57D09">
            <w:pPr>
              <w:widowControl/>
              <w:spacing w:beforeAutospacing="1" w:afterAutospacing="1"/>
              <w:jc w:val="center"/>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总报价</w:t>
            </w:r>
          </w:p>
        </w:tc>
        <w:tc>
          <w:tcPr>
            <w:tcW w:w="8148" w:type="dxa"/>
            <w:gridSpan w:val="5"/>
            <w:shd w:val="clear" w:color="auto" w:fill="auto"/>
            <w:vAlign w:val="center"/>
          </w:tcPr>
          <w:p w14:paraId="469E9935">
            <w:pPr>
              <w:widowControl/>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小写：</w:t>
            </w:r>
          </w:p>
          <w:p w14:paraId="144C6A50">
            <w:pPr>
              <w:widowControl/>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大写：</w:t>
            </w:r>
          </w:p>
        </w:tc>
      </w:tr>
    </w:tbl>
    <w:p w14:paraId="39B01119">
      <w:pPr>
        <w:ind w:firstLine="240" w:firstLineChars="100"/>
        <w:jc w:val="left"/>
        <w:rPr>
          <w:rFonts w:ascii="宋体" w:hAnsi="宋体" w:cs="宋体"/>
          <w:color w:val="auto"/>
          <w:sz w:val="24"/>
          <w:highlight w:val="none"/>
        </w:rPr>
      </w:pPr>
      <w:r>
        <w:rPr>
          <w:rFonts w:hint="eastAsia" w:ascii="宋体" w:hAnsi="宋体" w:cs="宋体"/>
          <w:color w:val="auto"/>
          <w:sz w:val="24"/>
          <w:highlight w:val="none"/>
        </w:rPr>
        <w:t>备注：此表中总报价金额应于开标一览表</w:t>
      </w:r>
      <w:r>
        <w:rPr>
          <w:rFonts w:hint="eastAsia" w:ascii="宋体" w:hAnsi="宋体"/>
          <w:color w:val="auto"/>
          <w:sz w:val="24"/>
          <w:highlight w:val="none"/>
        </w:rPr>
        <w:t>投标总报价保持一致</w:t>
      </w:r>
    </w:p>
    <w:p w14:paraId="7D5562ED">
      <w:pPr>
        <w:spacing w:line="520" w:lineRule="exact"/>
        <w:rPr>
          <w:rFonts w:ascii="宋体" w:hAnsi="宋体" w:cs="宋体"/>
          <w:bCs/>
          <w:color w:val="auto"/>
          <w:sz w:val="24"/>
          <w:szCs w:val="20"/>
          <w:highlight w:val="none"/>
        </w:rPr>
      </w:pPr>
    </w:p>
    <w:p w14:paraId="06BB62B6">
      <w:pPr>
        <w:spacing w:line="520" w:lineRule="exact"/>
        <w:rPr>
          <w:rFonts w:ascii="宋体" w:hAnsi="宋体" w:cs="宋体"/>
          <w:bCs/>
          <w:color w:val="auto"/>
          <w:sz w:val="24"/>
          <w:szCs w:val="20"/>
          <w:highlight w:val="none"/>
        </w:rPr>
      </w:pPr>
    </w:p>
    <w:p w14:paraId="3AD5F813">
      <w:pPr>
        <w:spacing w:line="360" w:lineRule="auto"/>
        <w:rPr>
          <w:rFonts w:ascii="宋体" w:hAnsi="宋体" w:cs="宋体"/>
          <w:bCs/>
          <w:color w:val="auto"/>
          <w:sz w:val="24"/>
          <w:szCs w:val="20"/>
          <w:highlight w:val="none"/>
        </w:rPr>
      </w:pPr>
      <w:r>
        <w:rPr>
          <w:rFonts w:hint="eastAsia" w:ascii="宋体" w:hAnsi="宋体" w:cs="宋体"/>
          <w:bCs/>
          <w:color w:val="auto"/>
          <w:sz w:val="24"/>
          <w:szCs w:val="20"/>
          <w:highlight w:val="none"/>
        </w:rPr>
        <w:t>单位名称：</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 xml:space="preserve">（签章）                    </w:t>
      </w:r>
    </w:p>
    <w:p w14:paraId="2CCDB260">
      <w:pPr>
        <w:spacing w:line="360" w:lineRule="auto"/>
        <w:rPr>
          <w:rFonts w:ascii="宋体" w:hAnsi="宋体" w:cs="宋体"/>
          <w:bCs/>
          <w:color w:val="auto"/>
          <w:sz w:val="24"/>
          <w:szCs w:val="20"/>
          <w:highlight w:val="none"/>
        </w:rPr>
      </w:pPr>
      <w:r>
        <w:rPr>
          <w:rFonts w:hint="eastAsia" w:ascii="宋体" w:hAnsi="宋体" w:cs="宋体"/>
          <w:bCs/>
          <w:color w:val="auto"/>
          <w:sz w:val="24"/>
          <w:szCs w:val="20"/>
          <w:highlight w:val="none"/>
        </w:rPr>
        <w:t>法定代表人（或授权代表）：</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 xml:space="preserve">（签字/签章）                    </w:t>
      </w:r>
    </w:p>
    <w:p w14:paraId="74B97246">
      <w:pPr>
        <w:spacing w:line="360" w:lineRule="auto"/>
        <w:jc w:val="left"/>
        <w:rPr>
          <w:rFonts w:ascii="宋体" w:hAnsi="宋体" w:cs="宋体"/>
          <w:color w:val="auto"/>
          <w:sz w:val="32"/>
          <w:szCs w:val="32"/>
          <w:highlight w:val="none"/>
        </w:rPr>
      </w:pPr>
      <w:r>
        <w:rPr>
          <w:rFonts w:hint="eastAsia" w:ascii="宋体" w:hAnsi="宋体" w:cs="宋体"/>
          <w:bCs/>
          <w:color w:val="auto"/>
          <w:sz w:val="24"/>
          <w:szCs w:val="20"/>
          <w:highlight w:val="none"/>
        </w:rPr>
        <w:t>日期：</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年</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月</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 xml:space="preserve">日 </w:t>
      </w:r>
      <w:r>
        <w:rPr>
          <w:rFonts w:hint="eastAsia" w:ascii="宋体" w:hAnsi="宋体" w:cs="宋体"/>
          <w:color w:val="auto"/>
          <w:sz w:val="32"/>
          <w:szCs w:val="32"/>
          <w:highlight w:val="none"/>
        </w:rPr>
        <w:br w:type="page"/>
      </w:r>
    </w:p>
    <w:p w14:paraId="1D571A64">
      <w:pPr>
        <w:keepNext/>
        <w:keepLines/>
        <w:spacing w:before="260" w:line="276" w:lineRule="auto"/>
        <w:jc w:val="center"/>
        <w:outlineLvl w:val="1"/>
        <w:rPr>
          <w:rFonts w:ascii="宋体" w:hAnsi="宋体" w:cs="宋体"/>
          <w:color w:val="auto"/>
          <w:highlight w:val="none"/>
        </w:rPr>
      </w:pPr>
      <w:r>
        <w:rPr>
          <w:rFonts w:hint="eastAsia" w:ascii="宋体" w:hAnsi="宋体" w:cs="宋体"/>
          <w:color w:val="auto"/>
          <w:sz w:val="32"/>
          <w:szCs w:val="32"/>
          <w:highlight w:val="none"/>
        </w:rPr>
        <w:t>服务方案</w:t>
      </w:r>
      <w:bookmarkEnd w:id="202"/>
    </w:p>
    <w:p w14:paraId="6E9149EB">
      <w:pPr>
        <w:spacing w:line="276" w:lineRule="auto"/>
        <w:ind w:left="420"/>
        <w:jc w:val="center"/>
        <w:rPr>
          <w:rFonts w:ascii="宋体" w:hAnsi="宋体" w:cs="宋体"/>
          <w:bCs/>
          <w:color w:val="auto"/>
          <w:sz w:val="24"/>
          <w:highlight w:val="none"/>
        </w:rPr>
      </w:pPr>
      <w:r>
        <w:rPr>
          <w:rFonts w:hint="eastAsia" w:ascii="宋体" w:hAnsi="宋体" w:cs="宋体"/>
          <w:bCs/>
          <w:color w:val="auto"/>
          <w:sz w:val="24"/>
          <w:highlight w:val="none"/>
        </w:rPr>
        <w:t>投标人须根据本项目的采购需求及评分标准的要求编制服务方案，格式自拟</w:t>
      </w:r>
    </w:p>
    <w:p w14:paraId="44C79A00">
      <w:pPr>
        <w:jc w:val="left"/>
        <w:rPr>
          <w:rFonts w:ascii="宋体" w:hAnsi="宋体" w:cs="宋体"/>
          <w:bCs/>
          <w:color w:val="auto"/>
          <w:sz w:val="24"/>
          <w:highlight w:val="none"/>
        </w:rPr>
      </w:pPr>
      <w:r>
        <w:rPr>
          <w:rFonts w:hint="eastAsia" w:ascii="宋体" w:hAnsi="宋体" w:cs="宋体"/>
          <w:bCs/>
          <w:color w:val="auto"/>
          <w:sz w:val="24"/>
          <w:highlight w:val="none"/>
        </w:rPr>
        <w:br w:type="page"/>
      </w:r>
    </w:p>
    <w:p w14:paraId="472BBED5">
      <w:pPr>
        <w:keepNext/>
        <w:keepLines/>
        <w:spacing w:before="260" w:line="276" w:lineRule="auto"/>
        <w:jc w:val="center"/>
        <w:outlineLvl w:val="1"/>
        <w:rPr>
          <w:rFonts w:ascii="宋体" w:hAnsi="宋体" w:cs="宋体"/>
          <w:color w:val="auto"/>
          <w:sz w:val="32"/>
          <w:szCs w:val="32"/>
          <w:highlight w:val="none"/>
        </w:rPr>
      </w:pPr>
      <w:r>
        <w:rPr>
          <w:rFonts w:hint="eastAsia" w:ascii="宋体" w:hAnsi="宋体" w:cs="宋体"/>
          <w:color w:val="auto"/>
          <w:sz w:val="32"/>
          <w:szCs w:val="32"/>
          <w:highlight w:val="none"/>
        </w:rPr>
        <w:t>业绩一览表</w:t>
      </w:r>
    </w:p>
    <w:tbl>
      <w:tblPr>
        <w:tblStyle w:val="30"/>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23"/>
        <w:gridCol w:w="2775"/>
        <w:gridCol w:w="1846"/>
        <w:gridCol w:w="1592"/>
        <w:gridCol w:w="2061"/>
      </w:tblGrid>
      <w:tr w14:paraId="798022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atLeast"/>
          <w:jc w:val="center"/>
        </w:trPr>
        <w:tc>
          <w:tcPr>
            <w:tcW w:w="1123" w:type="dxa"/>
            <w:vAlign w:val="center"/>
          </w:tcPr>
          <w:p w14:paraId="118ABC13">
            <w:pPr>
              <w:pStyle w:val="127"/>
              <w:spacing w:line="56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2775" w:type="dxa"/>
            <w:vAlign w:val="center"/>
          </w:tcPr>
          <w:p w14:paraId="030D1EC8">
            <w:pPr>
              <w:pStyle w:val="127"/>
              <w:spacing w:line="56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项目名称</w:t>
            </w:r>
          </w:p>
        </w:tc>
        <w:tc>
          <w:tcPr>
            <w:tcW w:w="1846" w:type="dxa"/>
            <w:vAlign w:val="center"/>
          </w:tcPr>
          <w:p w14:paraId="3907D145">
            <w:pPr>
              <w:pStyle w:val="127"/>
              <w:spacing w:line="56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采购单位</w:t>
            </w:r>
          </w:p>
        </w:tc>
        <w:tc>
          <w:tcPr>
            <w:tcW w:w="1592" w:type="dxa"/>
            <w:vAlign w:val="center"/>
          </w:tcPr>
          <w:p w14:paraId="0BB06898">
            <w:pPr>
              <w:pStyle w:val="127"/>
              <w:spacing w:line="56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合同金额</w:t>
            </w:r>
          </w:p>
        </w:tc>
        <w:tc>
          <w:tcPr>
            <w:tcW w:w="2061" w:type="dxa"/>
            <w:vAlign w:val="center"/>
          </w:tcPr>
          <w:p w14:paraId="17C48CB8">
            <w:pPr>
              <w:pStyle w:val="127"/>
              <w:spacing w:line="56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合同签订时间</w:t>
            </w:r>
          </w:p>
        </w:tc>
      </w:tr>
      <w:tr w14:paraId="0AB7E8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3" w:type="dxa"/>
            <w:vAlign w:val="center"/>
          </w:tcPr>
          <w:p w14:paraId="652370C4">
            <w:pPr>
              <w:pStyle w:val="127"/>
              <w:spacing w:line="560" w:lineRule="exact"/>
              <w:jc w:val="center"/>
              <w:rPr>
                <w:rFonts w:asciiTheme="minorEastAsia" w:hAnsiTheme="minorEastAsia" w:eastAsiaTheme="minorEastAsia" w:cstheme="minorEastAsia"/>
                <w:color w:val="auto"/>
                <w:sz w:val="24"/>
                <w:szCs w:val="24"/>
                <w:highlight w:val="none"/>
              </w:rPr>
            </w:pPr>
          </w:p>
        </w:tc>
        <w:tc>
          <w:tcPr>
            <w:tcW w:w="2775" w:type="dxa"/>
            <w:vAlign w:val="center"/>
          </w:tcPr>
          <w:p w14:paraId="558F8B58">
            <w:pPr>
              <w:pStyle w:val="127"/>
              <w:spacing w:line="560" w:lineRule="exact"/>
              <w:jc w:val="center"/>
              <w:rPr>
                <w:rFonts w:asciiTheme="minorEastAsia" w:hAnsiTheme="minorEastAsia" w:eastAsiaTheme="minorEastAsia" w:cstheme="minorEastAsia"/>
                <w:color w:val="auto"/>
                <w:sz w:val="24"/>
                <w:szCs w:val="24"/>
                <w:highlight w:val="none"/>
              </w:rPr>
            </w:pPr>
          </w:p>
        </w:tc>
        <w:tc>
          <w:tcPr>
            <w:tcW w:w="1846" w:type="dxa"/>
            <w:vAlign w:val="center"/>
          </w:tcPr>
          <w:p w14:paraId="6407C854">
            <w:pPr>
              <w:pStyle w:val="127"/>
              <w:spacing w:line="560" w:lineRule="exact"/>
              <w:jc w:val="center"/>
              <w:rPr>
                <w:rFonts w:asciiTheme="minorEastAsia" w:hAnsiTheme="minorEastAsia" w:eastAsiaTheme="minorEastAsia" w:cstheme="minorEastAsia"/>
                <w:color w:val="auto"/>
                <w:sz w:val="24"/>
                <w:szCs w:val="24"/>
                <w:highlight w:val="none"/>
              </w:rPr>
            </w:pPr>
          </w:p>
        </w:tc>
        <w:tc>
          <w:tcPr>
            <w:tcW w:w="1592" w:type="dxa"/>
            <w:vAlign w:val="center"/>
          </w:tcPr>
          <w:p w14:paraId="27692D94">
            <w:pPr>
              <w:pStyle w:val="127"/>
              <w:spacing w:line="560" w:lineRule="exact"/>
              <w:jc w:val="center"/>
              <w:rPr>
                <w:rFonts w:asciiTheme="minorEastAsia" w:hAnsiTheme="minorEastAsia" w:eastAsiaTheme="minorEastAsia" w:cstheme="minorEastAsia"/>
                <w:color w:val="auto"/>
                <w:sz w:val="24"/>
                <w:szCs w:val="24"/>
                <w:highlight w:val="none"/>
              </w:rPr>
            </w:pPr>
          </w:p>
        </w:tc>
        <w:tc>
          <w:tcPr>
            <w:tcW w:w="2061" w:type="dxa"/>
            <w:vAlign w:val="center"/>
          </w:tcPr>
          <w:p w14:paraId="74F8A29E">
            <w:pPr>
              <w:pStyle w:val="127"/>
              <w:spacing w:line="560" w:lineRule="exact"/>
              <w:jc w:val="center"/>
              <w:rPr>
                <w:rFonts w:asciiTheme="minorEastAsia" w:hAnsiTheme="minorEastAsia" w:eastAsiaTheme="minorEastAsia" w:cstheme="minorEastAsia"/>
                <w:color w:val="auto"/>
                <w:sz w:val="24"/>
                <w:szCs w:val="24"/>
                <w:highlight w:val="none"/>
              </w:rPr>
            </w:pPr>
          </w:p>
        </w:tc>
      </w:tr>
      <w:tr w14:paraId="28377D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3" w:type="dxa"/>
            <w:vAlign w:val="center"/>
          </w:tcPr>
          <w:p w14:paraId="65FCF58E">
            <w:pPr>
              <w:pStyle w:val="127"/>
              <w:spacing w:line="560" w:lineRule="exact"/>
              <w:jc w:val="center"/>
              <w:rPr>
                <w:rFonts w:asciiTheme="minorEastAsia" w:hAnsiTheme="minorEastAsia" w:eastAsiaTheme="minorEastAsia" w:cstheme="minorEastAsia"/>
                <w:color w:val="auto"/>
                <w:sz w:val="24"/>
                <w:szCs w:val="24"/>
                <w:highlight w:val="none"/>
              </w:rPr>
            </w:pPr>
          </w:p>
        </w:tc>
        <w:tc>
          <w:tcPr>
            <w:tcW w:w="2775" w:type="dxa"/>
            <w:vAlign w:val="center"/>
          </w:tcPr>
          <w:p w14:paraId="1EA192D9">
            <w:pPr>
              <w:pStyle w:val="127"/>
              <w:spacing w:line="560" w:lineRule="exact"/>
              <w:jc w:val="center"/>
              <w:rPr>
                <w:rFonts w:asciiTheme="minorEastAsia" w:hAnsiTheme="minorEastAsia" w:eastAsiaTheme="minorEastAsia" w:cstheme="minorEastAsia"/>
                <w:color w:val="auto"/>
                <w:sz w:val="24"/>
                <w:szCs w:val="24"/>
                <w:highlight w:val="none"/>
              </w:rPr>
            </w:pPr>
          </w:p>
        </w:tc>
        <w:tc>
          <w:tcPr>
            <w:tcW w:w="1846" w:type="dxa"/>
            <w:vAlign w:val="center"/>
          </w:tcPr>
          <w:p w14:paraId="37069EE1">
            <w:pPr>
              <w:pStyle w:val="127"/>
              <w:spacing w:line="560" w:lineRule="exact"/>
              <w:jc w:val="center"/>
              <w:rPr>
                <w:rFonts w:asciiTheme="minorEastAsia" w:hAnsiTheme="minorEastAsia" w:eastAsiaTheme="minorEastAsia" w:cstheme="minorEastAsia"/>
                <w:color w:val="auto"/>
                <w:sz w:val="24"/>
                <w:szCs w:val="24"/>
                <w:highlight w:val="none"/>
              </w:rPr>
            </w:pPr>
          </w:p>
        </w:tc>
        <w:tc>
          <w:tcPr>
            <w:tcW w:w="1592" w:type="dxa"/>
            <w:vAlign w:val="center"/>
          </w:tcPr>
          <w:p w14:paraId="5E3EAF1E">
            <w:pPr>
              <w:pStyle w:val="127"/>
              <w:spacing w:line="560" w:lineRule="exact"/>
              <w:jc w:val="center"/>
              <w:rPr>
                <w:rFonts w:asciiTheme="minorEastAsia" w:hAnsiTheme="minorEastAsia" w:eastAsiaTheme="minorEastAsia" w:cstheme="minorEastAsia"/>
                <w:color w:val="auto"/>
                <w:sz w:val="24"/>
                <w:szCs w:val="24"/>
                <w:highlight w:val="none"/>
              </w:rPr>
            </w:pPr>
          </w:p>
        </w:tc>
        <w:tc>
          <w:tcPr>
            <w:tcW w:w="2061" w:type="dxa"/>
            <w:vAlign w:val="center"/>
          </w:tcPr>
          <w:p w14:paraId="5A25C5B9">
            <w:pPr>
              <w:pStyle w:val="127"/>
              <w:spacing w:line="560" w:lineRule="exact"/>
              <w:jc w:val="center"/>
              <w:rPr>
                <w:rFonts w:asciiTheme="minorEastAsia" w:hAnsiTheme="minorEastAsia" w:eastAsiaTheme="minorEastAsia" w:cstheme="minorEastAsia"/>
                <w:color w:val="auto"/>
                <w:sz w:val="24"/>
                <w:szCs w:val="24"/>
                <w:highlight w:val="none"/>
              </w:rPr>
            </w:pPr>
          </w:p>
        </w:tc>
      </w:tr>
      <w:tr w14:paraId="7A3FD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3" w:type="dxa"/>
            <w:vAlign w:val="center"/>
          </w:tcPr>
          <w:p w14:paraId="6DF42D78">
            <w:pPr>
              <w:pStyle w:val="127"/>
              <w:spacing w:line="560" w:lineRule="exact"/>
              <w:jc w:val="center"/>
              <w:rPr>
                <w:rFonts w:asciiTheme="minorEastAsia" w:hAnsiTheme="minorEastAsia" w:eastAsiaTheme="minorEastAsia" w:cstheme="minorEastAsia"/>
                <w:color w:val="auto"/>
                <w:sz w:val="24"/>
                <w:szCs w:val="24"/>
                <w:highlight w:val="none"/>
              </w:rPr>
            </w:pPr>
          </w:p>
        </w:tc>
        <w:tc>
          <w:tcPr>
            <w:tcW w:w="2775" w:type="dxa"/>
            <w:vAlign w:val="center"/>
          </w:tcPr>
          <w:p w14:paraId="74490E8A">
            <w:pPr>
              <w:pStyle w:val="127"/>
              <w:spacing w:line="560" w:lineRule="exact"/>
              <w:jc w:val="center"/>
              <w:rPr>
                <w:rFonts w:asciiTheme="minorEastAsia" w:hAnsiTheme="minorEastAsia" w:eastAsiaTheme="minorEastAsia" w:cstheme="minorEastAsia"/>
                <w:color w:val="auto"/>
                <w:sz w:val="24"/>
                <w:szCs w:val="24"/>
                <w:highlight w:val="none"/>
              </w:rPr>
            </w:pPr>
          </w:p>
        </w:tc>
        <w:tc>
          <w:tcPr>
            <w:tcW w:w="1846" w:type="dxa"/>
            <w:vAlign w:val="center"/>
          </w:tcPr>
          <w:p w14:paraId="3C240903">
            <w:pPr>
              <w:pStyle w:val="127"/>
              <w:spacing w:line="560" w:lineRule="exact"/>
              <w:jc w:val="center"/>
              <w:rPr>
                <w:rFonts w:asciiTheme="minorEastAsia" w:hAnsiTheme="minorEastAsia" w:eastAsiaTheme="minorEastAsia" w:cstheme="minorEastAsia"/>
                <w:color w:val="auto"/>
                <w:sz w:val="24"/>
                <w:szCs w:val="24"/>
                <w:highlight w:val="none"/>
              </w:rPr>
            </w:pPr>
          </w:p>
        </w:tc>
        <w:tc>
          <w:tcPr>
            <w:tcW w:w="1592" w:type="dxa"/>
            <w:vAlign w:val="center"/>
          </w:tcPr>
          <w:p w14:paraId="67CAC1FE">
            <w:pPr>
              <w:pStyle w:val="127"/>
              <w:spacing w:line="560" w:lineRule="exact"/>
              <w:jc w:val="center"/>
              <w:rPr>
                <w:rFonts w:asciiTheme="minorEastAsia" w:hAnsiTheme="minorEastAsia" w:eastAsiaTheme="minorEastAsia" w:cstheme="minorEastAsia"/>
                <w:color w:val="auto"/>
                <w:sz w:val="24"/>
                <w:szCs w:val="24"/>
                <w:highlight w:val="none"/>
              </w:rPr>
            </w:pPr>
          </w:p>
        </w:tc>
        <w:tc>
          <w:tcPr>
            <w:tcW w:w="2061" w:type="dxa"/>
            <w:vAlign w:val="center"/>
          </w:tcPr>
          <w:p w14:paraId="5EA30BBA">
            <w:pPr>
              <w:pStyle w:val="127"/>
              <w:spacing w:line="560" w:lineRule="exact"/>
              <w:jc w:val="center"/>
              <w:rPr>
                <w:rFonts w:asciiTheme="minorEastAsia" w:hAnsiTheme="minorEastAsia" w:eastAsiaTheme="minorEastAsia" w:cstheme="minorEastAsia"/>
                <w:color w:val="auto"/>
                <w:sz w:val="24"/>
                <w:szCs w:val="24"/>
                <w:highlight w:val="none"/>
              </w:rPr>
            </w:pPr>
          </w:p>
        </w:tc>
      </w:tr>
      <w:tr w14:paraId="50534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3" w:type="dxa"/>
            <w:vAlign w:val="center"/>
          </w:tcPr>
          <w:p w14:paraId="684E822A">
            <w:pPr>
              <w:pStyle w:val="127"/>
              <w:spacing w:line="560" w:lineRule="exact"/>
              <w:jc w:val="center"/>
              <w:rPr>
                <w:rFonts w:asciiTheme="minorEastAsia" w:hAnsiTheme="minorEastAsia" w:eastAsiaTheme="minorEastAsia" w:cstheme="minorEastAsia"/>
                <w:color w:val="auto"/>
                <w:sz w:val="24"/>
                <w:szCs w:val="24"/>
                <w:highlight w:val="none"/>
              </w:rPr>
            </w:pPr>
          </w:p>
        </w:tc>
        <w:tc>
          <w:tcPr>
            <w:tcW w:w="2775" w:type="dxa"/>
            <w:vAlign w:val="center"/>
          </w:tcPr>
          <w:p w14:paraId="048F7B95">
            <w:pPr>
              <w:pStyle w:val="127"/>
              <w:spacing w:line="560" w:lineRule="exact"/>
              <w:jc w:val="center"/>
              <w:rPr>
                <w:rFonts w:asciiTheme="minorEastAsia" w:hAnsiTheme="minorEastAsia" w:eastAsiaTheme="minorEastAsia" w:cstheme="minorEastAsia"/>
                <w:color w:val="auto"/>
                <w:sz w:val="24"/>
                <w:szCs w:val="24"/>
                <w:highlight w:val="none"/>
              </w:rPr>
            </w:pPr>
          </w:p>
        </w:tc>
        <w:tc>
          <w:tcPr>
            <w:tcW w:w="1846" w:type="dxa"/>
            <w:vAlign w:val="center"/>
          </w:tcPr>
          <w:p w14:paraId="0CD351CB">
            <w:pPr>
              <w:pStyle w:val="127"/>
              <w:spacing w:line="560" w:lineRule="exact"/>
              <w:jc w:val="center"/>
              <w:rPr>
                <w:rFonts w:asciiTheme="minorEastAsia" w:hAnsiTheme="minorEastAsia" w:eastAsiaTheme="minorEastAsia" w:cstheme="minorEastAsia"/>
                <w:color w:val="auto"/>
                <w:sz w:val="24"/>
                <w:szCs w:val="24"/>
                <w:highlight w:val="none"/>
              </w:rPr>
            </w:pPr>
          </w:p>
        </w:tc>
        <w:tc>
          <w:tcPr>
            <w:tcW w:w="1592" w:type="dxa"/>
            <w:vAlign w:val="center"/>
          </w:tcPr>
          <w:p w14:paraId="73024886">
            <w:pPr>
              <w:pStyle w:val="127"/>
              <w:spacing w:line="560" w:lineRule="exact"/>
              <w:jc w:val="center"/>
              <w:rPr>
                <w:rFonts w:asciiTheme="minorEastAsia" w:hAnsiTheme="minorEastAsia" w:eastAsiaTheme="minorEastAsia" w:cstheme="minorEastAsia"/>
                <w:color w:val="auto"/>
                <w:sz w:val="24"/>
                <w:szCs w:val="24"/>
                <w:highlight w:val="none"/>
              </w:rPr>
            </w:pPr>
          </w:p>
        </w:tc>
        <w:tc>
          <w:tcPr>
            <w:tcW w:w="2061" w:type="dxa"/>
            <w:vAlign w:val="center"/>
          </w:tcPr>
          <w:p w14:paraId="32BFF430">
            <w:pPr>
              <w:pStyle w:val="127"/>
              <w:spacing w:line="560" w:lineRule="exact"/>
              <w:jc w:val="center"/>
              <w:rPr>
                <w:rFonts w:asciiTheme="minorEastAsia" w:hAnsiTheme="minorEastAsia" w:eastAsiaTheme="minorEastAsia" w:cstheme="minorEastAsia"/>
                <w:color w:val="auto"/>
                <w:sz w:val="24"/>
                <w:szCs w:val="24"/>
                <w:highlight w:val="none"/>
              </w:rPr>
            </w:pPr>
          </w:p>
        </w:tc>
      </w:tr>
      <w:tr w14:paraId="496F0D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3" w:type="dxa"/>
            <w:vAlign w:val="center"/>
          </w:tcPr>
          <w:p w14:paraId="297DDC60">
            <w:pPr>
              <w:pStyle w:val="127"/>
              <w:spacing w:line="560" w:lineRule="exact"/>
              <w:jc w:val="center"/>
              <w:rPr>
                <w:rFonts w:asciiTheme="minorEastAsia" w:hAnsiTheme="minorEastAsia" w:eastAsiaTheme="minorEastAsia" w:cstheme="minorEastAsia"/>
                <w:color w:val="auto"/>
                <w:sz w:val="24"/>
                <w:szCs w:val="24"/>
                <w:highlight w:val="none"/>
              </w:rPr>
            </w:pPr>
          </w:p>
        </w:tc>
        <w:tc>
          <w:tcPr>
            <w:tcW w:w="2775" w:type="dxa"/>
            <w:vAlign w:val="center"/>
          </w:tcPr>
          <w:p w14:paraId="062D8D08">
            <w:pPr>
              <w:pStyle w:val="127"/>
              <w:spacing w:line="560" w:lineRule="exact"/>
              <w:jc w:val="center"/>
              <w:rPr>
                <w:rFonts w:asciiTheme="minorEastAsia" w:hAnsiTheme="minorEastAsia" w:eastAsiaTheme="minorEastAsia" w:cstheme="minorEastAsia"/>
                <w:color w:val="auto"/>
                <w:sz w:val="24"/>
                <w:szCs w:val="24"/>
                <w:highlight w:val="none"/>
              </w:rPr>
            </w:pPr>
          </w:p>
        </w:tc>
        <w:tc>
          <w:tcPr>
            <w:tcW w:w="1846" w:type="dxa"/>
            <w:vAlign w:val="center"/>
          </w:tcPr>
          <w:p w14:paraId="7AC2C396">
            <w:pPr>
              <w:pStyle w:val="127"/>
              <w:spacing w:line="560" w:lineRule="exact"/>
              <w:jc w:val="center"/>
              <w:rPr>
                <w:rFonts w:asciiTheme="minorEastAsia" w:hAnsiTheme="minorEastAsia" w:eastAsiaTheme="minorEastAsia" w:cstheme="minorEastAsia"/>
                <w:color w:val="auto"/>
                <w:sz w:val="24"/>
                <w:szCs w:val="24"/>
                <w:highlight w:val="none"/>
              </w:rPr>
            </w:pPr>
          </w:p>
        </w:tc>
        <w:tc>
          <w:tcPr>
            <w:tcW w:w="1592" w:type="dxa"/>
            <w:vAlign w:val="center"/>
          </w:tcPr>
          <w:p w14:paraId="30659A23">
            <w:pPr>
              <w:pStyle w:val="127"/>
              <w:spacing w:line="560" w:lineRule="exact"/>
              <w:jc w:val="center"/>
              <w:rPr>
                <w:rFonts w:asciiTheme="minorEastAsia" w:hAnsiTheme="minorEastAsia" w:eastAsiaTheme="minorEastAsia" w:cstheme="minorEastAsia"/>
                <w:color w:val="auto"/>
                <w:sz w:val="24"/>
                <w:szCs w:val="24"/>
                <w:highlight w:val="none"/>
              </w:rPr>
            </w:pPr>
          </w:p>
        </w:tc>
        <w:tc>
          <w:tcPr>
            <w:tcW w:w="2061" w:type="dxa"/>
            <w:vAlign w:val="center"/>
          </w:tcPr>
          <w:p w14:paraId="1809908D">
            <w:pPr>
              <w:pStyle w:val="127"/>
              <w:spacing w:line="560" w:lineRule="exact"/>
              <w:jc w:val="center"/>
              <w:rPr>
                <w:rFonts w:asciiTheme="minorEastAsia" w:hAnsiTheme="minorEastAsia" w:eastAsiaTheme="minorEastAsia" w:cstheme="minorEastAsia"/>
                <w:color w:val="auto"/>
                <w:sz w:val="24"/>
                <w:szCs w:val="24"/>
                <w:highlight w:val="none"/>
              </w:rPr>
            </w:pPr>
          </w:p>
        </w:tc>
      </w:tr>
      <w:tr w14:paraId="797561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3" w:type="dxa"/>
            <w:vAlign w:val="center"/>
          </w:tcPr>
          <w:p w14:paraId="33B794F9">
            <w:pPr>
              <w:pStyle w:val="127"/>
              <w:spacing w:line="560" w:lineRule="exact"/>
              <w:jc w:val="center"/>
              <w:rPr>
                <w:rFonts w:asciiTheme="minorEastAsia" w:hAnsiTheme="minorEastAsia" w:eastAsiaTheme="minorEastAsia" w:cstheme="minorEastAsia"/>
                <w:color w:val="auto"/>
                <w:sz w:val="24"/>
                <w:szCs w:val="24"/>
                <w:highlight w:val="none"/>
              </w:rPr>
            </w:pPr>
          </w:p>
        </w:tc>
        <w:tc>
          <w:tcPr>
            <w:tcW w:w="2775" w:type="dxa"/>
            <w:vAlign w:val="center"/>
          </w:tcPr>
          <w:p w14:paraId="240AD1A5">
            <w:pPr>
              <w:pStyle w:val="127"/>
              <w:spacing w:line="560" w:lineRule="exact"/>
              <w:jc w:val="center"/>
              <w:rPr>
                <w:rFonts w:asciiTheme="minorEastAsia" w:hAnsiTheme="minorEastAsia" w:eastAsiaTheme="minorEastAsia" w:cstheme="minorEastAsia"/>
                <w:color w:val="auto"/>
                <w:sz w:val="24"/>
                <w:szCs w:val="24"/>
                <w:highlight w:val="none"/>
              </w:rPr>
            </w:pPr>
          </w:p>
        </w:tc>
        <w:tc>
          <w:tcPr>
            <w:tcW w:w="1846" w:type="dxa"/>
            <w:vAlign w:val="center"/>
          </w:tcPr>
          <w:p w14:paraId="1E08FBF5">
            <w:pPr>
              <w:pStyle w:val="127"/>
              <w:spacing w:line="560" w:lineRule="exact"/>
              <w:jc w:val="center"/>
              <w:rPr>
                <w:rFonts w:asciiTheme="minorEastAsia" w:hAnsiTheme="minorEastAsia" w:eastAsiaTheme="minorEastAsia" w:cstheme="minorEastAsia"/>
                <w:color w:val="auto"/>
                <w:sz w:val="24"/>
                <w:szCs w:val="24"/>
                <w:highlight w:val="none"/>
              </w:rPr>
            </w:pPr>
          </w:p>
        </w:tc>
        <w:tc>
          <w:tcPr>
            <w:tcW w:w="1592" w:type="dxa"/>
            <w:vAlign w:val="center"/>
          </w:tcPr>
          <w:p w14:paraId="1318E10E">
            <w:pPr>
              <w:pStyle w:val="127"/>
              <w:spacing w:line="560" w:lineRule="exact"/>
              <w:jc w:val="center"/>
              <w:rPr>
                <w:rFonts w:asciiTheme="minorEastAsia" w:hAnsiTheme="minorEastAsia" w:eastAsiaTheme="minorEastAsia" w:cstheme="minorEastAsia"/>
                <w:color w:val="auto"/>
                <w:sz w:val="24"/>
                <w:szCs w:val="24"/>
                <w:highlight w:val="none"/>
              </w:rPr>
            </w:pPr>
          </w:p>
        </w:tc>
        <w:tc>
          <w:tcPr>
            <w:tcW w:w="2061" w:type="dxa"/>
            <w:vAlign w:val="center"/>
          </w:tcPr>
          <w:p w14:paraId="368DAD26">
            <w:pPr>
              <w:pStyle w:val="127"/>
              <w:spacing w:line="560" w:lineRule="exact"/>
              <w:jc w:val="center"/>
              <w:rPr>
                <w:rFonts w:asciiTheme="minorEastAsia" w:hAnsiTheme="minorEastAsia" w:eastAsiaTheme="minorEastAsia" w:cstheme="minorEastAsia"/>
                <w:color w:val="auto"/>
                <w:sz w:val="24"/>
                <w:szCs w:val="24"/>
                <w:highlight w:val="none"/>
              </w:rPr>
            </w:pPr>
          </w:p>
        </w:tc>
      </w:tr>
      <w:tr w14:paraId="56AA5F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3" w:type="dxa"/>
            <w:vAlign w:val="center"/>
          </w:tcPr>
          <w:p w14:paraId="04DCE3A5">
            <w:pPr>
              <w:pStyle w:val="127"/>
              <w:spacing w:line="560" w:lineRule="exact"/>
              <w:jc w:val="center"/>
              <w:rPr>
                <w:rFonts w:asciiTheme="minorEastAsia" w:hAnsiTheme="minorEastAsia" w:eastAsiaTheme="minorEastAsia" w:cstheme="minorEastAsia"/>
                <w:color w:val="auto"/>
                <w:sz w:val="24"/>
                <w:szCs w:val="24"/>
                <w:highlight w:val="none"/>
              </w:rPr>
            </w:pPr>
          </w:p>
        </w:tc>
        <w:tc>
          <w:tcPr>
            <w:tcW w:w="2775" w:type="dxa"/>
            <w:vAlign w:val="center"/>
          </w:tcPr>
          <w:p w14:paraId="7539E7F8">
            <w:pPr>
              <w:pStyle w:val="127"/>
              <w:spacing w:line="560" w:lineRule="exact"/>
              <w:jc w:val="center"/>
              <w:rPr>
                <w:rFonts w:asciiTheme="minorEastAsia" w:hAnsiTheme="minorEastAsia" w:eastAsiaTheme="minorEastAsia" w:cstheme="minorEastAsia"/>
                <w:color w:val="auto"/>
                <w:sz w:val="24"/>
                <w:szCs w:val="24"/>
                <w:highlight w:val="none"/>
              </w:rPr>
            </w:pPr>
          </w:p>
        </w:tc>
        <w:tc>
          <w:tcPr>
            <w:tcW w:w="1846" w:type="dxa"/>
            <w:vAlign w:val="center"/>
          </w:tcPr>
          <w:p w14:paraId="68D66170">
            <w:pPr>
              <w:pStyle w:val="127"/>
              <w:spacing w:line="560" w:lineRule="exact"/>
              <w:jc w:val="center"/>
              <w:rPr>
                <w:rFonts w:asciiTheme="minorEastAsia" w:hAnsiTheme="minorEastAsia" w:eastAsiaTheme="minorEastAsia" w:cstheme="minorEastAsia"/>
                <w:color w:val="auto"/>
                <w:sz w:val="24"/>
                <w:szCs w:val="24"/>
                <w:highlight w:val="none"/>
              </w:rPr>
            </w:pPr>
          </w:p>
        </w:tc>
        <w:tc>
          <w:tcPr>
            <w:tcW w:w="1592" w:type="dxa"/>
            <w:vAlign w:val="center"/>
          </w:tcPr>
          <w:p w14:paraId="421D3AF5">
            <w:pPr>
              <w:pStyle w:val="127"/>
              <w:spacing w:line="560" w:lineRule="exact"/>
              <w:jc w:val="center"/>
              <w:rPr>
                <w:rFonts w:asciiTheme="minorEastAsia" w:hAnsiTheme="minorEastAsia" w:eastAsiaTheme="minorEastAsia" w:cstheme="minorEastAsia"/>
                <w:color w:val="auto"/>
                <w:sz w:val="24"/>
                <w:szCs w:val="24"/>
                <w:highlight w:val="none"/>
              </w:rPr>
            </w:pPr>
          </w:p>
        </w:tc>
        <w:tc>
          <w:tcPr>
            <w:tcW w:w="2061" w:type="dxa"/>
            <w:vAlign w:val="center"/>
          </w:tcPr>
          <w:p w14:paraId="421E61FA">
            <w:pPr>
              <w:pStyle w:val="127"/>
              <w:spacing w:line="560" w:lineRule="exact"/>
              <w:jc w:val="center"/>
              <w:rPr>
                <w:rFonts w:asciiTheme="minorEastAsia" w:hAnsiTheme="minorEastAsia" w:eastAsiaTheme="minorEastAsia" w:cstheme="minorEastAsia"/>
                <w:color w:val="auto"/>
                <w:sz w:val="24"/>
                <w:szCs w:val="24"/>
                <w:highlight w:val="none"/>
              </w:rPr>
            </w:pPr>
          </w:p>
        </w:tc>
      </w:tr>
      <w:tr w14:paraId="545520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3" w:type="dxa"/>
            <w:vAlign w:val="center"/>
          </w:tcPr>
          <w:p w14:paraId="2B8E5818">
            <w:pPr>
              <w:pStyle w:val="127"/>
              <w:spacing w:line="560" w:lineRule="exact"/>
              <w:jc w:val="center"/>
              <w:rPr>
                <w:rFonts w:asciiTheme="minorEastAsia" w:hAnsiTheme="minorEastAsia" w:eastAsiaTheme="minorEastAsia" w:cstheme="minorEastAsia"/>
                <w:color w:val="auto"/>
                <w:sz w:val="24"/>
                <w:szCs w:val="24"/>
                <w:highlight w:val="none"/>
              </w:rPr>
            </w:pPr>
          </w:p>
        </w:tc>
        <w:tc>
          <w:tcPr>
            <w:tcW w:w="2775" w:type="dxa"/>
            <w:vAlign w:val="center"/>
          </w:tcPr>
          <w:p w14:paraId="77688997">
            <w:pPr>
              <w:pStyle w:val="127"/>
              <w:spacing w:line="560" w:lineRule="exact"/>
              <w:jc w:val="center"/>
              <w:rPr>
                <w:rFonts w:asciiTheme="minorEastAsia" w:hAnsiTheme="minorEastAsia" w:eastAsiaTheme="minorEastAsia" w:cstheme="minorEastAsia"/>
                <w:color w:val="auto"/>
                <w:sz w:val="24"/>
                <w:szCs w:val="24"/>
                <w:highlight w:val="none"/>
              </w:rPr>
            </w:pPr>
          </w:p>
        </w:tc>
        <w:tc>
          <w:tcPr>
            <w:tcW w:w="1846" w:type="dxa"/>
            <w:vAlign w:val="center"/>
          </w:tcPr>
          <w:p w14:paraId="7399F069">
            <w:pPr>
              <w:pStyle w:val="127"/>
              <w:spacing w:line="560" w:lineRule="exact"/>
              <w:jc w:val="center"/>
              <w:rPr>
                <w:rFonts w:asciiTheme="minorEastAsia" w:hAnsiTheme="minorEastAsia" w:eastAsiaTheme="minorEastAsia" w:cstheme="minorEastAsia"/>
                <w:color w:val="auto"/>
                <w:sz w:val="24"/>
                <w:szCs w:val="24"/>
                <w:highlight w:val="none"/>
              </w:rPr>
            </w:pPr>
          </w:p>
        </w:tc>
        <w:tc>
          <w:tcPr>
            <w:tcW w:w="1592" w:type="dxa"/>
            <w:vAlign w:val="center"/>
          </w:tcPr>
          <w:p w14:paraId="292158AD">
            <w:pPr>
              <w:pStyle w:val="127"/>
              <w:spacing w:line="560" w:lineRule="exact"/>
              <w:jc w:val="center"/>
              <w:rPr>
                <w:rFonts w:asciiTheme="minorEastAsia" w:hAnsiTheme="minorEastAsia" w:eastAsiaTheme="minorEastAsia" w:cstheme="minorEastAsia"/>
                <w:color w:val="auto"/>
                <w:sz w:val="24"/>
                <w:szCs w:val="24"/>
                <w:highlight w:val="none"/>
              </w:rPr>
            </w:pPr>
          </w:p>
        </w:tc>
        <w:tc>
          <w:tcPr>
            <w:tcW w:w="2061" w:type="dxa"/>
            <w:vAlign w:val="center"/>
          </w:tcPr>
          <w:p w14:paraId="42EA1AB4">
            <w:pPr>
              <w:pStyle w:val="127"/>
              <w:spacing w:line="560" w:lineRule="exact"/>
              <w:jc w:val="center"/>
              <w:rPr>
                <w:rFonts w:asciiTheme="minorEastAsia" w:hAnsiTheme="minorEastAsia" w:eastAsiaTheme="minorEastAsia" w:cstheme="minorEastAsia"/>
                <w:color w:val="auto"/>
                <w:sz w:val="24"/>
                <w:szCs w:val="24"/>
                <w:highlight w:val="none"/>
              </w:rPr>
            </w:pPr>
          </w:p>
        </w:tc>
      </w:tr>
      <w:tr w14:paraId="25F3D1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123" w:type="dxa"/>
            <w:vAlign w:val="center"/>
          </w:tcPr>
          <w:p w14:paraId="7E6A6041">
            <w:pPr>
              <w:pStyle w:val="127"/>
              <w:spacing w:line="560" w:lineRule="exact"/>
              <w:jc w:val="center"/>
              <w:rPr>
                <w:rFonts w:asciiTheme="minorEastAsia" w:hAnsiTheme="minorEastAsia" w:eastAsiaTheme="minorEastAsia" w:cstheme="minorEastAsia"/>
                <w:color w:val="auto"/>
                <w:sz w:val="24"/>
                <w:szCs w:val="24"/>
                <w:highlight w:val="none"/>
              </w:rPr>
            </w:pPr>
          </w:p>
        </w:tc>
        <w:tc>
          <w:tcPr>
            <w:tcW w:w="2775" w:type="dxa"/>
            <w:vAlign w:val="center"/>
          </w:tcPr>
          <w:p w14:paraId="760B89D7">
            <w:pPr>
              <w:pStyle w:val="127"/>
              <w:spacing w:line="560" w:lineRule="exact"/>
              <w:jc w:val="center"/>
              <w:rPr>
                <w:rFonts w:asciiTheme="minorEastAsia" w:hAnsiTheme="minorEastAsia" w:eastAsiaTheme="minorEastAsia" w:cstheme="minorEastAsia"/>
                <w:color w:val="auto"/>
                <w:sz w:val="24"/>
                <w:szCs w:val="24"/>
                <w:highlight w:val="none"/>
              </w:rPr>
            </w:pPr>
          </w:p>
        </w:tc>
        <w:tc>
          <w:tcPr>
            <w:tcW w:w="1846" w:type="dxa"/>
            <w:vAlign w:val="center"/>
          </w:tcPr>
          <w:p w14:paraId="64AD60C9">
            <w:pPr>
              <w:pStyle w:val="127"/>
              <w:spacing w:line="560" w:lineRule="exact"/>
              <w:jc w:val="center"/>
              <w:rPr>
                <w:rFonts w:asciiTheme="minorEastAsia" w:hAnsiTheme="minorEastAsia" w:eastAsiaTheme="minorEastAsia" w:cstheme="minorEastAsia"/>
                <w:color w:val="auto"/>
                <w:sz w:val="24"/>
                <w:szCs w:val="24"/>
                <w:highlight w:val="none"/>
              </w:rPr>
            </w:pPr>
          </w:p>
        </w:tc>
        <w:tc>
          <w:tcPr>
            <w:tcW w:w="1592" w:type="dxa"/>
            <w:vAlign w:val="center"/>
          </w:tcPr>
          <w:p w14:paraId="38D522FF">
            <w:pPr>
              <w:pStyle w:val="127"/>
              <w:spacing w:line="560" w:lineRule="exact"/>
              <w:jc w:val="center"/>
              <w:rPr>
                <w:rFonts w:asciiTheme="minorEastAsia" w:hAnsiTheme="minorEastAsia" w:eastAsiaTheme="minorEastAsia" w:cstheme="minorEastAsia"/>
                <w:color w:val="auto"/>
                <w:sz w:val="24"/>
                <w:szCs w:val="24"/>
                <w:highlight w:val="none"/>
              </w:rPr>
            </w:pPr>
          </w:p>
        </w:tc>
        <w:tc>
          <w:tcPr>
            <w:tcW w:w="2061" w:type="dxa"/>
            <w:vAlign w:val="center"/>
          </w:tcPr>
          <w:p w14:paraId="7F24FEDE">
            <w:pPr>
              <w:pStyle w:val="127"/>
              <w:spacing w:line="560" w:lineRule="exact"/>
              <w:jc w:val="center"/>
              <w:rPr>
                <w:rFonts w:asciiTheme="minorEastAsia" w:hAnsiTheme="minorEastAsia" w:eastAsiaTheme="minorEastAsia" w:cstheme="minorEastAsia"/>
                <w:color w:val="auto"/>
                <w:sz w:val="24"/>
                <w:szCs w:val="24"/>
                <w:highlight w:val="none"/>
              </w:rPr>
            </w:pPr>
          </w:p>
        </w:tc>
      </w:tr>
    </w:tbl>
    <w:p w14:paraId="7126C6B7">
      <w:pPr>
        <w:spacing w:line="276" w:lineRule="auto"/>
        <w:ind w:left="420"/>
        <w:jc w:val="center"/>
        <w:rPr>
          <w:rFonts w:asciiTheme="minorEastAsia" w:hAnsiTheme="minorEastAsia" w:eastAsiaTheme="minorEastAsia" w:cstheme="minorEastAsia"/>
          <w:bCs/>
          <w:color w:val="auto"/>
          <w:sz w:val="24"/>
          <w:highlight w:val="none"/>
        </w:rPr>
      </w:pPr>
    </w:p>
    <w:p w14:paraId="69E933D1">
      <w:pPr>
        <w:pStyle w:val="131"/>
        <w:spacing w:line="460" w:lineRule="exact"/>
        <w:ind w:firstLine="398"/>
        <w:rPr>
          <w:rFonts w:ascii="宋体" w:hAnsi="宋体" w:cs="宋体"/>
          <w:bCs/>
          <w:color w:val="auto"/>
          <w:sz w:val="24"/>
          <w:szCs w:val="24"/>
          <w:highlight w:val="none"/>
        </w:rPr>
      </w:pPr>
      <w:r>
        <w:rPr>
          <w:rFonts w:hint="eastAsia" w:ascii="宋体" w:hAnsi="宋体" w:cs="宋体"/>
          <w:bCs/>
          <w:color w:val="auto"/>
          <w:sz w:val="24"/>
          <w:szCs w:val="24"/>
          <w:highlight w:val="none"/>
        </w:rPr>
        <w:t>注：按招标文件要求附证明材料，如文件还需提供其他信息可以自行扩充表格列数。</w:t>
      </w:r>
    </w:p>
    <w:p w14:paraId="377BBD72">
      <w:pPr>
        <w:pStyle w:val="132"/>
        <w:spacing w:line="520" w:lineRule="exact"/>
        <w:rPr>
          <w:rFonts w:ascii="宋体" w:hAnsi="宋体" w:cs="宋体"/>
          <w:bCs/>
          <w:color w:val="auto"/>
          <w:sz w:val="24"/>
          <w:szCs w:val="24"/>
          <w:highlight w:val="none"/>
        </w:rPr>
      </w:pPr>
    </w:p>
    <w:p w14:paraId="0C9A6553">
      <w:pPr>
        <w:pStyle w:val="132"/>
        <w:spacing w:line="520" w:lineRule="exact"/>
        <w:rPr>
          <w:rFonts w:ascii="宋体" w:hAnsi="宋体" w:cs="宋体"/>
          <w:bCs/>
          <w:color w:val="auto"/>
          <w:sz w:val="24"/>
          <w:szCs w:val="24"/>
          <w:highlight w:val="none"/>
        </w:rPr>
      </w:pPr>
    </w:p>
    <w:p w14:paraId="49DC7FBC">
      <w:pPr>
        <w:pStyle w:val="132"/>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单位名称：</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（签章）                    </w:t>
      </w:r>
    </w:p>
    <w:p w14:paraId="0C2D50B5">
      <w:pPr>
        <w:pStyle w:val="133"/>
        <w:spacing w:line="360" w:lineRule="auto"/>
        <w:rPr>
          <w:rFonts w:hAnsi="宋体" w:cs="宋体"/>
          <w:bCs/>
          <w:color w:val="auto"/>
          <w:sz w:val="24"/>
          <w:szCs w:val="24"/>
          <w:highlight w:val="none"/>
        </w:rPr>
      </w:pPr>
      <w:r>
        <w:rPr>
          <w:rFonts w:hint="eastAsia" w:hAnsi="宋体" w:cs="宋体"/>
          <w:bCs/>
          <w:color w:val="auto"/>
          <w:sz w:val="24"/>
          <w:szCs w:val="24"/>
          <w:highlight w:val="none"/>
        </w:rPr>
        <w:t>法定代表人（或授权代表）：</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 xml:space="preserve">（签字/签章）                    </w:t>
      </w:r>
    </w:p>
    <w:p w14:paraId="58450F40">
      <w:pPr>
        <w:widowControl/>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日</w:t>
      </w:r>
    </w:p>
    <w:p w14:paraId="17EDE692">
      <w:pPr>
        <w:widowControl/>
        <w:jc w:val="left"/>
        <w:rPr>
          <w:rFonts w:ascii="宋体" w:hAnsi="宋体" w:cs="宋体"/>
          <w:bCs/>
          <w:color w:val="auto"/>
          <w:sz w:val="24"/>
          <w:highlight w:val="none"/>
        </w:rPr>
      </w:pPr>
      <w:r>
        <w:rPr>
          <w:rFonts w:ascii="宋体" w:hAnsi="宋体" w:cs="宋体"/>
          <w:bCs/>
          <w:color w:val="auto"/>
          <w:sz w:val="24"/>
          <w:highlight w:val="none"/>
        </w:rPr>
        <w:br w:type="page"/>
      </w:r>
    </w:p>
    <w:p w14:paraId="6E217AB2">
      <w:pPr>
        <w:keepNext/>
        <w:keepLines/>
        <w:spacing w:before="260" w:line="276" w:lineRule="auto"/>
        <w:jc w:val="center"/>
        <w:outlineLvl w:val="1"/>
        <w:rPr>
          <w:rFonts w:ascii="宋体" w:hAnsi="宋体" w:cs="宋体"/>
          <w:color w:val="auto"/>
          <w:sz w:val="32"/>
          <w:szCs w:val="32"/>
          <w:highlight w:val="none"/>
        </w:rPr>
      </w:pPr>
      <w:r>
        <w:rPr>
          <w:rFonts w:ascii="宋体" w:hAnsi="宋体" w:cs="宋体"/>
          <w:color w:val="auto"/>
          <w:sz w:val="32"/>
          <w:szCs w:val="32"/>
          <w:highlight w:val="none"/>
        </w:rPr>
        <w:t>项目实施人员一览表</w:t>
      </w:r>
    </w:p>
    <w:tbl>
      <w:tblPr>
        <w:tblStyle w:val="30"/>
        <w:tblW w:w="919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85"/>
        <w:gridCol w:w="1690"/>
        <w:gridCol w:w="1143"/>
        <w:gridCol w:w="834"/>
        <w:gridCol w:w="1231"/>
        <w:gridCol w:w="1202"/>
        <w:gridCol w:w="1375"/>
        <w:gridCol w:w="1134"/>
      </w:tblGrid>
      <w:tr w14:paraId="793E7E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585" w:type="dxa"/>
            <w:tcBorders>
              <w:top w:val="single" w:color="auto" w:sz="4" w:space="0"/>
              <w:bottom w:val="single" w:color="auto" w:sz="4" w:space="0"/>
              <w:right w:val="single" w:color="auto" w:sz="4" w:space="0"/>
            </w:tcBorders>
            <w:vAlign w:val="center"/>
          </w:tcPr>
          <w:p w14:paraId="2BDEE0F0">
            <w:pPr>
              <w:pStyle w:val="136"/>
              <w:jc w:val="center"/>
              <w:rPr>
                <w:rFonts w:ascii="Times New Roman" w:hAnsi="Times New Roman"/>
                <w:color w:val="auto"/>
                <w:sz w:val="21"/>
                <w:szCs w:val="21"/>
                <w:highlight w:val="none"/>
              </w:rPr>
            </w:pPr>
            <w:r>
              <w:rPr>
                <w:rFonts w:ascii="Times New Roman" w:hAnsi="Times New Roman"/>
                <w:color w:val="auto"/>
                <w:sz w:val="21"/>
                <w:szCs w:val="21"/>
                <w:highlight w:val="none"/>
              </w:rPr>
              <w:t>序号</w:t>
            </w:r>
          </w:p>
        </w:tc>
        <w:tc>
          <w:tcPr>
            <w:tcW w:w="1690" w:type="dxa"/>
            <w:tcBorders>
              <w:top w:val="single" w:color="auto" w:sz="4" w:space="0"/>
              <w:left w:val="single" w:color="auto" w:sz="4" w:space="0"/>
              <w:bottom w:val="single" w:color="auto" w:sz="4" w:space="0"/>
              <w:right w:val="single" w:color="auto" w:sz="4" w:space="0"/>
            </w:tcBorders>
            <w:vAlign w:val="center"/>
          </w:tcPr>
          <w:p w14:paraId="33D13EF9">
            <w:pPr>
              <w:pStyle w:val="136"/>
              <w:jc w:val="center"/>
              <w:rPr>
                <w:rFonts w:ascii="Times New Roman" w:hAnsi="Times New Roman"/>
                <w:color w:val="auto"/>
                <w:sz w:val="21"/>
                <w:szCs w:val="21"/>
                <w:highlight w:val="none"/>
              </w:rPr>
            </w:pPr>
            <w:r>
              <w:rPr>
                <w:rFonts w:ascii="Times New Roman" w:hAnsi="Times New Roman"/>
                <w:color w:val="auto"/>
                <w:sz w:val="21"/>
                <w:szCs w:val="21"/>
                <w:highlight w:val="none"/>
              </w:rPr>
              <w:t>项目组所任职务</w:t>
            </w:r>
          </w:p>
        </w:tc>
        <w:tc>
          <w:tcPr>
            <w:tcW w:w="1143" w:type="dxa"/>
            <w:tcBorders>
              <w:top w:val="single" w:color="auto" w:sz="4" w:space="0"/>
              <w:left w:val="single" w:color="auto" w:sz="4" w:space="0"/>
              <w:bottom w:val="single" w:color="auto" w:sz="4" w:space="0"/>
              <w:right w:val="single" w:color="auto" w:sz="4" w:space="0"/>
            </w:tcBorders>
            <w:vAlign w:val="center"/>
          </w:tcPr>
          <w:p w14:paraId="2AFCB31C">
            <w:pPr>
              <w:pStyle w:val="136"/>
              <w:jc w:val="center"/>
              <w:rPr>
                <w:rFonts w:ascii="Times New Roman" w:hAnsi="Times New Roman"/>
                <w:color w:val="auto"/>
                <w:sz w:val="21"/>
                <w:szCs w:val="21"/>
                <w:highlight w:val="none"/>
              </w:rPr>
            </w:pPr>
            <w:r>
              <w:rPr>
                <w:rFonts w:ascii="Times New Roman" w:hAnsi="Times New Roman"/>
                <w:color w:val="auto"/>
                <w:sz w:val="21"/>
                <w:szCs w:val="21"/>
                <w:highlight w:val="none"/>
              </w:rPr>
              <w:t>姓名</w:t>
            </w:r>
          </w:p>
        </w:tc>
        <w:tc>
          <w:tcPr>
            <w:tcW w:w="834" w:type="dxa"/>
            <w:tcBorders>
              <w:top w:val="single" w:color="auto" w:sz="4" w:space="0"/>
              <w:left w:val="single" w:color="auto" w:sz="4" w:space="0"/>
              <w:bottom w:val="single" w:color="auto" w:sz="4" w:space="0"/>
              <w:right w:val="single" w:color="auto" w:sz="4" w:space="0"/>
            </w:tcBorders>
            <w:vAlign w:val="center"/>
          </w:tcPr>
          <w:p w14:paraId="78801372">
            <w:pPr>
              <w:pStyle w:val="136"/>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性别</w:t>
            </w:r>
          </w:p>
        </w:tc>
        <w:tc>
          <w:tcPr>
            <w:tcW w:w="1231" w:type="dxa"/>
            <w:tcBorders>
              <w:top w:val="single" w:color="auto" w:sz="4" w:space="0"/>
              <w:left w:val="single" w:color="auto" w:sz="4" w:space="0"/>
              <w:bottom w:val="single" w:color="auto" w:sz="4" w:space="0"/>
              <w:right w:val="single" w:color="auto" w:sz="4" w:space="0"/>
            </w:tcBorders>
            <w:vAlign w:val="center"/>
          </w:tcPr>
          <w:p w14:paraId="0F30947B">
            <w:pPr>
              <w:pStyle w:val="136"/>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年龄</w:t>
            </w:r>
          </w:p>
        </w:tc>
        <w:tc>
          <w:tcPr>
            <w:tcW w:w="1202" w:type="dxa"/>
            <w:tcBorders>
              <w:top w:val="single" w:color="auto" w:sz="4" w:space="0"/>
              <w:left w:val="single" w:color="auto" w:sz="4" w:space="0"/>
              <w:bottom w:val="single" w:color="auto" w:sz="4" w:space="0"/>
              <w:right w:val="single" w:color="auto" w:sz="4" w:space="0"/>
            </w:tcBorders>
            <w:vAlign w:val="center"/>
          </w:tcPr>
          <w:p w14:paraId="1580DF3D">
            <w:pPr>
              <w:pStyle w:val="136"/>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学历</w:t>
            </w:r>
          </w:p>
        </w:tc>
        <w:tc>
          <w:tcPr>
            <w:tcW w:w="1375" w:type="dxa"/>
            <w:tcBorders>
              <w:top w:val="single" w:color="auto" w:sz="4" w:space="0"/>
              <w:left w:val="single" w:color="auto" w:sz="4" w:space="0"/>
              <w:bottom w:val="single" w:color="auto" w:sz="4" w:space="0"/>
              <w:right w:val="single" w:color="auto" w:sz="4" w:space="0"/>
            </w:tcBorders>
            <w:vAlign w:val="center"/>
          </w:tcPr>
          <w:p w14:paraId="3EEABA21">
            <w:pPr>
              <w:pStyle w:val="136"/>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执业</w:t>
            </w:r>
            <w:r>
              <w:rPr>
                <w:rFonts w:ascii="Times New Roman" w:hAnsi="Times New Roman"/>
                <w:color w:val="auto"/>
                <w:sz w:val="21"/>
                <w:szCs w:val="21"/>
                <w:highlight w:val="none"/>
              </w:rPr>
              <w:t>证书</w:t>
            </w:r>
          </w:p>
        </w:tc>
        <w:tc>
          <w:tcPr>
            <w:tcW w:w="1134" w:type="dxa"/>
            <w:tcBorders>
              <w:top w:val="single" w:color="auto" w:sz="4" w:space="0"/>
              <w:left w:val="single" w:color="auto" w:sz="4" w:space="0"/>
              <w:bottom w:val="single" w:color="auto" w:sz="4" w:space="0"/>
            </w:tcBorders>
            <w:vAlign w:val="center"/>
          </w:tcPr>
          <w:p w14:paraId="3B38DA68">
            <w:pPr>
              <w:pStyle w:val="136"/>
              <w:jc w:val="center"/>
              <w:rPr>
                <w:rFonts w:ascii="Times New Roman" w:hAnsi="Times New Roman"/>
                <w:color w:val="auto"/>
                <w:sz w:val="21"/>
                <w:szCs w:val="21"/>
                <w:highlight w:val="none"/>
              </w:rPr>
            </w:pPr>
            <w:r>
              <w:rPr>
                <w:rFonts w:ascii="Times New Roman" w:hAnsi="Times New Roman"/>
                <w:color w:val="auto"/>
                <w:sz w:val="21"/>
                <w:szCs w:val="21"/>
                <w:highlight w:val="none"/>
              </w:rPr>
              <w:t>联系电话</w:t>
            </w:r>
          </w:p>
        </w:tc>
      </w:tr>
      <w:tr w14:paraId="439831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85" w:type="dxa"/>
            <w:tcBorders>
              <w:top w:val="single" w:color="auto" w:sz="4" w:space="0"/>
              <w:bottom w:val="single" w:color="auto" w:sz="4" w:space="0"/>
              <w:right w:val="single" w:color="auto" w:sz="4" w:space="0"/>
            </w:tcBorders>
            <w:vAlign w:val="center"/>
          </w:tcPr>
          <w:p w14:paraId="4A5527BB">
            <w:pPr>
              <w:pStyle w:val="136"/>
              <w:jc w:val="center"/>
              <w:rPr>
                <w:rFonts w:ascii="Times New Roman" w:hAnsi="Times New Roman"/>
                <w:color w:val="auto"/>
                <w:sz w:val="21"/>
                <w:szCs w:val="21"/>
                <w:highlight w:val="none"/>
              </w:rPr>
            </w:pPr>
            <w:r>
              <w:rPr>
                <w:rFonts w:ascii="Times New Roman" w:hAnsi="Times New Roman"/>
                <w:color w:val="auto"/>
                <w:sz w:val="21"/>
                <w:szCs w:val="21"/>
                <w:highlight w:val="none"/>
              </w:rPr>
              <w:t>1</w:t>
            </w:r>
          </w:p>
        </w:tc>
        <w:tc>
          <w:tcPr>
            <w:tcW w:w="1690" w:type="dxa"/>
            <w:tcBorders>
              <w:top w:val="single" w:color="auto" w:sz="4" w:space="0"/>
              <w:left w:val="single" w:color="auto" w:sz="4" w:space="0"/>
              <w:bottom w:val="single" w:color="auto" w:sz="4" w:space="0"/>
              <w:right w:val="single" w:color="auto" w:sz="4" w:space="0"/>
            </w:tcBorders>
            <w:vAlign w:val="center"/>
          </w:tcPr>
          <w:p w14:paraId="30B70A54">
            <w:pPr>
              <w:pStyle w:val="136"/>
              <w:jc w:val="center"/>
              <w:rPr>
                <w:rFonts w:ascii="Times New Roman" w:hAnsi="Times New Roman"/>
                <w:color w:val="auto"/>
                <w:sz w:val="21"/>
                <w:szCs w:val="21"/>
                <w:highlight w:val="none"/>
              </w:rPr>
            </w:pPr>
          </w:p>
        </w:tc>
        <w:tc>
          <w:tcPr>
            <w:tcW w:w="1143" w:type="dxa"/>
            <w:tcBorders>
              <w:top w:val="single" w:color="auto" w:sz="4" w:space="0"/>
              <w:left w:val="single" w:color="auto" w:sz="4" w:space="0"/>
              <w:bottom w:val="single" w:color="auto" w:sz="4" w:space="0"/>
              <w:right w:val="single" w:color="auto" w:sz="4" w:space="0"/>
            </w:tcBorders>
            <w:vAlign w:val="center"/>
          </w:tcPr>
          <w:p w14:paraId="035EDB0A">
            <w:pPr>
              <w:pStyle w:val="136"/>
              <w:jc w:val="center"/>
              <w:rPr>
                <w:rFonts w:ascii="Times New Roman" w:hAnsi="Times New Roman"/>
                <w:color w:val="auto"/>
                <w:sz w:val="21"/>
                <w:szCs w:val="21"/>
                <w:highlight w:val="none"/>
              </w:rPr>
            </w:pPr>
          </w:p>
        </w:tc>
        <w:tc>
          <w:tcPr>
            <w:tcW w:w="834" w:type="dxa"/>
            <w:tcBorders>
              <w:top w:val="single" w:color="auto" w:sz="4" w:space="0"/>
              <w:left w:val="single" w:color="auto" w:sz="4" w:space="0"/>
              <w:bottom w:val="single" w:color="auto" w:sz="4" w:space="0"/>
              <w:right w:val="single" w:color="auto" w:sz="4" w:space="0"/>
            </w:tcBorders>
            <w:vAlign w:val="center"/>
          </w:tcPr>
          <w:p w14:paraId="113C6800">
            <w:pPr>
              <w:pStyle w:val="136"/>
              <w:jc w:val="center"/>
              <w:rPr>
                <w:rFonts w:ascii="Times New Roman" w:hAnsi="Times New Roman"/>
                <w:color w:val="auto"/>
                <w:sz w:val="21"/>
                <w:szCs w:val="21"/>
                <w:highlight w:val="none"/>
              </w:rPr>
            </w:pPr>
          </w:p>
        </w:tc>
        <w:tc>
          <w:tcPr>
            <w:tcW w:w="1231" w:type="dxa"/>
            <w:tcBorders>
              <w:top w:val="single" w:color="auto" w:sz="4" w:space="0"/>
              <w:left w:val="single" w:color="auto" w:sz="4" w:space="0"/>
              <w:bottom w:val="single" w:color="auto" w:sz="4" w:space="0"/>
              <w:right w:val="single" w:color="auto" w:sz="4" w:space="0"/>
            </w:tcBorders>
            <w:vAlign w:val="center"/>
          </w:tcPr>
          <w:p w14:paraId="0E5C54BA">
            <w:pPr>
              <w:pStyle w:val="136"/>
              <w:jc w:val="center"/>
              <w:rPr>
                <w:rFonts w:ascii="Times New Roman" w:hAnsi="Times New Roman"/>
                <w:color w:val="auto"/>
                <w:sz w:val="21"/>
                <w:szCs w:val="21"/>
                <w:highlight w:val="none"/>
              </w:rPr>
            </w:pPr>
          </w:p>
        </w:tc>
        <w:tc>
          <w:tcPr>
            <w:tcW w:w="1202" w:type="dxa"/>
            <w:tcBorders>
              <w:top w:val="single" w:color="auto" w:sz="4" w:space="0"/>
              <w:left w:val="single" w:color="auto" w:sz="4" w:space="0"/>
              <w:bottom w:val="single" w:color="auto" w:sz="4" w:space="0"/>
              <w:right w:val="single" w:color="auto" w:sz="4" w:space="0"/>
            </w:tcBorders>
            <w:vAlign w:val="center"/>
          </w:tcPr>
          <w:p w14:paraId="52447142">
            <w:pPr>
              <w:pStyle w:val="136"/>
              <w:jc w:val="center"/>
              <w:rPr>
                <w:rFonts w:ascii="Times New Roman" w:hAnsi="Times New Roman"/>
                <w:color w:val="auto"/>
                <w:sz w:val="21"/>
                <w:szCs w:val="21"/>
                <w:highlight w:val="none"/>
              </w:rPr>
            </w:pPr>
          </w:p>
        </w:tc>
        <w:tc>
          <w:tcPr>
            <w:tcW w:w="1375" w:type="dxa"/>
            <w:tcBorders>
              <w:top w:val="single" w:color="auto" w:sz="4" w:space="0"/>
              <w:left w:val="single" w:color="auto" w:sz="4" w:space="0"/>
              <w:bottom w:val="single" w:color="auto" w:sz="4" w:space="0"/>
              <w:right w:val="single" w:color="auto" w:sz="4" w:space="0"/>
            </w:tcBorders>
            <w:vAlign w:val="center"/>
          </w:tcPr>
          <w:p w14:paraId="51C350CA">
            <w:pPr>
              <w:pStyle w:val="136"/>
              <w:jc w:val="center"/>
              <w:rPr>
                <w:rFonts w:ascii="Times New Roman" w:hAnsi="Times New Roman"/>
                <w:color w:val="auto"/>
                <w:sz w:val="21"/>
                <w:szCs w:val="21"/>
                <w:highlight w:val="none"/>
              </w:rPr>
            </w:pPr>
          </w:p>
        </w:tc>
        <w:tc>
          <w:tcPr>
            <w:tcW w:w="1134" w:type="dxa"/>
            <w:tcBorders>
              <w:top w:val="single" w:color="auto" w:sz="4" w:space="0"/>
              <w:left w:val="single" w:color="auto" w:sz="4" w:space="0"/>
              <w:bottom w:val="single" w:color="auto" w:sz="4" w:space="0"/>
            </w:tcBorders>
            <w:vAlign w:val="center"/>
          </w:tcPr>
          <w:p w14:paraId="734915DC">
            <w:pPr>
              <w:pStyle w:val="136"/>
              <w:jc w:val="center"/>
              <w:rPr>
                <w:rFonts w:ascii="Times New Roman" w:hAnsi="Times New Roman"/>
                <w:color w:val="auto"/>
                <w:sz w:val="21"/>
                <w:szCs w:val="21"/>
                <w:highlight w:val="none"/>
              </w:rPr>
            </w:pPr>
          </w:p>
        </w:tc>
      </w:tr>
      <w:tr w14:paraId="0F1DCF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85" w:type="dxa"/>
            <w:tcBorders>
              <w:top w:val="single" w:color="auto" w:sz="4" w:space="0"/>
              <w:bottom w:val="single" w:color="auto" w:sz="4" w:space="0"/>
              <w:right w:val="single" w:color="auto" w:sz="4" w:space="0"/>
            </w:tcBorders>
            <w:vAlign w:val="center"/>
          </w:tcPr>
          <w:p w14:paraId="27D10F45">
            <w:pPr>
              <w:pStyle w:val="136"/>
              <w:jc w:val="center"/>
              <w:rPr>
                <w:rFonts w:ascii="Times New Roman" w:hAnsi="Times New Roman"/>
                <w:color w:val="auto"/>
                <w:sz w:val="21"/>
                <w:szCs w:val="21"/>
                <w:highlight w:val="none"/>
              </w:rPr>
            </w:pPr>
            <w:r>
              <w:rPr>
                <w:rFonts w:ascii="Times New Roman" w:hAnsi="Times New Roman"/>
                <w:color w:val="auto"/>
                <w:sz w:val="21"/>
                <w:szCs w:val="21"/>
                <w:highlight w:val="none"/>
              </w:rPr>
              <w:t>2</w:t>
            </w:r>
          </w:p>
        </w:tc>
        <w:tc>
          <w:tcPr>
            <w:tcW w:w="1690" w:type="dxa"/>
            <w:tcBorders>
              <w:top w:val="single" w:color="auto" w:sz="4" w:space="0"/>
              <w:left w:val="single" w:color="auto" w:sz="4" w:space="0"/>
              <w:bottom w:val="single" w:color="auto" w:sz="4" w:space="0"/>
              <w:right w:val="single" w:color="auto" w:sz="4" w:space="0"/>
            </w:tcBorders>
            <w:vAlign w:val="center"/>
          </w:tcPr>
          <w:p w14:paraId="604AFB06">
            <w:pPr>
              <w:pStyle w:val="136"/>
              <w:jc w:val="center"/>
              <w:rPr>
                <w:rFonts w:ascii="Times New Roman" w:hAnsi="Times New Roman"/>
                <w:color w:val="auto"/>
                <w:sz w:val="21"/>
                <w:szCs w:val="21"/>
                <w:highlight w:val="none"/>
              </w:rPr>
            </w:pPr>
          </w:p>
        </w:tc>
        <w:tc>
          <w:tcPr>
            <w:tcW w:w="1143" w:type="dxa"/>
            <w:tcBorders>
              <w:top w:val="single" w:color="auto" w:sz="4" w:space="0"/>
              <w:left w:val="single" w:color="auto" w:sz="4" w:space="0"/>
              <w:bottom w:val="single" w:color="auto" w:sz="4" w:space="0"/>
              <w:right w:val="single" w:color="auto" w:sz="4" w:space="0"/>
            </w:tcBorders>
            <w:vAlign w:val="center"/>
          </w:tcPr>
          <w:p w14:paraId="264A0134">
            <w:pPr>
              <w:pStyle w:val="136"/>
              <w:jc w:val="center"/>
              <w:rPr>
                <w:rFonts w:ascii="Times New Roman" w:hAnsi="Times New Roman"/>
                <w:color w:val="auto"/>
                <w:sz w:val="21"/>
                <w:szCs w:val="21"/>
                <w:highlight w:val="none"/>
              </w:rPr>
            </w:pPr>
          </w:p>
        </w:tc>
        <w:tc>
          <w:tcPr>
            <w:tcW w:w="834" w:type="dxa"/>
            <w:tcBorders>
              <w:top w:val="single" w:color="auto" w:sz="4" w:space="0"/>
              <w:left w:val="single" w:color="auto" w:sz="4" w:space="0"/>
              <w:bottom w:val="single" w:color="auto" w:sz="4" w:space="0"/>
              <w:right w:val="single" w:color="auto" w:sz="4" w:space="0"/>
            </w:tcBorders>
            <w:vAlign w:val="center"/>
          </w:tcPr>
          <w:p w14:paraId="4D279E58">
            <w:pPr>
              <w:pStyle w:val="136"/>
              <w:jc w:val="center"/>
              <w:rPr>
                <w:rFonts w:ascii="Times New Roman" w:hAnsi="Times New Roman"/>
                <w:color w:val="auto"/>
                <w:sz w:val="21"/>
                <w:szCs w:val="21"/>
                <w:highlight w:val="none"/>
              </w:rPr>
            </w:pPr>
          </w:p>
        </w:tc>
        <w:tc>
          <w:tcPr>
            <w:tcW w:w="1231" w:type="dxa"/>
            <w:tcBorders>
              <w:top w:val="single" w:color="auto" w:sz="4" w:space="0"/>
              <w:left w:val="single" w:color="auto" w:sz="4" w:space="0"/>
              <w:bottom w:val="single" w:color="auto" w:sz="4" w:space="0"/>
              <w:right w:val="single" w:color="auto" w:sz="4" w:space="0"/>
            </w:tcBorders>
            <w:vAlign w:val="center"/>
          </w:tcPr>
          <w:p w14:paraId="6AC466F3">
            <w:pPr>
              <w:pStyle w:val="136"/>
              <w:jc w:val="center"/>
              <w:rPr>
                <w:rFonts w:ascii="Times New Roman" w:hAnsi="Times New Roman"/>
                <w:color w:val="auto"/>
                <w:sz w:val="21"/>
                <w:szCs w:val="21"/>
                <w:highlight w:val="none"/>
              </w:rPr>
            </w:pPr>
          </w:p>
        </w:tc>
        <w:tc>
          <w:tcPr>
            <w:tcW w:w="1202" w:type="dxa"/>
            <w:tcBorders>
              <w:top w:val="single" w:color="auto" w:sz="4" w:space="0"/>
              <w:left w:val="single" w:color="auto" w:sz="4" w:space="0"/>
              <w:bottom w:val="single" w:color="auto" w:sz="4" w:space="0"/>
              <w:right w:val="single" w:color="auto" w:sz="4" w:space="0"/>
            </w:tcBorders>
            <w:vAlign w:val="center"/>
          </w:tcPr>
          <w:p w14:paraId="30B70A1F">
            <w:pPr>
              <w:pStyle w:val="136"/>
              <w:jc w:val="center"/>
              <w:rPr>
                <w:rFonts w:ascii="Times New Roman" w:hAnsi="Times New Roman"/>
                <w:color w:val="auto"/>
                <w:sz w:val="21"/>
                <w:szCs w:val="21"/>
                <w:highlight w:val="none"/>
              </w:rPr>
            </w:pPr>
          </w:p>
        </w:tc>
        <w:tc>
          <w:tcPr>
            <w:tcW w:w="1375" w:type="dxa"/>
            <w:tcBorders>
              <w:top w:val="single" w:color="auto" w:sz="4" w:space="0"/>
              <w:left w:val="single" w:color="auto" w:sz="4" w:space="0"/>
              <w:bottom w:val="single" w:color="auto" w:sz="4" w:space="0"/>
              <w:right w:val="single" w:color="auto" w:sz="4" w:space="0"/>
            </w:tcBorders>
            <w:vAlign w:val="center"/>
          </w:tcPr>
          <w:p w14:paraId="49048C48">
            <w:pPr>
              <w:pStyle w:val="136"/>
              <w:jc w:val="center"/>
              <w:rPr>
                <w:rFonts w:ascii="Times New Roman" w:hAnsi="Times New Roman"/>
                <w:color w:val="auto"/>
                <w:sz w:val="21"/>
                <w:szCs w:val="21"/>
                <w:highlight w:val="none"/>
              </w:rPr>
            </w:pPr>
          </w:p>
        </w:tc>
        <w:tc>
          <w:tcPr>
            <w:tcW w:w="1134" w:type="dxa"/>
            <w:tcBorders>
              <w:top w:val="single" w:color="auto" w:sz="4" w:space="0"/>
              <w:left w:val="single" w:color="auto" w:sz="4" w:space="0"/>
              <w:bottom w:val="single" w:color="auto" w:sz="4" w:space="0"/>
            </w:tcBorders>
            <w:vAlign w:val="center"/>
          </w:tcPr>
          <w:p w14:paraId="09771753">
            <w:pPr>
              <w:pStyle w:val="136"/>
              <w:jc w:val="center"/>
              <w:rPr>
                <w:rFonts w:ascii="Times New Roman" w:hAnsi="Times New Roman"/>
                <w:color w:val="auto"/>
                <w:sz w:val="21"/>
                <w:szCs w:val="21"/>
                <w:highlight w:val="none"/>
              </w:rPr>
            </w:pPr>
          </w:p>
        </w:tc>
      </w:tr>
      <w:tr w14:paraId="3996B6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85" w:type="dxa"/>
            <w:tcBorders>
              <w:top w:val="single" w:color="auto" w:sz="4" w:space="0"/>
              <w:bottom w:val="single" w:color="auto" w:sz="4" w:space="0"/>
              <w:right w:val="single" w:color="auto" w:sz="4" w:space="0"/>
            </w:tcBorders>
            <w:vAlign w:val="center"/>
          </w:tcPr>
          <w:p w14:paraId="6D005711">
            <w:pPr>
              <w:pStyle w:val="136"/>
              <w:jc w:val="center"/>
              <w:rPr>
                <w:rFonts w:ascii="Times New Roman" w:hAnsi="Times New Roman"/>
                <w:color w:val="auto"/>
                <w:sz w:val="21"/>
                <w:szCs w:val="21"/>
                <w:highlight w:val="none"/>
              </w:rPr>
            </w:pPr>
            <w:r>
              <w:rPr>
                <w:rFonts w:ascii="Times New Roman" w:hAnsi="Times New Roman"/>
                <w:color w:val="auto"/>
                <w:sz w:val="21"/>
                <w:szCs w:val="21"/>
                <w:highlight w:val="none"/>
              </w:rPr>
              <w:t>3</w:t>
            </w:r>
          </w:p>
        </w:tc>
        <w:tc>
          <w:tcPr>
            <w:tcW w:w="1690" w:type="dxa"/>
            <w:tcBorders>
              <w:top w:val="single" w:color="auto" w:sz="4" w:space="0"/>
              <w:left w:val="single" w:color="auto" w:sz="4" w:space="0"/>
              <w:bottom w:val="single" w:color="auto" w:sz="4" w:space="0"/>
              <w:right w:val="single" w:color="auto" w:sz="4" w:space="0"/>
            </w:tcBorders>
            <w:vAlign w:val="center"/>
          </w:tcPr>
          <w:p w14:paraId="5EB675B6">
            <w:pPr>
              <w:pStyle w:val="136"/>
              <w:jc w:val="center"/>
              <w:rPr>
                <w:rFonts w:ascii="Times New Roman" w:hAnsi="Times New Roman"/>
                <w:color w:val="auto"/>
                <w:sz w:val="21"/>
                <w:szCs w:val="21"/>
                <w:highlight w:val="none"/>
              </w:rPr>
            </w:pPr>
          </w:p>
        </w:tc>
        <w:tc>
          <w:tcPr>
            <w:tcW w:w="1143" w:type="dxa"/>
            <w:tcBorders>
              <w:top w:val="single" w:color="auto" w:sz="4" w:space="0"/>
              <w:left w:val="single" w:color="auto" w:sz="4" w:space="0"/>
              <w:bottom w:val="single" w:color="auto" w:sz="4" w:space="0"/>
              <w:right w:val="single" w:color="auto" w:sz="4" w:space="0"/>
            </w:tcBorders>
            <w:vAlign w:val="center"/>
          </w:tcPr>
          <w:p w14:paraId="587851DF">
            <w:pPr>
              <w:pStyle w:val="136"/>
              <w:jc w:val="center"/>
              <w:rPr>
                <w:rFonts w:ascii="Times New Roman" w:hAnsi="Times New Roman"/>
                <w:color w:val="auto"/>
                <w:sz w:val="21"/>
                <w:szCs w:val="21"/>
                <w:highlight w:val="none"/>
              </w:rPr>
            </w:pPr>
          </w:p>
        </w:tc>
        <w:tc>
          <w:tcPr>
            <w:tcW w:w="834" w:type="dxa"/>
            <w:tcBorders>
              <w:top w:val="single" w:color="auto" w:sz="4" w:space="0"/>
              <w:left w:val="single" w:color="auto" w:sz="4" w:space="0"/>
              <w:bottom w:val="single" w:color="auto" w:sz="4" w:space="0"/>
              <w:right w:val="single" w:color="auto" w:sz="4" w:space="0"/>
            </w:tcBorders>
            <w:vAlign w:val="center"/>
          </w:tcPr>
          <w:p w14:paraId="51BFB075">
            <w:pPr>
              <w:pStyle w:val="136"/>
              <w:jc w:val="center"/>
              <w:rPr>
                <w:rFonts w:ascii="Times New Roman" w:hAnsi="Times New Roman"/>
                <w:color w:val="auto"/>
                <w:sz w:val="21"/>
                <w:szCs w:val="21"/>
                <w:highlight w:val="none"/>
              </w:rPr>
            </w:pPr>
          </w:p>
        </w:tc>
        <w:tc>
          <w:tcPr>
            <w:tcW w:w="1231" w:type="dxa"/>
            <w:tcBorders>
              <w:top w:val="single" w:color="auto" w:sz="4" w:space="0"/>
              <w:left w:val="single" w:color="auto" w:sz="4" w:space="0"/>
              <w:bottom w:val="single" w:color="auto" w:sz="4" w:space="0"/>
              <w:right w:val="single" w:color="auto" w:sz="4" w:space="0"/>
            </w:tcBorders>
            <w:vAlign w:val="center"/>
          </w:tcPr>
          <w:p w14:paraId="493D8D2C">
            <w:pPr>
              <w:pStyle w:val="136"/>
              <w:jc w:val="center"/>
              <w:rPr>
                <w:rFonts w:ascii="Times New Roman" w:hAnsi="Times New Roman"/>
                <w:color w:val="auto"/>
                <w:sz w:val="21"/>
                <w:szCs w:val="21"/>
                <w:highlight w:val="none"/>
              </w:rPr>
            </w:pPr>
          </w:p>
        </w:tc>
        <w:tc>
          <w:tcPr>
            <w:tcW w:w="1202" w:type="dxa"/>
            <w:tcBorders>
              <w:top w:val="single" w:color="auto" w:sz="4" w:space="0"/>
              <w:left w:val="single" w:color="auto" w:sz="4" w:space="0"/>
              <w:bottom w:val="single" w:color="auto" w:sz="4" w:space="0"/>
              <w:right w:val="single" w:color="auto" w:sz="4" w:space="0"/>
            </w:tcBorders>
            <w:vAlign w:val="center"/>
          </w:tcPr>
          <w:p w14:paraId="151C97BB">
            <w:pPr>
              <w:pStyle w:val="136"/>
              <w:jc w:val="center"/>
              <w:rPr>
                <w:rFonts w:ascii="Times New Roman" w:hAnsi="Times New Roman"/>
                <w:color w:val="auto"/>
                <w:sz w:val="21"/>
                <w:szCs w:val="21"/>
                <w:highlight w:val="none"/>
              </w:rPr>
            </w:pPr>
          </w:p>
        </w:tc>
        <w:tc>
          <w:tcPr>
            <w:tcW w:w="1375" w:type="dxa"/>
            <w:tcBorders>
              <w:top w:val="single" w:color="auto" w:sz="4" w:space="0"/>
              <w:left w:val="single" w:color="auto" w:sz="4" w:space="0"/>
              <w:bottom w:val="single" w:color="auto" w:sz="4" w:space="0"/>
              <w:right w:val="single" w:color="auto" w:sz="4" w:space="0"/>
            </w:tcBorders>
            <w:vAlign w:val="center"/>
          </w:tcPr>
          <w:p w14:paraId="122AEBBC">
            <w:pPr>
              <w:pStyle w:val="136"/>
              <w:jc w:val="center"/>
              <w:rPr>
                <w:rFonts w:ascii="Times New Roman" w:hAnsi="Times New Roman"/>
                <w:color w:val="auto"/>
                <w:sz w:val="21"/>
                <w:szCs w:val="21"/>
                <w:highlight w:val="none"/>
              </w:rPr>
            </w:pPr>
          </w:p>
        </w:tc>
        <w:tc>
          <w:tcPr>
            <w:tcW w:w="1134" w:type="dxa"/>
            <w:tcBorders>
              <w:top w:val="single" w:color="auto" w:sz="4" w:space="0"/>
              <w:left w:val="single" w:color="auto" w:sz="4" w:space="0"/>
              <w:bottom w:val="single" w:color="auto" w:sz="4" w:space="0"/>
            </w:tcBorders>
            <w:vAlign w:val="center"/>
          </w:tcPr>
          <w:p w14:paraId="46315F06">
            <w:pPr>
              <w:pStyle w:val="136"/>
              <w:jc w:val="center"/>
              <w:rPr>
                <w:rFonts w:ascii="Times New Roman" w:hAnsi="Times New Roman"/>
                <w:color w:val="auto"/>
                <w:sz w:val="21"/>
                <w:szCs w:val="21"/>
                <w:highlight w:val="none"/>
              </w:rPr>
            </w:pPr>
          </w:p>
        </w:tc>
      </w:tr>
      <w:tr w14:paraId="11EC89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85" w:type="dxa"/>
            <w:tcBorders>
              <w:top w:val="single" w:color="auto" w:sz="4" w:space="0"/>
              <w:bottom w:val="single" w:color="auto" w:sz="4" w:space="0"/>
              <w:right w:val="single" w:color="auto" w:sz="4" w:space="0"/>
            </w:tcBorders>
            <w:vAlign w:val="center"/>
          </w:tcPr>
          <w:p w14:paraId="37B8E978">
            <w:pPr>
              <w:pStyle w:val="136"/>
              <w:jc w:val="center"/>
              <w:rPr>
                <w:rFonts w:ascii="Times New Roman" w:hAnsi="Times New Roman"/>
                <w:color w:val="auto"/>
                <w:sz w:val="21"/>
                <w:szCs w:val="21"/>
                <w:highlight w:val="none"/>
              </w:rPr>
            </w:pPr>
            <w:r>
              <w:rPr>
                <w:rFonts w:ascii="Times New Roman" w:hAnsi="Times New Roman"/>
                <w:color w:val="auto"/>
                <w:sz w:val="21"/>
                <w:szCs w:val="21"/>
                <w:highlight w:val="none"/>
              </w:rPr>
              <w:t>4</w:t>
            </w:r>
          </w:p>
        </w:tc>
        <w:tc>
          <w:tcPr>
            <w:tcW w:w="1690" w:type="dxa"/>
            <w:tcBorders>
              <w:top w:val="single" w:color="auto" w:sz="4" w:space="0"/>
              <w:left w:val="single" w:color="auto" w:sz="4" w:space="0"/>
              <w:bottom w:val="single" w:color="auto" w:sz="4" w:space="0"/>
              <w:right w:val="single" w:color="auto" w:sz="4" w:space="0"/>
            </w:tcBorders>
            <w:vAlign w:val="center"/>
          </w:tcPr>
          <w:p w14:paraId="5DFDA64B">
            <w:pPr>
              <w:pStyle w:val="136"/>
              <w:jc w:val="center"/>
              <w:rPr>
                <w:rFonts w:ascii="Times New Roman" w:hAnsi="Times New Roman"/>
                <w:color w:val="auto"/>
                <w:sz w:val="21"/>
                <w:szCs w:val="21"/>
                <w:highlight w:val="none"/>
              </w:rPr>
            </w:pPr>
          </w:p>
        </w:tc>
        <w:tc>
          <w:tcPr>
            <w:tcW w:w="1143" w:type="dxa"/>
            <w:tcBorders>
              <w:top w:val="single" w:color="auto" w:sz="4" w:space="0"/>
              <w:left w:val="single" w:color="auto" w:sz="4" w:space="0"/>
              <w:bottom w:val="single" w:color="auto" w:sz="4" w:space="0"/>
              <w:right w:val="single" w:color="auto" w:sz="4" w:space="0"/>
            </w:tcBorders>
            <w:vAlign w:val="center"/>
          </w:tcPr>
          <w:p w14:paraId="21292F37">
            <w:pPr>
              <w:pStyle w:val="136"/>
              <w:jc w:val="center"/>
              <w:rPr>
                <w:rFonts w:ascii="Times New Roman" w:hAnsi="Times New Roman"/>
                <w:color w:val="auto"/>
                <w:sz w:val="21"/>
                <w:szCs w:val="21"/>
                <w:highlight w:val="none"/>
              </w:rPr>
            </w:pPr>
          </w:p>
        </w:tc>
        <w:tc>
          <w:tcPr>
            <w:tcW w:w="834" w:type="dxa"/>
            <w:tcBorders>
              <w:top w:val="single" w:color="auto" w:sz="4" w:space="0"/>
              <w:left w:val="single" w:color="auto" w:sz="4" w:space="0"/>
              <w:bottom w:val="single" w:color="auto" w:sz="4" w:space="0"/>
              <w:right w:val="single" w:color="auto" w:sz="4" w:space="0"/>
            </w:tcBorders>
            <w:vAlign w:val="center"/>
          </w:tcPr>
          <w:p w14:paraId="4F272F88">
            <w:pPr>
              <w:pStyle w:val="136"/>
              <w:jc w:val="center"/>
              <w:rPr>
                <w:rFonts w:ascii="Times New Roman" w:hAnsi="Times New Roman"/>
                <w:color w:val="auto"/>
                <w:sz w:val="21"/>
                <w:szCs w:val="21"/>
                <w:highlight w:val="none"/>
              </w:rPr>
            </w:pPr>
          </w:p>
        </w:tc>
        <w:tc>
          <w:tcPr>
            <w:tcW w:w="1231" w:type="dxa"/>
            <w:tcBorders>
              <w:top w:val="single" w:color="auto" w:sz="4" w:space="0"/>
              <w:left w:val="single" w:color="auto" w:sz="4" w:space="0"/>
              <w:bottom w:val="single" w:color="auto" w:sz="4" w:space="0"/>
              <w:right w:val="single" w:color="auto" w:sz="4" w:space="0"/>
            </w:tcBorders>
            <w:vAlign w:val="center"/>
          </w:tcPr>
          <w:p w14:paraId="4421CF8B">
            <w:pPr>
              <w:pStyle w:val="136"/>
              <w:jc w:val="center"/>
              <w:rPr>
                <w:rFonts w:ascii="Times New Roman" w:hAnsi="Times New Roman"/>
                <w:color w:val="auto"/>
                <w:sz w:val="21"/>
                <w:szCs w:val="21"/>
                <w:highlight w:val="none"/>
              </w:rPr>
            </w:pPr>
          </w:p>
        </w:tc>
        <w:tc>
          <w:tcPr>
            <w:tcW w:w="1202" w:type="dxa"/>
            <w:tcBorders>
              <w:top w:val="single" w:color="auto" w:sz="4" w:space="0"/>
              <w:left w:val="single" w:color="auto" w:sz="4" w:space="0"/>
              <w:bottom w:val="single" w:color="auto" w:sz="4" w:space="0"/>
              <w:right w:val="single" w:color="auto" w:sz="4" w:space="0"/>
            </w:tcBorders>
            <w:vAlign w:val="center"/>
          </w:tcPr>
          <w:p w14:paraId="266CD2E8">
            <w:pPr>
              <w:pStyle w:val="136"/>
              <w:jc w:val="center"/>
              <w:rPr>
                <w:rFonts w:ascii="Times New Roman" w:hAnsi="Times New Roman"/>
                <w:color w:val="auto"/>
                <w:sz w:val="21"/>
                <w:szCs w:val="21"/>
                <w:highlight w:val="none"/>
              </w:rPr>
            </w:pPr>
          </w:p>
        </w:tc>
        <w:tc>
          <w:tcPr>
            <w:tcW w:w="1375" w:type="dxa"/>
            <w:tcBorders>
              <w:top w:val="single" w:color="auto" w:sz="4" w:space="0"/>
              <w:left w:val="single" w:color="auto" w:sz="4" w:space="0"/>
              <w:bottom w:val="single" w:color="auto" w:sz="4" w:space="0"/>
              <w:right w:val="single" w:color="auto" w:sz="4" w:space="0"/>
            </w:tcBorders>
            <w:vAlign w:val="center"/>
          </w:tcPr>
          <w:p w14:paraId="1891101A">
            <w:pPr>
              <w:pStyle w:val="136"/>
              <w:jc w:val="center"/>
              <w:rPr>
                <w:rFonts w:ascii="Times New Roman" w:hAnsi="Times New Roman"/>
                <w:color w:val="auto"/>
                <w:sz w:val="21"/>
                <w:szCs w:val="21"/>
                <w:highlight w:val="none"/>
              </w:rPr>
            </w:pPr>
          </w:p>
        </w:tc>
        <w:tc>
          <w:tcPr>
            <w:tcW w:w="1134" w:type="dxa"/>
            <w:tcBorders>
              <w:top w:val="single" w:color="auto" w:sz="4" w:space="0"/>
              <w:left w:val="single" w:color="auto" w:sz="4" w:space="0"/>
              <w:bottom w:val="single" w:color="auto" w:sz="4" w:space="0"/>
            </w:tcBorders>
            <w:vAlign w:val="center"/>
          </w:tcPr>
          <w:p w14:paraId="0C9004F9">
            <w:pPr>
              <w:pStyle w:val="136"/>
              <w:jc w:val="center"/>
              <w:rPr>
                <w:rFonts w:ascii="Times New Roman" w:hAnsi="Times New Roman"/>
                <w:color w:val="auto"/>
                <w:sz w:val="21"/>
                <w:szCs w:val="21"/>
                <w:highlight w:val="none"/>
              </w:rPr>
            </w:pPr>
          </w:p>
        </w:tc>
      </w:tr>
      <w:tr w14:paraId="5DCEA7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585" w:type="dxa"/>
            <w:tcBorders>
              <w:top w:val="single" w:color="auto" w:sz="4" w:space="0"/>
              <w:bottom w:val="single" w:color="auto" w:sz="4" w:space="0"/>
              <w:right w:val="single" w:color="auto" w:sz="4" w:space="0"/>
            </w:tcBorders>
            <w:vAlign w:val="center"/>
          </w:tcPr>
          <w:p w14:paraId="6860509A">
            <w:pPr>
              <w:rPr>
                <w:color w:val="auto"/>
                <w:highlight w:val="none"/>
              </w:rPr>
            </w:pPr>
            <w:r>
              <w:rPr>
                <w:color w:val="auto"/>
                <w:highlight w:val="none"/>
              </w:rPr>
              <w:t>…</w:t>
            </w:r>
          </w:p>
        </w:tc>
        <w:tc>
          <w:tcPr>
            <w:tcW w:w="1690" w:type="dxa"/>
            <w:tcBorders>
              <w:top w:val="single" w:color="auto" w:sz="4" w:space="0"/>
              <w:left w:val="single" w:color="auto" w:sz="4" w:space="0"/>
              <w:bottom w:val="single" w:color="auto" w:sz="4" w:space="0"/>
              <w:right w:val="single" w:color="auto" w:sz="4" w:space="0"/>
            </w:tcBorders>
            <w:vAlign w:val="center"/>
          </w:tcPr>
          <w:p w14:paraId="32E2706A">
            <w:pPr>
              <w:rPr>
                <w:color w:val="auto"/>
                <w:highlight w:val="none"/>
              </w:rPr>
            </w:pPr>
          </w:p>
        </w:tc>
        <w:tc>
          <w:tcPr>
            <w:tcW w:w="1143" w:type="dxa"/>
            <w:tcBorders>
              <w:top w:val="single" w:color="auto" w:sz="4" w:space="0"/>
              <w:left w:val="single" w:color="auto" w:sz="4" w:space="0"/>
              <w:bottom w:val="single" w:color="auto" w:sz="4" w:space="0"/>
              <w:right w:val="single" w:color="auto" w:sz="4" w:space="0"/>
            </w:tcBorders>
            <w:vAlign w:val="center"/>
          </w:tcPr>
          <w:p w14:paraId="0FE1FA0D">
            <w:pPr>
              <w:rPr>
                <w:color w:val="auto"/>
                <w:highlight w:val="none"/>
              </w:rPr>
            </w:pPr>
          </w:p>
        </w:tc>
        <w:tc>
          <w:tcPr>
            <w:tcW w:w="834" w:type="dxa"/>
            <w:tcBorders>
              <w:top w:val="single" w:color="auto" w:sz="4" w:space="0"/>
              <w:left w:val="single" w:color="auto" w:sz="4" w:space="0"/>
              <w:bottom w:val="single" w:color="auto" w:sz="4" w:space="0"/>
              <w:right w:val="single" w:color="auto" w:sz="4" w:space="0"/>
            </w:tcBorders>
            <w:vAlign w:val="center"/>
          </w:tcPr>
          <w:p w14:paraId="63997924">
            <w:pPr>
              <w:rPr>
                <w:color w:val="auto"/>
                <w:highlight w:val="none"/>
              </w:rPr>
            </w:pPr>
          </w:p>
        </w:tc>
        <w:tc>
          <w:tcPr>
            <w:tcW w:w="1231" w:type="dxa"/>
            <w:tcBorders>
              <w:top w:val="single" w:color="auto" w:sz="4" w:space="0"/>
              <w:left w:val="single" w:color="auto" w:sz="4" w:space="0"/>
              <w:bottom w:val="single" w:color="auto" w:sz="4" w:space="0"/>
              <w:right w:val="single" w:color="auto" w:sz="4" w:space="0"/>
            </w:tcBorders>
            <w:vAlign w:val="center"/>
          </w:tcPr>
          <w:p w14:paraId="36D0B44C">
            <w:pPr>
              <w:rPr>
                <w:color w:val="auto"/>
                <w:highlight w:val="none"/>
              </w:rPr>
            </w:pPr>
          </w:p>
        </w:tc>
        <w:tc>
          <w:tcPr>
            <w:tcW w:w="1202" w:type="dxa"/>
            <w:tcBorders>
              <w:top w:val="single" w:color="auto" w:sz="4" w:space="0"/>
              <w:left w:val="single" w:color="auto" w:sz="4" w:space="0"/>
              <w:bottom w:val="single" w:color="auto" w:sz="4" w:space="0"/>
              <w:right w:val="single" w:color="auto" w:sz="4" w:space="0"/>
            </w:tcBorders>
            <w:vAlign w:val="center"/>
          </w:tcPr>
          <w:p w14:paraId="5D3DCE2F">
            <w:pPr>
              <w:rPr>
                <w:color w:val="auto"/>
                <w:highlight w:val="none"/>
              </w:rPr>
            </w:pPr>
          </w:p>
        </w:tc>
        <w:tc>
          <w:tcPr>
            <w:tcW w:w="1375" w:type="dxa"/>
            <w:tcBorders>
              <w:top w:val="single" w:color="auto" w:sz="4" w:space="0"/>
              <w:left w:val="single" w:color="auto" w:sz="4" w:space="0"/>
              <w:bottom w:val="single" w:color="auto" w:sz="4" w:space="0"/>
              <w:right w:val="single" w:color="auto" w:sz="4" w:space="0"/>
            </w:tcBorders>
            <w:vAlign w:val="center"/>
          </w:tcPr>
          <w:p w14:paraId="313CA829">
            <w:pPr>
              <w:rPr>
                <w:color w:val="auto"/>
                <w:highlight w:val="none"/>
              </w:rPr>
            </w:pPr>
          </w:p>
        </w:tc>
        <w:tc>
          <w:tcPr>
            <w:tcW w:w="1134" w:type="dxa"/>
            <w:tcBorders>
              <w:top w:val="single" w:color="auto" w:sz="4" w:space="0"/>
              <w:left w:val="single" w:color="auto" w:sz="4" w:space="0"/>
              <w:bottom w:val="single" w:color="auto" w:sz="4" w:space="0"/>
            </w:tcBorders>
            <w:vAlign w:val="center"/>
          </w:tcPr>
          <w:p w14:paraId="5C495C9B">
            <w:pPr>
              <w:rPr>
                <w:color w:val="auto"/>
                <w:highlight w:val="none"/>
              </w:rPr>
            </w:pPr>
          </w:p>
        </w:tc>
      </w:tr>
    </w:tbl>
    <w:p w14:paraId="650618B7">
      <w:pPr>
        <w:pStyle w:val="131"/>
        <w:spacing w:line="460" w:lineRule="exact"/>
        <w:ind w:firstLine="398"/>
        <w:rPr>
          <w:rFonts w:ascii="宋体" w:hAnsi="宋体" w:cs="宋体"/>
          <w:bCs/>
          <w:color w:val="auto"/>
          <w:sz w:val="24"/>
          <w:szCs w:val="24"/>
          <w:highlight w:val="none"/>
        </w:rPr>
      </w:pPr>
      <w:r>
        <w:rPr>
          <w:rFonts w:hint="eastAsia" w:ascii="宋体" w:hAnsi="宋体" w:cs="宋体"/>
          <w:bCs/>
          <w:color w:val="auto"/>
          <w:sz w:val="24"/>
          <w:szCs w:val="24"/>
          <w:highlight w:val="none"/>
        </w:rPr>
        <w:t>注：按招标文件要求附证明材料，如文件还需提供其他信息可以自行扩充表格列数。</w:t>
      </w:r>
    </w:p>
    <w:p w14:paraId="723E3DE6">
      <w:pPr>
        <w:pStyle w:val="132"/>
        <w:spacing w:line="360" w:lineRule="auto"/>
        <w:rPr>
          <w:rFonts w:ascii="宋体" w:hAnsi="宋体" w:cs="宋体"/>
          <w:bCs/>
          <w:color w:val="auto"/>
          <w:sz w:val="24"/>
          <w:szCs w:val="24"/>
          <w:highlight w:val="none"/>
        </w:rPr>
      </w:pPr>
    </w:p>
    <w:p w14:paraId="0F7EB264">
      <w:pPr>
        <w:pStyle w:val="132"/>
        <w:spacing w:line="360" w:lineRule="auto"/>
        <w:rPr>
          <w:rFonts w:ascii="宋体" w:hAnsi="宋体" w:cs="宋体"/>
          <w:bCs/>
          <w:color w:val="auto"/>
          <w:sz w:val="24"/>
          <w:szCs w:val="24"/>
          <w:highlight w:val="none"/>
        </w:rPr>
      </w:pPr>
    </w:p>
    <w:p w14:paraId="177F2DC1">
      <w:pPr>
        <w:pStyle w:val="132"/>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单位名称：</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（签章）                    </w:t>
      </w:r>
    </w:p>
    <w:p w14:paraId="35FF6001">
      <w:pPr>
        <w:pStyle w:val="133"/>
        <w:spacing w:line="360" w:lineRule="auto"/>
        <w:rPr>
          <w:rFonts w:hAnsi="宋体" w:cs="宋体"/>
          <w:bCs/>
          <w:color w:val="auto"/>
          <w:sz w:val="24"/>
          <w:szCs w:val="24"/>
          <w:highlight w:val="none"/>
        </w:rPr>
      </w:pPr>
      <w:r>
        <w:rPr>
          <w:rFonts w:hint="eastAsia" w:hAnsi="宋体" w:cs="宋体"/>
          <w:bCs/>
          <w:color w:val="auto"/>
          <w:sz w:val="24"/>
          <w:szCs w:val="24"/>
          <w:highlight w:val="none"/>
        </w:rPr>
        <w:t>法定代表人（或授权代表）：</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 xml:space="preserve">（签字/签章）                    </w:t>
      </w:r>
    </w:p>
    <w:p w14:paraId="53884721">
      <w:pPr>
        <w:widowControl/>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日</w:t>
      </w:r>
    </w:p>
    <w:p w14:paraId="403D5278">
      <w:pPr>
        <w:widowControl/>
        <w:jc w:val="lef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br w:type="page"/>
      </w:r>
    </w:p>
    <w:p w14:paraId="534C4572">
      <w:pPr>
        <w:keepNext/>
        <w:keepLines/>
        <w:spacing w:before="260" w:line="276" w:lineRule="auto"/>
        <w:jc w:val="center"/>
        <w:outlineLvl w:val="1"/>
        <w:rPr>
          <w:rFonts w:ascii="宋体" w:hAnsi="宋体" w:cs="宋体"/>
          <w:color w:val="auto"/>
          <w:sz w:val="32"/>
          <w:szCs w:val="32"/>
          <w:highlight w:val="none"/>
        </w:rPr>
      </w:pPr>
      <w:bookmarkStart w:id="203" w:name="_Toc184129804"/>
      <w:r>
        <w:rPr>
          <w:rFonts w:hint="eastAsia" w:ascii="宋体" w:hAnsi="宋体" w:cs="宋体"/>
          <w:color w:val="auto"/>
          <w:sz w:val="32"/>
          <w:szCs w:val="32"/>
          <w:highlight w:val="none"/>
        </w:rPr>
        <w:t>投标人认为需要提供的其它资料</w:t>
      </w:r>
      <w:bookmarkEnd w:id="203"/>
    </w:p>
    <w:p w14:paraId="5A0F8F08">
      <w:pPr>
        <w:pBdr>
          <w:top w:val="none" w:color="000000" w:sz="0" w:space="0"/>
          <w:left w:val="none" w:color="000000" w:sz="0" w:space="0"/>
          <w:bottom w:val="none" w:color="000000" w:sz="0" w:space="0"/>
          <w:right w:val="none" w:color="000000" w:sz="0" w:space="0"/>
        </w:pBdr>
        <w:spacing w:line="276" w:lineRule="auto"/>
        <w:jc w:val="center"/>
        <w:rPr>
          <w:rFonts w:ascii="宋体" w:hAnsi="宋体" w:cs="宋体"/>
          <w:color w:val="auto"/>
          <w:sz w:val="28"/>
          <w:szCs w:val="28"/>
          <w:highlight w:val="none"/>
        </w:rPr>
      </w:pPr>
      <w:r>
        <w:rPr>
          <w:rFonts w:hint="eastAsia" w:ascii="宋体" w:hAnsi="宋体" w:cs="宋体"/>
          <w:color w:val="auto"/>
          <w:sz w:val="28"/>
          <w:szCs w:val="28"/>
          <w:highlight w:val="none"/>
        </w:rPr>
        <w:t>（评分标准或招标文件中要求提供的材料，格式自拟）</w:t>
      </w:r>
    </w:p>
    <w:p w14:paraId="062B626F">
      <w:pPr>
        <w:keepNext/>
        <w:keepLines/>
        <w:spacing w:line="276" w:lineRule="auto"/>
        <w:jc w:val="left"/>
        <w:rPr>
          <w:rFonts w:ascii="宋体" w:hAnsi="宋体" w:cs="宋体"/>
          <w:color w:val="auto"/>
          <w:sz w:val="24"/>
          <w:highlight w:val="none"/>
        </w:rPr>
      </w:pPr>
      <w:r>
        <w:rPr>
          <w:rFonts w:hint="eastAsia" w:ascii="宋体" w:hAnsi="宋体" w:cs="宋体"/>
          <w:color w:val="auto"/>
          <w:sz w:val="24"/>
          <w:highlight w:val="none"/>
        </w:rPr>
        <w:t>例如：</w:t>
      </w:r>
    </w:p>
    <w:p w14:paraId="6C50E44F">
      <w:pPr>
        <w:keepNext/>
        <w:keepLines/>
        <w:numPr>
          <w:ilvl w:val="0"/>
          <w:numId w:val="12"/>
        </w:numPr>
        <w:spacing w:line="276" w:lineRule="auto"/>
        <w:jc w:val="left"/>
        <w:rPr>
          <w:rFonts w:ascii="宋体" w:hAnsi="宋体" w:cs="宋体"/>
          <w:color w:val="auto"/>
          <w:sz w:val="24"/>
          <w:highlight w:val="none"/>
        </w:rPr>
      </w:pPr>
      <w:r>
        <w:rPr>
          <w:rFonts w:hint="eastAsia" w:ascii="宋体" w:hAnsi="宋体" w:cs="宋体"/>
          <w:color w:val="auto"/>
          <w:sz w:val="24"/>
          <w:highlight w:val="none"/>
        </w:rPr>
        <w:t>《第四章采购需求》维保服务要求内提及的佐证材料或承诺书</w:t>
      </w:r>
    </w:p>
    <w:p w14:paraId="2181FB52">
      <w:pPr>
        <w:keepNext/>
        <w:keepLines/>
        <w:numPr>
          <w:ilvl w:val="0"/>
          <w:numId w:val="12"/>
        </w:numPr>
        <w:spacing w:line="276" w:lineRule="auto"/>
        <w:jc w:val="left"/>
        <w:rPr>
          <w:rFonts w:ascii="宋体" w:hAnsi="宋体" w:cs="宋体"/>
          <w:color w:val="auto"/>
          <w:sz w:val="24"/>
          <w:highlight w:val="none"/>
        </w:rPr>
      </w:pPr>
      <w:r>
        <w:rPr>
          <w:rFonts w:hint="eastAsia" w:ascii="宋体" w:hAnsi="宋体" w:cs="宋体"/>
          <w:color w:val="auto"/>
          <w:sz w:val="24"/>
          <w:highlight w:val="none"/>
        </w:rPr>
        <w:t>其他</w:t>
      </w:r>
    </w:p>
    <w:p w14:paraId="2B555B55">
      <w:pPr>
        <w:spacing w:line="276" w:lineRule="auto"/>
        <w:rPr>
          <w:rFonts w:ascii="宋体" w:hAnsi="宋体" w:cs="仿宋"/>
          <w:b/>
          <w:bCs/>
          <w:color w:val="auto"/>
          <w:sz w:val="32"/>
          <w:szCs w:val="32"/>
          <w:highlight w:val="none"/>
        </w:rPr>
      </w:pPr>
      <w:r>
        <w:rPr>
          <w:rFonts w:hint="eastAsia" w:ascii="宋体" w:hAnsi="宋体" w:cs="仿宋"/>
          <w:b/>
          <w:bCs/>
          <w:color w:val="auto"/>
          <w:sz w:val="32"/>
          <w:szCs w:val="32"/>
          <w:highlight w:val="none"/>
        </w:rPr>
        <w:br w:type="page"/>
      </w:r>
    </w:p>
    <w:p w14:paraId="73EA3AD4">
      <w:pPr>
        <w:spacing w:line="276" w:lineRule="auto"/>
        <w:jc w:val="center"/>
        <w:outlineLvl w:val="1"/>
        <w:rPr>
          <w:rFonts w:ascii="宋体" w:hAnsi="宋体" w:cs="仿宋"/>
          <w:b/>
          <w:bCs/>
          <w:color w:val="auto"/>
          <w:sz w:val="32"/>
          <w:szCs w:val="32"/>
          <w:highlight w:val="none"/>
        </w:rPr>
      </w:pPr>
      <w:bookmarkStart w:id="204" w:name="_Toc184129805"/>
      <w:r>
        <w:rPr>
          <w:rFonts w:hint="eastAsia" w:ascii="宋体" w:hAnsi="宋体" w:cs="仿宋"/>
          <w:b/>
          <w:bCs/>
          <w:color w:val="auto"/>
          <w:sz w:val="32"/>
          <w:szCs w:val="32"/>
          <w:highlight w:val="none"/>
        </w:rPr>
        <w:t>质疑函范本</w:t>
      </w:r>
      <w:bookmarkEnd w:id="204"/>
    </w:p>
    <w:p w14:paraId="0E741067">
      <w:pPr>
        <w:spacing w:before="290" w:line="276" w:lineRule="auto"/>
        <w:rPr>
          <w:rFonts w:ascii="宋体" w:hAnsi="宋体" w:cs="仿宋"/>
          <w:bCs/>
          <w:color w:val="auto"/>
          <w:sz w:val="24"/>
          <w:highlight w:val="none"/>
        </w:rPr>
      </w:pPr>
      <w:r>
        <w:rPr>
          <w:rFonts w:hint="eastAsia" w:ascii="宋体" w:hAnsi="宋体" w:cs="仿宋"/>
          <w:bCs/>
          <w:color w:val="auto"/>
          <w:sz w:val="24"/>
          <w:highlight w:val="none"/>
        </w:rPr>
        <w:t>一、质疑供应商基本信息</w:t>
      </w:r>
    </w:p>
    <w:p w14:paraId="718AC258">
      <w:pPr>
        <w:spacing w:line="276" w:lineRule="auto"/>
        <w:rPr>
          <w:rFonts w:ascii="宋体" w:hAnsi="宋体" w:cs="仿宋"/>
          <w:color w:val="auto"/>
          <w:sz w:val="24"/>
          <w:highlight w:val="none"/>
          <w:u w:val="single"/>
        </w:rPr>
      </w:pPr>
      <w:r>
        <w:rPr>
          <w:rFonts w:hint="eastAsia" w:ascii="宋体" w:hAnsi="宋体" w:cs="仿宋"/>
          <w:color w:val="auto"/>
          <w:sz w:val="24"/>
          <w:highlight w:val="none"/>
        </w:rPr>
        <w:t>质疑供应商：</w:t>
      </w:r>
      <w:r>
        <w:rPr>
          <w:rFonts w:hint="eastAsia" w:ascii="宋体" w:hAnsi="宋体" w:cs="仿宋"/>
          <w:color w:val="auto"/>
          <w:sz w:val="24"/>
          <w:highlight w:val="none"/>
          <w:u w:val="single"/>
        </w:rPr>
        <w:t xml:space="preserve">                                                              </w:t>
      </w:r>
    </w:p>
    <w:p w14:paraId="124AB431">
      <w:pPr>
        <w:spacing w:line="276" w:lineRule="auto"/>
        <w:rPr>
          <w:rFonts w:ascii="宋体" w:hAnsi="宋体" w:cs="仿宋"/>
          <w:color w:val="auto"/>
          <w:sz w:val="24"/>
          <w:highlight w:val="none"/>
        </w:rPr>
      </w:pPr>
      <w:r>
        <w:rPr>
          <w:rFonts w:hint="eastAsia" w:ascii="宋体" w:hAnsi="宋体" w:cs="仿宋"/>
          <w:color w:val="auto"/>
          <w:sz w:val="24"/>
          <w:highlight w:val="none"/>
        </w:rPr>
        <w:t>地址：</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邮编：</w:t>
      </w:r>
      <w:r>
        <w:rPr>
          <w:rFonts w:hint="eastAsia" w:ascii="宋体" w:hAnsi="宋体" w:cs="仿宋"/>
          <w:color w:val="auto"/>
          <w:sz w:val="24"/>
          <w:highlight w:val="none"/>
          <w:u w:val="single"/>
        </w:rPr>
        <w:t xml:space="preserve">                                    </w:t>
      </w:r>
    </w:p>
    <w:p w14:paraId="204F566D">
      <w:pPr>
        <w:spacing w:line="276" w:lineRule="auto"/>
        <w:rPr>
          <w:rFonts w:ascii="宋体" w:hAnsi="宋体" w:cs="仿宋"/>
          <w:color w:val="auto"/>
          <w:sz w:val="24"/>
          <w:highlight w:val="none"/>
        </w:rPr>
      </w:pPr>
      <w:r>
        <w:rPr>
          <w:rFonts w:hint="eastAsia" w:ascii="宋体" w:hAnsi="宋体" w:cs="仿宋"/>
          <w:color w:val="auto"/>
          <w:sz w:val="24"/>
          <w:highlight w:val="none"/>
        </w:rPr>
        <w:t>联系人：</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联系电话：</w:t>
      </w:r>
      <w:r>
        <w:rPr>
          <w:rFonts w:hint="eastAsia" w:ascii="宋体" w:hAnsi="宋体" w:cs="仿宋"/>
          <w:color w:val="auto"/>
          <w:sz w:val="24"/>
          <w:highlight w:val="none"/>
          <w:u w:val="single"/>
        </w:rPr>
        <w:t xml:space="preserve">                                       </w:t>
      </w:r>
    </w:p>
    <w:p w14:paraId="1D225B5B">
      <w:pPr>
        <w:spacing w:line="276" w:lineRule="auto"/>
        <w:rPr>
          <w:rFonts w:ascii="宋体" w:hAnsi="宋体" w:cs="仿宋"/>
          <w:color w:val="auto"/>
          <w:sz w:val="24"/>
          <w:highlight w:val="none"/>
          <w:u w:val="single"/>
        </w:rPr>
      </w:pPr>
      <w:r>
        <w:rPr>
          <w:rFonts w:hint="eastAsia" w:ascii="宋体" w:hAnsi="宋体" w:cs="仿宋"/>
          <w:color w:val="auto"/>
          <w:sz w:val="24"/>
          <w:highlight w:val="none"/>
        </w:rPr>
        <w:t>授权代表：</w:t>
      </w:r>
      <w:r>
        <w:rPr>
          <w:rFonts w:hint="eastAsia" w:ascii="宋体" w:hAnsi="宋体" w:cs="仿宋"/>
          <w:color w:val="auto"/>
          <w:sz w:val="24"/>
          <w:highlight w:val="none"/>
          <w:u w:val="single"/>
        </w:rPr>
        <w:t xml:space="preserve">                                                                 </w:t>
      </w:r>
    </w:p>
    <w:p w14:paraId="2E0E1D73">
      <w:pPr>
        <w:spacing w:line="276" w:lineRule="auto"/>
        <w:rPr>
          <w:rFonts w:ascii="宋体" w:hAnsi="宋体" w:cs="仿宋"/>
          <w:color w:val="auto"/>
          <w:sz w:val="24"/>
          <w:highlight w:val="none"/>
        </w:rPr>
      </w:pPr>
      <w:r>
        <w:rPr>
          <w:rFonts w:hint="eastAsia" w:ascii="宋体" w:hAnsi="宋体" w:cs="仿宋"/>
          <w:color w:val="auto"/>
          <w:sz w:val="24"/>
          <w:highlight w:val="none"/>
        </w:rPr>
        <w:t>联系电话：</w:t>
      </w:r>
      <w:r>
        <w:rPr>
          <w:rFonts w:hint="eastAsia" w:ascii="宋体" w:hAnsi="宋体" w:cs="仿宋"/>
          <w:color w:val="auto"/>
          <w:sz w:val="24"/>
          <w:highlight w:val="none"/>
          <w:u w:val="single"/>
        </w:rPr>
        <w:t xml:space="preserve">                                                                </w:t>
      </w:r>
    </w:p>
    <w:p w14:paraId="09B27F30">
      <w:pPr>
        <w:spacing w:line="276" w:lineRule="auto"/>
        <w:rPr>
          <w:rFonts w:ascii="宋体" w:hAnsi="宋体" w:cs="仿宋"/>
          <w:color w:val="auto"/>
          <w:sz w:val="24"/>
          <w:highlight w:val="none"/>
        </w:rPr>
      </w:pPr>
      <w:r>
        <w:rPr>
          <w:rFonts w:hint="eastAsia" w:ascii="宋体" w:hAnsi="宋体" w:cs="仿宋"/>
          <w:color w:val="auto"/>
          <w:sz w:val="24"/>
          <w:highlight w:val="none"/>
        </w:rPr>
        <w:t>地址：</w:t>
      </w:r>
      <w:r>
        <w:rPr>
          <w:rFonts w:ascii="宋体" w:hAnsi="宋体" w:cs="仿宋"/>
          <w:color w:val="auto"/>
          <w:sz w:val="24"/>
          <w:highlight w:val="none"/>
        </w:rPr>
        <w:t xml:space="preserve"> </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邮编：</w:t>
      </w:r>
      <w:r>
        <w:rPr>
          <w:rFonts w:hint="eastAsia" w:ascii="宋体" w:hAnsi="宋体" w:cs="仿宋"/>
          <w:color w:val="auto"/>
          <w:sz w:val="24"/>
          <w:highlight w:val="none"/>
          <w:u w:val="single"/>
        </w:rPr>
        <w:t xml:space="preserve">                                     </w:t>
      </w:r>
    </w:p>
    <w:p w14:paraId="6365554E">
      <w:pPr>
        <w:spacing w:line="276" w:lineRule="auto"/>
        <w:rPr>
          <w:rFonts w:ascii="宋体" w:hAnsi="宋体" w:cs="仿宋"/>
          <w:bCs/>
          <w:color w:val="auto"/>
          <w:sz w:val="24"/>
          <w:highlight w:val="none"/>
        </w:rPr>
      </w:pPr>
      <w:r>
        <w:rPr>
          <w:rFonts w:hint="eastAsia" w:ascii="宋体" w:hAnsi="宋体" w:cs="仿宋"/>
          <w:bCs/>
          <w:color w:val="auto"/>
          <w:sz w:val="24"/>
          <w:highlight w:val="none"/>
        </w:rPr>
        <w:t>二、质疑项目基本情况</w:t>
      </w:r>
    </w:p>
    <w:p w14:paraId="7B834F47">
      <w:pPr>
        <w:spacing w:line="276" w:lineRule="auto"/>
        <w:rPr>
          <w:rFonts w:ascii="宋体" w:hAnsi="宋体" w:cs="仿宋"/>
          <w:color w:val="auto"/>
          <w:sz w:val="24"/>
          <w:highlight w:val="none"/>
        </w:rPr>
      </w:pPr>
      <w:r>
        <w:rPr>
          <w:rFonts w:hint="eastAsia" w:ascii="宋体" w:hAnsi="宋体" w:cs="仿宋"/>
          <w:color w:val="auto"/>
          <w:sz w:val="24"/>
          <w:highlight w:val="none"/>
        </w:rPr>
        <w:t>质疑项目的名称：</w:t>
      </w:r>
      <w:r>
        <w:rPr>
          <w:rFonts w:hint="eastAsia" w:ascii="宋体" w:hAnsi="宋体" w:cs="仿宋"/>
          <w:color w:val="auto"/>
          <w:sz w:val="24"/>
          <w:highlight w:val="none"/>
          <w:u w:val="single"/>
        </w:rPr>
        <w:t xml:space="preserve">                                                          </w:t>
      </w:r>
    </w:p>
    <w:p w14:paraId="796B9811">
      <w:pPr>
        <w:spacing w:line="276" w:lineRule="auto"/>
        <w:rPr>
          <w:rFonts w:ascii="宋体" w:hAnsi="宋体" w:cs="仿宋"/>
          <w:color w:val="auto"/>
          <w:sz w:val="24"/>
          <w:highlight w:val="none"/>
        </w:rPr>
      </w:pPr>
      <w:r>
        <w:rPr>
          <w:rFonts w:hint="eastAsia" w:ascii="宋体" w:hAnsi="宋体" w:cs="仿宋"/>
          <w:color w:val="auto"/>
          <w:sz w:val="24"/>
          <w:highlight w:val="none"/>
        </w:rPr>
        <w:t>质疑项目的编号：</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包号：</w:t>
      </w:r>
      <w:r>
        <w:rPr>
          <w:rFonts w:hint="eastAsia" w:ascii="宋体" w:hAnsi="宋体" w:cs="仿宋"/>
          <w:color w:val="auto"/>
          <w:sz w:val="24"/>
          <w:highlight w:val="none"/>
          <w:u w:val="single"/>
        </w:rPr>
        <w:t xml:space="preserve">                           </w:t>
      </w:r>
    </w:p>
    <w:p w14:paraId="59E2DA1C">
      <w:pPr>
        <w:spacing w:line="276" w:lineRule="auto"/>
        <w:rPr>
          <w:rFonts w:ascii="宋体" w:hAnsi="宋体" w:cs="仿宋"/>
          <w:color w:val="auto"/>
          <w:sz w:val="24"/>
          <w:highlight w:val="none"/>
          <w:u w:val="single"/>
        </w:rPr>
      </w:pPr>
      <w:r>
        <w:rPr>
          <w:rFonts w:hint="eastAsia" w:ascii="宋体" w:hAnsi="宋体" w:cs="仿宋"/>
          <w:color w:val="auto"/>
          <w:sz w:val="24"/>
          <w:highlight w:val="none"/>
        </w:rPr>
        <w:t>采购人名称：</w:t>
      </w:r>
      <w:r>
        <w:rPr>
          <w:rFonts w:hint="eastAsia" w:ascii="宋体" w:hAnsi="宋体" w:cs="仿宋"/>
          <w:color w:val="auto"/>
          <w:sz w:val="24"/>
          <w:highlight w:val="none"/>
          <w:u w:val="single"/>
        </w:rPr>
        <w:t xml:space="preserve">                                                              </w:t>
      </w:r>
    </w:p>
    <w:p w14:paraId="7CC4D811">
      <w:pPr>
        <w:spacing w:line="276" w:lineRule="auto"/>
        <w:rPr>
          <w:rFonts w:ascii="宋体" w:hAnsi="宋体" w:cs="仿宋"/>
          <w:color w:val="auto"/>
          <w:sz w:val="24"/>
          <w:highlight w:val="none"/>
        </w:rPr>
      </w:pPr>
      <w:r>
        <w:rPr>
          <w:rFonts w:hint="eastAsia" w:ascii="宋体" w:hAnsi="宋体" w:cs="仿宋"/>
          <w:color w:val="auto"/>
          <w:sz w:val="24"/>
          <w:highlight w:val="none"/>
        </w:rPr>
        <w:t>采购文件获取日期：</w:t>
      </w:r>
      <w:r>
        <w:rPr>
          <w:rFonts w:hint="eastAsia" w:ascii="宋体" w:hAnsi="宋体" w:cs="仿宋"/>
          <w:color w:val="auto"/>
          <w:sz w:val="24"/>
          <w:highlight w:val="none"/>
          <w:u w:val="single"/>
        </w:rPr>
        <w:t xml:space="preserve">                                                        </w:t>
      </w:r>
    </w:p>
    <w:p w14:paraId="6F1A1D6A">
      <w:pPr>
        <w:spacing w:line="276" w:lineRule="auto"/>
        <w:rPr>
          <w:rFonts w:ascii="宋体" w:hAnsi="宋体" w:cs="仿宋"/>
          <w:bCs/>
          <w:color w:val="auto"/>
          <w:sz w:val="24"/>
          <w:highlight w:val="none"/>
        </w:rPr>
      </w:pPr>
      <w:r>
        <w:rPr>
          <w:rFonts w:hint="eastAsia" w:ascii="宋体" w:hAnsi="宋体" w:cs="仿宋"/>
          <w:bCs/>
          <w:color w:val="auto"/>
          <w:sz w:val="24"/>
          <w:highlight w:val="none"/>
        </w:rPr>
        <w:t>三、质疑事项具体内容</w:t>
      </w:r>
    </w:p>
    <w:p w14:paraId="03DD3B76">
      <w:pPr>
        <w:spacing w:line="276" w:lineRule="auto"/>
        <w:rPr>
          <w:rFonts w:ascii="宋体" w:hAnsi="宋体" w:cs="仿宋"/>
          <w:color w:val="auto"/>
          <w:sz w:val="24"/>
          <w:highlight w:val="none"/>
          <w:u w:val="single"/>
        </w:rPr>
      </w:pPr>
      <w:r>
        <w:rPr>
          <w:rFonts w:hint="eastAsia" w:ascii="宋体" w:hAnsi="宋体" w:cs="仿宋"/>
          <w:color w:val="auto"/>
          <w:sz w:val="24"/>
          <w:highlight w:val="none"/>
        </w:rPr>
        <w:t>质疑事项1：</w:t>
      </w:r>
      <w:r>
        <w:rPr>
          <w:rFonts w:hint="eastAsia" w:ascii="宋体" w:hAnsi="宋体" w:cs="仿宋"/>
          <w:color w:val="auto"/>
          <w:sz w:val="24"/>
          <w:highlight w:val="none"/>
          <w:u w:val="single"/>
        </w:rPr>
        <w:t xml:space="preserve">                                                              </w:t>
      </w:r>
    </w:p>
    <w:p w14:paraId="34EF4E26">
      <w:pPr>
        <w:spacing w:line="276" w:lineRule="auto"/>
        <w:rPr>
          <w:rFonts w:ascii="宋体" w:hAnsi="宋体" w:cs="仿宋"/>
          <w:color w:val="auto"/>
          <w:sz w:val="24"/>
          <w:highlight w:val="none"/>
          <w:u w:val="single"/>
        </w:rPr>
      </w:pPr>
      <w:r>
        <w:rPr>
          <w:rFonts w:hint="eastAsia" w:ascii="宋体" w:hAnsi="宋体" w:cs="仿宋"/>
          <w:color w:val="auto"/>
          <w:sz w:val="24"/>
          <w:highlight w:val="none"/>
        </w:rPr>
        <w:t>事实依据：</w:t>
      </w:r>
      <w:r>
        <w:rPr>
          <w:rFonts w:hint="eastAsia" w:ascii="宋体" w:hAnsi="宋体" w:cs="仿宋"/>
          <w:color w:val="auto"/>
          <w:sz w:val="24"/>
          <w:highlight w:val="none"/>
          <w:u w:val="single"/>
        </w:rPr>
        <w:t xml:space="preserve">                                                                </w:t>
      </w:r>
    </w:p>
    <w:p w14:paraId="1AE36850">
      <w:pPr>
        <w:spacing w:line="276" w:lineRule="auto"/>
        <w:rPr>
          <w:rFonts w:ascii="宋体" w:hAnsi="宋体" w:cs="仿宋"/>
          <w:color w:val="auto"/>
          <w:sz w:val="24"/>
          <w:highlight w:val="none"/>
        </w:rPr>
      </w:pPr>
      <w:r>
        <w:rPr>
          <w:rFonts w:hint="eastAsia" w:ascii="宋体" w:hAnsi="宋体" w:cs="仿宋"/>
          <w:color w:val="auto"/>
          <w:sz w:val="24"/>
          <w:highlight w:val="none"/>
          <w:u w:val="single"/>
        </w:rPr>
        <w:t xml:space="preserve">                                                                           </w:t>
      </w:r>
    </w:p>
    <w:p w14:paraId="52054935">
      <w:pPr>
        <w:spacing w:line="276" w:lineRule="auto"/>
        <w:rPr>
          <w:rFonts w:ascii="宋体" w:hAnsi="宋体" w:cs="仿宋"/>
          <w:color w:val="auto"/>
          <w:sz w:val="24"/>
          <w:highlight w:val="none"/>
          <w:u w:val="single"/>
        </w:rPr>
      </w:pPr>
      <w:r>
        <w:rPr>
          <w:rFonts w:hint="eastAsia" w:ascii="宋体" w:hAnsi="宋体" w:cs="仿宋"/>
          <w:color w:val="auto"/>
          <w:sz w:val="24"/>
          <w:highlight w:val="none"/>
        </w:rPr>
        <w:t>法律依据：</w:t>
      </w:r>
      <w:r>
        <w:rPr>
          <w:rFonts w:hint="eastAsia" w:ascii="宋体" w:hAnsi="宋体" w:cs="仿宋"/>
          <w:color w:val="auto"/>
          <w:sz w:val="24"/>
          <w:highlight w:val="none"/>
          <w:u w:val="single"/>
        </w:rPr>
        <w:t xml:space="preserve">                                                                 </w:t>
      </w:r>
    </w:p>
    <w:p w14:paraId="448943D1">
      <w:pPr>
        <w:spacing w:line="276"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                                                                           </w:t>
      </w:r>
    </w:p>
    <w:p w14:paraId="24147530">
      <w:pPr>
        <w:spacing w:line="276" w:lineRule="auto"/>
        <w:rPr>
          <w:rFonts w:ascii="宋体" w:hAnsi="宋体" w:cs="仿宋"/>
          <w:color w:val="auto"/>
          <w:sz w:val="24"/>
          <w:highlight w:val="none"/>
          <w:u w:val="single"/>
        </w:rPr>
      </w:pPr>
      <w:r>
        <w:rPr>
          <w:rFonts w:hint="eastAsia" w:ascii="宋体" w:hAnsi="宋体" w:cs="仿宋"/>
          <w:color w:val="auto"/>
          <w:sz w:val="24"/>
          <w:highlight w:val="none"/>
        </w:rPr>
        <w:t>质疑事项2</w:t>
      </w:r>
    </w:p>
    <w:p w14:paraId="1964042F">
      <w:pPr>
        <w:spacing w:line="276" w:lineRule="auto"/>
        <w:rPr>
          <w:rFonts w:ascii="宋体" w:hAnsi="宋体" w:cs="仿宋"/>
          <w:color w:val="auto"/>
          <w:sz w:val="24"/>
          <w:highlight w:val="none"/>
        </w:rPr>
      </w:pPr>
      <w:r>
        <w:rPr>
          <w:rFonts w:hint="eastAsia" w:ascii="宋体" w:hAnsi="宋体" w:cs="仿宋"/>
          <w:color w:val="auto"/>
          <w:sz w:val="24"/>
          <w:highlight w:val="none"/>
        </w:rPr>
        <w:t>……</w:t>
      </w:r>
    </w:p>
    <w:p w14:paraId="0D19A39E">
      <w:pPr>
        <w:spacing w:line="276" w:lineRule="auto"/>
        <w:rPr>
          <w:rFonts w:ascii="宋体" w:hAnsi="宋体" w:cs="仿宋"/>
          <w:bCs/>
          <w:color w:val="auto"/>
          <w:sz w:val="24"/>
          <w:highlight w:val="none"/>
        </w:rPr>
      </w:pPr>
      <w:r>
        <w:rPr>
          <w:rFonts w:hint="eastAsia" w:ascii="宋体" w:hAnsi="宋体" w:cs="仿宋"/>
          <w:bCs/>
          <w:color w:val="auto"/>
          <w:sz w:val="24"/>
          <w:highlight w:val="none"/>
        </w:rPr>
        <w:t>四、与质疑事项相关的质疑请求</w:t>
      </w:r>
    </w:p>
    <w:p w14:paraId="373DE1B3">
      <w:pPr>
        <w:spacing w:line="276" w:lineRule="auto"/>
        <w:rPr>
          <w:rFonts w:ascii="宋体" w:hAnsi="宋体" w:cs="仿宋"/>
          <w:color w:val="auto"/>
          <w:sz w:val="24"/>
          <w:highlight w:val="none"/>
          <w:u w:val="single"/>
        </w:rPr>
      </w:pPr>
      <w:r>
        <w:rPr>
          <w:rFonts w:hint="eastAsia" w:ascii="宋体" w:hAnsi="宋体" w:cs="仿宋"/>
          <w:color w:val="auto"/>
          <w:sz w:val="24"/>
          <w:highlight w:val="none"/>
        </w:rPr>
        <w:t>请求：</w:t>
      </w:r>
      <w:r>
        <w:rPr>
          <w:rFonts w:hint="eastAsia" w:ascii="宋体" w:hAnsi="宋体" w:cs="仿宋"/>
          <w:color w:val="auto"/>
          <w:sz w:val="24"/>
          <w:highlight w:val="none"/>
          <w:u w:val="single"/>
        </w:rPr>
        <w:t xml:space="preserve">                                                                     </w:t>
      </w:r>
    </w:p>
    <w:p w14:paraId="1FBD6079">
      <w:pPr>
        <w:spacing w:line="276" w:lineRule="auto"/>
        <w:rPr>
          <w:rFonts w:ascii="宋体" w:hAnsi="宋体"/>
          <w:color w:val="auto"/>
          <w:sz w:val="24"/>
          <w:highlight w:val="none"/>
        </w:rPr>
      </w:pPr>
      <w:r>
        <w:rPr>
          <w:rFonts w:hint="eastAsia" w:ascii="宋体" w:hAnsi="宋体"/>
          <w:color w:val="auto"/>
          <w:sz w:val="24"/>
          <w:highlight w:val="none"/>
        </w:rPr>
        <w:t xml:space="preserve">签字(签章)：                   公章：                      </w:t>
      </w:r>
    </w:p>
    <w:p w14:paraId="63EBF56F">
      <w:pPr>
        <w:spacing w:line="276" w:lineRule="auto"/>
        <w:rPr>
          <w:rFonts w:ascii="宋体" w:hAnsi="宋体"/>
          <w:color w:val="auto"/>
          <w:sz w:val="24"/>
          <w:highlight w:val="none"/>
        </w:rPr>
      </w:pPr>
      <w:r>
        <w:rPr>
          <w:rFonts w:hint="eastAsia" w:ascii="宋体" w:hAnsi="宋体"/>
          <w:color w:val="auto"/>
          <w:sz w:val="24"/>
          <w:highlight w:val="none"/>
        </w:rPr>
        <w:t xml:space="preserve">日期：    </w:t>
      </w:r>
    </w:p>
    <w:p w14:paraId="2BDD9CE1">
      <w:pPr>
        <w:spacing w:line="276" w:lineRule="auto"/>
        <w:rPr>
          <w:rFonts w:ascii="宋体" w:hAnsi="宋体"/>
          <w:b/>
          <w:color w:val="auto"/>
          <w:sz w:val="24"/>
          <w:highlight w:val="none"/>
        </w:rPr>
      </w:pPr>
      <w:r>
        <w:rPr>
          <w:rFonts w:hint="eastAsia" w:ascii="宋体" w:hAnsi="宋体"/>
          <w:b/>
          <w:color w:val="auto"/>
          <w:sz w:val="24"/>
          <w:highlight w:val="none"/>
        </w:rPr>
        <w:t>质疑函制作说明：</w:t>
      </w:r>
    </w:p>
    <w:p w14:paraId="7664F521">
      <w:pPr>
        <w:widowControl/>
        <w:spacing w:line="276" w:lineRule="auto"/>
        <w:ind w:firstLine="480"/>
        <w:jc w:val="left"/>
        <w:rPr>
          <w:rFonts w:ascii="宋体" w:hAnsi="宋体"/>
          <w:color w:val="auto"/>
          <w:sz w:val="24"/>
          <w:highlight w:val="none"/>
        </w:rPr>
      </w:pPr>
      <w:r>
        <w:rPr>
          <w:rFonts w:hint="eastAsia" w:ascii="宋体" w:hAnsi="宋体"/>
          <w:color w:val="auto"/>
          <w:sz w:val="24"/>
          <w:highlight w:val="none"/>
        </w:rPr>
        <w:t>1.供应商提出质疑时，应提交质疑函和必要的证明材料。</w:t>
      </w:r>
    </w:p>
    <w:p w14:paraId="12CC0F6A">
      <w:pPr>
        <w:widowControl/>
        <w:spacing w:line="276" w:lineRule="auto"/>
        <w:ind w:firstLine="480"/>
        <w:jc w:val="left"/>
        <w:rPr>
          <w:rFonts w:ascii="宋体" w:hAnsi="宋体"/>
          <w:color w:val="auto"/>
          <w:sz w:val="24"/>
          <w:highlight w:val="none"/>
        </w:rPr>
      </w:pPr>
      <w:r>
        <w:rPr>
          <w:rFonts w:hint="eastAsia" w:ascii="宋体" w:hAnsi="宋体"/>
          <w:color w:val="auto"/>
          <w:sz w:val="24"/>
          <w:highlight w:val="none"/>
        </w:rPr>
        <w:t>2.质疑供应商若委托代理人进行质疑的，质疑函应按要求列明“授权代表”的有关内容，并在附件中提交由质疑</w:t>
      </w:r>
      <w:r>
        <w:rPr>
          <w:rFonts w:hint="eastAsia" w:ascii="宋体" w:hAnsi="宋体" w:cs="宋体"/>
          <w:color w:val="auto"/>
          <w:sz w:val="24"/>
          <w:highlight w:val="none"/>
        </w:rPr>
        <w:t>供应商签署的授权委托书。授权委托书应载明代理人的姓名或者名称、代理事项、具体权限、期限和相关事项。</w:t>
      </w:r>
    </w:p>
    <w:p w14:paraId="4B3410CC">
      <w:pPr>
        <w:widowControl/>
        <w:spacing w:line="276" w:lineRule="auto"/>
        <w:ind w:firstLine="480"/>
        <w:jc w:val="left"/>
        <w:rPr>
          <w:rFonts w:ascii="宋体" w:hAnsi="宋体"/>
          <w:color w:val="auto"/>
          <w:sz w:val="24"/>
          <w:highlight w:val="none"/>
        </w:rPr>
      </w:pPr>
      <w:r>
        <w:rPr>
          <w:rFonts w:hint="eastAsia" w:ascii="宋体" w:hAnsi="宋体"/>
          <w:color w:val="auto"/>
          <w:sz w:val="24"/>
          <w:highlight w:val="none"/>
        </w:rPr>
        <w:t>3.质疑供应商若对项目的某一分包进行质疑，质疑函中应列明具体分包号。</w:t>
      </w:r>
    </w:p>
    <w:p w14:paraId="2C613E7B">
      <w:pPr>
        <w:widowControl/>
        <w:spacing w:line="276" w:lineRule="auto"/>
        <w:ind w:firstLine="480"/>
        <w:jc w:val="left"/>
        <w:rPr>
          <w:rFonts w:ascii="宋体" w:hAnsi="宋体"/>
          <w:color w:val="auto"/>
          <w:sz w:val="24"/>
          <w:highlight w:val="none"/>
        </w:rPr>
      </w:pPr>
      <w:r>
        <w:rPr>
          <w:rFonts w:hint="eastAsia" w:ascii="宋体" w:hAnsi="宋体"/>
          <w:color w:val="auto"/>
          <w:sz w:val="24"/>
          <w:highlight w:val="none"/>
        </w:rPr>
        <w:t>4.质疑函的质疑事项应具体、明确，并有必要的事实依据和法律依据。</w:t>
      </w:r>
    </w:p>
    <w:p w14:paraId="240F281F">
      <w:pPr>
        <w:widowControl/>
        <w:spacing w:line="276" w:lineRule="auto"/>
        <w:ind w:firstLine="480"/>
        <w:jc w:val="left"/>
        <w:rPr>
          <w:rFonts w:ascii="宋体" w:hAnsi="宋体"/>
          <w:color w:val="auto"/>
          <w:sz w:val="24"/>
          <w:highlight w:val="none"/>
        </w:rPr>
      </w:pPr>
      <w:r>
        <w:rPr>
          <w:rFonts w:hint="eastAsia" w:ascii="宋体" w:hAnsi="宋体"/>
          <w:color w:val="auto"/>
          <w:sz w:val="24"/>
          <w:highlight w:val="none"/>
        </w:rPr>
        <w:t>5.质疑函的质疑请求应与质疑事项相关。</w:t>
      </w:r>
    </w:p>
    <w:p w14:paraId="49DA0A62">
      <w:pPr>
        <w:widowControl/>
        <w:spacing w:line="276" w:lineRule="auto"/>
        <w:ind w:firstLine="480"/>
        <w:jc w:val="left"/>
        <w:rPr>
          <w:rFonts w:ascii="宋体" w:hAnsi="宋体"/>
          <w:color w:val="auto"/>
          <w:sz w:val="24"/>
          <w:highlight w:val="none"/>
        </w:rPr>
      </w:pPr>
      <w:r>
        <w:rPr>
          <w:rFonts w:hint="eastAsia" w:ascii="宋体" w:hAnsi="宋体"/>
          <w:color w:val="auto"/>
          <w:sz w:val="24"/>
          <w:highlight w:val="none"/>
        </w:rPr>
        <w:t>6.质疑供应商为自然人的，质疑函应由本人签字；质疑供应商为法人或者其他组织的，质疑函应由法定代表人、主要负责人，或者其授权代表签字或者盖章，并加盖公章。</w:t>
      </w:r>
    </w:p>
    <w:sectPr>
      <w:pgSz w:w="11906" w:h="16838"/>
      <w:pgMar w:top="1560" w:right="1417" w:bottom="850" w:left="1417" w:header="850" w:footer="992" w:gutter="0"/>
      <w:cols w:space="0" w:num="1"/>
      <w:docGrid w:type="lines" w:linePitch="32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Arial Narrow">
    <w:panose1 w:val="020B0606020202030204"/>
    <w:charset w:val="00"/>
    <w:family w:val="swiss"/>
    <w:pitch w:val="default"/>
    <w:sig w:usb0="00000287" w:usb1="00000800" w:usb2="00000000" w:usb3="00000000" w:csb0="2000009F" w:csb1="DFD70000"/>
  </w:font>
  <w:font w:name="Batang">
    <w:panose1 w:val="02030600000101010101"/>
    <w:charset w:val="81"/>
    <w:family w:val="roman"/>
    <w:pitch w:val="default"/>
    <w:sig w:usb0="B00002AF" w:usb1="69D77CFB" w:usb2="00000030" w:usb3="00000000" w:csb0="4008009F" w:csb1="DFD70000"/>
  </w:font>
  <w:font w:name="长城大标宋体">
    <w:altName w:val="Calibri"/>
    <w:panose1 w:val="00000000000000000000"/>
    <w:charset w:val="00"/>
    <w:family w:val="auto"/>
    <w:pitch w:val="default"/>
    <w:sig w:usb0="00000000" w:usb1="00000000" w:usb2="00000000" w:usb3="00000000" w:csb0="00000000" w:csb1="00000000"/>
  </w:font>
  <w:font w:name="FrutBold">
    <w:altName w:val="Times New Roman"/>
    <w:panose1 w:val="00000000000000000000"/>
    <w:charset w:val="00"/>
    <w:family w:val="auto"/>
    <w:pitch w:val="default"/>
    <w:sig w:usb0="00000000" w:usb1="00000000" w:usb2="00000000" w:usb3="00000000" w:csb0="00000000" w:csb1="00000000"/>
  </w:font>
  <w:font w:name="华文仿宋">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仿宋">
    <w:panose1 w:val="02010609060101010101"/>
    <w:charset w:val="86"/>
    <w:family w:val="modern"/>
    <w:pitch w:val="default"/>
    <w:sig w:usb0="800002BF" w:usb1="38CF7CFA" w:usb2="00000016" w:usb3="00000000" w:csb0="00040001" w:csb1="00000000"/>
  </w:font>
  <w:font w:name="华文新魏">
    <w:panose1 w:val="02010800040101010101"/>
    <w:charset w:val="86"/>
    <w:family w:val="auto"/>
    <w:pitch w:val="default"/>
    <w:sig w:usb0="00000001" w:usb1="080F0000" w:usb2="00000000" w:usb3="00000000" w:csb0="00040000" w:csb1="00000000"/>
  </w:font>
  <w:font w:name="PMingLiU">
    <w:panose1 w:val="02020500000000000000"/>
    <w:charset w:val="88"/>
    <w:family w:val="auto"/>
    <w:pitch w:val="default"/>
    <w:sig w:usb0="A00002FF" w:usb1="28CFFCFA" w:usb2="00000016" w:usb3="00000000" w:csb0="00100001" w:csb1="00000000"/>
  </w:font>
  <w:font w:name="微软雅黑">
    <w:panose1 w:val="020B0503020204020204"/>
    <w:charset w:val="86"/>
    <w:family w:val="auto"/>
    <w:pitch w:val="default"/>
    <w:sig w:usb0="80000287" w:usb1="280F3C52" w:usb2="00000016" w:usb3="00000000" w:csb0="0004001F" w:csb1="00000000"/>
  </w:font>
  <w:font w:name="Arial Unicode MS">
    <w:altName w:val="Arial"/>
    <w:panose1 w:val="020B0604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428D0C">
    <w:pPr>
      <w:pStyle w:val="19"/>
      <w:jc w:val="center"/>
      <w:rPr>
        <w:rFonts w:ascii="宋体" w:hAnsi="宋体" w:cs="宋体"/>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EC1B54">
                          <w:pPr>
                            <w:pStyle w:val="19"/>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2</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hint="eastAsia" w:ascii="宋体" w:hAnsi="宋体" w:cs="宋体"/>
                              <w:sz w:val="21"/>
                              <w:szCs w:val="21"/>
                            </w:rPr>
                            <w:t>53</w:t>
                          </w:r>
                          <w:r>
                            <w:rPr>
                              <w:rFonts w:hint="eastAsia" w:ascii="宋体" w:hAnsi="宋体" w:cs="宋体"/>
                              <w:sz w:val="21"/>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58EC1B54">
                    <w:pPr>
                      <w:pStyle w:val="19"/>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2</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hint="eastAsia" w:ascii="宋体" w:hAnsi="宋体" w:cs="宋体"/>
                        <w:sz w:val="21"/>
                        <w:szCs w:val="21"/>
                      </w:rPr>
                      <w:t>53</w:t>
                    </w:r>
                    <w:r>
                      <w:rPr>
                        <w:rFonts w:hint="eastAsia" w:ascii="宋体" w:hAnsi="宋体" w:cs="宋体"/>
                        <w:sz w:val="21"/>
                        <w:szCs w:val="21"/>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4C0AF6">
    <w:pPr>
      <w:pStyle w:val="19"/>
      <w:jc w:val="center"/>
    </w:pPr>
    <w:r>
      <w:rPr>
        <w:rFonts w:hint="eastAsia"/>
      </w:rPr>
      <w:t>第</w:t>
    </w:r>
    <w:r>
      <w:fldChar w:fldCharType="begin"/>
    </w:r>
    <w:r>
      <w:rPr>
        <w:rStyle w:val="34"/>
      </w:rPr>
      <w:instrText xml:space="preserve"> PAGE </w:instrText>
    </w:r>
    <w:r>
      <w:fldChar w:fldCharType="separate"/>
    </w:r>
    <w:r>
      <w:rPr>
        <w:rStyle w:val="34"/>
      </w:rPr>
      <w:t>25</w:t>
    </w:r>
    <w:r>
      <w:fldChar w:fldCharType="end"/>
    </w:r>
    <w:r>
      <w:rPr>
        <w:rStyle w:val="34"/>
        <w:rFonts w:hint="eastAsia"/>
      </w:rPr>
      <w:t>页，共</w:t>
    </w:r>
    <w:r>
      <w:fldChar w:fldCharType="begin"/>
    </w:r>
    <w:r>
      <w:rPr>
        <w:rStyle w:val="34"/>
      </w:rPr>
      <w:instrText xml:space="preserve"> NUMPAGES </w:instrText>
    </w:r>
    <w:r>
      <w:fldChar w:fldCharType="separate"/>
    </w:r>
    <w:r>
      <w:rPr>
        <w:rStyle w:val="34"/>
      </w:rPr>
      <w:t>53</w:t>
    </w:r>
    <w:r>
      <w:fldChar w:fldCharType="end"/>
    </w:r>
    <w:r>
      <w:rPr>
        <w:rStyle w:val="34"/>
        <w:rFonts w:hint="eastAsi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146A07">
    <w:pPr>
      <w:pStyle w:val="19"/>
      <w:jc w:val="center"/>
    </w:pPr>
    <w:r>
      <w:rPr>
        <w:rFonts w:hint="eastAsia"/>
      </w:rPr>
      <w:t>第</w:t>
    </w:r>
    <w:r>
      <w:fldChar w:fldCharType="begin"/>
    </w:r>
    <w:r>
      <w:rPr>
        <w:rStyle w:val="34"/>
      </w:rPr>
      <w:instrText xml:space="preserve"> PAGE </w:instrText>
    </w:r>
    <w:r>
      <w:fldChar w:fldCharType="separate"/>
    </w:r>
    <w:r>
      <w:rPr>
        <w:rStyle w:val="34"/>
      </w:rPr>
      <w:t>34</w:t>
    </w:r>
    <w:r>
      <w:fldChar w:fldCharType="end"/>
    </w:r>
    <w:r>
      <w:rPr>
        <w:rStyle w:val="34"/>
        <w:rFonts w:hint="eastAsia"/>
      </w:rPr>
      <w:t>页，共</w:t>
    </w:r>
    <w:r>
      <w:fldChar w:fldCharType="begin"/>
    </w:r>
    <w:r>
      <w:rPr>
        <w:rStyle w:val="34"/>
      </w:rPr>
      <w:instrText xml:space="preserve"> NUMPAGES </w:instrText>
    </w:r>
    <w:r>
      <w:fldChar w:fldCharType="separate"/>
    </w:r>
    <w:r>
      <w:rPr>
        <w:rStyle w:val="34"/>
      </w:rPr>
      <w:t>53</w:t>
    </w:r>
    <w:r>
      <w:fldChar w:fldCharType="end"/>
    </w:r>
    <w:r>
      <w:rPr>
        <w:rStyle w:val="34"/>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AB198">
    <w:pPr>
      <w:pStyle w:val="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18D0F1">
    <w:pPr>
      <w:pStyle w:val="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D85EAE"/>
    <w:multiLevelType w:val="singleLevel"/>
    <w:tmpl w:val="CFD85EAE"/>
    <w:lvl w:ilvl="0" w:tentative="0">
      <w:start w:val="1"/>
      <w:numFmt w:val="chineseCounting"/>
      <w:suff w:val="nothing"/>
      <w:lvlText w:val="（%1）"/>
      <w:lvlJc w:val="left"/>
      <w:rPr>
        <w:rFonts w:hint="eastAsia"/>
      </w:rPr>
    </w:lvl>
  </w:abstractNum>
  <w:abstractNum w:abstractNumId="1">
    <w:nsid w:val="FDBF98D9"/>
    <w:multiLevelType w:val="singleLevel"/>
    <w:tmpl w:val="FDBF98D9"/>
    <w:lvl w:ilvl="0" w:tentative="0">
      <w:start w:val="16"/>
      <w:numFmt w:val="decimal"/>
      <w:suff w:val="nothing"/>
      <w:lvlText w:val="%1、"/>
      <w:lvlJc w:val="left"/>
    </w:lvl>
  </w:abstractNum>
  <w:abstractNum w:abstractNumId="2">
    <w:nsid w:val="00000005"/>
    <w:multiLevelType w:val="multilevel"/>
    <w:tmpl w:val="00000005"/>
    <w:lvl w:ilvl="0" w:tentative="0">
      <w:start w:val="1"/>
      <w:numFmt w:val="chineseCountingThousand"/>
      <w:lvlText w:val="%1、"/>
      <w:lvlJc w:val="left"/>
      <w:pPr>
        <w:ind w:left="562" w:hanging="420"/>
      </w:pPr>
      <w:rPr>
        <w:rFonts w:hint="eastAsia"/>
      </w:rPr>
    </w:lvl>
    <w:lvl w:ilvl="1" w:tentative="0">
      <w:start w:val="1"/>
      <w:numFmt w:val="lowerLetter"/>
      <w:pStyle w:val="39"/>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6080C17"/>
    <w:multiLevelType w:val="singleLevel"/>
    <w:tmpl w:val="06080C17"/>
    <w:lvl w:ilvl="0" w:tentative="0">
      <w:start w:val="5"/>
      <w:numFmt w:val="upperLetter"/>
      <w:pStyle w:val="2"/>
      <w:lvlText w:val="%1．"/>
      <w:lvlJc w:val="left"/>
      <w:pPr>
        <w:tabs>
          <w:tab w:val="left" w:pos="396"/>
        </w:tabs>
        <w:ind w:left="396" w:hanging="396"/>
      </w:pPr>
      <w:rPr>
        <w:rFonts w:hint="eastAsia" w:cs="Times New Roman"/>
      </w:rPr>
    </w:lvl>
  </w:abstractNum>
  <w:abstractNum w:abstractNumId="4">
    <w:nsid w:val="0B057434"/>
    <w:multiLevelType w:val="singleLevel"/>
    <w:tmpl w:val="0B057434"/>
    <w:lvl w:ilvl="0" w:tentative="0">
      <w:start w:val="1"/>
      <w:numFmt w:val="decimal"/>
      <w:lvlText w:val="%1."/>
      <w:lvlJc w:val="left"/>
      <w:pPr>
        <w:ind w:left="425" w:hanging="425"/>
      </w:pPr>
      <w:rPr>
        <w:rFonts w:hint="default"/>
      </w:rPr>
    </w:lvl>
  </w:abstractNum>
  <w:abstractNum w:abstractNumId="5">
    <w:nsid w:val="15239590"/>
    <w:multiLevelType w:val="singleLevel"/>
    <w:tmpl w:val="15239590"/>
    <w:lvl w:ilvl="0" w:tentative="0">
      <w:start w:val="1"/>
      <w:numFmt w:val="chineseCounting"/>
      <w:suff w:val="nothing"/>
      <w:lvlText w:val="%1、"/>
      <w:lvlJc w:val="left"/>
      <w:rPr>
        <w:rFonts w:hint="eastAsia"/>
      </w:rPr>
    </w:lvl>
  </w:abstractNum>
  <w:abstractNum w:abstractNumId="6">
    <w:nsid w:val="1DC0E504"/>
    <w:multiLevelType w:val="singleLevel"/>
    <w:tmpl w:val="1DC0E504"/>
    <w:lvl w:ilvl="0" w:tentative="0">
      <w:start w:val="4"/>
      <w:numFmt w:val="decimal"/>
      <w:suff w:val="nothing"/>
      <w:lvlText w:val="%1、"/>
      <w:lvlJc w:val="left"/>
    </w:lvl>
  </w:abstractNum>
  <w:abstractNum w:abstractNumId="7">
    <w:nsid w:val="30DBDCF2"/>
    <w:multiLevelType w:val="singleLevel"/>
    <w:tmpl w:val="30DBDCF2"/>
    <w:lvl w:ilvl="0" w:tentative="0">
      <w:start w:val="2"/>
      <w:numFmt w:val="chineseCounting"/>
      <w:suff w:val="nothing"/>
      <w:lvlText w:val="%1、"/>
      <w:lvlJc w:val="left"/>
      <w:rPr>
        <w:rFonts w:hint="eastAsia"/>
      </w:rPr>
    </w:lvl>
  </w:abstractNum>
  <w:abstractNum w:abstractNumId="8">
    <w:nsid w:val="3E1C5DE6"/>
    <w:multiLevelType w:val="multilevel"/>
    <w:tmpl w:val="3E1C5DE6"/>
    <w:lvl w:ilvl="0" w:tentative="0">
      <w:start w:val="1"/>
      <w:numFmt w:val="decimal"/>
      <w:lvlText w:val="%1."/>
      <w:lvlJc w:val="left"/>
      <w:pPr>
        <w:ind w:left="0" w:firstLine="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9">
    <w:nsid w:val="4708B12E"/>
    <w:multiLevelType w:val="singleLevel"/>
    <w:tmpl w:val="4708B12E"/>
    <w:lvl w:ilvl="0" w:tentative="0">
      <w:start w:val="1"/>
      <w:numFmt w:val="decimal"/>
      <w:lvlText w:val="%1."/>
      <w:lvlJc w:val="left"/>
      <w:pPr>
        <w:tabs>
          <w:tab w:val="left" w:pos="312"/>
        </w:tabs>
      </w:pPr>
    </w:lvl>
  </w:abstractNum>
  <w:abstractNum w:abstractNumId="10">
    <w:nsid w:val="79325848"/>
    <w:multiLevelType w:val="multilevel"/>
    <w:tmpl w:val="79325848"/>
    <w:lvl w:ilvl="0" w:tentative="0">
      <w:start w:val="1"/>
      <w:numFmt w:val="chineseCountingThousand"/>
      <w:pStyle w:val="62"/>
      <w:lvlText w:val="%1、"/>
      <w:lvlJc w:val="left"/>
      <w:pPr>
        <w:ind w:left="562"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7BBD47F9"/>
    <w:multiLevelType w:val="multilevel"/>
    <w:tmpl w:val="7BBD47F9"/>
    <w:lvl w:ilvl="0" w:tentative="0">
      <w:start w:val="1"/>
      <w:numFmt w:val="decimal"/>
      <w:lvlText w:val="%1."/>
      <w:lvlJc w:val="left"/>
      <w:pPr>
        <w:tabs>
          <w:tab w:val="left" w:pos="425"/>
        </w:tabs>
        <w:ind w:left="425" w:hanging="425"/>
      </w:pPr>
      <w:rPr>
        <w:rFonts w:cs="Times New Roman"/>
      </w:rPr>
    </w:lvl>
    <w:lvl w:ilvl="1" w:tentative="0">
      <w:start w:val="1"/>
      <w:numFmt w:val="decimal"/>
      <w:pStyle w:val="3"/>
      <w:lvlText w:val="%1.%2."/>
      <w:lvlJc w:val="left"/>
      <w:pPr>
        <w:tabs>
          <w:tab w:val="left" w:pos="747"/>
        </w:tabs>
        <w:ind w:left="747" w:hanging="567"/>
      </w:pPr>
      <w:rPr>
        <w:rFonts w:cs="Times New Roman"/>
      </w:rPr>
    </w:lvl>
    <w:lvl w:ilvl="2" w:tentative="0">
      <w:start w:val="1"/>
      <w:numFmt w:val="decimal"/>
      <w:pStyle w:val="4"/>
      <w:lvlText w:val="%1.%2.%3."/>
      <w:lvlJc w:val="left"/>
      <w:pPr>
        <w:tabs>
          <w:tab w:val="left" w:pos="1429"/>
        </w:tabs>
        <w:ind w:left="1429" w:hanging="709"/>
      </w:pPr>
      <w:rPr>
        <w:rFonts w:cs="Times New Roman"/>
      </w:rPr>
    </w:lvl>
    <w:lvl w:ilvl="3" w:tentative="0">
      <w:start w:val="1"/>
      <w:numFmt w:val="decimal"/>
      <w:lvlText w:val="%1.%2.%3.%4."/>
      <w:lvlJc w:val="left"/>
      <w:pPr>
        <w:tabs>
          <w:tab w:val="left" w:pos="851"/>
        </w:tabs>
        <w:ind w:left="851" w:hanging="851"/>
      </w:pPr>
      <w:rPr>
        <w:rFonts w:cs="Times New Roman"/>
      </w:rPr>
    </w:lvl>
    <w:lvl w:ilvl="4" w:tentative="0">
      <w:start w:val="1"/>
      <w:numFmt w:val="decimal"/>
      <w:lvlText w:val="%1.%2.%3.%4.%5."/>
      <w:lvlJc w:val="left"/>
      <w:pPr>
        <w:tabs>
          <w:tab w:val="left" w:pos="992"/>
        </w:tabs>
        <w:ind w:left="992" w:hanging="992"/>
      </w:pPr>
      <w:rPr>
        <w:rFonts w:cs="Times New Roman"/>
      </w:rPr>
    </w:lvl>
    <w:lvl w:ilvl="5" w:tentative="0">
      <w:start w:val="1"/>
      <w:numFmt w:val="decimal"/>
      <w:lvlText w:val="%1.%2.%3.%4.%5.%6."/>
      <w:lvlJc w:val="left"/>
      <w:pPr>
        <w:tabs>
          <w:tab w:val="left" w:pos="1134"/>
        </w:tabs>
        <w:ind w:left="1134" w:hanging="1134"/>
      </w:pPr>
      <w:rPr>
        <w:rFonts w:cs="Times New Roman"/>
      </w:rPr>
    </w:lvl>
    <w:lvl w:ilvl="6" w:tentative="0">
      <w:start w:val="1"/>
      <w:numFmt w:val="decimal"/>
      <w:lvlText w:val="%1.%2.%3.%4.%5.%6.%7."/>
      <w:lvlJc w:val="left"/>
      <w:pPr>
        <w:tabs>
          <w:tab w:val="left" w:pos="1276"/>
        </w:tabs>
        <w:ind w:left="1276" w:hanging="1276"/>
      </w:pPr>
      <w:rPr>
        <w:rFonts w:cs="Times New Roman"/>
      </w:rPr>
    </w:lvl>
    <w:lvl w:ilvl="7" w:tentative="0">
      <w:start w:val="1"/>
      <w:numFmt w:val="decimal"/>
      <w:lvlText w:val="%1.%2.%3.%4.%5.%6.%7.%8."/>
      <w:lvlJc w:val="left"/>
      <w:pPr>
        <w:tabs>
          <w:tab w:val="left" w:pos="1418"/>
        </w:tabs>
        <w:ind w:left="1418" w:hanging="1418"/>
      </w:pPr>
      <w:rPr>
        <w:rFonts w:cs="Times New Roman"/>
      </w:rPr>
    </w:lvl>
    <w:lvl w:ilvl="8" w:tentative="0">
      <w:start w:val="1"/>
      <w:numFmt w:val="decimal"/>
      <w:lvlText w:val="%1.%2.%3.%4.%5.%6.%7.%8.%9."/>
      <w:lvlJc w:val="left"/>
      <w:pPr>
        <w:tabs>
          <w:tab w:val="left" w:pos="1559"/>
        </w:tabs>
        <w:ind w:left="1559" w:hanging="1559"/>
      </w:pPr>
      <w:rPr>
        <w:rFonts w:cs="Times New Roman"/>
      </w:rPr>
    </w:lvl>
  </w:abstractNum>
  <w:num w:numId="1">
    <w:abstractNumId w:val="3"/>
  </w:num>
  <w:num w:numId="2">
    <w:abstractNumId w:val="11"/>
  </w:num>
  <w:num w:numId="3">
    <w:abstractNumId w:val="2"/>
  </w:num>
  <w:num w:numId="4">
    <w:abstractNumId w:val="10"/>
  </w:num>
  <w:num w:numId="5">
    <w:abstractNumId w:val="6"/>
  </w:num>
  <w:num w:numId="6">
    <w:abstractNumId w:val="7"/>
  </w:num>
  <w:num w:numId="7">
    <w:abstractNumId w:val="1"/>
  </w:num>
  <w:num w:numId="8">
    <w:abstractNumId w:val="5"/>
  </w:num>
  <w:num w:numId="9">
    <w:abstractNumId w:val="0"/>
  </w:num>
  <w:num w:numId="10">
    <w:abstractNumId w:val="8"/>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4"/>
  <w:bordersDoNotSurroundHeader w:val="0"/>
  <w:bordersDoNotSurroundFooter w:val="0"/>
  <w:hideSpellingErrors/>
  <w:revisionView w:markup="0"/>
  <w:documentProtection w:enforcement="0"/>
  <w:defaultTabStop w:val="420"/>
  <w:drawingGridHorizontalSpacing w:val="105"/>
  <w:drawingGridVerticalSpacing w:val="161"/>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JjZGI1M2ZlYzY4NWZjNmZkZDhmOWY3ZDgzNTBiNDEifQ=="/>
  </w:docVars>
  <w:rsids>
    <w:rsidRoot w:val="00172A27"/>
    <w:rsid w:val="000009B6"/>
    <w:rsid w:val="00001D77"/>
    <w:rsid w:val="000023F8"/>
    <w:rsid w:val="000024F9"/>
    <w:rsid w:val="0000264F"/>
    <w:rsid w:val="000029F6"/>
    <w:rsid w:val="00002E1F"/>
    <w:rsid w:val="00002FB6"/>
    <w:rsid w:val="00004FF6"/>
    <w:rsid w:val="000060BB"/>
    <w:rsid w:val="0000626B"/>
    <w:rsid w:val="00006968"/>
    <w:rsid w:val="00006EC0"/>
    <w:rsid w:val="00007471"/>
    <w:rsid w:val="00010685"/>
    <w:rsid w:val="000107C9"/>
    <w:rsid w:val="000108E3"/>
    <w:rsid w:val="0001183F"/>
    <w:rsid w:val="00012038"/>
    <w:rsid w:val="0001205C"/>
    <w:rsid w:val="00012D9A"/>
    <w:rsid w:val="00012E2D"/>
    <w:rsid w:val="00012EDF"/>
    <w:rsid w:val="0001418C"/>
    <w:rsid w:val="0001464C"/>
    <w:rsid w:val="000146B9"/>
    <w:rsid w:val="00014CB8"/>
    <w:rsid w:val="00014DDA"/>
    <w:rsid w:val="000151A1"/>
    <w:rsid w:val="00015954"/>
    <w:rsid w:val="00016D0A"/>
    <w:rsid w:val="00017450"/>
    <w:rsid w:val="00023D27"/>
    <w:rsid w:val="000249D3"/>
    <w:rsid w:val="00024C02"/>
    <w:rsid w:val="00025A50"/>
    <w:rsid w:val="00025E5B"/>
    <w:rsid w:val="00026AA2"/>
    <w:rsid w:val="00026AE1"/>
    <w:rsid w:val="00026BF7"/>
    <w:rsid w:val="00026D1B"/>
    <w:rsid w:val="00027522"/>
    <w:rsid w:val="00027CAB"/>
    <w:rsid w:val="0003066D"/>
    <w:rsid w:val="000309C3"/>
    <w:rsid w:val="00030ED8"/>
    <w:rsid w:val="000310A1"/>
    <w:rsid w:val="000310BB"/>
    <w:rsid w:val="00031313"/>
    <w:rsid w:val="00032A68"/>
    <w:rsid w:val="00032D7C"/>
    <w:rsid w:val="00032F7B"/>
    <w:rsid w:val="00033905"/>
    <w:rsid w:val="00033BC1"/>
    <w:rsid w:val="000345B6"/>
    <w:rsid w:val="00035F9F"/>
    <w:rsid w:val="00036DF9"/>
    <w:rsid w:val="00037C2E"/>
    <w:rsid w:val="000404FA"/>
    <w:rsid w:val="00040A5E"/>
    <w:rsid w:val="00040F09"/>
    <w:rsid w:val="000418AE"/>
    <w:rsid w:val="00041C7C"/>
    <w:rsid w:val="0004251B"/>
    <w:rsid w:val="000433CB"/>
    <w:rsid w:val="000435DF"/>
    <w:rsid w:val="00043C70"/>
    <w:rsid w:val="00044402"/>
    <w:rsid w:val="00044503"/>
    <w:rsid w:val="00044798"/>
    <w:rsid w:val="0004488B"/>
    <w:rsid w:val="000453B1"/>
    <w:rsid w:val="000464D7"/>
    <w:rsid w:val="00046D7E"/>
    <w:rsid w:val="000474F4"/>
    <w:rsid w:val="000508C0"/>
    <w:rsid w:val="0005093B"/>
    <w:rsid w:val="00050963"/>
    <w:rsid w:val="000509AA"/>
    <w:rsid w:val="00050D77"/>
    <w:rsid w:val="00051560"/>
    <w:rsid w:val="000527B2"/>
    <w:rsid w:val="000527D3"/>
    <w:rsid w:val="00052CD8"/>
    <w:rsid w:val="00053C95"/>
    <w:rsid w:val="00053DC8"/>
    <w:rsid w:val="000545EE"/>
    <w:rsid w:val="00054D95"/>
    <w:rsid w:val="00055B3C"/>
    <w:rsid w:val="0005622D"/>
    <w:rsid w:val="000563E5"/>
    <w:rsid w:val="0005779B"/>
    <w:rsid w:val="00057B2D"/>
    <w:rsid w:val="00060CE3"/>
    <w:rsid w:val="00060E4C"/>
    <w:rsid w:val="0006192B"/>
    <w:rsid w:val="00063037"/>
    <w:rsid w:val="000632A3"/>
    <w:rsid w:val="00063E14"/>
    <w:rsid w:val="0006401C"/>
    <w:rsid w:val="00064035"/>
    <w:rsid w:val="00064332"/>
    <w:rsid w:val="00064BE3"/>
    <w:rsid w:val="000651C2"/>
    <w:rsid w:val="000658E1"/>
    <w:rsid w:val="00065BD3"/>
    <w:rsid w:val="00066290"/>
    <w:rsid w:val="00066358"/>
    <w:rsid w:val="0006688A"/>
    <w:rsid w:val="000670AE"/>
    <w:rsid w:val="000678F1"/>
    <w:rsid w:val="00067D50"/>
    <w:rsid w:val="00067E1E"/>
    <w:rsid w:val="00067F67"/>
    <w:rsid w:val="00070167"/>
    <w:rsid w:val="00071122"/>
    <w:rsid w:val="00071EA2"/>
    <w:rsid w:val="00071EC9"/>
    <w:rsid w:val="00072123"/>
    <w:rsid w:val="0007272A"/>
    <w:rsid w:val="00073371"/>
    <w:rsid w:val="000746EE"/>
    <w:rsid w:val="00075070"/>
    <w:rsid w:val="00075CE1"/>
    <w:rsid w:val="0008024F"/>
    <w:rsid w:val="000806E1"/>
    <w:rsid w:val="000818CB"/>
    <w:rsid w:val="0008224D"/>
    <w:rsid w:val="00082742"/>
    <w:rsid w:val="000833C0"/>
    <w:rsid w:val="00084CF3"/>
    <w:rsid w:val="00085F2C"/>
    <w:rsid w:val="000863ED"/>
    <w:rsid w:val="000866B5"/>
    <w:rsid w:val="00086D93"/>
    <w:rsid w:val="000872B0"/>
    <w:rsid w:val="00090B89"/>
    <w:rsid w:val="00090CB0"/>
    <w:rsid w:val="00090D5D"/>
    <w:rsid w:val="0009145B"/>
    <w:rsid w:val="0009188D"/>
    <w:rsid w:val="0009394B"/>
    <w:rsid w:val="00094E3C"/>
    <w:rsid w:val="0009513F"/>
    <w:rsid w:val="00095AAB"/>
    <w:rsid w:val="00095F41"/>
    <w:rsid w:val="000972D4"/>
    <w:rsid w:val="00097402"/>
    <w:rsid w:val="000A0D0E"/>
    <w:rsid w:val="000A123B"/>
    <w:rsid w:val="000A18AC"/>
    <w:rsid w:val="000A30E2"/>
    <w:rsid w:val="000A3995"/>
    <w:rsid w:val="000A3E16"/>
    <w:rsid w:val="000A482E"/>
    <w:rsid w:val="000A4908"/>
    <w:rsid w:val="000A4C73"/>
    <w:rsid w:val="000A592B"/>
    <w:rsid w:val="000A6238"/>
    <w:rsid w:val="000A722B"/>
    <w:rsid w:val="000B094F"/>
    <w:rsid w:val="000B1047"/>
    <w:rsid w:val="000B1651"/>
    <w:rsid w:val="000B1883"/>
    <w:rsid w:val="000B2632"/>
    <w:rsid w:val="000B513F"/>
    <w:rsid w:val="000B5C17"/>
    <w:rsid w:val="000B7DF3"/>
    <w:rsid w:val="000C02BF"/>
    <w:rsid w:val="000C0765"/>
    <w:rsid w:val="000C0C32"/>
    <w:rsid w:val="000C0EBC"/>
    <w:rsid w:val="000C1E04"/>
    <w:rsid w:val="000C1F71"/>
    <w:rsid w:val="000C3125"/>
    <w:rsid w:val="000C403F"/>
    <w:rsid w:val="000C4097"/>
    <w:rsid w:val="000C4407"/>
    <w:rsid w:val="000C451E"/>
    <w:rsid w:val="000C48DB"/>
    <w:rsid w:val="000C5190"/>
    <w:rsid w:val="000C5810"/>
    <w:rsid w:val="000C5FC7"/>
    <w:rsid w:val="000C660C"/>
    <w:rsid w:val="000C6AF7"/>
    <w:rsid w:val="000C7B52"/>
    <w:rsid w:val="000D0304"/>
    <w:rsid w:val="000D061D"/>
    <w:rsid w:val="000D1804"/>
    <w:rsid w:val="000D2970"/>
    <w:rsid w:val="000D37CF"/>
    <w:rsid w:val="000D3CF0"/>
    <w:rsid w:val="000D3ED0"/>
    <w:rsid w:val="000D43C5"/>
    <w:rsid w:val="000D4FAB"/>
    <w:rsid w:val="000D509A"/>
    <w:rsid w:val="000D5BE3"/>
    <w:rsid w:val="000D5FEB"/>
    <w:rsid w:val="000D6478"/>
    <w:rsid w:val="000D6673"/>
    <w:rsid w:val="000D7207"/>
    <w:rsid w:val="000D75EF"/>
    <w:rsid w:val="000D7660"/>
    <w:rsid w:val="000D76B4"/>
    <w:rsid w:val="000E0AA7"/>
    <w:rsid w:val="000E1B6C"/>
    <w:rsid w:val="000E257A"/>
    <w:rsid w:val="000E28E4"/>
    <w:rsid w:val="000E290E"/>
    <w:rsid w:val="000E3436"/>
    <w:rsid w:val="000E3EB6"/>
    <w:rsid w:val="000E5990"/>
    <w:rsid w:val="000E62FB"/>
    <w:rsid w:val="000E72C9"/>
    <w:rsid w:val="000E792E"/>
    <w:rsid w:val="000F043C"/>
    <w:rsid w:val="000F07A9"/>
    <w:rsid w:val="000F2741"/>
    <w:rsid w:val="000F2B6A"/>
    <w:rsid w:val="000F30FA"/>
    <w:rsid w:val="000F4A0D"/>
    <w:rsid w:val="000F564D"/>
    <w:rsid w:val="000F5A48"/>
    <w:rsid w:val="000F5C88"/>
    <w:rsid w:val="000F658A"/>
    <w:rsid w:val="000F6FAF"/>
    <w:rsid w:val="00100744"/>
    <w:rsid w:val="001009C1"/>
    <w:rsid w:val="00100D88"/>
    <w:rsid w:val="00100FEA"/>
    <w:rsid w:val="00101665"/>
    <w:rsid w:val="00101B15"/>
    <w:rsid w:val="001027D0"/>
    <w:rsid w:val="00102D18"/>
    <w:rsid w:val="00103706"/>
    <w:rsid w:val="001037DD"/>
    <w:rsid w:val="001059E5"/>
    <w:rsid w:val="00105F51"/>
    <w:rsid w:val="00106387"/>
    <w:rsid w:val="00106582"/>
    <w:rsid w:val="0010672D"/>
    <w:rsid w:val="00107AFA"/>
    <w:rsid w:val="00107C26"/>
    <w:rsid w:val="00107C7E"/>
    <w:rsid w:val="00107DE4"/>
    <w:rsid w:val="00107EEC"/>
    <w:rsid w:val="0011040C"/>
    <w:rsid w:val="0011195C"/>
    <w:rsid w:val="0011314E"/>
    <w:rsid w:val="0011529F"/>
    <w:rsid w:val="0011610F"/>
    <w:rsid w:val="0011658E"/>
    <w:rsid w:val="00120287"/>
    <w:rsid w:val="00120DDD"/>
    <w:rsid w:val="001214AB"/>
    <w:rsid w:val="00121DC8"/>
    <w:rsid w:val="001220AB"/>
    <w:rsid w:val="001228D5"/>
    <w:rsid w:val="00123DDE"/>
    <w:rsid w:val="00123E0E"/>
    <w:rsid w:val="001245F8"/>
    <w:rsid w:val="00124F53"/>
    <w:rsid w:val="00125775"/>
    <w:rsid w:val="001264C2"/>
    <w:rsid w:val="00126B3E"/>
    <w:rsid w:val="00127268"/>
    <w:rsid w:val="00132441"/>
    <w:rsid w:val="0013347D"/>
    <w:rsid w:val="001334D3"/>
    <w:rsid w:val="001336A7"/>
    <w:rsid w:val="00133DE6"/>
    <w:rsid w:val="0013420E"/>
    <w:rsid w:val="001359C1"/>
    <w:rsid w:val="00136B2B"/>
    <w:rsid w:val="00136B6B"/>
    <w:rsid w:val="00136FE8"/>
    <w:rsid w:val="001373E8"/>
    <w:rsid w:val="001379E5"/>
    <w:rsid w:val="0014094B"/>
    <w:rsid w:val="001412F1"/>
    <w:rsid w:val="0014201D"/>
    <w:rsid w:val="00142683"/>
    <w:rsid w:val="00142993"/>
    <w:rsid w:val="00142B78"/>
    <w:rsid w:val="00142CBD"/>
    <w:rsid w:val="001432E1"/>
    <w:rsid w:val="00143325"/>
    <w:rsid w:val="0014347F"/>
    <w:rsid w:val="00144151"/>
    <w:rsid w:val="00144286"/>
    <w:rsid w:val="0014461D"/>
    <w:rsid w:val="00144A5E"/>
    <w:rsid w:val="001456D5"/>
    <w:rsid w:val="00146D3B"/>
    <w:rsid w:val="00147972"/>
    <w:rsid w:val="00147C08"/>
    <w:rsid w:val="00150A27"/>
    <w:rsid w:val="00150BCD"/>
    <w:rsid w:val="00150C83"/>
    <w:rsid w:val="00151028"/>
    <w:rsid w:val="0015154E"/>
    <w:rsid w:val="001517C5"/>
    <w:rsid w:val="00152613"/>
    <w:rsid w:val="00153780"/>
    <w:rsid w:val="00153B18"/>
    <w:rsid w:val="001547A7"/>
    <w:rsid w:val="00154943"/>
    <w:rsid w:val="001549A0"/>
    <w:rsid w:val="00154C28"/>
    <w:rsid w:val="00154C9D"/>
    <w:rsid w:val="00155FE2"/>
    <w:rsid w:val="00156995"/>
    <w:rsid w:val="00156D44"/>
    <w:rsid w:val="001577B6"/>
    <w:rsid w:val="00157AFC"/>
    <w:rsid w:val="00160021"/>
    <w:rsid w:val="001604C8"/>
    <w:rsid w:val="00160666"/>
    <w:rsid w:val="00160A85"/>
    <w:rsid w:val="00160F0F"/>
    <w:rsid w:val="00162D70"/>
    <w:rsid w:val="00162F32"/>
    <w:rsid w:val="00163499"/>
    <w:rsid w:val="00163ABD"/>
    <w:rsid w:val="00163B5D"/>
    <w:rsid w:val="00163FA0"/>
    <w:rsid w:val="00164738"/>
    <w:rsid w:val="00164C4C"/>
    <w:rsid w:val="00164F5B"/>
    <w:rsid w:val="0016515A"/>
    <w:rsid w:val="00165F47"/>
    <w:rsid w:val="00167164"/>
    <w:rsid w:val="001674C8"/>
    <w:rsid w:val="001676B9"/>
    <w:rsid w:val="001702C7"/>
    <w:rsid w:val="001716BF"/>
    <w:rsid w:val="00172700"/>
    <w:rsid w:val="00172A27"/>
    <w:rsid w:val="00173DD5"/>
    <w:rsid w:val="00173F6F"/>
    <w:rsid w:val="0017455F"/>
    <w:rsid w:val="001747F3"/>
    <w:rsid w:val="00174AB5"/>
    <w:rsid w:val="00174DC1"/>
    <w:rsid w:val="0017546A"/>
    <w:rsid w:val="00175581"/>
    <w:rsid w:val="0017599D"/>
    <w:rsid w:val="00175B2A"/>
    <w:rsid w:val="00176A15"/>
    <w:rsid w:val="00180862"/>
    <w:rsid w:val="00180C58"/>
    <w:rsid w:val="00180D67"/>
    <w:rsid w:val="00181B1A"/>
    <w:rsid w:val="00183131"/>
    <w:rsid w:val="00183BB4"/>
    <w:rsid w:val="00184C88"/>
    <w:rsid w:val="00185248"/>
    <w:rsid w:val="00185E08"/>
    <w:rsid w:val="001862A8"/>
    <w:rsid w:val="0018651B"/>
    <w:rsid w:val="00186B27"/>
    <w:rsid w:val="00187885"/>
    <w:rsid w:val="0019010A"/>
    <w:rsid w:val="001907D3"/>
    <w:rsid w:val="00191230"/>
    <w:rsid w:val="001918D1"/>
    <w:rsid w:val="00191B38"/>
    <w:rsid w:val="001923DD"/>
    <w:rsid w:val="0019324F"/>
    <w:rsid w:val="00193A23"/>
    <w:rsid w:val="00193F20"/>
    <w:rsid w:val="00194982"/>
    <w:rsid w:val="001949C8"/>
    <w:rsid w:val="00195066"/>
    <w:rsid w:val="00196151"/>
    <w:rsid w:val="0019640C"/>
    <w:rsid w:val="0019668A"/>
    <w:rsid w:val="00196835"/>
    <w:rsid w:val="001976E7"/>
    <w:rsid w:val="00197D05"/>
    <w:rsid w:val="00197F8F"/>
    <w:rsid w:val="001A00E1"/>
    <w:rsid w:val="001A02C2"/>
    <w:rsid w:val="001A1296"/>
    <w:rsid w:val="001A17F4"/>
    <w:rsid w:val="001A26A1"/>
    <w:rsid w:val="001A2FDB"/>
    <w:rsid w:val="001A31AD"/>
    <w:rsid w:val="001A3537"/>
    <w:rsid w:val="001A5487"/>
    <w:rsid w:val="001A696B"/>
    <w:rsid w:val="001A6C14"/>
    <w:rsid w:val="001A74D8"/>
    <w:rsid w:val="001A78DE"/>
    <w:rsid w:val="001A7AC9"/>
    <w:rsid w:val="001B1B62"/>
    <w:rsid w:val="001B1B7F"/>
    <w:rsid w:val="001B1DD3"/>
    <w:rsid w:val="001B1E83"/>
    <w:rsid w:val="001B2D83"/>
    <w:rsid w:val="001B5BB0"/>
    <w:rsid w:val="001B5EF9"/>
    <w:rsid w:val="001B6C85"/>
    <w:rsid w:val="001B7AC0"/>
    <w:rsid w:val="001C13D9"/>
    <w:rsid w:val="001C1536"/>
    <w:rsid w:val="001C1606"/>
    <w:rsid w:val="001C2427"/>
    <w:rsid w:val="001C2FF6"/>
    <w:rsid w:val="001C3875"/>
    <w:rsid w:val="001C3BC0"/>
    <w:rsid w:val="001C3CCC"/>
    <w:rsid w:val="001C4A4C"/>
    <w:rsid w:val="001C4B60"/>
    <w:rsid w:val="001C4D74"/>
    <w:rsid w:val="001C4DCC"/>
    <w:rsid w:val="001C6837"/>
    <w:rsid w:val="001C6B5A"/>
    <w:rsid w:val="001D02EF"/>
    <w:rsid w:val="001D0D68"/>
    <w:rsid w:val="001D1CC0"/>
    <w:rsid w:val="001D1E16"/>
    <w:rsid w:val="001D3045"/>
    <w:rsid w:val="001D3996"/>
    <w:rsid w:val="001D3EE6"/>
    <w:rsid w:val="001D5474"/>
    <w:rsid w:val="001D5E10"/>
    <w:rsid w:val="001D604B"/>
    <w:rsid w:val="001D7237"/>
    <w:rsid w:val="001D7882"/>
    <w:rsid w:val="001D7D2D"/>
    <w:rsid w:val="001E00DB"/>
    <w:rsid w:val="001E0448"/>
    <w:rsid w:val="001E04BB"/>
    <w:rsid w:val="001E0D34"/>
    <w:rsid w:val="001E1D9B"/>
    <w:rsid w:val="001E285A"/>
    <w:rsid w:val="001E45CD"/>
    <w:rsid w:val="001E48CC"/>
    <w:rsid w:val="001E664C"/>
    <w:rsid w:val="001E6E33"/>
    <w:rsid w:val="001E7EB1"/>
    <w:rsid w:val="001F049E"/>
    <w:rsid w:val="001F076F"/>
    <w:rsid w:val="001F0B1A"/>
    <w:rsid w:val="001F1200"/>
    <w:rsid w:val="001F1CD1"/>
    <w:rsid w:val="001F468E"/>
    <w:rsid w:val="001F5006"/>
    <w:rsid w:val="001F571E"/>
    <w:rsid w:val="001F6597"/>
    <w:rsid w:val="001F6ADB"/>
    <w:rsid w:val="001F7417"/>
    <w:rsid w:val="001F7B81"/>
    <w:rsid w:val="001F7ECF"/>
    <w:rsid w:val="00200BD5"/>
    <w:rsid w:val="00202918"/>
    <w:rsid w:val="00202B66"/>
    <w:rsid w:val="00202CC5"/>
    <w:rsid w:val="0020317B"/>
    <w:rsid w:val="002035F4"/>
    <w:rsid w:val="00203D1E"/>
    <w:rsid w:val="0020457C"/>
    <w:rsid w:val="00204CB1"/>
    <w:rsid w:val="00205467"/>
    <w:rsid w:val="002058C4"/>
    <w:rsid w:val="00206573"/>
    <w:rsid w:val="0020697F"/>
    <w:rsid w:val="00207BCF"/>
    <w:rsid w:val="00207D7A"/>
    <w:rsid w:val="00210EA8"/>
    <w:rsid w:val="0021109D"/>
    <w:rsid w:val="00211D69"/>
    <w:rsid w:val="00212409"/>
    <w:rsid w:val="00212F4D"/>
    <w:rsid w:val="00213440"/>
    <w:rsid w:val="00213A2C"/>
    <w:rsid w:val="00214598"/>
    <w:rsid w:val="002146E2"/>
    <w:rsid w:val="00214AD1"/>
    <w:rsid w:val="00214FD9"/>
    <w:rsid w:val="00215004"/>
    <w:rsid w:val="0021590C"/>
    <w:rsid w:val="00220400"/>
    <w:rsid w:val="002212EB"/>
    <w:rsid w:val="00221536"/>
    <w:rsid w:val="0022189B"/>
    <w:rsid w:val="00221EB7"/>
    <w:rsid w:val="00222062"/>
    <w:rsid w:val="002229D5"/>
    <w:rsid w:val="00225974"/>
    <w:rsid w:val="00226163"/>
    <w:rsid w:val="002279DE"/>
    <w:rsid w:val="00230C80"/>
    <w:rsid w:val="002323D9"/>
    <w:rsid w:val="00232E69"/>
    <w:rsid w:val="00234091"/>
    <w:rsid w:val="0023437C"/>
    <w:rsid w:val="00235BEF"/>
    <w:rsid w:val="00235E6D"/>
    <w:rsid w:val="0023749E"/>
    <w:rsid w:val="00237695"/>
    <w:rsid w:val="00237FE1"/>
    <w:rsid w:val="00240755"/>
    <w:rsid w:val="00240BEA"/>
    <w:rsid w:val="00240DF0"/>
    <w:rsid w:val="0024113D"/>
    <w:rsid w:val="00241563"/>
    <w:rsid w:val="00241ABF"/>
    <w:rsid w:val="00241D06"/>
    <w:rsid w:val="00241E8B"/>
    <w:rsid w:val="002422D5"/>
    <w:rsid w:val="00242E49"/>
    <w:rsid w:val="00244ACB"/>
    <w:rsid w:val="00245375"/>
    <w:rsid w:val="00245693"/>
    <w:rsid w:val="00245845"/>
    <w:rsid w:val="00245FBE"/>
    <w:rsid w:val="00246CB6"/>
    <w:rsid w:val="00247856"/>
    <w:rsid w:val="00247DD5"/>
    <w:rsid w:val="002506E4"/>
    <w:rsid w:val="00250E4F"/>
    <w:rsid w:val="00251B34"/>
    <w:rsid w:val="002523E0"/>
    <w:rsid w:val="00253E5B"/>
    <w:rsid w:val="002542E3"/>
    <w:rsid w:val="0025446A"/>
    <w:rsid w:val="0025447C"/>
    <w:rsid w:val="00255F13"/>
    <w:rsid w:val="002565D6"/>
    <w:rsid w:val="00256CD1"/>
    <w:rsid w:val="002572C0"/>
    <w:rsid w:val="00257FBF"/>
    <w:rsid w:val="00261840"/>
    <w:rsid w:val="00263013"/>
    <w:rsid w:val="0026349A"/>
    <w:rsid w:val="002634A9"/>
    <w:rsid w:val="002641CA"/>
    <w:rsid w:val="0026444D"/>
    <w:rsid w:val="00264EAA"/>
    <w:rsid w:val="0026581C"/>
    <w:rsid w:val="00265CC5"/>
    <w:rsid w:val="00267066"/>
    <w:rsid w:val="002700CF"/>
    <w:rsid w:val="00270982"/>
    <w:rsid w:val="002709A9"/>
    <w:rsid w:val="00270E96"/>
    <w:rsid w:val="00271764"/>
    <w:rsid w:val="0027265F"/>
    <w:rsid w:val="00273BAF"/>
    <w:rsid w:val="00274B66"/>
    <w:rsid w:val="00275144"/>
    <w:rsid w:val="002752F0"/>
    <w:rsid w:val="0027663A"/>
    <w:rsid w:val="002772BD"/>
    <w:rsid w:val="002772C6"/>
    <w:rsid w:val="002775F0"/>
    <w:rsid w:val="00277A67"/>
    <w:rsid w:val="0028002D"/>
    <w:rsid w:val="00280626"/>
    <w:rsid w:val="00281A19"/>
    <w:rsid w:val="00282BD5"/>
    <w:rsid w:val="002836F8"/>
    <w:rsid w:val="0028399F"/>
    <w:rsid w:val="00285275"/>
    <w:rsid w:val="00285E16"/>
    <w:rsid w:val="00285F74"/>
    <w:rsid w:val="00286A6D"/>
    <w:rsid w:val="00287872"/>
    <w:rsid w:val="002878A2"/>
    <w:rsid w:val="00287CC2"/>
    <w:rsid w:val="00287CD1"/>
    <w:rsid w:val="00291E8D"/>
    <w:rsid w:val="00292665"/>
    <w:rsid w:val="002927ED"/>
    <w:rsid w:val="00292B09"/>
    <w:rsid w:val="00292B8A"/>
    <w:rsid w:val="00292DCC"/>
    <w:rsid w:val="00293664"/>
    <w:rsid w:val="0029376C"/>
    <w:rsid w:val="00293C4A"/>
    <w:rsid w:val="0029459F"/>
    <w:rsid w:val="0029503D"/>
    <w:rsid w:val="0029538C"/>
    <w:rsid w:val="00295725"/>
    <w:rsid w:val="00296C88"/>
    <w:rsid w:val="002979B7"/>
    <w:rsid w:val="002A387D"/>
    <w:rsid w:val="002A3987"/>
    <w:rsid w:val="002A3C8E"/>
    <w:rsid w:val="002A3E6C"/>
    <w:rsid w:val="002A3F53"/>
    <w:rsid w:val="002A4E6B"/>
    <w:rsid w:val="002A5B1A"/>
    <w:rsid w:val="002A62DF"/>
    <w:rsid w:val="002A6FCA"/>
    <w:rsid w:val="002A718D"/>
    <w:rsid w:val="002B015D"/>
    <w:rsid w:val="002B0E62"/>
    <w:rsid w:val="002B16FA"/>
    <w:rsid w:val="002B3DA1"/>
    <w:rsid w:val="002B3ECB"/>
    <w:rsid w:val="002B3F4A"/>
    <w:rsid w:val="002B4846"/>
    <w:rsid w:val="002B4D9C"/>
    <w:rsid w:val="002B521B"/>
    <w:rsid w:val="002B53B6"/>
    <w:rsid w:val="002B5479"/>
    <w:rsid w:val="002B5B1D"/>
    <w:rsid w:val="002B709F"/>
    <w:rsid w:val="002B7F30"/>
    <w:rsid w:val="002C0191"/>
    <w:rsid w:val="002C0791"/>
    <w:rsid w:val="002C1769"/>
    <w:rsid w:val="002C1D8A"/>
    <w:rsid w:val="002C2112"/>
    <w:rsid w:val="002C2824"/>
    <w:rsid w:val="002C3309"/>
    <w:rsid w:val="002C354B"/>
    <w:rsid w:val="002C35BC"/>
    <w:rsid w:val="002C361A"/>
    <w:rsid w:val="002C3661"/>
    <w:rsid w:val="002C3F42"/>
    <w:rsid w:val="002C3FCB"/>
    <w:rsid w:val="002C51FE"/>
    <w:rsid w:val="002C524A"/>
    <w:rsid w:val="002C53C4"/>
    <w:rsid w:val="002C57C4"/>
    <w:rsid w:val="002C6FD1"/>
    <w:rsid w:val="002C7C0A"/>
    <w:rsid w:val="002C7C72"/>
    <w:rsid w:val="002D00E5"/>
    <w:rsid w:val="002D018A"/>
    <w:rsid w:val="002D1652"/>
    <w:rsid w:val="002D28AF"/>
    <w:rsid w:val="002D2CC5"/>
    <w:rsid w:val="002D3460"/>
    <w:rsid w:val="002D4B72"/>
    <w:rsid w:val="002D4E92"/>
    <w:rsid w:val="002D59FC"/>
    <w:rsid w:val="002D5FF1"/>
    <w:rsid w:val="002E0651"/>
    <w:rsid w:val="002E0F69"/>
    <w:rsid w:val="002E10E3"/>
    <w:rsid w:val="002E1841"/>
    <w:rsid w:val="002E1B28"/>
    <w:rsid w:val="002E2759"/>
    <w:rsid w:val="002E2FA1"/>
    <w:rsid w:val="002E3B9E"/>
    <w:rsid w:val="002E3D11"/>
    <w:rsid w:val="002E3D43"/>
    <w:rsid w:val="002E408D"/>
    <w:rsid w:val="002E4899"/>
    <w:rsid w:val="002E4FEE"/>
    <w:rsid w:val="002E6184"/>
    <w:rsid w:val="002E6287"/>
    <w:rsid w:val="002E6540"/>
    <w:rsid w:val="002E755A"/>
    <w:rsid w:val="002E7B19"/>
    <w:rsid w:val="002F08CB"/>
    <w:rsid w:val="002F0ABA"/>
    <w:rsid w:val="002F248E"/>
    <w:rsid w:val="002F2949"/>
    <w:rsid w:val="002F2C2B"/>
    <w:rsid w:val="002F461C"/>
    <w:rsid w:val="002F4DFC"/>
    <w:rsid w:val="002F4F2B"/>
    <w:rsid w:val="002F65DF"/>
    <w:rsid w:val="002F6891"/>
    <w:rsid w:val="002F6E6E"/>
    <w:rsid w:val="002F7022"/>
    <w:rsid w:val="0030086C"/>
    <w:rsid w:val="0030096A"/>
    <w:rsid w:val="0030122C"/>
    <w:rsid w:val="0030152C"/>
    <w:rsid w:val="00301A6C"/>
    <w:rsid w:val="00301F4D"/>
    <w:rsid w:val="00302EAA"/>
    <w:rsid w:val="00304E40"/>
    <w:rsid w:val="00304F95"/>
    <w:rsid w:val="0030520B"/>
    <w:rsid w:val="00305E87"/>
    <w:rsid w:val="00306252"/>
    <w:rsid w:val="003062BA"/>
    <w:rsid w:val="00306A45"/>
    <w:rsid w:val="003076A0"/>
    <w:rsid w:val="0031048C"/>
    <w:rsid w:val="0031084F"/>
    <w:rsid w:val="00311748"/>
    <w:rsid w:val="00311A8B"/>
    <w:rsid w:val="0031271E"/>
    <w:rsid w:val="00312F1A"/>
    <w:rsid w:val="0031354C"/>
    <w:rsid w:val="00313795"/>
    <w:rsid w:val="00313806"/>
    <w:rsid w:val="00313AEF"/>
    <w:rsid w:val="00313BE2"/>
    <w:rsid w:val="00313C91"/>
    <w:rsid w:val="00313CE6"/>
    <w:rsid w:val="00317289"/>
    <w:rsid w:val="0031771F"/>
    <w:rsid w:val="00317804"/>
    <w:rsid w:val="00321435"/>
    <w:rsid w:val="00321CBE"/>
    <w:rsid w:val="00321CDD"/>
    <w:rsid w:val="0032210B"/>
    <w:rsid w:val="00322B67"/>
    <w:rsid w:val="00322C99"/>
    <w:rsid w:val="00323323"/>
    <w:rsid w:val="00323BEE"/>
    <w:rsid w:val="00323FD8"/>
    <w:rsid w:val="00324175"/>
    <w:rsid w:val="003241C4"/>
    <w:rsid w:val="00324769"/>
    <w:rsid w:val="00324D11"/>
    <w:rsid w:val="00325989"/>
    <w:rsid w:val="00325B0E"/>
    <w:rsid w:val="00325F0B"/>
    <w:rsid w:val="003261FC"/>
    <w:rsid w:val="003262F6"/>
    <w:rsid w:val="00326425"/>
    <w:rsid w:val="003271B7"/>
    <w:rsid w:val="0032783B"/>
    <w:rsid w:val="00327B13"/>
    <w:rsid w:val="00327B23"/>
    <w:rsid w:val="0033109A"/>
    <w:rsid w:val="00331611"/>
    <w:rsid w:val="003335D0"/>
    <w:rsid w:val="00334158"/>
    <w:rsid w:val="00334578"/>
    <w:rsid w:val="00334B24"/>
    <w:rsid w:val="0033516B"/>
    <w:rsid w:val="0033517D"/>
    <w:rsid w:val="00335265"/>
    <w:rsid w:val="00335A07"/>
    <w:rsid w:val="003374DD"/>
    <w:rsid w:val="00337823"/>
    <w:rsid w:val="003379CC"/>
    <w:rsid w:val="00337E53"/>
    <w:rsid w:val="003415E2"/>
    <w:rsid w:val="00341D3C"/>
    <w:rsid w:val="00342A37"/>
    <w:rsid w:val="00343E27"/>
    <w:rsid w:val="00343ED0"/>
    <w:rsid w:val="0034442E"/>
    <w:rsid w:val="00344D5B"/>
    <w:rsid w:val="003456C0"/>
    <w:rsid w:val="00345AF9"/>
    <w:rsid w:val="00345C18"/>
    <w:rsid w:val="00346278"/>
    <w:rsid w:val="003464C3"/>
    <w:rsid w:val="0034651D"/>
    <w:rsid w:val="00346E9E"/>
    <w:rsid w:val="00347A40"/>
    <w:rsid w:val="0035046A"/>
    <w:rsid w:val="003506F8"/>
    <w:rsid w:val="00350E42"/>
    <w:rsid w:val="00351C63"/>
    <w:rsid w:val="00352230"/>
    <w:rsid w:val="00353852"/>
    <w:rsid w:val="00353D2A"/>
    <w:rsid w:val="00354287"/>
    <w:rsid w:val="003547D2"/>
    <w:rsid w:val="0035493B"/>
    <w:rsid w:val="0035505F"/>
    <w:rsid w:val="00355154"/>
    <w:rsid w:val="0035530A"/>
    <w:rsid w:val="00355438"/>
    <w:rsid w:val="00356864"/>
    <w:rsid w:val="003568FC"/>
    <w:rsid w:val="00357389"/>
    <w:rsid w:val="003573F9"/>
    <w:rsid w:val="003578EE"/>
    <w:rsid w:val="003579B7"/>
    <w:rsid w:val="00357DE5"/>
    <w:rsid w:val="00357F60"/>
    <w:rsid w:val="003602DA"/>
    <w:rsid w:val="0036096C"/>
    <w:rsid w:val="00361C23"/>
    <w:rsid w:val="00362635"/>
    <w:rsid w:val="00362BA8"/>
    <w:rsid w:val="003634E3"/>
    <w:rsid w:val="00364B74"/>
    <w:rsid w:val="003658E4"/>
    <w:rsid w:val="00365A48"/>
    <w:rsid w:val="0036647C"/>
    <w:rsid w:val="003664E5"/>
    <w:rsid w:val="003666F2"/>
    <w:rsid w:val="003669D1"/>
    <w:rsid w:val="00366D33"/>
    <w:rsid w:val="00366F3D"/>
    <w:rsid w:val="00367C09"/>
    <w:rsid w:val="00370C2A"/>
    <w:rsid w:val="00370F9D"/>
    <w:rsid w:val="0037126B"/>
    <w:rsid w:val="003714A1"/>
    <w:rsid w:val="00371A5D"/>
    <w:rsid w:val="00371B80"/>
    <w:rsid w:val="00372AD6"/>
    <w:rsid w:val="0037302E"/>
    <w:rsid w:val="00373C00"/>
    <w:rsid w:val="00373CCC"/>
    <w:rsid w:val="00373F25"/>
    <w:rsid w:val="0037400F"/>
    <w:rsid w:val="00375FE8"/>
    <w:rsid w:val="00376019"/>
    <w:rsid w:val="00376C1D"/>
    <w:rsid w:val="00376F42"/>
    <w:rsid w:val="003777C1"/>
    <w:rsid w:val="003779DA"/>
    <w:rsid w:val="003809BD"/>
    <w:rsid w:val="00381231"/>
    <w:rsid w:val="0038165C"/>
    <w:rsid w:val="00381D31"/>
    <w:rsid w:val="003825CA"/>
    <w:rsid w:val="0038339A"/>
    <w:rsid w:val="00383600"/>
    <w:rsid w:val="00383AC6"/>
    <w:rsid w:val="0038430E"/>
    <w:rsid w:val="00384EA0"/>
    <w:rsid w:val="00385250"/>
    <w:rsid w:val="003860C2"/>
    <w:rsid w:val="00386883"/>
    <w:rsid w:val="003873B5"/>
    <w:rsid w:val="0038750E"/>
    <w:rsid w:val="003901CB"/>
    <w:rsid w:val="00390BF8"/>
    <w:rsid w:val="00391402"/>
    <w:rsid w:val="003919A3"/>
    <w:rsid w:val="003926C9"/>
    <w:rsid w:val="003939E8"/>
    <w:rsid w:val="00393F05"/>
    <w:rsid w:val="00396CAF"/>
    <w:rsid w:val="00396DC7"/>
    <w:rsid w:val="00397229"/>
    <w:rsid w:val="00397401"/>
    <w:rsid w:val="00397BE6"/>
    <w:rsid w:val="003A192F"/>
    <w:rsid w:val="003A2010"/>
    <w:rsid w:val="003A369D"/>
    <w:rsid w:val="003A37B1"/>
    <w:rsid w:val="003A4312"/>
    <w:rsid w:val="003A496A"/>
    <w:rsid w:val="003A649D"/>
    <w:rsid w:val="003A6CEF"/>
    <w:rsid w:val="003A7216"/>
    <w:rsid w:val="003A7852"/>
    <w:rsid w:val="003B0D6D"/>
    <w:rsid w:val="003B11E1"/>
    <w:rsid w:val="003B12FB"/>
    <w:rsid w:val="003B17FF"/>
    <w:rsid w:val="003B1EFA"/>
    <w:rsid w:val="003B2256"/>
    <w:rsid w:val="003B29E0"/>
    <w:rsid w:val="003B3702"/>
    <w:rsid w:val="003B5D8A"/>
    <w:rsid w:val="003B5E5E"/>
    <w:rsid w:val="003B6B45"/>
    <w:rsid w:val="003B736B"/>
    <w:rsid w:val="003C02BE"/>
    <w:rsid w:val="003C08BE"/>
    <w:rsid w:val="003C11D6"/>
    <w:rsid w:val="003C1CD1"/>
    <w:rsid w:val="003C1E38"/>
    <w:rsid w:val="003C1F13"/>
    <w:rsid w:val="003C212F"/>
    <w:rsid w:val="003C2CB3"/>
    <w:rsid w:val="003C3F43"/>
    <w:rsid w:val="003C4701"/>
    <w:rsid w:val="003C4818"/>
    <w:rsid w:val="003C5D44"/>
    <w:rsid w:val="003C63E1"/>
    <w:rsid w:val="003C6819"/>
    <w:rsid w:val="003C6EE2"/>
    <w:rsid w:val="003C7EAC"/>
    <w:rsid w:val="003D076C"/>
    <w:rsid w:val="003D106A"/>
    <w:rsid w:val="003D14AB"/>
    <w:rsid w:val="003D1BE3"/>
    <w:rsid w:val="003D2AC4"/>
    <w:rsid w:val="003D2FD4"/>
    <w:rsid w:val="003D32CC"/>
    <w:rsid w:val="003D4203"/>
    <w:rsid w:val="003D495C"/>
    <w:rsid w:val="003D4A11"/>
    <w:rsid w:val="003D6512"/>
    <w:rsid w:val="003D6979"/>
    <w:rsid w:val="003D69BA"/>
    <w:rsid w:val="003D722E"/>
    <w:rsid w:val="003D72ED"/>
    <w:rsid w:val="003D73B2"/>
    <w:rsid w:val="003D767A"/>
    <w:rsid w:val="003E0E14"/>
    <w:rsid w:val="003E245A"/>
    <w:rsid w:val="003E2F4E"/>
    <w:rsid w:val="003E32CE"/>
    <w:rsid w:val="003E428C"/>
    <w:rsid w:val="003E53BC"/>
    <w:rsid w:val="003E5D37"/>
    <w:rsid w:val="003E60C2"/>
    <w:rsid w:val="003E6E1D"/>
    <w:rsid w:val="003E6EC9"/>
    <w:rsid w:val="003E7546"/>
    <w:rsid w:val="003E78CD"/>
    <w:rsid w:val="003F08EE"/>
    <w:rsid w:val="003F183C"/>
    <w:rsid w:val="003F211B"/>
    <w:rsid w:val="003F2500"/>
    <w:rsid w:val="003F2753"/>
    <w:rsid w:val="003F3468"/>
    <w:rsid w:val="003F3FD5"/>
    <w:rsid w:val="003F4D76"/>
    <w:rsid w:val="003F55A6"/>
    <w:rsid w:val="003F5870"/>
    <w:rsid w:val="003F5EA1"/>
    <w:rsid w:val="003F7682"/>
    <w:rsid w:val="0040084E"/>
    <w:rsid w:val="0040098C"/>
    <w:rsid w:val="004020B2"/>
    <w:rsid w:val="00402925"/>
    <w:rsid w:val="004029AF"/>
    <w:rsid w:val="00403539"/>
    <w:rsid w:val="0040353E"/>
    <w:rsid w:val="004039BC"/>
    <w:rsid w:val="00403F68"/>
    <w:rsid w:val="0040490D"/>
    <w:rsid w:val="004058E1"/>
    <w:rsid w:val="00405E1A"/>
    <w:rsid w:val="00407CC7"/>
    <w:rsid w:val="004105C6"/>
    <w:rsid w:val="004105CB"/>
    <w:rsid w:val="00410BDA"/>
    <w:rsid w:val="00410DEB"/>
    <w:rsid w:val="00411045"/>
    <w:rsid w:val="0041161E"/>
    <w:rsid w:val="00411ACD"/>
    <w:rsid w:val="00412549"/>
    <w:rsid w:val="0041270A"/>
    <w:rsid w:val="00413B1B"/>
    <w:rsid w:val="00413EFE"/>
    <w:rsid w:val="0041400F"/>
    <w:rsid w:val="00414F81"/>
    <w:rsid w:val="00414FBB"/>
    <w:rsid w:val="0041524B"/>
    <w:rsid w:val="00415A69"/>
    <w:rsid w:val="00421918"/>
    <w:rsid w:val="004222A2"/>
    <w:rsid w:val="0042287D"/>
    <w:rsid w:val="00423981"/>
    <w:rsid w:val="00423AB1"/>
    <w:rsid w:val="00424BC3"/>
    <w:rsid w:val="00424C0E"/>
    <w:rsid w:val="004253DE"/>
    <w:rsid w:val="00425B7B"/>
    <w:rsid w:val="00425C6F"/>
    <w:rsid w:val="00426758"/>
    <w:rsid w:val="004269F0"/>
    <w:rsid w:val="0042706F"/>
    <w:rsid w:val="0042785F"/>
    <w:rsid w:val="004311DD"/>
    <w:rsid w:val="0043161D"/>
    <w:rsid w:val="00431888"/>
    <w:rsid w:val="004318AC"/>
    <w:rsid w:val="00432287"/>
    <w:rsid w:val="00432B42"/>
    <w:rsid w:val="00432BC3"/>
    <w:rsid w:val="00433456"/>
    <w:rsid w:val="00435CA4"/>
    <w:rsid w:val="004369AF"/>
    <w:rsid w:val="00436B38"/>
    <w:rsid w:val="00440384"/>
    <w:rsid w:val="00441807"/>
    <w:rsid w:val="00441AE5"/>
    <w:rsid w:val="004427E2"/>
    <w:rsid w:val="00442C34"/>
    <w:rsid w:val="0044346F"/>
    <w:rsid w:val="00443609"/>
    <w:rsid w:val="00444563"/>
    <w:rsid w:val="004445E7"/>
    <w:rsid w:val="00444959"/>
    <w:rsid w:val="004452C2"/>
    <w:rsid w:val="00446886"/>
    <w:rsid w:val="004475DE"/>
    <w:rsid w:val="00447765"/>
    <w:rsid w:val="00447ED7"/>
    <w:rsid w:val="00450757"/>
    <w:rsid w:val="00450F15"/>
    <w:rsid w:val="00451504"/>
    <w:rsid w:val="00451B35"/>
    <w:rsid w:val="00451D4C"/>
    <w:rsid w:val="00451DEE"/>
    <w:rsid w:val="00451F64"/>
    <w:rsid w:val="00452AC9"/>
    <w:rsid w:val="00452D30"/>
    <w:rsid w:val="00453064"/>
    <w:rsid w:val="004530CD"/>
    <w:rsid w:val="00454007"/>
    <w:rsid w:val="00454DC4"/>
    <w:rsid w:val="0045556D"/>
    <w:rsid w:val="004567A8"/>
    <w:rsid w:val="004567DD"/>
    <w:rsid w:val="004568B5"/>
    <w:rsid w:val="00457963"/>
    <w:rsid w:val="00457B4C"/>
    <w:rsid w:val="00457D16"/>
    <w:rsid w:val="00460566"/>
    <w:rsid w:val="004608B0"/>
    <w:rsid w:val="00460A3F"/>
    <w:rsid w:val="004619F0"/>
    <w:rsid w:val="00462594"/>
    <w:rsid w:val="004640E8"/>
    <w:rsid w:val="00464170"/>
    <w:rsid w:val="00464231"/>
    <w:rsid w:val="00464922"/>
    <w:rsid w:val="004651BA"/>
    <w:rsid w:val="00465765"/>
    <w:rsid w:val="00466270"/>
    <w:rsid w:val="00467015"/>
    <w:rsid w:val="00467350"/>
    <w:rsid w:val="00467381"/>
    <w:rsid w:val="00467433"/>
    <w:rsid w:val="004679EE"/>
    <w:rsid w:val="00467F29"/>
    <w:rsid w:val="00470813"/>
    <w:rsid w:val="00470CEE"/>
    <w:rsid w:val="00470F04"/>
    <w:rsid w:val="00471014"/>
    <w:rsid w:val="0047139E"/>
    <w:rsid w:val="00471607"/>
    <w:rsid w:val="004718E5"/>
    <w:rsid w:val="00471B13"/>
    <w:rsid w:val="00471EF1"/>
    <w:rsid w:val="0047284C"/>
    <w:rsid w:val="00472D88"/>
    <w:rsid w:val="00473233"/>
    <w:rsid w:val="004735C9"/>
    <w:rsid w:val="00475328"/>
    <w:rsid w:val="00475595"/>
    <w:rsid w:val="00475596"/>
    <w:rsid w:val="0047716F"/>
    <w:rsid w:val="00477F8C"/>
    <w:rsid w:val="0048007F"/>
    <w:rsid w:val="00480286"/>
    <w:rsid w:val="00480293"/>
    <w:rsid w:val="00481911"/>
    <w:rsid w:val="00481A91"/>
    <w:rsid w:val="00482EA7"/>
    <w:rsid w:val="00483C74"/>
    <w:rsid w:val="00483FA9"/>
    <w:rsid w:val="00484B09"/>
    <w:rsid w:val="004855F7"/>
    <w:rsid w:val="00485689"/>
    <w:rsid w:val="00486368"/>
    <w:rsid w:val="004867CE"/>
    <w:rsid w:val="0048778C"/>
    <w:rsid w:val="00487DB3"/>
    <w:rsid w:val="004907D2"/>
    <w:rsid w:val="00490A66"/>
    <w:rsid w:val="00490F78"/>
    <w:rsid w:val="004912A7"/>
    <w:rsid w:val="004917A8"/>
    <w:rsid w:val="00491E96"/>
    <w:rsid w:val="00492ACE"/>
    <w:rsid w:val="00492BC7"/>
    <w:rsid w:val="00492F40"/>
    <w:rsid w:val="004937CF"/>
    <w:rsid w:val="00493AC0"/>
    <w:rsid w:val="00493EEA"/>
    <w:rsid w:val="004948C8"/>
    <w:rsid w:val="00494D5A"/>
    <w:rsid w:val="00494F8A"/>
    <w:rsid w:val="004951A6"/>
    <w:rsid w:val="0049540F"/>
    <w:rsid w:val="004962B8"/>
    <w:rsid w:val="00496A06"/>
    <w:rsid w:val="00497245"/>
    <w:rsid w:val="0049731A"/>
    <w:rsid w:val="00497F3F"/>
    <w:rsid w:val="00497FAC"/>
    <w:rsid w:val="004A06F6"/>
    <w:rsid w:val="004A098A"/>
    <w:rsid w:val="004A0DAF"/>
    <w:rsid w:val="004A12D6"/>
    <w:rsid w:val="004A1569"/>
    <w:rsid w:val="004A2823"/>
    <w:rsid w:val="004A3153"/>
    <w:rsid w:val="004A441F"/>
    <w:rsid w:val="004A5077"/>
    <w:rsid w:val="004A5174"/>
    <w:rsid w:val="004A5E13"/>
    <w:rsid w:val="004A6949"/>
    <w:rsid w:val="004A7B08"/>
    <w:rsid w:val="004A7F8D"/>
    <w:rsid w:val="004B01B1"/>
    <w:rsid w:val="004B070A"/>
    <w:rsid w:val="004B09CD"/>
    <w:rsid w:val="004B10A8"/>
    <w:rsid w:val="004B11A7"/>
    <w:rsid w:val="004B2496"/>
    <w:rsid w:val="004B2C34"/>
    <w:rsid w:val="004B2EFB"/>
    <w:rsid w:val="004B2F43"/>
    <w:rsid w:val="004B35F6"/>
    <w:rsid w:val="004B3876"/>
    <w:rsid w:val="004B3C8C"/>
    <w:rsid w:val="004B465C"/>
    <w:rsid w:val="004B4AC8"/>
    <w:rsid w:val="004B50AD"/>
    <w:rsid w:val="004B5FFE"/>
    <w:rsid w:val="004B681A"/>
    <w:rsid w:val="004C0009"/>
    <w:rsid w:val="004C0308"/>
    <w:rsid w:val="004C09B8"/>
    <w:rsid w:val="004C0ADE"/>
    <w:rsid w:val="004C1229"/>
    <w:rsid w:val="004C3634"/>
    <w:rsid w:val="004C3A94"/>
    <w:rsid w:val="004C3AAB"/>
    <w:rsid w:val="004C3D1A"/>
    <w:rsid w:val="004C4BFD"/>
    <w:rsid w:val="004C5233"/>
    <w:rsid w:val="004C5E5F"/>
    <w:rsid w:val="004C7CCD"/>
    <w:rsid w:val="004D1290"/>
    <w:rsid w:val="004D12B4"/>
    <w:rsid w:val="004D33F6"/>
    <w:rsid w:val="004D364D"/>
    <w:rsid w:val="004D4F69"/>
    <w:rsid w:val="004D5476"/>
    <w:rsid w:val="004D5CFB"/>
    <w:rsid w:val="004D71F8"/>
    <w:rsid w:val="004E0C52"/>
    <w:rsid w:val="004E0EBE"/>
    <w:rsid w:val="004E109B"/>
    <w:rsid w:val="004E1748"/>
    <w:rsid w:val="004E36B2"/>
    <w:rsid w:val="004E39BB"/>
    <w:rsid w:val="004E3E99"/>
    <w:rsid w:val="004E44DF"/>
    <w:rsid w:val="004E4663"/>
    <w:rsid w:val="004E46F1"/>
    <w:rsid w:val="004E5142"/>
    <w:rsid w:val="004E53FB"/>
    <w:rsid w:val="004E57F0"/>
    <w:rsid w:val="004E58AE"/>
    <w:rsid w:val="004E5B83"/>
    <w:rsid w:val="004E6551"/>
    <w:rsid w:val="004E6FB9"/>
    <w:rsid w:val="004E736A"/>
    <w:rsid w:val="004F0296"/>
    <w:rsid w:val="004F111E"/>
    <w:rsid w:val="004F11E3"/>
    <w:rsid w:val="004F15FE"/>
    <w:rsid w:val="004F2732"/>
    <w:rsid w:val="004F38E0"/>
    <w:rsid w:val="004F39E2"/>
    <w:rsid w:val="004F3B99"/>
    <w:rsid w:val="004F4793"/>
    <w:rsid w:val="004F486B"/>
    <w:rsid w:val="004F4A7D"/>
    <w:rsid w:val="004F4E03"/>
    <w:rsid w:val="004F6B92"/>
    <w:rsid w:val="004F75FE"/>
    <w:rsid w:val="004F7DD5"/>
    <w:rsid w:val="004F7EEB"/>
    <w:rsid w:val="0050019A"/>
    <w:rsid w:val="00500203"/>
    <w:rsid w:val="005006DF"/>
    <w:rsid w:val="00500A71"/>
    <w:rsid w:val="005012BC"/>
    <w:rsid w:val="00501A7C"/>
    <w:rsid w:val="005031DB"/>
    <w:rsid w:val="005035CF"/>
    <w:rsid w:val="0050373E"/>
    <w:rsid w:val="005049A2"/>
    <w:rsid w:val="00504B3D"/>
    <w:rsid w:val="00504CAF"/>
    <w:rsid w:val="0050502C"/>
    <w:rsid w:val="005051E9"/>
    <w:rsid w:val="005058D1"/>
    <w:rsid w:val="00505DC2"/>
    <w:rsid w:val="00506860"/>
    <w:rsid w:val="005069A9"/>
    <w:rsid w:val="00506E8A"/>
    <w:rsid w:val="00507401"/>
    <w:rsid w:val="0050754D"/>
    <w:rsid w:val="00507BDE"/>
    <w:rsid w:val="00510B0E"/>
    <w:rsid w:val="005113EE"/>
    <w:rsid w:val="005123C1"/>
    <w:rsid w:val="00512A31"/>
    <w:rsid w:val="00512EC2"/>
    <w:rsid w:val="0051379F"/>
    <w:rsid w:val="0051489C"/>
    <w:rsid w:val="005160FB"/>
    <w:rsid w:val="005162B2"/>
    <w:rsid w:val="00517601"/>
    <w:rsid w:val="00517961"/>
    <w:rsid w:val="00517A23"/>
    <w:rsid w:val="00520218"/>
    <w:rsid w:val="00521232"/>
    <w:rsid w:val="00521436"/>
    <w:rsid w:val="00522479"/>
    <w:rsid w:val="00522A80"/>
    <w:rsid w:val="00522A95"/>
    <w:rsid w:val="00522CDB"/>
    <w:rsid w:val="005236E7"/>
    <w:rsid w:val="00523795"/>
    <w:rsid w:val="0052485F"/>
    <w:rsid w:val="005248CF"/>
    <w:rsid w:val="00524FF1"/>
    <w:rsid w:val="005265CC"/>
    <w:rsid w:val="00526E02"/>
    <w:rsid w:val="005278E3"/>
    <w:rsid w:val="00530364"/>
    <w:rsid w:val="0053181D"/>
    <w:rsid w:val="00531948"/>
    <w:rsid w:val="00531E5E"/>
    <w:rsid w:val="005324B7"/>
    <w:rsid w:val="005325BA"/>
    <w:rsid w:val="0053380B"/>
    <w:rsid w:val="00533C71"/>
    <w:rsid w:val="00534336"/>
    <w:rsid w:val="005350FE"/>
    <w:rsid w:val="005351AD"/>
    <w:rsid w:val="005364DA"/>
    <w:rsid w:val="00536D41"/>
    <w:rsid w:val="005379BB"/>
    <w:rsid w:val="00540157"/>
    <w:rsid w:val="00541EBB"/>
    <w:rsid w:val="00542869"/>
    <w:rsid w:val="00542D38"/>
    <w:rsid w:val="0054326D"/>
    <w:rsid w:val="00546960"/>
    <w:rsid w:val="00546BFE"/>
    <w:rsid w:val="00547553"/>
    <w:rsid w:val="0054765E"/>
    <w:rsid w:val="005500AE"/>
    <w:rsid w:val="0055060D"/>
    <w:rsid w:val="00550664"/>
    <w:rsid w:val="00550815"/>
    <w:rsid w:val="00551660"/>
    <w:rsid w:val="00551837"/>
    <w:rsid w:val="00551B43"/>
    <w:rsid w:val="00551F58"/>
    <w:rsid w:val="00552017"/>
    <w:rsid w:val="00552982"/>
    <w:rsid w:val="005534A4"/>
    <w:rsid w:val="005535E0"/>
    <w:rsid w:val="00553F54"/>
    <w:rsid w:val="00554D3A"/>
    <w:rsid w:val="0055501D"/>
    <w:rsid w:val="00555104"/>
    <w:rsid w:val="00555295"/>
    <w:rsid w:val="0055639C"/>
    <w:rsid w:val="00557B1F"/>
    <w:rsid w:val="00557BE2"/>
    <w:rsid w:val="00557E7A"/>
    <w:rsid w:val="0056045E"/>
    <w:rsid w:val="005615AE"/>
    <w:rsid w:val="00562B73"/>
    <w:rsid w:val="005642D9"/>
    <w:rsid w:val="00565D04"/>
    <w:rsid w:val="00565E3E"/>
    <w:rsid w:val="0056630C"/>
    <w:rsid w:val="00567619"/>
    <w:rsid w:val="0057043A"/>
    <w:rsid w:val="00570F87"/>
    <w:rsid w:val="00571A7F"/>
    <w:rsid w:val="00571C10"/>
    <w:rsid w:val="00571E8D"/>
    <w:rsid w:val="00572050"/>
    <w:rsid w:val="0057275E"/>
    <w:rsid w:val="005727CA"/>
    <w:rsid w:val="005727F0"/>
    <w:rsid w:val="00573545"/>
    <w:rsid w:val="00573CD4"/>
    <w:rsid w:val="00574CAF"/>
    <w:rsid w:val="00576D0F"/>
    <w:rsid w:val="00576DC5"/>
    <w:rsid w:val="00576FBF"/>
    <w:rsid w:val="005801F1"/>
    <w:rsid w:val="005802A8"/>
    <w:rsid w:val="00580573"/>
    <w:rsid w:val="0058090F"/>
    <w:rsid w:val="00581348"/>
    <w:rsid w:val="005813B0"/>
    <w:rsid w:val="00581F60"/>
    <w:rsid w:val="00582089"/>
    <w:rsid w:val="0058237C"/>
    <w:rsid w:val="00582629"/>
    <w:rsid w:val="00582A53"/>
    <w:rsid w:val="0058385A"/>
    <w:rsid w:val="00584948"/>
    <w:rsid w:val="00584C5A"/>
    <w:rsid w:val="00584FDD"/>
    <w:rsid w:val="005858EC"/>
    <w:rsid w:val="005863EC"/>
    <w:rsid w:val="00586DE9"/>
    <w:rsid w:val="005871A4"/>
    <w:rsid w:val="005871C9"/>
    <w:rsid w:val="005875EB"/>
    <w:rsid w:val="00587B5F"/>
    <w:rsid w:val="00592C8F"/>
    <w:rsid w:val="005930C9"/>
    <w:rsid w:val="00593334"/>
    <w:rsid w:val="0059360F"/>
    <w:rsid w:val="00594456"/>
    <w:rsid w:val="00594B76"/>
    <w:rsid w:val="005950BB"/>
    <w:rsid w:val="0059583E"/>
    <w:rsid w:val="005A05CA"/>
    <w:rsid w:val="005A20F2"/>
    <w:rsid w:val="005A29E0"/>
    <w:rsid w:val="005A4139"/>
    <w:rsid w:val="005A4248"/>
    <w:rsid w:val="005A42A7"/>
    <w:rsid w:val="005A5741"/>
    <w:rsid w:val="005A60EE"/>
    <w:rsid w:val="005A63FF"/>
    <w:rsid w:val="005A661B"/>
    <w:rsid w:val="005A696F"/>
    <w:rsid w:val="005A6DA9"/>
    <w:rsid w:val="005A6DDE"/>
    <w:rsid w:val="005A724A"/>
    <w:rsid w:val="005A76A3"/>
    <w:rsid w:val="005A791C"/>
    <w:rsid w:val="005B0837"/>
    <w:rsid w:val="005B0B6C"/>
    <w:rsid w:val="005B0E37"/>
    <w:rsid w:val="005B2951"/>
    <w:rsid w:val="005B2E7F"/>
    <w:rsid w:val="005B30C5"/>
    <w:rsid w:val="005B462B"/>
    <w:rsid w:val="005B587A"/>
    <w:rsid w:val="005B6693"/>
    <w:rsid w:val="005B6D47"/>
    <w:rsid w:val="005B728E"/>
    <w:rsid w:val="005B756F"/>
    <w:rsid w:val="005B77B1"/>
    <w:rsid w:val="005B7E10"/>
    <w:rsid w:val="005C0981"/>
    <w:rsid w:val="005C0A34"/>
    <w:rsid w:val="005C1060"/>
    <w:rsid w:val="005C14A4"/>
    <w:rsid w:val="005C19E0"/>
    <w:rsid w:val="005C204D"/>
    <w:rsid w:val="005C2AE8"/>
    <w:rsid w:val="005C37E3"/>
    <w:rsid w:val="005C4E33"/>
    <w:rsid w:val="005C6480"/>
    <w:rsid w:val="005C6A0C"/>
    <w:rsid w:val="005C7094"/>
    <w:rsid w:val="005C71D5"/>
    <w:rsid w:val="005C7DBC"/>
    <w:rsid w:val="005C7EC5"/>
    <w:rsid w:val="005D044E"/>
    <w:rsid w:val="005D16C9"/>
    <w:rsid w:val="005D2200"/>
    <w:rsid w:val="005D264A"/>
    <w:rsid w:val="005D308D"/>
    <w:rsid w:val="005D4169"/>
    <w:rsid w:val="005D426F"/>
    <w:rsid w:val="005D4E9B"/>
    <w:rsid w:val="005D7845"/>
    <w:rsid w:val="005D7DDD"/>
    <w:rsid w:val="005E1822"/>
    <w:rsid w:val="005E3945"/>
    <w:rsid w:val="005E3CA7"/>
    <w:rsid w:val="005E3E40"/>
    <w:rsid w:val="005E58F3"/>
    <w:rsid w:val="005E65D5"/>
    <w:rsid w:val="005E7E1A"/>
    <w:rsid w:val="005F0C6D"/>
    <w:rsid w:val="005F1828"/>
    <w:rsid w:val="005F2572"/>
    <w:rsid w:val="005F28FB"/>
    <w:rsid w:val="005F3429"/>
    <w:rsid w:val="005F44A2"/>
    <w:rsid w:val="005F4924"/>
    <w:rsid w:val="005F6FBE"/>
    <w:rsid w:val="005F70E7"/>
    <w:rsid w:val="00600097"/>
    <w:rsid w:val="00600C72"/>
    <w:rsid w:val="00602114"/>
    <w:rsid w:val="0060391E"/>
    <w:rsid w:val="00606F60"/>
    <w:rsid w:val="006073ED"/>
    <w:rsid w:val="00607722"/>
    <w:rsid w:val="006077CD"/>
    <w:rsid w:val="006079BD"/>
    <w:rsid w:val="00607CD5"/>
    <w:rsid w:val="00610046"/>
    <w:rsid w:val="00610CDB"/>
    <w:rsid w:val="006111E3"/>
    <w:rsid w:val="006112C8"/>
    <w:rsid w:val="006114A5"/>
    <w:rsid w:val="00611660"/>
    <w:rsid w:val="006128B5"/>
    <w:rsid w:val="00613672"/>
    <w:rsid w:val="0061379E"/>
    <w:rsid w:val="006140CA"/>
    <w:rsid w:val="00614FA8"/>
    <w:rsid w:val="00617162"/>
    <w:rsid w:val="0062048F"/>
    <w:rsid w:val="00620894"/>
    <w:rsid w:val="0062235C"/>
    <w:rsid w:val="006231D5"/>
    <w:rsid w:val="006233FE"/>
    <w:rsid w:val="00624258"/>
    <w:rsid w:val="0062465A"/>
    <w:rsid w:val="00624790"/>
    <w:rsid w:val="0062519D"/>
    <w:rsid w:val="006251E1"/>
    <w:rsid w:val="0062580F"/>
    <w:rsid w:val="00626120"/>
    <w:rsid w:val="006267AD"/>
    <w:rsid w:val="00626941"/>
    <w:rsid w:val="00626B2A"/>
    <w:rsid w:val="00626E72"/>
    <w:rsid w:val="006313FD"/>
    <w:rsid w:val="0063272F"/>
    <w:rsid w:val="006328A5"/>
    <w:rsid w:val="00632912"/>
    <w:rsid w:val="0063471F"/>
    <w:rsid w:val="006351B0"/>
    <w:rsid w:val="006351D2"/>
    <w:rsid w:val="006367CD"/>
    <w:rsid w:val="006368BA"/>
    <w:rsid w:val="00637518"/>
    <w:rsid w:val="00637819"/>
    <w:rsid w:val="006419E1"/>
    <w:rsid w:val="006419EB"/>
    <w:rsid w:val="0064284C"/>
    <w:rsid w:val="00643E35"/>
    <w:rsid w:val="006443A6"/>
    <w:rsid w:val="0064472C"/>
    <w:rsid w:val="00645163"/>
    <w:rsid w:val="00645CAD"/>
    <w:rsid w:val="006464C2"/>
    <w:rsid w:val="0064682E"/>
    <w:rsid w:val="00646849"/>
    <w:rsid w:val="00646FEA"/>
    <w:rsid w:val="00647ADB"/>
    <w:rsid w:val="00647B41"/>
    <w:rsid w:val="00647BB9"/>
    <w:rsid w:val="00647BD4"/>
    <w:rsid w:val="00650CF5"/>
    <w:rsid w:val="00650E01"/>
    <w:rsid w:val="006519E8"/>
    <w:rsid w:val="00651B28"/>
    <w:rsid w:val="006528FC"/>
    <w:rsid w:val="006531FE"/>
    <w:rsid w:val="00655C66"/>
    <w:rsid w:val="00656376"/>
    <w:rsid w:val="00656EE8"/>
    <w:rsid w:val="006572F4"/>
    <w:rsid w:val="006573EF"/>
    <w:rsid w:val="0065788B"/>
    <w:rsid w:val="00661494"/>
    <w:rsid w:val="00661777"/>
    <w:rsid w:val="006622AA"/>
    <w:rsid w:val="0066265E"/>
    <w:rsid w:val="00662685"/>
    <w:rsid w:val="00662865"/>
    <w:rsid w:val="00662D25"/>
    <w:rsid w:val="006634B8"/>
    <w:rsid w:val="00663BB9"/>
    <w:rsid w:val="00663CB2"/>
    <w:rsid w:val="00664149"/>
    <w:rsid w:val="006654CF"/>
    <w:rsid w:val="00666125"/>
    <w:rsid w:val="006665D6"/>
    <w:rsid w:val="0066699F"/>
    <w:rsid w:val="00666CF2"/>
    <w:rsid w:val="00667968"/>
    <w:rsid w:val="00667D46"/>
    <w:rsid w:val="006704B9"/>
    <w:rsid w:val="00670BCA"/>
    <w:rsid w:val="006714DF"/>
    <w:rsid w:val="00671882"/>
    <w:rsid w:val="006718C1"/>
    <w:rsid w:val="00671C3A"/>
    <w:rsid w:val="00671D11"/>
    <w:rsid w:val="00673835"/>
    <w:rsid w:val="00673C11"/>
    <w:rsid w:val="00674033"/>
    <w:rsid w:val="006753E5"/>
    <w:rsid w:val="0067570D"/>
    <w:rsid w:val="0067635A"/>
    <w:rsid w:val="00676FF8"/>
    <w:rsid w:val="00677B2C"/>
    <w:rsid w:val="00677C9B"/>
    <w:rsid w:val="006800D1"/>
    <w:rsid w:val="006802B5"/>
    <w:rsid w:val="00680A98"/>
    <w:rsid w:val="00680B4A"/>
    <w:rsid w:val="00680E53"/>
    <w:rsid w:val="00681263"/>
    <w:rsid w:val="006816C6"/>
    <w:rsid w:val="0068182B"/>
    <w:rsid w:val="0068252C"/>
    <w:rsid w:val="00682C77"/>
    <w:rsid w:val="00683006"/>
    <w:rsid w:val="00683AA2"/>
    <w:rsid w:val="00683D07"/>
    <w:rsid w:val="00683D2C"/>
    <w:rsid w:val="00684355"/>
    <w:rsid w:val="0068443C"/>
    <w:rsid w:val="0068517C"/>
    <w:rsid w:val="00685237"/>
    <w:rsid w:val="00685445"/>
    <w:rsid w:val="006861ED"/>
    <w:rsid w:val="00686951"/>
    <w:rsid w:val="006877EE"/>
    <w:rsid w:val="006878B7"/>
    <w:rsid w:val="00687DB7"/>
    <w:rsid w:val="006901F7"/>
    <w:rsid w:val="006911D9"/>
    <w:rsid w:val="0069154A"/>
    <w:rsid w:val="006915EE"/>
    <w:rsid w:val="00691905"/>
    <w:rsid w:val="00691BC7"/>
    <w:rsid w:val="0069214D"/>
    <w:rsid w:val="0069339B"/>
    <w:rsid w:val="0069371E"/>
    <w:rsid w:val="00693955"/>
    <w:rsid w:val="00693A1C"/>
    <w:rsid w:val="00694729"/>
    <w:rsid w:val="006949F6"/>
    <w:rsid w:val="0069506B"/>
    <w:rsid w:val="006960AF"/>
    <w:rsid w:val="006963D2"/>
    <w:rsid w:val="00696538"/>
    <w:rsid w:val="006965F4"/>
    <w:rsid w:val="00696609"/>
    <w:rsid w:val="00696BF6"/>
    <w:rsid w:val="006A10C7"/>
    <w:rsid w:val="006A1170"/>
    <w:rsid w:val="006A1342"/>
    <w:rsid w:val="006A13B8"/>
    <w:rsid w:val="006A1679"/>
    <w:rsid w:val="006A1C6A"/>
    <w:rsid w:val="006A23B7"/>
    <w:rsid w:val="006A2EF6"/>
    <w:rsid w:val="006A2F20"/>
    <w:rsid w:val="006A2FF9"/>
    <w:rsid w:val="006A304E"/>
    <w:rsid w:val="006A3486"/>
    <w:rsid w:val="006A3582"/>
    <w:rsid w:val="006A4D60"/>
    <w:rsid w:val="006A64EC"/>
    <w:rsid w:val="006A6770"/>
    <w:rsid w:val="006A725C"/>
    <w:rsid w:val="006A7514"/>
    <w:rsid w:val="006A79C2"/>
    <w:rsid w:val="006A7AD2"/>
    <w:rsid w:val="006B1136"/>
    <w:rsid w:val="006B11A5"/>
    <w:rsid w:val="006B150A"/>
    <w:rsid w:val="006B1631"/>
    <w:rsid w:val="006B209C"/>
    <w:rsid w:val="006B3112"/>
    <w:rsid w:val="006B3134"/>
    <w:rsid w:val="006B3633"/>
    <w:rsid w:val="006B3C1A"/>
    <w:rsid w:val="006B3D97"/>
    <w:rsid w:val="006B4733"/>
    <w:rsid w:val="006B49FA"/>
    <w:rsid w:val="006B4CCE"/>
    <w:rsid w:val="006B4CEB"/>
    <w:rsid w:val="006B5815"/>
    <w:rsid w:val="006B716A"/>
    <w:rsid w:val="006B71FC"/>
    <w:rsid w:val="006B7533"/>
    <w:rsid w:val="006C00E0"/>
    <w:rsid w:val="006C0B56"/>
    <w:rsid w:val="006C21DC"/>
    <w:rsid w:val="006C243A"/>
    <w:rsid w:val="006C2463"/>
    <w:rsid w:val="006C2C34"/>
    <w:rsid w:val="006C30FE"/>
    <w:rsid w:val="006C445F"/>
    <w:rsid w:val="006C4DFD"/>
    <w:rsid w:val="006C4F5A"/>
    <w:rsid w:val="006C5DDD"/>
    <w:rsid w:val="006C6AAF"/>
    <w:rsid w:val="006C6E52"/>
    <w:rsid w:val="006C6FF6"/>
    <w:rsid w:val="006C73A0"/>
    <w:rsid w:val="006C7F39"/>
    <w:rsid w:val="006D01DF"/>
    <w:rsid w:val="006D0D42"/>
    <w:rsid w:val="006D321B"/>
    <w:rsid w:val="006D33EB"/>
    <w:rsid w:val="006D3CDD"/>
    <w:rsid w:val="006D4235"/>
    <w:rsid w:val="006D4417"/>
    <w:rsid w:val="006D5AEC"/>
    <w:rsid w:val="006D6B44"/>
    <w:rsid w:val="006D6B4B"/>
    <w:rsid w:val="006D73B3"/>
    <w:rsid w:val="006D7CFC"/>
    <w:rsid w:val="006E1297"/>
    <w:rsid w:val="006E21AD"/>
    <w:rsid w:val="006E24EC"/>
    <w:rsid w:val="006E35DE"/>
    <w:rsid w:val="006E5AC5"/>
    <w:rsid w:val="006E5EA6"/>
    <w:rsid w:val="006E6A1A"/>
    <w:rsid w:val="006E6B6C"/>
    <w:rsid w:val="006E7A4A"/>
    <w:rsid w:val="006E7E49"/>
    <w:rsid w:val="006E7E4D"/>
    <w:rsid w:val="006E7EF3"/>
    <w:rsid w:val="006F02E5"/>
    <w:rsid w:val="006F0A42"/>
    <w:rsid w:val="006F0D7C"/>
    <w:rsid w:val="006F1E26"/>
    <w:rsid w:val="006F2A04"/>
    <w:rsid w:val="006F2D0C"/>
    <w:rsid w:val="006F35D0"/>
    <w:rsid w:val="006F3AC9"/>
    <w:rsid w:val="006F49C6"/>
    <w:rsid w:val="006F5A4F"/>
    <w:rsid w:val="006F64E0"/>
    <w:rsid w:val="006F7094"/>
    <w:rsid w:val="006F7399"/>
    <w:rsid w:val="006F7402"/>
    <w:rsid w:val="006F78AA"/>
    <w:rsid w:val="007009E8"/>
    <w:rsid w:val="00700DF6"/>
    <w:rsid w:val="00700E45"/>
    <w:rsid w:val="00700F4E"/>
    <w:rsid w:val="0070140F"/>
    <w:rsid w:val="0070156A"/>
    <w:rsid w:val="0070402F"/>
    <w:rsid w:val="00705591"/>
    <w:rsid w:val="007066DC"/>
    <w:rsid w:val="007067C7"/>
    <w:rsid w:val="00706972"/>
    <w:rsid w:val="0070714B"/>
    <w:rsid w:val="00707789"/>
    <w:rsid w:val="00710141"/>
    <w:rsid w:val="007110C0"/>
    <w:rsid w:val="007115FF"/>
    <w:rsid w:val="007117BC"/>
    <w:rsid w:val="00711B81"/>
    <w:rsid w:val="00711B9B"/>
    <w:rsid w:val="00711DB6"/>
    <w:rsid w:val="007133E8"/>
    <w:rsid w:val="00714435"/>
    <w:rsid w:val="0071499B"/>
    <w:rsid w:val="007153CC"/>
    <w:rsid w:val="0071581D"/>
    <w:rsid w:val="007161E7"/>
    <w:rsid w:val="0071691F"/>
    <w:rsid w:val="00716F03"/>
    <w:rsid w:val="00717A3A"/>
    <w:rsid w:val="00717D7C"/>
    <w:rsid w:val="00720AF8"/>
    <w:rsid w:val="0072339F"/>
    <w:rsid w:val="00724050"/>
    <w:rsid w:val="00724385"/>
    <w:rsid w:val="007244E5"/>
    <w:rsid w:val="007257EC"/>
    <w:rsid w:val="00725EF4"/>
    <w:rsid w:val="00727029"/>
    <w:rsid w:val="00727A52"/>
    <w:rsid w:val="00727F97"/>
    <w:rsid w:val="007301A7"/>
    <w:rsid w:val="00730409"/>
    <w:rsid w:val="00730690"/>
    <w:rsid w:val="007315D7"/>
    <w:rsid w:val="00731F9F"/>
    <w:rsid w:val="007325C9"/>
    <w:rsid w:val="007325F3"/>
    <w:rsid w:val="00734437"/>
    <w:rsid w:val="007347EC"/>
    <w:rsid w:val="0073726D"/>
    <w:rsid w:val="007372DE"/>
    <w:rsid w:val="00737419"/>
    <w:rsid w:val="00737439"/>
    <w:rsid w:val="007413B8"/>
    <w:rsid w:val="007421B3"/>
    <w:rsid w:val="00743213"/>
    <w:rsid w:val="00743EE8"/>
    <w:rsid w:val="00744957"/>
    <w:rsid w:val="007450EB"/>
    <w:rsid w:val="00745B9B"/>
    <w:rsid w:val="00745E06"/>
    <w:rsid w:val="0074667D"/>
    <w:rsid w:val="00751012"/>
    <w:rsid w:val="007511C3"/>
    <w:rsid w:val="007518BF"/>
    <w:rsid w:val="007518C5"/>
    <w:rsid w:val="00751ABE"/>
    <w:rsid w:val="00752159"/>
    <w:rsid w:val="0075235D"/>
    <w:rsid w:val="007528F0"/>
    <w:rsid w:val="007532C9"/>
    <w:rsid w:val="00753373"/>
    <w:rsid w:val="00753AF5"/>
    <w:rsid w:val="0075401B"/>
    <w:rsid w:val="00754591"/>
    <w:rsid w:val="00754D22"/>
    <w:rsid w:val="007550DB"/>
    <w:rsid w:val="00755843"/>
    <w:rsid w:val="00755EF0"/>
    <w:rsid w:val="0075605D"/>
    <w:rsid w:val="00756169"/>
    <w:rsid w:val="00757100"/>
    <w:rsid w:val="0075751C"/>
    <w:rsid w:val="00757EAE"/>
    <w:rsid w:val="0076014F"/>
    <w:rsid w:val="00760F96"/>
    <w:rsid w:val="00761160"/>
    <w:rsid w:val="007618C8"/>
    <w:rsid w:val="007618F7"/>
    <w:rsid w:val="00761E64"/>
    <w:rsid w:val="007644C6"/>
    <w:rsid w:val="007645FB"/>
    <w:rsid w:val="0076492E"/>
    <w:rsid w:val="00764940"/>
    <w:rsid w:val="007655E6"/>
    <w:rsid w:val="00766019"/>
    <w:rsid w:val="00766059"/>
    <w:rsid w:val="00766E80"/>
    <w:rsid w:val="007670F7"/>
    <w:rsid w:val="0076733E"/>
    <w:rsid w:val="007674D6"/>
    <w:rsid w:val="0077014F"/>
    <w:rsid w:val="00770706"/>
    <w:rsid w:val="00770BEA"/>
    <w:rsid w:val="00771123"/>
    <w:rsid w:val="007719EC"/>
    <w:rsid w:val="00772241"/>
    <w:rsid w:val="00773223"/>
    <w:rsid w:val="007736BC"/>
    <w:rsid w:val="00773B85"/>
    <w:rsid w:val="00774DF3"/>
    <w:rsid w:val="007756A7"/>
    <w:rsid w:val="00776490"/>
    <w:rsid w:val="007768C9"/>
    <w:rsid w:val="00776975"/>
    <w:rsid w:val="0077735A"/>
    <w:rsid w:val="007803F5"/>
    <w:rsid w:val="0078170F"/>
    <w:rsid w:val="007830FD"/>
    <w:rsid w:val="00783532"/>
    <w:rsid w:val="00785CD5"/>
    <w:rsid w:val="00785F5E"/>
    <w:rsid w:val="00786BE8"/>
    <w:rsid w:val="00786C5F"/>
    <w:rsid w:val="00786EF1"/>
    <w:rsid w:val="00787162"/>
    <w:rsid w:val="007875CF"/>
    <w:rsid w:val="00787B25"/>
    <w:rsid w:val="00787B6E"/>
    <w:rsid w:val="00787C6A"/>
    <w:rsid w:val="0079197F"/>
    <w:rsid w:val="0079206D"/>
    <w:rsid w:val="00792404"/>
    <w:rsid w:val="007925E0"/>
    <w:rsid w:val="00792C82"/>
    <w:rsid w:val="00793DC3"/>
    <w:rsid w:val="007943BC"/>
    <w:rsid w:val="0079465E"/>
    <w:rsid w:val="00794AFE"/>
    <w:rsid w:val="007961A8"/>
    <w:rsid w:val="0079722C"/>
    <w:rsid w:val="007972DF"/>
    <w:rsid w:val="00797B0A"/>
    <w:rsid w:val="007A09B1"/>
    <w:rsid w:val="007A0B50"/>
    <w:rsid w:val="007A0E8F"/>
    <w:rsid w:val="007A349E"/>
    <w:rsid w:val="007A37D1"/>
    <w:rsid w:val="007A3B02"/>
    <w:rsid w:val="007A58A1"/>
    <w:rsid w:val="007A59DA"/>
    <w:rsid w:val="007A5B01"/>
    <w:rsid w:val="007A5C1D"/>
    <w:rsid w:val="007A5F79"/>
    <w:rsid w:val="007A6065"/>
    <w:rsid w:val="007A688A"/>
    <w:rsid w:val="007A7073"/>
    <w:rsid w:val="007A7942"/>
    <w:rsid w:val="007B028B"/>
    <w:rsid w:val="007B1FE9"/>
    <w:rsid w:val="007B2297"/>
    <w:rsid w:val="007B26A6"/>
    <w:rsid w:val="007B26F4"/>
    <w:rsid w:val="007B284D"/>
    <w:rsid w:val="007B328E"/>
    <w:rsid w:val="007B4067"/>
    <w:rsid w:val="007B4B9F"/>
    <w:rsid w:val="007B534E"/>
    <w:rsid w:val="007B584A"/>
    <w:rsid w:val="007B5F10"/>
    <w:rsid w:val="007B67A9"/>
    <w:rsid w:val="007B6C8E"/>
    <w:rsid w:val="007B70A9"/>
    <w:rsid w:val="007B7606"/>
    <w:rsid w:val="007C0A67"/>
    <w:rsid w:val="007C0CFD"/>
    <w:rsid w:val="007C0E74"/>
    <w:rsid w:val="007C0FA5"/>
    <w:rsid w:val="007C167E"/>
    <w:rsid w:val="007C3172"/>
    <w:rsid w:val="007C32B0"/>
    <w:rsid w:val="007C338C"/>
    <w:rsid w:val="007C3828"/>
    <w:rsid w:val="007C3B35"/>
    <w:rsid w:val="007C4F5F"/>
    <w:rsid w:val="007C533D"/>
    <w:rsid w:val="007C5CF9"/>
    <w:rsid w:val="007C6566"/>
    <w:rsid w:val="007C7703"/>
    <w:rsid w:val="007D01B7"/>
    <w:rsid w:val="007D0C74"/>
    <w:rsid w:val="007D1315"/>
    <w:rsid w:val="007D14AA"/>
    <w:rsid w:val="007D14DA"/>
    <w:rsid w:val="007D27F6"/>
    <w:rsid w:val="007D35A1"/>
    <w:rsid w:val="007D3859"/>
    <w:rsid w:val="007D41C7"/>
    <w:rsid w:val="007D4362"/>
    <w:rsid w:val="007D55D3"/>
    <w:rsid w:val="007D65E4"/>
    <w:rsid w:val="007D69D5"/>
    <w:rsid w:val="007D6B20"/>
    <w:rsid w:val="007E0F5A"/>
    <w:rsid w:val="007E151C"/>
    <w:rsid w:val="007E1D34"/>
    <w:rsid w:val="007E2870"/>
    <w:rsid w:val="007E2AD9"/>
    <w:rsid w:val="007E326F"/>
    <w:rsid w:val="007E3B46"/>
    <w:rsid w:val="007E3D23"/>
    <w:rsid w:val="007E3E74"/>
    <w:rsid w:val="007E40A9"/>
    <w:rsid w:val="007E46A2"/>
    <w:rsid w:val="007E4B31"/>
    <w:rsid w:val="007E4C0B"/>
    <w:rsid w:val="007E4F7F"/>
    <w:rsid w:val="007E5A3E"/>
    <w:rsid w:val="007E5B99"/>
    <w:rsid w:val="007E5DF6"/>
    <w:rsid w:val="007E6516"/>
    <w:rsid w:val="007E67BF"/>
    <w:rsid w:val="007E7776"/>
    <w:rsid w:val="007F019D"/>
    <w:rsid w:val="007F0993"/>
    <w:rsid w:val="007F1039"/>
    <w:rsid w:val="007F1E21"/>
    <w:rsid w:val="007F2A29"/>
    <w:rsid w:val="007F388B"/>
    <w:rsid w:val="007F3A20"/>
    <w:rsid w:val="007F3A49"/>
    <w:rsid w:val="007F5E90"/>
    <w:rsid w:val="007F68D2"/>
    <w:rsid w:val="007F6B22"/>
    <w:rsid w:val="007F75D8"/>
    <w:rsid w:val="007F794F"/>
    <w:rsid w:val="00800DD8"/>
    <w:rsid w:val="0080214F"/>
    <w:rsid w:val="0080236D"/>
    <w:rsid w:val="00802B81"/>
    <w:rsid w:val="0080326D"/>
    <w:rsid w:val="00803326"/>
    <w:rsid w:val="008035E1"/>
    <w:rsid w:val="008037E8"/>
    <w:rsid w:val="00803BCC"/>
    <w:rsid w:val="00803FCA"/>
    <w:rsid w:val="008040AA"/>
    <w:rsid w:val="008047A2"/>
    <w:rsid w:val="0080521F"/>
    <w:rsid w:val="00805B96"/>
    <w:rsid w:val="00805BE2"/>
    <w:rsid w:val="0080617C"/>
    <w:rsid w:val="0080663A"/>
    <w:rsid w:val="00807336"/>
    <w:rsid w:val="00807EFB"/>
    <w:rsid w:val="008105DF"/>
    <w:rsid w:val="00810CAC"/>
    <w:rsid w:val="0081171F"/>
    <w:rsid w:val="008126CD"/>
    <w:rsid w:val="00813701"/>
    <w:rsid w:val="0081385C"/>
    <w:rsid w:val="00814089"/>
    <w:rsid w:val="00814387"/>
    <w:rsid w:val="008144DB"/>
    <w:rsid w:val="00814596"/>
    <w:rsid w:val="00814DEB"/>
    <w:rsid w:val="0081565F"/>
    <w:rsid w:val="0081614E"/>
    <w:rsid w:val="008167DF"/>
    <w:rsid w:val="00817917"/>
    <w:rsid w:val="00820DE0"/>
    <w:rsid w:val="00821491"/>
    <w:rsid w:val="008216DA"/>
    <w:rsid w:val="008227C1"/>
    <w:rsid w:val="00822B6E"/>
    <w:rsid w:val="00822DF8"/>
    <w:rsid w:val="00823075"/>
    <w:rsid w:val="008230E1"/>
    <w:rsid w:val="008236BE"/>
    <w:rsid w:val="0082374B"/>
    <w:rsid w:val="00826F10"/>
    <w:rsid w:val="0082733D"/>
    <w:rsid w:val="00827639"/>
    <w:rsid w:val="00827871"/>
    <w:rsid w:val="008305CF"/>
    <w:rsid w:val="00830C4D"/>
    <w:rsid w:val="00830EF4"/>
    <w:rsid w:val="0083101F"/>
    <w:rsid w:val="0083152A"/>
    <w:rsid w:val="008315B5"/>
    <w:rsid w:val="00831753"/>
    <w:rsid w:val="00831942"/>
    <w:rsid w:val="00831BA0"/>
    <w:rsid w:val="00832D06"/>
    <w:rsid w:val="0083335C"/>
    <w:rsid w:val="008337D7"/>
    <w:rsid w:val="00833C72"/>
    <w:rsid w:val="00834A70"/>
    <w:rsid w:val="008352A0"/>
    <w:rsid w:val="00835365"/>
    <w:rsid w:val="00835429"/>
    <w:rsid w:val="0083725B"/>
    <w:rsid w:val="0083764E"/>
    <w:rsid w:val="008405F7"/>
    <w:rsid w:val="008409E9"/>
    <w:rsid w:val="0084190F"/>
    <w:rsid w:val="00842987"/>
    <w:rsid w:val="008433DF"/>
    <w:rsid w:val="00843DD5"/>
    <w:rsid w:val="00844353"/>
    <w:rsid w:val="00844EEE"/>
    <w:rsid w:val="008452E0"/>
    <w:rsid w:val="008456F4"/>
    <w:rsid w:val="008457AA"/>
    <w:rsid w:val="0084588C"/>
    <w:rsid w:val="00845D22"/>
    <w:rsid w:val="00845F21"/>
    <w:rsid w:val="00846592"/>
    <w:rsid w:val="008465C7"/>
    <w:rsid w:val="00850A00"/>
    <w:rsid w:val="0085189D"/>
    <w:rsid w:val="0085222F"/>
    <w:rsid w:val="00852540"/>
    <w:rsid w:val="00852801"/>
    <w:rsid w:val="008530BC"/>
    <w:rsid w:val="0085351E"/>
    <w:rsid w:val="00853CC2"/>
    <w:rsid w:val="00854A50"/>
    <w:rsid w:val="0085509A"/>
    <w:rsid w:val="00855DB0"/>
    <w:rsid w:val="008565AB"/>
    <w:rsid w:val="00856E2E"/>
    <w:rsid w:val="0085725E"/>
    <w:rsid w:val="00857424"/>
    <w:rsid w:val="00857BFC"/>
    <w:rsid w:val="00860ABF"/>
    <w:rsid w:val="00860F10"/>
    <w:rsid w:val="00860F6D"/>
    <w:rsid w:val="008619EB"/>
    <w:rsid w:val="00862743"/>
    <w:rsid w:val="008638D0"/>
    <w:rsid w:val="0086425D"/>
    <w:rsid w:val="0086452B"/>
    <w:rsid w:val="00864892"/>
    <w:rsid w:val="00864971"/>
    <w:rsid w:val="00864B95"/>
    <w:rsid w:val="00866590"/>
    <w:rsid w:val="008670B6"/>
    <w:rsid w:val="00870933"/>
    <w:rsid w:val="00870BDF"/>
    <w:rsid w:val="00870C85"/>
    <w:rsid w:val="00870E88"/>
    <w:rsid w:val="00870F80"/>
    <w:rsid w:val="00871095"/>
    <w:rsid w:val="00871368"/>
    <w:rsid w:val="00871692"/>
    <w:rsid w:val="0087169C"/>
    <w:rsid w:val="00871935"/>
    <w:rsid w:val="00871C97"/>
    <w:rsid w:val="00872F29"/>
    <w:rsid w:val="00873721"/>
    <w:rsid w:val="00873760"/>
    <w:rsid w:val="00874C0F"/>
    <w:rsid w:val="00875F44"/>
    <w:rsid w:val="00876890"/>
    <w:rsid w:val="0087701E"/>
    <w:rsid w:val="00877027"/>
    <w:rsid w:val="008773B5"/>
    <w:rsid w:val="0088025D"/>
    <w:rsid w:val="0088092F"/>
    <w:rsid w:val="00880AD3"/>
    <w:rsid w:val="00880BA5"/>
    <w:rsid w:val="0088106F"/>
    <w:rsid w:val="008825F2"/>
    <w:rsid w:val="008842B7"/>
    <w:rsid w:val="008846E9"/>
    <w:rsid w:val="0088530D"/>
    <w:rsid w:val="00885371"/>
    <w:rsid w:val="00885E1B"/>
    <w:rsid w:val="0088744D"/>
    <w:rsid w:val="00887EE6"/>
    <w:rsid w:val="00887F8A"/>
    <w:rsid w:val="008905F7"/>
    <w:rsid w:val="00890918"/>
    <w:rsid w:val="00890919"/>
    <w:rsid w:val="00890936"/>
    <w:rsid w:val="00890CD5"/>
    <w:rsid w:val="00891FD1"/>
    <w:rsid w:val="0089259F"/>
    <w:rsid w:val="00893280"/>
    <w:rsid w:val="008932E8"/>
    <w:rsid w:val="00893AAC"/>
    <w:rsid w:val="00893DB6"/>
    <w:rsid w:val="00894878"/>
    <w:rsid w:val="00895348"/>
    <w:rsid w:val="008956A4"/>
    <w:rsid w:val="00895CDD"/>
    <w:rsid w:val="00895CFE"/>
    <w:rsid w:val="00896853"/>
    <w:rsid w:val="00897761"/>
    <w:rsid w:val="008A06F4"/>
    <w:rsid w:val="008A099C"/>
    <w:rsid w:val="008A13D3"/>
    <w:rsid w:val="008A1416"/>
    <w:rsid w:val="008A1747"/>
    <w:rsid w:val="008A20BD"/>
    <w:rsid w:val="008A2253"/>
    <w:rsid w:val="008A2C2C"/>
    <w:rsid w:val="008A2DAD"/>
    <w:rsid w:val="008A39A1"/>
    <w:rsid w:val="008A3F6F"/>
    <w:rsid w:val="008A49E5"/>
    <w:rsid w:val="008A504E"/>
    <w:rsid w:val="008A52DB"/>
    <w:rsid w:val="008A613E"/>
    <w:rsid w:val="008A68B5"/>
    <w:rsid w:val="008A6D17"/>
    <w:rsid w:val="008A7871"/>
    <w:rsid w:val="008B0FDE"/>
    <w:rsid w:val="008B18F6"/>
    <w:rsid w:val="008B1A59"/>
    <w:rsid w:val="008B2785"/>
    <w:rsid w:val="008B295B"/>
    <w:rsid w:val="008B2E7D"/>
    <w:rsid w:val="008B2EFB"/>
    <w:rsid w:val="008B5889"/>
    <w:rsid w:val="008B5C12"/>
    <w:rsid w:val="008B7EA9"/>
    <w:rsid w:val="008C018B"/>
    <w:rsid w:val="008C1BE2"/>
    <w:rsid w:val="008C2E88"/>
    <w:rsid w:val="008C315A"/>
    <w:rsid w:val="008C32D1"/>
    <w:rsid w:val="008C4A52"/>
    <w:rsid w:val="008C4CAD"/>
    <w:rsid w:val="008C5CD9"/>
    <w:rsid w:val="008C73E3"/>
    <w:rsid w:val="008C7D47"/>
    <w:rsid w:val="008C7DCD"/>
    <w:rsid w:val="008D048D"/>
    <w:rsid w:val="008D049C"/>
    <w:rsid w:val="008D0A4B"/>
    <w:rsid w:val="008D1081"/>
    <w:rsid w:val="008D1257"/>
    <w:rsid w:val="008D1E81"/>
    <w:rsid w:val="008D2067"/>
    <w:rsid w:val="008D3993"/>
    <w:rsid w:val="008D3A5A"/>
    <w:rsid w:val="008D4B1A"/>
    <w:rsid w:val="008D5C9B"/>
    <w:rsid w:val="008D6CA1"/>
    <w:rsid w:val="008D6DA2"/>
    <w:rsid w:val="008D6F9F"/>
    <w:rsid w:val="008D7097"/>
    <w:rsid w:val="008D730D"/>
    <w:rsid w:val="008D7483"/>
    <w:rsid w:val="008D7CFD"/>
    <w:rsid w:val="008E0A27"/>
    <w:rsid w:val="008E24A1"/>
    <w:rsid w:val="008E3834"/>
    <w:rsid w:val="008E4795"/>
    <w:rsid w:val="008E5F66"/>
    <w:rsid w:val="008E6F99"/>
    <w:rsid w:val="008E7CDA"/>
    <w:rsid w:val="008F02EA"/>
    <w:rsid w:val="008F14D9"/>
    <w:rsid w:val="008F2AF9"/>
    <w:rsid w:val="008F2E25"/>
    <w:rsid w:val="008F5C5B"/>
    <w:rsid w:val="008F5EB8"/>
    <w:rsid w:val="008F703D"/>
    <w:rsid w:val="008F7665"/>
    <w:rsid w:val="008F7D7F"/>
    <w:rsid w:val="008F7DF4"/>
    <w:rsid w:val="00900EB6"/>
    <w:rsid w:val="00901779"/>
    <w:rsid w:val="0090181B"/>
    <w:rsid w:val="00902795"/>
    <w:rsid w:val="00902853"/>
    <w:rsid w:val="00902891"/>
    <w:rsid w:val="00902A19"/>
    <w:rsid w:val="00902CD8"/>
    <w:rsid w:val="00902F07"/>
    <w:rsid w:val="009030C3"/>
    <w:rsid w:val="00903A4E"/>
    <w:rsid w:val="00905B7C"/>
    <w:rsid w:val="00905F40"/>
    <w:rsid w:val="00906815"/>
    <w:rsid w:val="00906A9E"/>
    <w:rsid w:val="00906AE1"/>
    <w:rsid w:val="00906C76"/>
    <w:rsid w:val="00907A8D"/>
    <w:rsid w:val="0091006C"/>
    <w:rsid w:val="00910625"/>
    <w:rsid w:val="00911223"/>
    <w:rsid w:val="00911841"/>
    <w:rsid w:val="00911E2B"/>
    <w:rsid w:val="00912A25"/>
    <w:rsid w:val="00912ADE"/>
    <w:rsid w:val="0091332B"/>
    <w:rsid w:val="00913506"/>
    <w:rsid w:val="00913872"/>
    <w:rsid w:val="00914264"/>
    <w:rsid w:val="00914306"/>
    <w:rsid w:val="00914510"/>
    <w:rsid w:val="009147DC"/>
    <w:rsid w:val="0091488E"/>
    <w:rsid w:val="00914971"/>
    <w:rsid w:val="00914CA1"/>
    <w:rsid w:val="00915AA0"/>
    <w:rsid w:val="00916719"/>
    <w:rsid w:val="0091748F"/>
    <w:rsid w:val="00917C6B"/>
    <w:rsid w:val="0092099D"/>
    <w:rsid w:val="0092151A"/>
    <w:rsid w:val="00922E1E"/>
    <w:rsid w:val="0092395F"/>
    <w:rsid w:val="00923D68"/>
    <w:rsid w:val="0092476D"/>
    <w:rsid w:val="00925256"/>
    <w:rsid w:val="009256A3"/>
    <w:rsid w:val="00926316"/>
    <w:rsid w:val="00926F23"/>
    <w:rsid w:val="00926F7F"/>
    <w:rsid w:val="009274DC"/>
    <w:rsid w:val="00927A83"/>
    <w:rsid w:val="0093007B"/>
    <w:rsid w:val="00930342"/>
    <w:rsid w:val="0093110B"/>
    <w:rsid w:val="009311FC"/>
    <w:rsid w:val="009317B4"/>
    <w:rsid w:val="009318D4"/>
    <w:rsid w:val="009324F1"/>
    <w:rsid w:val="00932E6E"/>
    <w:rsid w:val="00933823"/>
    <w:rsid w:val="009347BC"/>
    <w:rsid w:val="00934AD6"/>
    <w:rsid w:val="00934CB1"/>
    <w:rsid w:val="0093514D"/>
    <w:rsid w:val="009351AF"/>
    <w:rsid w:val="00935A3A"/>
    <w:rsid w:val="009362E3"/>
    <w:rsid w:val="0093638C"/>
    <w:rsid w:val="0093724C"/>
    <w:rsid w:val="0093782B"/>
    <w:rsid w:val="00937A51"/>
    <w:rsid w:val="00937F0E"/>
    <w:rsid w:val="009401DB"/>
    <w:rsid w:val="00940476"/>
    <w:rsid w:val="009405C0"/>
    <w:rsid w:val="00941054"/>
    <w:rsid w:val="009410BE"/>
    <w:rsid w:val="00942672"/>
    <w:rsid w:val="009428E8"/>
    <w:rsid w:val="00942A13"/>
    <w:rsid w:val="00943029"/>
    <w:rsid w:val="00943CC5"/>
    <w:rsid w:val="00944F55"/>
    <w:rsid w:val="0094520C"/>
    <w:rsid w:val="009454CF"/>
    <w:rsid w:val="0094553C"/>
    <w:rsid w:val="00945E0C"/>
    <w:rsid w:val="009464DC"/>
    <w:rsid w:val="009465E7"/>
    <w:rsid w:val="00946788"/>
    <w:rsid w:val="00946DCA"/>
    <w:rsid w:val="009476BE"/>
    <w:rsid w:val="00950049"/>
    <w:rsid w:val="009500D3"/>
    <w:rsid w:val="0095040F"/>
    <w:rsid w:val="009508DF"/>
    <w:rsid w:val="00951079"/>
    <w:rsid w:val="009521D6"/>
    <w:rsid w:val="009530B8"/>
    <w:rsid w:val="0095366D"/>
    <w:rsid w:val="0095376B"/>
    <w:rsid w:val="00953BDB"/>
    <w:rsid w:val="00954BA7"/>
    <w:rsid w:val="00954E85"/>
    <w:rsid w:val="00955232"/>
    <w:rsid w:val="009552DA"/>
    <w:rsid w:val="0095598A"/>
    <w:rsid w:val="0095632D"/>
    <w:rsid w:val="00956FAC"/>
    <w:rsid w:val="00957206"/>
    <w:rsid w:val="0095776B"/>
    <w:rsid w:val="009579C2"/>
    <w:rsid w:val="00957B6C"/>
    <w:rsid w:val="00960031"/>
    <w:rsid w:val="00960981"/>
    <w:rsid w:val="009610F8"/>
    <w:rsid w:val="0096229B"/>
    <w:rsid w:val="00962619"/>
    <w:rsid w:val="00962E2D"/>
    <w:rsid w:val="00962ED4"/>
    <w:rsid w:val="009631FB"/>
    <w:rsid w:val="00963D3E"/>
    <w:rsid w:val="009642F1"/>
    <w:rsid w:val="00964ACD"/>
    <w:rsid w:val="009652F7"/>
    <w:rsid w:val="00965E9A"/>
    <w:rsid w:val="009660DC"/>
    <w:rsid w:val="00966802"/>
    <w:rsid w:val="00967094"/>
    <w:rsid w:val="009701F7"/>
    <w:rsid w:val="009705D0"/>
    <w:rsid w:val="009717DC"/>
    <w:rsid w:val="00971974"/>
    <w:rsid w:val="00971A0E"/>
    <w:rsid w:val="00971C92"/>
    <w:rsid w:val="00972035"/>
    <w:rsid w:val="009721C2"/>
    <w:rsid w:val="009725E6"/>
    <w:rsid w:val="0097360A"/>
    <w:rsid w:val="00973FF4"/>
    <w:rsid w:val="00974469"/>
    <w:rsid w:val="00974FCC"/>
    <w:rsid w:val="00975006"/>
    <w:rsid w:val="00975140"/>
    <w:rsid w:val="0097578B"/>
    <w:rsid w:val="0097634E"/>
    <w:rsid w:val="00976BC6"/>
    <w:rsid w:val="009771F4"/>
    <w:rsid w:val="0098008D"/>
    <w:rsid w:val="00980D37"/>
    <w:rsid w:val="00981B6A"/>
    <w:rsid w:val="00982CE6"/>
    <w:rsid w:val="0098387A"/>
    <w:rsid w:val="00983DAB"/>
    <w:rsid w:val="0098497F"/>
    <w:rsid w:val="00985145"/>
    <w:rsid w:val="009855C4"/>
    <w:rsid w:val="009867CE"/>
    <w:rsid w:val="00986996"/>
    <w:rsid w:val="00987AC7"/>
    <w:rsid w:val="009917DE"/>
    <w:rsid w:val="00992CBE"/>
    <w:rsid w:val="00993054"/>
    <w:rsid w:val="0099405E"/>
    <w:rsid w:val="0099445F"/>
    <w:rsid w:val="009962F1"/>
    <w:rsid w:val="009970E5"/>
    <w:rsid w:val="00997830"/>
    <w:rsid w:val="00997974"/>
    <w:rsid w:val="00997A0E"/>
    <w:rsid w:val="00997A6C"/>
    <w:rsid w:val="00997BDF"/>
    <w:rsid w:val="009A0605"/>
    <w:rsid w:val="009A0EEA"/>
    <w:rsid w:val="009A19E1"/>
    <w:rsid w:val="009A3CF7"/>
    <w:rsid w:val="009A3EA0"/>
    <w:rsid w:val="009A468A"/>
    <w:rsid w:val="009A4974"/>
    <w:rsid w:val="009A6612"/>
    <w:rsid w:val="009A66B5"/>
    <w:rsid w:val="009A6D88"/>
    <w:rsid w:val="009A7136"/>
    <w:rsid w:val="009B06A9"/>
    <w:rsid w:val="009B0984"/>
    <w:rsid w:val="009B0BA4"/>
    <w:rsid w:val="009B1454"/>
    <w:rsid w:val="009B323A"/>
    <w:rsid w:val="009B32BC"/>
    <w:rsid w:val="009B3C7F"/>
    <w:rsid w:val="009B520B"/>
    <w:rsid w:val="009B55D8"/>
    <w:rsid w:val="009B59BE"/>
    <w:rsid w:val="009B6103"/>
    <w:rsid w:val="009B6669"/>
    <w:rsid w:val="009B6B4C"/>
    <w:rsid w:val="009B77D9"/>
    <w:rsid w:val="009B7E54"/>
    <w:rsid w:val="009C0AE4"/>
    <w:rsid w:val="009C2206"/>
    <w:rsid w:val="009C2349"/>
    <w:rsid w:val="009C2B72"/>
    <w:rsid w:val="009C30C7"/>
    <w:rsid w:val="009C4371"/>
    <w:rsid w:val="009C45C5"/>
    <w:rsid w:val="009C48A0"/>
    <w:rsid w:val="009C4963"/>
    <w:rsid w:val="009C5799"/>
    <w:rsid w:val="009C5A6F"/>
    <w:rsid w:val="009C67A3"/>
    <w:rsid w:val="009C710F"/>
    <w:rsid w:val="009D0717"/>
    <w:rsid w:val="009D0B43"/>
    <w:rsid w:val="009D1109"/>
    <w:rsid w:val="009D12BA"/>
    <w:rsid w:val="009D19D0"/>
    <w:rsid w:val="009D2039"/>
    <w:rsid w:val="009D2849"/>
    <w:rsid w:val="009D3398"/>
    <w:rsid w:val="009D33DB"/>
    <w:rsid w:val="009D4592"/>
    <w:rsid w:val="009D47EA"/>
    <w:rsid w:val="009D4B53"/>
    <w:rsid w:val="009D5561"/>
    <w:rsid w:val="009D60F2"/>
    <w:rsid w:val="009D6E82"/>
    <w:rsid w:val="009D776C"/>
    <w:rsid w:val="009E0522"/>
    <w:rsid w:val="009E12F2"/>
    <w:rsid w:val="009E1682"/>
    <w:rsid w:val="009E1F05"/>
    <w:rsid w:val="009E21FF"/>
    <w:rsid w:val="009E22DB"/>
    <w:rsid w:val="009E2413"/>
    <w:rsid w:val="009E26F4"/>
    <w:rsid w:val="009E3379"/>
    <w:rsid w:val="009E3B84"/>
    <w:rsid w:val="009E40EE"/>
    <w:rsid w:val="009E4666"/>
    <w:rsid w:val="009E51CA"/>
    <w:rsid w:val="009E5DE2"/>
    <w:rsid w:val="009F0431"/>
    <w:rsid w:val="009F0758"/>
    <w:rsid w:val="009F1A07"/>
    <w:rsid w:val="009F1D36"/>
    <w:rsid w:val="009F1F73"/>
    <w:rsid w:val="009F2170"/>
    <w:rsid w:val="009F3375"/>
    <w:rsid w:val="009F4339"/>
    <w:rsid w:val="009F4369"/>
    <w:rsid w:val="009F4C09"/>
    <w:rsid w:val="009F50CD"/>
    <w:rsid w:val="009F523A"/>
    <w:rsid w:val="009F5791"/>
    <w:rsid w:val="009F6151"/>
    <w:rsid w:val="009F6D86"/>
    <w:rsid w:val="009F6E7E"/>
    <w:rsid w:val="009F7244"/>
    <w:rsid w:val="009F7572"/>
    <w:rsid w:val="009F7AD6"/>
    <w:rsid w:val="00A00143"/>
    <w:rsid w:val="00A002D9"/>
    <w:rsid w:val="00A0144B"/>
    <w:rsid w:val="00A01DE5"/>
    <w:rsid w:val="00A01F66"/>
    <w:rsid w:val="00A020BC"/>
    <w:rsid w:val="00A02956"/>
    <w:rsid w:val="00A029C6"/>
    <w:rsid w:val="00A02E27"/>
    <w:rsid w:val="00A047D8"/>
    <w:rsid w:val="00A04EE5"/>
    <w:rsid w:val="00A0627A"/>
    <w:rsid w:val="00A062DD"/>
    <w:rsid w:val="00A07253"/>
    <w:rsid w:val="00A07776"/>
    <w:rsid w:val="00A07781"/>
    <w:rsid w:val="00A07B0B"/>
    <w:rsid w:val="00A1006A"/>
    <w:rsid w:val="00A10126"/>
    <w:rsid w:val="00A1042C"/>
    <w:rsid w:val="00A10561"/>
    <w:rsid w:val="00A10601"/>
    <w:rsid w:val="00A10A3A"/>
    <w:rsid w:val="00A1136A"/>
    <w:rsid w:val="00A11904"/>
    <w:rsid w:val="00A11A35"/>
    <w:rsid w:val="00A11D36"/>
    <w:rsid w:val="00A1282F"/>
    <w:rsid w:val="00A12A57"/>
    <w:rsid w:val="00A12CA6"/>
    <w:rsid w:val="00A14856"/>
    <w:rsid w:val="00A148DE"/>
    <w:rsid w:val="00A151F1"/>
    <w:rsid w:val="00A15351"/>
    <w:rsid w:val="00A1568D"/>
    <w:rsid w:val="00A1584A"/>
    <w:rsid w:val="00A15B6F"/>
    <w:rsid w:val="00A15D9D"/>
    <w:rsid w:val="00A15DFC"/>
    <w:rsid w:val="00A16781"/>
    <w:rsid w:val="00A16E30"/>
    <w:rsid w:val="00A170EF"/>
    <w:rsid w:val="00A173BE"/>
    <w:rsid w:val="00A17E7D"/>
    <w:rsid w:val="00A204A4"/>
    <w:rsid w:val="00A20DBF"/>
    <w:rsid w:val="00A21B04"/>
    <w:rsid w:val="00A22567"/>
    <w:rsid w:val="00A22897"/>
    <w:rsid w:val="00A22D33"/>
    <w:rsid w:val="00A23146"/>
    <w:rsid w:val="00A2319E"/>
    <w:rsid w:val="00A23684"/>
    <w:rsid w:val="00A23DE5"/>
    <w:rsid w:val="00A240B5"/>
    <w:rsid w:val="00A24914"/>
    <w:rsid w:val="00A24980"/>
    <w:rsid w:val="00A25526"/>
    <w:rsid w:val="00A2598F"/>
    <w:rsid w:val="00A25EC3"/>
    <w:rsid w:val="00A26584"/>
    <w:rsid w:val="00A26E51"/>
    <w:rsid w:val="00A27439"/>
    <w:rsid w:val="00A27A67"/>
    <w:rsid w:val="00A27BAD"/>
    <w:rsid w:val="00A30E6E"/>
    <w:rsid w:val="00A30F48"/>
    <w:rsid w:val="00A31748"/>
    <w:rsid w:val="00A31877"/>
    <w:rsid w:val="00A31A81"/>
    <w:rsid w:val="00A31FD3"/>
    <w:rsid w:val="00A3215D"/>
    <w:rsid w:val="00A3285C"/>
    <w:rsid w:val="00A337BE"/>
    <w:rsid w:val="00A35595"/>
    <w:rsid w:val="00A3653D"/>
    <w:rsid w:val="00A367EA"/>
    <w:rsid w:val="00A37AB7"/>
    <w:rsid w:val="00A40327"/>
    <w:rsid w:val="00A406D1"/>
    <w:rsid w:val="00A40AF4"/>
    <w:rsid w:val="00A40D34"/>
    <w:rsid w:val="00A41D7D"/>
    <w:rsid w:val="00A41E35"/>
    <w:rsid w:val="00A42226"/>
    <w:rsid w:val="00A422D9"/>
    <w:rsid w:val="00A426C3"/>
    <w:rsid w:val="00A43808"/>
    <w:rsid w:val="00A43923"/>
    <w:rsid w:val="00A43A95"/>
    <w:rsid w:val="00A43AE0"/>
    <w:rsid w:val="00A43E29"/>
    <w:rsid w:val="00A44546"/>
    <w:rsid w:val="00A4474E"/>
    <w:rsid w:val="00A44CBE"/>
    <w:rsid w:val="00A45882"/>
    <w:rsid w:val="00A45F82"/>
    <w:rsid w:val="00A469AE"/>
    <w:rsid w:val="00A469C4"/>
    <w:rsid w:val="00A4795C"/>
    <w:rsid w:val="00A50F42"/>
    <w:rsid w:val="00A51B06"/>
    <w:rsid w:val="00A5323B"/>
    <w:rsid w:val="00A53A73"/>
    <w:rsid w:val="00A5458E"/>
    <w:rsid w:val="00A545D0"/>
    <w:rsid w:val="00A55020"/>
    <w:rsid w:val="00A574B4"/>
    <w:rsid w:val="00A57E50"/>
    <w:rsid w:val="00A6008C"/>
    <w:rsid w:val="00A610DB"/>
    <w:rsid w:val="00A61565"/>
    <w:rsid w:val="00A616D4"/>
    <w:rsid w:val="00A61B30"/>
    <w:rsid w:val="00A63053"/>
    <w:rsid w:val="00A63A12"/>
    <w:rsid w:val="00A64C6C"/>
    <w:rsid w:val="00A64DEE"/>
    <w:rsid w:val="00A65BF7"/>
    <w:rsid w:val="00A65F14"/>
    <w:rsid w:val="00A66CF6"/>
    <w:rsid w:val="00A67150"/>
    <w:rsid w:val="00A67643"/>
    <w:rsid w:val="00A67A58"/>
    <w:rsid w:val="00A67EA3"/>
    <w:rsid w:val="00A71F85"/>
    <w:rsid w:val="00A72766"/>
    <w:rsid w:val="00A73123"/>
    <w:rsid w:val="00A73DD6"/>
    <w:rsid w:val="00A73EA8"/>
    <w:rsid w:val="00A75239"/>
    <w:rsid w:val="00A766BB"/>
    <w:rsid w:val="00A768E8"/>
    <w:rsid w:val="00A769CF"/>
    <w:rsid w:val="00A76F62"/>
    <w:rsid w:val="00A80673"/>
    <w:rsid w:val="00A80FE0"/>
    <w:rsid w:val="00A82CA1"/>
    <w:rsid w:val="00A83689"/>
    <w:rsid w:val="00A8368E"/>
    <w:rsid w:val="00A83770"/>
    <w:rsid w:val="00A84063"/>
    <w:rsid w:val="00A8479D"/>
    <w:rsid w:val="00A84A96"/>
    <w:rsid w:val="00A84B4D"/>
    <w:rsid w:val="00A84F00"/>
    <w:rsid w:val="00A85221"/>
    <w:rsid w:val="00A8554E"/>
    <w:rsid w:val="00A85BE6"/>
    <w:rsid w:val="00A85FC4"/>
    <w:rsid w:val="00A86041"/>
    <w:rsid w:val="00A867DB"/>
    <w:rsid w:val="00A869B7"/>
    <w:rsid w:val="00A86C68"/>
    <w:rsid w:val="00A870B8"/>
    <w:rsid w:val="00A87399"/>
    <w:rsid w:val="00A9044E"/>
    <w:rsid w:val="00A93729"/>
    <w:rsid w:val="00A9410E"/>
    <w:rsid w:val="00A95327"/>
    <w:rsid w:val="00A95726"/>
    <w:rsid w:val="00A958C2"/>
    <w:rsid w:val="00A95C5E"/>
    <w:rsid w:val="00A9619D"/>
    <w:rsid w:val="00A9655B"/>
    <w:rsid w:val="00A96937"/>
    <w:rsid w:val="00A97132"/>
    <w:rsid w:val="00AA0D9C"/>
    <w:rsid w:val="00AA1C39"/>
    <w:rsid w:val="00AA20F7"/>
    <w:rsid w:val="00AA231A"/>
    <w:rsid w:val="00AA23F5"/>
    <w:rsid w:val="00AA250A"/>
    <w:rsid w:val="00AA2CED"/>
    <w:rsid w:val="00AA3229"/>
    <w:rsid w:val="00AA38C6"/>
    <w:rsid w:val="00AA41CC"/>
    <w:rsid w:val="00AA478E"/>
    <w:rsid w:val="00AA4A88"/>
    <w:rsid w:val="00AA519D"/>
    <w:rsid w:val="00AA5570"/>
    <w:rsid w:val="00AA591E"/>
    <w:rsid w:val="00AA743D"/>
    <w:rsid w:val="00AA7A57"/>
    <w:rsid w:val="00AB172E"/>
    <w:rsid w:val="00AB1907"/>
    <w:rsid w:val="00AB2A2E"/>
    <w:rsid w:val="00AB2AEA"/>
    <w:rsid w:val="00AB2B9B"/>
    <w:rsid w:val="00AB3E0F"/>
    <w:rsid w:val="00AB4A5A"/>
    <w:rsid w:val="00AB5351"/>
    <w:rsid w:val="00AB6912"/>
    <w:rsid w:val="00AB72E2"/>
    <w:rsid w:val="00AB75BF"/>
    <w:rsid w:val="00AB7C3E"/>
    <w:rsid w:val="00AC0764"/>
    <w:rsid w:val="00AC0BBA"/>
    <w:rsid w:val="00AC126B"/>
    <w:rsid w:val="00AC1828"/>
    <w:rsid w:val="00AC1CD5"/>
    <w:rsid w:val="00AC2715"/>
    <w:rsid w:val="00AC4F70"/>
    <w:rsid w:val="00AC51AF"/>
    <w:rsid w:val="00AC548B"/>
    <w:rsid w:val="00AC55A9"/>
    <w:rsid w:val="00AC578E"/>
    <w:rsid w:val="00AC5A4B"/>
    <w:rsid w:val="00AC7FB3"/>
    <w:rsid w:val="00AD1304"/>
    <w:rsid w:val="00AD1C96"/>
    <w:rsid w:val="00AD1E04"/>
    <w:rsid w:val="00AD3D8E"/>
    <w:rsid w:val="00AD40AF"/>
    <w:rsid w:val="00AD460E"/>
    <w:rsid w:val="00AD4CC6"/>
    <w:rsid w:val="00AD5568"/>
    <w:rsid w:val="00AD5D0D"/>
    <w:rsid w:val="00AD66C2"/>
    <w:rsid w:val="00AD7173"/>
    <w:rsid w:val="00AD7677"/>
    <w:rsid w:val="00AD79C6"/>
    <w:rsid w:val="00AD7ADF"/>
    <w:rsid w:val="00AD7D41"/>
    <w:rsid w:val="00AE08BE"/>
    <w:rsid w:val="00AE12CB"/>
    <w:rsid w:val="00AE1390"/>
    <w:rsid w:val="00AE1816"/>
    <w:rsid w:val="00AE1C36"/>
    <w:rsid w:val="00AE227A"/>
    <w:rsid w:val="00AE368D"/>
    <w:rsid w:val="00AE3D00"/>
    <w:rsid w:val="00AE3DE7"/>
    <w:rsid w:val="00AE687A"/>
    <w:rsid w:val="00AE6C12"/>
    <w:rsid w:val="00AE7F7B"/>
    <w:rsid w:val="00AF1524"/>
    <w:rsid w:val="00AF23F5"/>
    <w:rsid w:val="00AF29F7"/>
    <w:rsid w:val="00AF2E41"/>
    <w:rsid w:val="00AF497B"/>
    <w:rsid w:val="00AF5852"/>
    <w:rsid w:val="00AF6164"/>
    <w:rsid w:val="00AF7351"/>
    <w:rsid w:val="00B0166B"/>
    <w:rsid w:val="00B0188D"/>
    <w:rsid w:val="00B026EC"/>
    <w:rsid w:val="00B05200"/>
    <w:rsid w:val="00B0550E"/>
    <w:rsid w:val="00B055BD"/>
    <w:rsid w:val="00B0582E"/>
    <w:rsid w:val="00B05920"/>
    <w:rsid w:val="00B06A31"/>
    <w:rsid w:val="00B07106"/>
    <w:rsid w:val="00B10535"/>
    <w:rsid w:val="00B10814"/>
    <w:rsid w:val="00B108FA"/>
    <w:rsid w:val="00B11B26"/>
    <w:rsid w:val="00B12417"/>
    <w:rsid w:val="00B127D1"/>
    <w:rsid w:val="00B12FE1"/>
    <w:rsid w:val="00B13C64"/>
    <w:rsid w:val="00B13F53"/>
    <w:rsid w:val="00B14582"/>
    <w:rsid w:val="00B14AEF"/>
    <w:rsid w:val="00B15567"/>
    <w:rsid w:val="00B15627"/>
    <w:rsid w:val="00B15A4F"/>
    <w:rsid w:val="00B16962"/>
    <w:rsid w:val="00B16E5D"/>
    <w:rsid w:val="00B17702"/>
    <w:rsid w:val="00B17C29"/>
    <w:rsid w:val="00B20666"/>
    <w:rsid w:val="00B20760"/>
    <w:rsid w:val="00B20D0F"/>
    <w:rsid w:val="00B2237C"/>
    <w:rsid w:val="00B22AD9"/>
    <w:rsid w:val="00B255C7"/>
    <w:rsid w:val="00B26335"/>
    <w:rsid w:val="00B26439"/>
    <w:rsid w:val="00B26A80"/>
    <w:rsid w:val="00B26D74"/>
    <w:rsid w:val="00B277A7"/>
    <w:rsid w:val="00B27CD5"/>
    <w:rsid w:val="00B30006"/>
    <w:rsid w:val="00B302F9"/>
    <w:rsid w:val="00B30ED6"/>
    <w:rsid w:val="00B315E2"/>
    <w:rsid w:val="00B31874"/>
    <w:rsid w:val="00B31DC6"/>
    <w:rsid w:val="00B32811"/>
    <w:rsid w:val="00B32CBC"/>
    <w:rsid w:val="00B33EC6"/>
    <w:rsid w:val="00B341EE"/>
    <w:rsid w:val="00B35237"/>
    <w:rsid w:val="00B36BAD"/>
    <w:rsid w:val="00B37F14"/>
    <w:rsid w:val="00B40599"/>
    <w:rsid w:val="00B4068C"/>
    <w:rsid w:val="00B41486"/>
    <w:rsid w:val="00B4169A"/>
    <w:rsid w:val="00B422AA"/>
    <w:rsid w:val="00B42763"/>
    <w:rsid w:val="00B42DF8"/>
    <w:rsid w:val="00B43EB4"/>
    <w:rsid w:val="00B4489E"/>
    <w:rsid w:val="00B44C49"/>
    <w:rsid w:val="00B45170"/>
    <w:rsid w:val="00B455C4"/>
    <w:rsid w:val="00B45972"/>
    <w:rsid w:val="00B45C8A"/>
    <w:rsid w:val="00B4622D"/>
    <w:rsid w:val="00B466F0"/>
    <w:rsid w:val="00B467B8"/>
    <w:rsid w:val="00B4713B"/>
    <w:rsid w:val="00B474F6"/>
    <w:rsid w:val="00B502A8"/>
    <w:rsid w:val="00B50476"/>
    <w:rsid w:val="00B50F2D"/>
    <w:rsid w:val="00B51B43"/>
    <w:rsid w:val="00B51CD6"/>
    <w:rsid w:val="00B52540"/>
    <w:rsid w:val="00B53586"/>
    <w:rsid w:val="00B53621"/>
    <w:rsid w:val="00B53BDF"/>
    <w:rsid w:val="00B53F15"/>
    <w:rsid w:val="00B54326"/>
    <w:rsid w:val="00B55797"/>
    <w:rsid w:val="00B5588D"/>
    <w:rsid w:val="00B56939"/>
    <w:rsid w:val="00B56BD6"/>
    <w:rsid w:val="00B56C7B"/>
    <w:rsid w:val="00B5710A"/>
    <w:rsid w:val="00B57271"/>
    <w:rsid w:val="00B579CC"/>
    <w:rsid w:val="00B57EC2"/>
    <w:rsid w:val="00B600F9"/>
    <w:rsid w:val="00B61C10"/>
    <w:rsid w:val="00B61FD0"/>
    <w:rsid w:val="00B62112"/>
    <w:rsid w:val="00B62151"/>
    <w:rsid w:val="00B6224D"/>
    <w:rsid w:val="00B625A0"/>
    <w:rsid w:val="00B62DD4"/>
    <w:rsid w:val="00B634B4"/>
    <w:rsid w:val="00B63DE6"/>
    <w:rsid w:val="00B664B8"/>
    <w:rsid w:val="00B66BFC"/>
    <w:rsid w:val="00B6703E"/>
    <w:rsid w:val="00B6730F"/>
    <w:rsid w:val="00B70757"/>
    <w:rsid w:val="00B70960"/>
    <w:rsid w:val="00B70B4D"/>
    <w:rsid w:val="00B70BE9"/>
    <w:rsid w:val="00B70CC8"/>
    <w:rsid w:val="00B715D0"/>
    <w:rsid w:val="00B71EFE"/>
    <w:rsid w:val="00B72969"/>
    <w:rsid w:val="00B7367C"/>
    <w:rsid w:val="00B7552C"/>
    <w:rsid w:val="00B75625"/>
    <w:rsid w:val="00B76097"/>
    <w:rsid w:val="00B77C19"/>
    <w:rsid w:val="00B77F32"/>
    <w:rsid w:val="00B804E6"/>
    <w:rsid w:val="00B824CF"/>
    <w:rsid w:val="00B82F20"/>
    <w:rsid w:val="00B836A7"/>
    <w:rsid w:val="00B838C8"/>
    <w:rsid w:val="00B83C2E"/>
    <w:rsid w:val="00B84818"/>
    <w:rsid w:val="00B84902"/>
    <w:rsid w:val="00B86116"/>
    <w:rsid w:val="00B8671F"/>
    <w:rsid w:val="00B87354"/>
    <w:rsid w:val="00B90E6A"/>
    <w:rsid w:val="00B91DB8"/>
    <w:rsid w:val="00B91F84"/>
    <w:rsid w:val="00B925C1"/>
    <w:rsid w:val="00B94AC3"/>
    <w:rsid w:val="00B94C40"/>
    <w:rsid w:val="00B95530"/>
    <w:rsid w:val="00B9556C"/>
    <w:rsid w:val="00B963A7"/>
    <w:rsid w:val="00B9659D"/>
    <w:rsid w:val="00B973E6"/>
    <w:rsid w:val="00B97A65"/>
    <w:rsid w:val="00B97C8E"/>
    <w:rsid w:val="00BA0FF9"/>
    <w:rsid w:val="00BA19C0"/>
    <w:rsid w:val="00BA23C9"/>
    <w:rsid w:val="00BA31AC"/>
    <w:rsid w:val="00BA3B1F"/>
    <w:rsid w:val="00BA3F0D"/>
    <w:rsid w:val="00BA453A"/>
    <w:rsid w:val="00BA5C98"/>
    <w:rsid w:val="00BA6065"/>
    <w:rsid w:val="00BA73CC"/>
    <w:rsid w:val="00BA79FF"/>
    <w:rsid w:val="00BA7CFD"/>
    <w:rsid w:val="00BB062B"/>
    <w:rsid w:val="00BB13CD"/>
    <w:rsid w:val="00BB15C0"/>
    <w:rsid w:val="00BB1CBB"/>
    <w:rsid w:val="00BB2469"/>
    <w:rsid w:val="00BB3213"/>
    <w:rsid w:val="00BB407F"/>
    <w:rsid w:val="00BB4773"/>
    <w:rsid w:val="00BB4AB5"/>
    <w:rsid w:val="00BB5A5D"/>
    <w:rsid w:val="00BB7871"/>
    <w:rsid w:val="00BB7A1E"/>
    <w:rsid w:val="00BB7E04"/>
    <w:rsid w:val="00BC070E"/>
    <w:rsid w:val="00BC1D8E"/>
    <w:rsid w:val="00BC1EB5"/>
    <w:rsid w:val="00BC2E8D"/>
    <w:rsid w:val="00BC2FA7"/>
    <w:rsid w:val="00BC300B"/>
    <w:rsid w:val="00BC3175"/>
    <w:rsid w:val="00BC3331"/>
    <w:rsid w:val="00BC3826"/>
    <w:rsid w:val="00BC4394"/>
    <w:rsid w:val="00BC4F59"/>
    <w:rsid w:val="00BC59F6"/>
    <w:rsid w:val="00BC5B87"/>
    <w:rsid w:val="00BC5F2A"/>
    <w:rsid w:val="00BC6184"/>
    <w:rsid w:val="00BC61C4"/>
    <w:rsid w:val="00BC628A"/>
    <w:rsid w:val="00BC6BD3"/>
    <w:rsid w:val="00BC74EB"/>
    <w:rsid w:val="00BC7661"/>
    <w:rsid w:val="00BC76E4"/>
    <w:rsid w:val="00BC7D53"/>
    <w:rsid w:val="00BD025F"/>
    <w:rsid w:val="00BD0272"/>
    <w:rsid w:val="00BD064A"/>
    <w:rsid w:val="00BD18F2"/>
    <w:rsid w:val="00BD382F"/>
    <w:rsid w:val="00BD3DE1"/>
    <w:rsid w:val="00BD4786"/>
    <w:rsid w:val="00BD4AF4"/>
    <w:rsid w:val="00BD4DC8"/>
    <w:rsid w:val="00BD4F61"/>
    <w:rsid w:val="00BD50C7"/>
    <w:rsid w:val="00BD55ED"/>
    <w:rsid w:val="00BD61D9"/>
    <w:rsid w:val="00BD6242"/>
    <w:rsid w:val="00BD6C33"/>
    <w:rsid w:val="00BD6C8B"/>
    <w:rsid w:val="00BD7E9D"/>
    <w:rsid w:val="00BE0503"/>
    <w:rsid w:val="00BE06A4"/>
    <w:rsid w:val="00BE095B"/>
    <w:rsid w:val="00BE1154"/>
    <w:rsid w:val="00BE163A"/>
    <w:rsid w:val="00BE1CB1"/>
    <w:rsid w:val="00BE1FD3"/>
    <w:rsid w:val="00BE2A1F"/>
    <w:rsid w:val="00BE2A25"/>
    <w:rsid w:val="00BE2AD5"/>
    <w:rsid w:val="00BE2F71"/>
    <w:rsid w:val="00BE3723"/>
    <w:rsid w:val="00BE401E"/>
    <w:rsid w:val="00BE4F8A"/>
    <w:rsid w:val="00BE5625"/>
    <w:rsid w:val="00BE5BD1"/>
    <w:rsid w:val="00BE69F7"/>
    <w:rsid w:val="00BE7E18"/>
    <w:rsid w:val="00BF05E4"/>
    <w:rsid w:val="00BF0C8C"/>
    <w:rsid w:val="00BF0D15"/>
    <w:rsid w:val="00BF1609"/>
    <w:rsid w:val="00BF1A52"/>
    <w:rsid w:val="00BF1A70"/>
    <w:rsid w:val="00BF2757"/>
    <w:rsid w:val="00BF3389"/>
    <w:rsid w:val="00BF33EA"/>
    <w:rsid w:val="00BF3488"/>
    <w:rsid w:val="00BF349D"/>
    <w:rsid w:val="00BF34F7"/>
    <w:rsid w:val="00BF39D1"/>
    <w:rsid w:val="00BF4805"/>
    <w:rsid w:val="00BF4EE9"/>
    <w:rsid w:val="00BF5014"/>
    <w:rsid w:val="00BF5458"/>
    <w:rsid w:val="00BF5DE6"/>
    <w:rsid w:val="00BF5F00"/>
    <w:rsid w:val="00BF5F88"/>
    <w:rsid w:val="00BF748F"/>
    <w:rsid w:val="00BF7740"/>
    <w:rsid w:val="00C00BBB"/>
    <w:rsid w:val="00C00D7F"/>
    <w:rsid w:val="00C00F22"/>
    <w:rsid w:val="00C01009"/>
    <w:rsid w:val="00C0158C"/>
    <w:rsid w:val="00C01A45"/>
    <w:rsid w:val="00C01DB8"/>
    <w:rsid w:val="00C02167"/>
    <w:rsid w:val="00C03E99"/>
    <w:rsid w:val="00C04EDF"/>
    <w:rsid w:val="00C0500B"/>
    <w:rsid w:val="00C052E8"/>
    <w:rsid w:val="00C05560"/>
    <w:rsid w:val="00C061A3"/>
    <w:rsid w:val="00C06A5C"/>
    <w:rsid w:val="00C06F99"/>
    <w:rsid w:val="00C07601"/>
    <w:rsid w:val="00C077DC"/>
    <w:rsid w:val="00C10347"/>
    <w:rsid w:val="00C10BE0"/>
    <w:rsid w:val="00C114EA"/>
    <w:rsid w:val="00C11ADD"/>
    <w:rsid w:val="00C11DD1"/>
    <w:rsid w:val="00C1224F"/>
    <w:rsid w:val="00C12B07"/>
    <w:rsid w:val="00C1300F"/>
    <w:rsid w:val="00C13584"/>
    <w:rsid w:val="00C13817"/>
    <w:rsid w:val="00C13C33"/>
    <w:rsid w:val="00C1442F"/>
    <w:rsid w:val="00C14945"/>
    <w:rsid w:val="00C14AE9"/>
    <w:rsid w:val="00C154D7"/>
    <w:rsid w:val="00C15E4B"/>
    <w:rsid w:val="00C160AC"/>
    <w:rsid w:val="00C168BA"/>
    <w:rsid w:val="00C16D83"/>
    <w:rsid w:val="00C16FE1"/>
    <w:rsid w:val="00C1707D"/>
    <w:rsid w:val="00C17E0A"/>
    <w:rsid w:val="00C17E26"/>
    <w:rsid w:val="00C20F4A"/>
    <w:rsid w:val="00C224B1"/>
    <w:rsid w:val="00C22F63"/>
    <w:rsid w:val="00C23062"/>
    <w:rsid w:val="00C241DB"/>
    <w:rsid w:val="00C24695"/>
    <w:rsid w:val="00C24712"/>
    <w:rsid w:val="00C25199"/>
    <w:rsid w:val="00C2696D"/>
    <w:rsid w:val="00C26C8F"/>
    <w:rsid w:val="00C3005E"/>
    <w:rsid w:val="00C3018A"/>
    <w:rsid w:val="00C30611"/>
    <w:rsid w:val="00C30850"/>
    <w:rsid w:val="00C30D40"/>
    <w:rsid w:val="00C30F20"/>
    <w:rsid w:val="00C310EC"/>
    <w:rsid w:val="00C31195"/>
    <w:rsid w:val="00C314D0"/>
    <w:rsid w:val="00C32278"/>
    <w:rsid w:val="00C33239"/>
    <w:rsid w:val="00C33F20"/>
    <w:rsid w:val="00C33F94"/>
    <w:rsid w:val="00C34283"/>
    <w:rsid w:val="00C345A9"/>
    <w:rsid w:val="00C347CD"/>
    <w:rsid w:val="00C35CDB"/>
    <w:rsid w:val="00C36FF9"/>
    <w:rsid w:val="00C376CA"/>
    <w:rsid w:val="00C37E4D"/>
    <w:rsid w:val="00C411C0"/>
    <w:rsid w:val="00C41565"/>
    <w:rsid w:val="00C419EA"/>
    <w:rsid w:val="00C41A2B"/>
    <w:rsid w:val="00C422D9"/>
    <w:rsid w:val="00C442BB"/>
    <w:rsid w:val="00C44546"/>
    <w:rsid w:val="00C44556"/>
    <w:rsid w:val="00C44E3F"/>
    <w:rsid w:val="00C458D0"/>
    <w:rsid w:val="00C47F1A"/>
    <w:rsid w:val="00C500DE"/>
    <w:rsid w:val="00C502DC"/>
    <w:rsid w:val="00C50C21"/>
    <w:rsid w:val="00C5106F"/>
    <w:rsid w:val="00C518C0"/>
    <w:rsid w:val="00C51980"/>
    <w:rsid w:val="00C51B17"/>
    <w:rsid w:val="00C51F2C"/>
    <w:rsid w:val="00C53CA5"/>
    <w:rsid w:val="00C54066"/>
    <w:rsid w:val="00C542F8"/>
    <w:rsid w:val="00C5436C"/>
    <w:rsid w:val="00C545D6"/>
    <w:rsid w:val="00C55BCB"/>
    <w:rsid w:val="00C56141"/>
    <w:rsid w:val="00C561D8"/>
    <w:rsid w:val="00C56472"/>
    <w:rsid w:val="00C56CDB"/>
    <w:rsid w:val="00C56DFE"/>
    <w:rsid w:val="00C57D43"/>
    <w:rsid w:val="00C57F09"/>
    <w:rsid w:val="00C605D7"/>
    <w:rsid w:val="00C61B85"/>
    <w:rsid w:val="00C62A8A"/>
    <w:rsid w:val="00C62C66"/>
    <w:rsid w:val="00C633DB"/>
    <w:rsid w:val="00C6410F"/>
    <w:rsid w:val="00C655D3"/>
    <w:rsid w:val="00C66089"/>
    <w:rsid w:val="00C66156"/>
    <w:rsid w:val="00C66C41"/>
    <w:rsid w:val="00C673FA"/>
    <w:rsid w:val="00C67B7B"/>
    <w:rsid w:val="00C70563"/>
    <w:rsid w:val="00C70699"/>
    <w:rsid w:val="00C73B4D"/>
    <w:rsid w:val="00C73B89"/>
    <w:rsid w:val="00C73C6A"/>
    <w:rsid w:val="00C7547B"/>
    <w:rsid w:val="00C7606E"/>
    <w:rsid w:val="00C7635D"/>
    <w:rsid w:val="00C769BA"/>
    <w:rsid w:val="00C805A0"/>
    <w:rsid w:val="00C80CA7"/>
    <w:rsid w:val="00C825E5"/>
    <w:rsid w:val="00C82600"/>
    <w:rsid w:val="00C82F0C"/>
    <w:rsid w:val="00C8385A"/>
    <w:rsid w:val="00C851DC"/>
    <w:rsid w:val="00C85403"/>
    <w:rsid w:val="00C85991"/>
    <w:rsid w:val="00C8633F"/>
    <w:rsid w:val="00C901D0"/>
    <w:rsid w:val="00C90251"/>
    <w:rsid w:val="00C90798"/>
    <w:rsid w:val="00C90E42"/>
    <w:rsid w:val="00C91651"/>
    <w:rsid w:val="00C91BB6"/>
    <w:rsid w:val="00C91C4D"/>
    <w:rsid w:val="00C91CFF"/>
    <w:rsid w:val="00C92278"/>
    <w:rsid w:val="00C93972"/>
    <w:rsid w:val="00C939C8"/>
    <w:rsid w:val="00C950D0"/>
    <w:rsid w:val="00C97BC1"/>
    <w:rsid w:val="00C97C79"/>
    <w:rsid w:val="00C97EC8"/>
    <w:rsid w:val="00CA0D52"/>
    <w:rsid w:val="00CA20B0"/>
    <w:rsid w:val="00CA291C"/>
    <w:rsid w:val="00CA3D51"/>
    <w:rsid w:val="00CA46AC"/>
    <w:rsid w:val="00CA4F4A"/>
    <w:rsid w:val="00CA573C"/>
    <w:rsid w:val="00CA5919"/>
    <w:rsid w:val="00CA5970"/>
    <w:rsid w:val="00CA6298"/>
    <w:rsid w:val="00CA7268"/>
    <w:rsid w:val="00CA7270"/>
    <w:rsid w:val="00CA776B"/>
    <w:rsid w:val="00CA7C20"/>
    <w:rsid w:val="00CB1DC7"/>
    <w:rsid w:val="00CB23B2"/>
    <w:rsid w:val="00CB3775"/>
    <w:rsid w:val="00CB3971"/>
    <w:rsid w:val="00CB3D50"/>
    <w:rsid w:val="00CB3DED"/>
    <w:rsid w:val="00CB46AE"/>
    <w:rsid w:val="00CB4A48"/>
    <w:rsid w:val="00CB4CCD"/>
    <w:rsid w:val="00CB6CD0"/>
    <w:rsid w:val="00CB6F28"/>
    <w:rsid w:val="00CB7C4D"/>
    <w:rsid w:val="00CB7D50"/>
    <w:rsid w:val="00CC0B4C"/>
    <w:rsid w:val="00CC1523"/>
    <w:rsid w:val="00CC2FE6"/>
    <w:rsid w:val="00CC4192"/>
    <w:rsid w:val="00CC4352"/>
    <w:rsid w:val="00CC5C15"/>
    <w:rsid w:val="00CC5D9B"/>
    <w:rsid w:val="00CC7DB9"/>
    <w:rsid w:val="00CC7F4B"/>
    <w:rsid w:val="00CD0BC7"/>
    <w:rsid w:val="00CD0D22"/>
    <w:rsid w:val="00CD134A"/>
    <w:rsid w:val="00CD164B"/>
    <w:rsid w:val="00CD1DF8"/>
    <w:rsid w:val="00CD20E9"/>
    <w:rsid w:val="00CD2238"/>
    <w:rsid w:val="00CD357A"/>
    <w:rsid w:val="00CD3DE0"/>
    <w:rsid w:val="00CD3E28"/>
    <w:rsid w:val="00CD402C"/>
    <w:rsid w:val="00CD4D52"/>
    <w:rsid w:val="00CD4E3E"/>
    <w:rsid w:val="00CD511E"/>
    <w:rsid w:val="00CD5DE1"/>
    <w:rsid w:val="00CD6E9E"/>
    <w:rsid w:val="00CD6F88"/>
    <w:rsid w:val="00CD723F"/>
    <w:rsid w:val="00CD7A06"/>
    <w:rsid w:val="00CE0553"/>
    <w:rsid w:val="00CE072B"/>
    <w:rsid w:val="00CE07D6"/>
    <w:rsid w:val="00CE1A6A"/>
    <w:rsid w:val="00CE1CC8"/>
    <w:rsid w:val="00CE2DB6"/>
    <w:rsid w:val="00CE2E0C"/>
    <w:rsid w:val="00CE513F"/>
    <w:rsid w:val="00CE5DA5"/>
    <w:rsid w:val="00CE69ED"/>
    <w:rsid w:val="00CE747A"/>
    <w:rsid w:val="00CE7875"/>
    <w:rsid w:val="00CE79D9"/>
    <w:rsid w:val="00CF05B0"/>
    <w:rsid w:val="00CF0EE8"/>
    <w:rsid w:val="00CF12B5"/>
    <w:rsid w:val="00CF187E"/>
    <w:rsid w:val="00CF1AFB"/>
    <w:rsid w:val="00CF1CA8"/>
    <w:rsid w:val="00CF1EB9"/>
    <w:rsid w:val="00CF26CA"/>
    <w:rsid w:val="00CF2B92"/>
    <w:rsid w:val="00CF2F88"/>
    <w:rsid w:val="00CF3E36"/>
    <w:rsid w:val="00CF48F5"/>
    <w:rsid w:val="00CF4D6F"/>
    <w:rsid w:val="00CF4F3F"/>
    <w:rsid w:val="00CF5AC5"/>
    <w:rsid w:val="00CF5F9D"/>
    <w:rsid w:val="00CF6150"/>
    <w:rsid w:val="00CF628D"/>
    <w:rsid w:val="00CF655E"/>
    <w:rsid w:val="00CF7DAA"/>
    <w:rsid w:val="00D00465"/>
    <w:rsid w:val="00D0052C"/>
    <w:rsid w:val="00D00993"/>
    <w:rsid w:val="00D00B2B"/>
    <w:rsid w:val="00D011B0"/>
    <w:rsid w:val="00D01643"/>
    <w:rsid w:val="00D017B1"/>
    <w:rsid w:val="00D021EB"/>
    <w:rsid w:val="00D02356"/>
    <w:rsid w:val="00D02BCB"/>
    <w:rsid w:val="00D02D04"/>
    <w:rsid w:val="00D02D95"/>
    <w:rsid w:val="00D03202"/>
    <w:rsid w:val="00D036EB"/>
    <w:rsid w:val="00D03F68"/>
    <w:rsid w:val="00D05512"/>
    <w:rsid w:val="00D060D7"/>
    <w:rsid w:val="00D107DF"/>
    <w:rsid w:val="00D109B6"/>
    <w:rsid w:val="00D1180B"/>
    <w:rsid w:val="00D11BE2"/>
    <w:rsid w:val="00D11CF5"/>
    <w:rsid w:val="00D12054"/>
    <w:rsid w:val="00D12A8B"/>
    <w:rsid w:val="00D136AD"/>
    <w:rsid w:val="00D137EF"/>
    <w:rsid w:val="00D14E72"/>
    <w:rsid w:val="00D15ED0"/>
    <w:rsid w:val="00D16E80"/>
    <w:rsid w:val="00D1731E"/>
    <w:rsid w:val="00D17362"/>
    <w:rsid w:val="00D17DE2"/>
    <w:rsid w:val="00D204F9"/>
    <w:rsid w:val="00D20588"/>
    <w:rsid w:val="00D20622"/>
    <w:rsid w:val="00D21311"/>
    <w:rsid w:val="00D22853"/>
    <w:rsid w:val="00D22AB1"/>
    <w:rsid w:val="00D22CBD"/>
    <w:rsid w:val="00D2318F"/>
    <w:rsid w:val="00D238D0"/>
    <w:rsid w:val="00D23D60"/>
    <w:rsid w:val="00D2469A"/>
    <w:rsid w:val="00D252D1"/>
    <w:rsid w:val="00D253A5"/>
    <w:rsid w:val="00D26486"/>
    <w:rsid w:val="00D26A1A"/>
    <w:rsid w:val="00D26BAA"/>
    <w:rsid w:val="00D276FA"/>
    <w:rsid w:val="00D278D8"/>
    <w:rsid w:val="00D3060D"/>
    <w:rsid w:val="00D30695"/>
    <w:rsid w:val="00D30921"/>
    <w:rsid w:val="00D309DC"/>
    <w:rsid w:val="00D31435"/>
    <w:rsid w:val="00D32112"/>
    <w:rsid w:val="00D32E37"/>
    <w:rsid w:val="00D32FE9"/>
    <w:rsid w:val="00D33211"/>
    <w:rsid w:val="00D338B7"/>
    <w:rsid w:val="00D33A91"/>
    <w:rsid w:val="00D33C18"/>
    <w:rsid w:val="00D34B27"/>
    <w:rsid w:val="00D34F09"/>
    <w:rsid w:val="00D3632F"/>
    <w:rsid w:val="00D36EF9"/>
    <w:rsid w:val="00D378D6"/>
    <w:rsid w:val="00D379C6"/>
    <w:rsid w:val="00D379E1"/>
    <w:rsid w:val="00D37A0E"/>
    <w:rsid w:val="00D37F68"/>
    <w:rsid w:val="00D4018B"/>
    <w:rsid w:val="00D40586"/>
    <w:rsid w:val="00D4076E"/>
    <w:rsid w:val="00D407E1"/>
    <w:rsid w:val="00D41F20"/>
    <w:rsid w:val="00D42930"/>
    <w:rsid w:val="00D42AC0"/>
    <w:rsid w:val="00D438FF"/>
    <w:rsid w:val="00D43D3D"/>
    <w:rsid w:val="00D446BB"/>
    <w:rsid w:val="00D45024"/>
    <w:rsid w:val="00D452DA"/>
    <w:rsid w:val="00D46540"/>
    <w:rsid w:val="00D46C07"/>
    <w:rsid w:val="00D50439"/>
    <w:rsid w:val="00D50592"/>
    <w:rsid w:val="00D50B4C"/>
    <w:rsid w:val="00D51F36"/>
    <w:rsid w:val="00D52BCA"/>
    <w:rsid w:val="00D53813"/>
    <w:rsid w:val="00D53CE7"/>
    <w:rsid w:val="00D54369"/>
    <w:rsid w:val="00D54460"/>
    <w:rsid w:val="00D551FA"/>
    <w:rsid w:val="00D55383"/>
    <w:rsid w:val="00D56979"/>
    <w:rsid w:val="00D56C67"/>
    <w:rsid w:val="00D60354"/>
    <w:rsid w:val="00D607C9"/>
    <w:rsid w:val="00D60BCB"/>
    <w:rsid w:val="00D614D0"/>
    <w:rsid w:val="00D61B6A"/>
    <w:rsid w:val="00D61F96"/>
    <w:rsid w:val="00D62050"/>
    <w:rsid w:val="00D62118"/>
    <w:rsid w:val="00D63D83"/>
    <w:rsid w:val="00D648BF"/>
    <w:rsid w:val="00D64BC0"/>
    <w:rsid w:val="00D65033"/>
    <w:rsid w:val="00D652E0"/>
    <w:rsid w:val="00D65AC1"/>
    <w:rsid w:val="00D66D48"/>
    <w:rsid w:val="00D66EB2"/>
    <w:rsid w:val="00D67F3E"/>
    <w:rsid w:val="00D71AC9"/>
    <w:rsid w:val="00D71AF7"/>
    <w:rsid w:val="00D722D9"/>
    <w:rsid w:val="00D729EA"/>
    <w:rsid w:val="00D7302C"/>
    <w:rsid w:val="00D7344E"/>
    <w:rsid w:val="00D73700"/>
    <w:rsid w:val="00D738A1"/>
    <w:rsid w:val="00D73A7A"/>
    <w:rsid w:val="00D74277"/>
    <w:rsid w:val="00D7482F"/>
    <w:rsid w:val="00D74947"/>
    <w:rsid w:val="00D755BC"/>
    <w:rsid w:val="00D7574D"/>
    <w:rsid w:val="00D75C48"/>
    <w:rsid w:val="00D766A4"/>
    <w:rsid w:val="00D77454"/>
    <w:rsid w:val="00D776D2"/>
    <w:rsid w:val="00D80A87"/>
    <w:rsid w:val="00D80C2A"/>
    <w:rsid w:val="00D817E3"/>
    <w:rsid w:val="00D819C7"/>
    <w:rsid w:val="00D82FBB"/>
    <w:rsid w:val="00D83557"/>
    <w:rsid w:val="00D83A6D"/>
    <w:rsid w:val="00D8473E"/>
    <w:rsid w:val="00D851A0"/>
    <w:rsid w:val="00D855B1"/>
    <w:rsid w:val="00D85687"/>
    <w:rsid w:val="00D878E9"/>
    <w:rsid w:val="00D879F5"/>
    <w:rsid w:val="00D90000"/>
    <w:rsid w:val="00D904AF"/>
    <w:rsid w:val="00D90C1B"/>
    <w:rsid w:val="00D9100D"/>
    <w:rsid w:val="00D9170F"/>
    <w:rsid w:val="00D91BAB"/>
    <w:rsid w:val="00D92478"/>
    <w:rsid w:val="00D92E9C"/>
    <w:rsid w:val="00D932ED"/>
    <w:rsid w:val="00D933D5"/>
    <w:rsid w:val="00D939ED"/>
    <w:rsid w:val="00D95110"/>
    <w:rsid w:val="00D9699E"/>
    <w:rsid w:val="00D97276"/>
    <w:rsid w:val="00D97457"/>
    <w:rsid w:val="00D97D8A"/>
    <w:rsid w:val="00D97E23"/>
    <w:rsid w:val="00DA0144"/>
    <w:rsid w:val="00DA1341"/>
    <w:rsid w:val="00DA1385"/>
    <w:rsid w:val="00DA140E"/>
    <w:rsid w:val="00DA239F"/>
    <w:rsid w:val="00DA2FF5"/>
    <w:rsid w:val="00DA308C"/>
    <w:rsid w:val="00DA3492"/>
    <w:rsid w:val="00DA433B"/>
    <w:rsid w:val="00DA449F"/>
    <w:rsid w:val="00DA4ED7"/>
    <w:rsid w:val="00DA6777"/>
    <w:rsid w:val="00DA6BAF"/>
    <w:rsid w:val="00DB1157"/>
    <w:rsid w:val="00DB2164"/>
    <w:rsid w:val="00DB2EC3"/>
    <w:rsid w:val="00DB3C2B"/>
    <w:rsid w:val="00DB3DFD"/>
    <w:rsid w:val="00DB4245"/>
    <w:rsid w:val="00DB42BC"/>
    <w:rsid w:val="00DB4F70"/>
    <w:rsid w:val="00DB57B3"/>
    <w:rsid w:val="00DB69AE"/>
    <w:rsid w:val="00DB6CA6"/>
    <w:rsid w:val="00DB6DAF"/>
    <w:rsid w:val="00DB6F5E"/>
    <w:rsid w:val="00DB700C"/>
    <w:rsid w:val="00DB771F"/>
    <w:rsid w:val="00DB77A2"/>
    <w:rsid w:val="00DB7F49"/>
    <w:rsid w:val="00DC058B"/>
    <w:rsid w:val="00DC0A27"/>
    <w:rsid w:val="00DC0ECB"/>
    <w:rsid w:val="00DC1383"/>
    <w:rsid w:val="00DC1397"/>
    <w:rsid w:val="00DC356E"/>
    <w:rsid w:val="00DC3C2D"/>
    <w:rsid w:val="00DC4BE9"/>
    <w:rsid w:val="00DC5087"/>
    <w:rsid w:val="00DC5210"/>
    <w:rsid w:val="00DC59B6"/>
    <w:rsid w:val="00DC5C22"/>
    <w:rsid w:val="00DC5FFF"/>
    <w:rsid w:val="00DC66B9"/>
    <w:rsid w:val="00DC74A2"/>
    <w:rsid w:val="00DC7A47"/>
    <w:rsid w:val="00DD0368"/>
    <w:rsid w:val="00DD349F"/>
    <w:rsid w:val="00DD3D3A"/>
    <w:rsid w:val="00DD4039"/>
    <w:rsid w:val="00DD40BF"/>
    <w:rsid w:val="00DD4840"/>
    <w:rsid w:val="00DD4D00"/>
    <w:rsid w:val="00DD541B"/>
    <w:rsid w:val="00DD58C9"/>
    <w:rsid w:val="00DD5BE8"/>
    <w:rsid w:val="00DD5EC3"/>
    <w:rsid w:val="00DD6515"/>
    <w:rsid w:val="00DD665F"/>
    <w:rsid w:val="00DD7147"/>
    <w:rsid w:val="00DD72B8"/>
    <w:rsid w:val="00DD72D8"/>
    <w:rsid w:val="00DE005A"/>
    <w:rsid w:val="00DE0AE4"/>
    <w:rsid w:val="00DE0C48"/>
    <w:rsid w:val="00DE0DBF"/>
    <w:rsid w:val="00DE1562"/>
    <w:rsid w:val="00DE1B9C"/>
    <w:rsid w:val="00DE1DBB"/>
    <w:rsid w:val="00DE22CE"/>
    <w:rsid w:val="00DE23A2"/>
    <w:rsid w:val="00DE3E1C"/>
    <w:rsid w:val="00DE49B2"/>
    <w:rsid w:val="00DE4FF1"/>
    <w:rsid w:val="00DE5601"/>
    <w:rsid w:val="00DE6821"/>
    <w:rsid w:val="00DF055A"/>
    <w:rsid w:val="00DF05F8"/>
    <w:rsid w:val="00DF0FD6"/>
    <w:rsid w:val="00DF12CD"/>
    <w:rsid w:val="00DF2084"/>
    <w:rsid w:val="00DF2F88"/>
    <w:rsid w:val="00DF353D"/>
    <w:rsid w:val="00DF457F"/>
    <w:rsid w:val="00DF4669"/>
    <w:rsid w:val="00DF4D25"/>
    <w:rsid w:val="00DF53FB"/>
    <w:rsid w:val="00DF548E"/>
    <w:rsid w:val="00DF604D"/>
    <w:rsid w:val="00DF6811"/>
    <w:rsid w:val="00DF6E13"/>
    <w:rsid w:val="00DF7346"/>
    <w:rsid w:val="00DF7CDA"/>
    <w:rsid w:val="00E0078C"/>
    <w:rsid w:val="00E00FBD"/>
    <w:rsid w:val="00E01383"/>
    <w:rsid w:val="00E02438"/>
    <w:rsid w:val="00E03063"/>
    <w:rsid w:val="00E037A7"/>
    <w:rsid w:val="00E03A60"/>
    <w:rsid w:val="00E03BF2"/>
    <w:rsid w:val="00E043E5"/>
    <w:rsid w:val="00E0489C"/>
    <w:rsid w:val="00E059EE"/>
    <w:rsid w:val="00E0651F"/>
    <w:rsid w:val="00E07476"/>
    <w:rsid w:val="00E07F92"/>
    <w:rsid w:val="00E10B84"/>
    <w:rsid w:val="00E10C62"/>
    <w:rsid w:val="00E1223E"/>
    <w:rsid w:val="00E122DF"/>
    <w:rsid w:val="00E12C72"/>
    <w:rsid w:val="00E13099"/>
    <w:rsid w:val="00E13BFA"/>
    <w:rsid w:val="00E14A03"/>
    <w:rsid w:val="00E156F0"/>
    <w:rsid w:val="00E1619B"/>
    <w:rsid w:val="00E1748B"/>
    <w:rsid w:val="00E17AEE"/>
    <w:rsid w:val="00E17D01"/>
    <w:rsid w:val="00E20787"/>
    <w:rsid w:val="00E22D9E"/>
    <w:rsid w:val="00E24177"/>
    <w:rsid w:val="00E24E4E"/>
    <w:rsid w:val="00E25436"/>
    <w:rsid w:val="00E255F2"/>
    <w:rsid w:val="00E25C6A"/>
    <w:rsid w:val="00E26148"/>
    <w:rsid w:val="00E268DB"/>
    <w:rsid w:val="00E26CCF"/>
    <w:rsid w:val="00E26E42"/>
    <w:rsid w:val="00E275B8"/>
    <w:rsid w:val="00E27C5F"/>
    <w:rsid w:val="00E31759"/>
    <w:rsid w:val="00E31D4E"/>
    <w:rsid w:val="00E32511"/>
    <w:rsid w:val="00E3297E"/>
    <w:rsid w:val="00E331A8"/>
    <w:rsid w:val="00E33E6D"/>
    <w:rsid w:val="00E344AA"/>
    <w:rsid w:val="00E34558"/>
    <w:rsid w:val="00E34C34"/>
    <w:rsid w:val="00E34E57"/>
    <w:rsid w:val="00E35B1E"/>
    <w:rsid w:val="00E35D77"/>
    <w:rsid w:val="00E35E25"/>
    <w:rsid w:val="00E36237"/>
    <w:rsid w:val="00E36409"/>
    <w:rsid w:val="00E3710E"/>
    <w:rsid w:val="00E3711E"/>
    <w:rsid w:val="00E37528"/>
    <w:rsid w:val="00E379A2"/>
    <w:rsid w:val="00E41137"/>
    <w:rsid w:val="00E4173A"/>
    <w:rsid w:val="00E420AF"/>
    <w:rsid w:val="00E421C7"/>
    <w:rsid w:val="00E42A1C"/>
    <w:rsid w:val="00E43082"/>
    <w:rsid w:val="00E43383"/>
    <w:rsid w:val="00E43902"/>
    <w:rsid w:val="00E440FE"/>
    <w:rsid w:val="00E44310"/>
    <w:rsid w:val="00E449C3"/>
    <w:rsid w:val="00E45EFD"/>
    <w:rsid w:val="00E45F8D"/>
    <w:rsid w:val="00E4607A"/>
    <w:rsid w:val="00E47972"/>
    <w:rsid w:val="00E47C10"/>
    <w:rsid w:val="00E518AD"/>
    <w:rsid w:val="00E51DE4"/>
    <w:rsid w:val="00E544A1"/>
    <w:rsid w:val="00E548BE"/>
    <w:rsid w:val="00E55E8C"/>
    <w:rsid w:val="00E56A14"/>
    <w:rsid w:val="00E5733C"/>
    <w:rsid w:val="00E61598"/>
    <w:rsid w:val="00E616C2"/>
    <w:rsid w:val="00E62A5A"/>
    <w:rsid w:val="00E62F83"/>
    <w:rsid w:val="00E6348B"/>
    <w:rsid w:val="00E6376F"/>
    <w:rsid w:val="00E64925"/>
    <w:rsid w:val="00E64DAE"/>
    <w:rsid w:val="00E650FB"/>
    <w:rsid w:val="00E6526B"/>
    <w:rsid w:val="00E65B5A"/>
    <w:rsid w:val="00E65CD4"/>
    <w:rsid w:val="00E65FB4"/>
    <w:rsid w:val="00E66EB4"/>
    <w:rsid w:val="00E7075B"/>
    <w:rsid w:val="00E70B34"/>
    <w:rsid w:val="00E70B6D"/>
    <w:rsid w:val="00E71042"/>
    <w:rsid w:val="00E725C8"/>
    <w:rsid w:val="00E72D55"/>
    <w:rsid w:val="00E72FB3"/>
    <w:rsid w:val="00E73CA5"/>
    <w:rsid w:val="00E745C5"/>
    <w:rsid w:val="00E74766"/>
    <w:rsid w:val="00E758BB"/>
    <w:rsid w:val="00E764A2"/>
    <w:rsid w:val="00E765F9"/>
    <w:rsid w:val="00E77574"/>
    <w:rsid w:val="00E7794D"/>
    <w:rsid w:val="00E77BA0"/>
    <w:rsid w:val="00E77C1B"/>
    <w:rsid w:val="00E77EB3"/>
    <w:rsid w:val="00E8107F"/>
    <w:rsid w:val="00E812C6"/>
    <w:rsid w:val="00E81703"/>
    <w:rsid w:val="00E829BB"/>
    <w:rsid w:val="00E82A09"/>
    <w:rsid w:val="00E82E7C"/>
    <w:rsid w:val="00E83020"/>
    <w:rsid w:val="00E841DF"/>
    <w:rsid w:val="00E84FDF"/>
    <w:rsid w:val="00E85A88"/>
    <w:rsid w:val="00E85B33"/>
    <w:rsid w:val="00E867CD"/>
    <w:rsid w:val="00E86887"/>
    <w:rsid w:val="00E86C86"/>
    <w:rsid w:val="00E86E20"/>
    <w:rsid w:val="00E873DF"/>
    <w:rsid w:val="00E9205E"/>
    <w:rsid w:val="00E926E5"/>
    <w:rsid w:val="00E9279B"/>
    <w:rsid w:val="00E92D08"/>
    <w:rsid w:val="00E92E7B"/>
    <w:rsid w:val="00E93357"/>
    <w:rsid w:val="00E937CD"/>
    <w:rsid w:val="00E93D69"/>
    <w:rsid w:val="00E93D91"/>
    <w:rsid w:val="00E97CD8"/>
    <w:rsid w:val="00E97EBD"/>
    <w:rsid w:val="00EA0055"/>
    <w:rsid w:val="00EA0AA6"/>
    <w:rsid w:val="00EA0EC9"/>
    <w:rsid w:val="00EA3F81"/>
    <w:rsid w:val="00EA4B2A"/>
    <w:rsid w:val="00EA5021"/>
    <w:rsid w:val="00EA5112"/>
    <w:rsid w:val="00EA6875"/>
    <w:rsid w:val="00EA7D60"/>
    <w:rsid w:val="00EB0ECC"/>
    <w:rsid w:val="00EB11EA"/>
    <w:rsid w:val="00EB1EBA"/>
    <w:rsid w:val="00EB2282"/>
    <w:rsid w:val="00EB22E6"/>
    <w:rsid w:val="00EB3367"/>
    <w:rsid w:val="00EB344C"/>
    <w:rsid w:val="00EB39EB"/>
    <w:rsid w:val="00EB3E17"/>
    <w:rsid w:val="00EB4140"/>
    <w:rsid w:val="00EB419B"/>
    <w:rsid w:val="00EB483E"/>
    <w:rsid w:val="00EB4BC0"/>
    <w:rsid w:val="00EB5C0C"/>
    <w:rsid w:val="00EB6689"/>
    <w:rsid w:val="00EB72C7"/>
    <w:rsid w:val="00EB7AFF"/>
    <w:rsid w:val="00EC043D"/>
    <w:rsid w:val="00EC07F1"/>
    <w:rsid w:val="00EC0C95"/>
    <w:rsid w:val="00EC0CC5"/>
    <w:rsid w:val="00EC0E97"/>
    <w:rsid w:val="00EC0F49"/>
    <w:rsid w:val="00EC144C"/>
    <w:rsid w:val="00EC3598"/>
    <w:rsid w:val="00EC3905"/>
    <w:rsid w:val="00EC3A03"/>
    <w:rsid w:val="00EC3CA2"/>
    <w:rsid w:val="00EC4647"/>
    <w:rsid w:val="00EC55E3"/>
    <w:rsid w:val="00EC5D33"/>
    <w:rsid w:val="00EC699F"/>
    <w:rsid w:val="00EC6C18"/>
    <w:rsid w:val="00EC73C8"/>
    <w:rsid w:val="00ED0387"/>
    <w:rsid w:val="00ED0B56"/>
    <w:rsid w:val="00ED29B6"/>
    <w:rsid w:val="00ED3118"/>
    <w:rsid w:val="00ED316A"/>
    <w:rsid w:val="00ED406A"/>
    <w:rsid w:val="00ED4E2C"/>
    <w:rsid w:val="00ED52B6"/>
    <w:rsid w:val="00ED5817"/>
    <w:rsid w:val="00ED5B91"/>
    <w:rsid w:val="00ED5CBE"/>
    <w:rsid w:val="00ED5E80"/>
    <w:rsid w:val="00ED6663"/>
    <w:rsid w:val="00ED694D"/>
    <w:rsid w:val="00ED6AD3"/>
    <w:rsid w:val="00ED7299"/>
    <w:rsid w:val="00ED7CE4"/>
    <w:rsid w:val="00EE029A"/>
    <w:rsid w:val="00EE0599"/>
    <w:rsid w:val="00EE06BD"/>
    <w:rsid w:val="00EE0767"/>
    <w:rsid w:val="00EE09D1"/>
    <w:rsid w:val="00EE0CF8"/>
    <w:rsid w:val="00EE10C0"/>
    <w:rsid w:val="00EE123D"/>
    <w:rsid w:val="00EE19A1"/>
    <w:rsid w:val="00EE1BB6"/>
    <w:rsid w:val="00EE1E4E"/>
    <w:rsid w:val="00EE2BD1"/>
    <w:rsid w:val="00EE2BDD"/>
    <w:rsid w:val="00EE2E70"/>
    <w:rsid w:val="00EE3058"/>
    <w:rsid w:val="00EE3391"/>
    <w:rsid w:val="00EE5349"/>
    <w:rsid w:val="00EE699E"/>
    <w:rsid w:val="00EF17F1"/>
    <w:rsid w:val="00EF227B"/>
    <w:rsid w:val="00EF2A15"/>
    <w:rsid w:val="00EF2DC5"/>
    <w:rsid w:val="00EF2E16"/>
    <w:rsid w:val="00EF2FE9"/>
    <w:rsid w:val="00EF31DE"/>
    <w:rsid w:val="00EF355C"/>
    <w:rsid w:val="00EF4898"/>
    <w:rsid w:val="00EF5504"/>
    <w:rsid w:val="00EF6DFD"/>
    <w:rsid w:val="00EF742D"/>
    <w:rsid w:val="00EF7D7C"/>
    <w:rsid w:val="00F00146"/>
    <w:rsid w:val="00F01293"/>
    <w:rsid w:val="00F01838"/>
    <w:rsid w:val="00F02725"/>
    <w:rsid w:val="00F02BBE"/>
    <w:rsid w:val="00F02C26"/>
    <w:rsid w:val="00F03439"/>
    <w:rsid w:val="00F036BA"/>
    <w:rsid w:val="00F03C74"/>
    <w:rsid w:val="00F03F91"/>
    <w:rsid w:val="00F04A7A"/>
    <w:rsid w:val="00F0551E"/>
    <w:rsid w:val="00F05C4D"/>
    <w:rsid w:val="00F05DC5"/>
    <w:rsid w:val="00F05EB8"/>
    <w:rsid w:val="00F06C20"/>
    <w:rsid w:val="00F06EA5"/>
    <w:rsid w:val="00F1016E"/>
    <w:rsid w:val="00F107FA"/>
    <w:rsid w:val="00F10F70"/>
    <w:rsid w:val="00F12C4A"/>
    <w:rsid w:val="00F12D12"/>
    <w:rsid w:val="00F14B7D"/>
    <w:rsid w:val="00F15C9D"/>
    <w:rsid w:val="00F16153"/>
    <w:rsid w:val="00F16AAE"/>
    <w:rsid w:val="00F16EF4"/>
    <w:rsid w:val="00F17014"/>
    <w:rsid w:val="00F21194"/>
    <w:rsid w:val="00F21F04"/>
    <w:rsid w:val="00F22685"/>
    <w:rsid w:val="00F22F24"/>
    <w:rsid w:val="00F22FDB"/>
    <w:rsid w:val="00F23D48"/>
    <w:rsid w:val="00F241E3"/>
    <w:rsid w:val="00F248B0"/>
    <w:rsid w:val="00F2556E"/>
    <w:rsid w:val="00F25B5A"/>
    <w:rsid w:val="00F25C5D"/>
    <w:rsid w:val="00F267BF"/>
    <w:rsid w:val="00F26D9A"/>
    <w:rsid w:val="00F2769F"/>
    <w:rsid w:val="00F27781"/>
    <w:rsid w:val="00F27941"/>
    <w:rsid w:val="00F27F95"/>
    <w:rsid w:val="00F31955"/>
    <w:rsid w:val="00F329CC"/>
    <w:rsid w:val="00F334BF"/>
    <w:rsid w:val="00F3382F"/>
    <w:rsid w:val="00F340A6"/>
    <w:rsid w:val="00F348BA"/>
    <w:rsid w:val="00F34D29"/>
    <w:rsid w:val="00F35E95"/>
    <w:rsid w:val="00F3683A"/>
    <w:rsid w:val="00F36945"/>
    <w:rsid w:val="00F36F4E"/>
    <w:rsid w:val="00F37ED8"/>
    <w:rsid w:val="00F40253"/>
    <w:rsid w:val="00F40796"/>
    <w:rsid w:val="00F40A0F"/>
    <w:rsid w:val="00F40AB2"/>
    <w:rsid w:val="00F416A1"/>
    <w:rsid w:val="00F42D68"/>
    <w:rsid w:val="00F43A80"/>
    <w:rsid w:val="00F43F22"/>
    <w:rsid w:val="00F440CF"/>
    <w:rsid w:val="00F445F7"/>
    <w:rsid w:val="00F46176"/>
    <w:rsid w:val="00F46210"/>
    <w:rsid w:val="00F46798"/>
    <w:rsid w:val="00F471E2"/>
    <w:rsid w:val="00F47AE1"/>
    <w:rsid w:val="00F47EA2"/>
    <w:rsid w:val="00F51853"/>
    <w:rsid w:val="00F5299D"/>
    <w:rsid w:val="00F5301E"/>
    <w:rsid w:val="00F5304E"/>
    <w:rsid w:val="00F5339F"/>
    <w:rsid w:val="00F537F8"/>
    <w:rsid w:val="00F53CA5"/>
    <w:rsid w:val="00F5458E"/>
    <w:rsid w:val="00F54C71"/>
    <w:rsid w:val="00F5517D"/>
    <w:rsid w:val="00F559D2"/>
    <w:rsid w:val="00F56458"/>
    <w:rsid w:val="00F5675F"/>
    <w:rsid w:val="00F56BF2"/>
    <w:rsid w:val="00F56DE7"/>
    <w:rsid w:val="00F56ED6"/>
    <w:rsid w:val="00F57068"/>
    <w:rsid w:val="00F57286"/>
    <w:rsid w:val="00F57659"/>
    <w:rsid w:val="00F61B71"/>
    <w:rsid w:val="00F6214E"/>
    <w:rsid w:val="00F63511"/>
    <w:rsid w:val="00F6351C"/>
    <w:rsid w:val="00F635EB"/>
    <w:rsid w:val="00F66C16"/>
    <w:rsid w:val="00F675BF"/>
    <w:rsid w:val="00F67E9E"/>
    <w:rsid w:val="00F70A91"/>
    <w:rsid w:val="00F70AF3"/>
    <w:rsid w:val="00F70E39"/>
    <w:rsid w:val="00F70E5E"/>
    <w:rsid w:val="00F70FA6"/>
    <w:rsid w:val="00F7116A"/>
    <w:rsid w:val="00F712D8"/>
    <w:rsid w:val="00F713DA"/>
    <w:rsid w:val="00F71690"/>
    <w:rsid w:val="00F71801"/>
    <w:rsid w:val="00F731AD"/>
    <w:rsid w:val="00F7416F"/>
    <w:rsid w:val="00F74701"/>
    <w:rsid w:val="00F74F1A"/>
    <w:rsid w:val="00F7510F"/>
    <w:rsid w:val="00F75142"/>
    <w:rsid w:val="00F75501"/>
    <w:rsid w:val="00F76769"/>
    <w:rsid w:val="00F76B6A"/>
    <w:rsid w:val="00F76E46"/>
    <w:rsid w:val="00F778F3"/>
    <w:rsid w:val="00F77EF1"/>
    <w:rsid w:val="00F8033A"/>
    <w:rsid w:val="00F804B2"/>
    <w:rsid w:val="00F807B1"/>
    <w:rsid w:val="00F820C8"/>
    <w:rsid w:val="00F824A5"/>
    <w:rsid w:val="00F825A0"/>
    <w:rsid w:val="00F83105"/>
    <w:rsid w:val="00F83941"/>
    <w:rsid w:val="00F83CBF"/>
    <w:rsid w:val="00F85C3D"/>
    <w:rsid w:val="00F8796C"/>
    <w:rsid w:val="00F90CB0"/>
    <w:rsid w:val="00F90CB3"/>
    <w:rsid w:val="00F92496"/>
    <w:rsid w:val="00F927DA"/>
    <w:rsid w:val="00F92843"/>
    <w:rsid w:val="00F93508"/>
    <w:rsid w:val="00F93D7F"/>
    <w:rsid w:val="00F94835"/>
    <w:rsid w:val="00F94C88"/>
    <w:rsid w:val="00F94E59"/>
    <w:rsid w:val="00F95318"/>
    <w:rsid w:val="00F953B0"/>
    <w:rsid w:val="00F95861"/>
    <w:rsid w:val="00F95AC4"/>
    <w:rsid w:val="00F9740D"/>
    <w:rsid w:val="00F976C2"/>
    <w:rsid w:val="00FA0B16"/>
    <w:rsid w:val="00FA1D1B"/>
    <w:rsid w:val="00FA298B"/>
    <w:rsid w:val="00FA30BF"/>
    <w:rsid w:val="00FA3238"/>
    <w:rsid w:val="00FA342D"/>
    <w:rsid w:val="00FA34DE"/>
    <w:rsid w:val="00FA4075"/>
    <w:rsid w:val="00FA4925"/>
    <w:rsid w:val="00FA4B06"/>
    <w:rsid w:val="00FA5877"/>
    <w:rsid w:val="00FB00E4"/>
    <w:rsid w:val="00FB1680"/>
    <w:rsid w:val="00FB21D8"/>
    <w:rsid w:val="00FB2B18"/>
    <w:rsid w:val="00FB2BA3"/>
    <w:rsid w:val="00FB2C09"/>
    <w:rsid w:val="00FB385A"/>
    <w:rsid w:val="00FB4381"/>
    <w:rsid w:val="00FB4D72"/>
    <w:rsid w:val="00FB5019"/>
    <w:rsid w:val="00FB5685"/>
    <w:rsid w:val="00FB5D13"/>
    <w:rsid w:val="00FB6CBC"/>
    <w:rsid w:val="00FB73CB"/>
    <w:rsid w:val="00FB7589"/>
    <w:rsid w:val="00FC0226"/>
    <w:rsid w:val="00FC08A3"/>
    <w:rsid w:val="00FC0F9F"/>
    <w:rsid w:val="00FC160E"/>
    <w:rsid w:val="00FC1A65"/>
    <w:rsid w:val="00FC266D"/>
    <w:rsid w:val="00FC288D"/>
    <w:rsid w:val="00FC2DC1"/>
    <w:rsid w:val="00FC33C1"/>
    <w:rsid w:val="00FC3C70"/>
    <w:rsid w:val="00FC3D21"/>
    <w:rsid w:val="00FC5BE3"/>
    <w:rsid w:val="00FC62FD"/>
    <w:rsid w:val="00FC6C44"/>
    <w:rsid w:val="00FC7E88"/>
    <w:rsid w:val="00FC7F34"/>
    <w:rsid w:val="00FD0019"/>
    <w:rsid w:val="00FD1137"/>
    <w:rsid w:val="00FD1384"/>
    <w:rsid w:val="00FD19F7"/>
    <w:rsid w:val="00FD1E9A"/>
    <w:rsid w:val="00FD2BF6"/>
    <w:rsid w:val="00FD2DD8"/>
    <w:rsid w:val="00FD381F"/>
    <w:rsid w:val="00FD3F97"/>
    <w:rsid w:val="00FD485E"/>
    <w:rsid w:val="00FD5304"/>
    <w:rsid w:val="00FD6AE8"/>
    <w:rsid w:val="00FD7459"/>
    <w:rsid w:val="00FD7D70"/>
    <w:rsid w:val="00FE09F2"/>
    <w:rsid w:val="00FE0CE8"/>
    <w:rsid w:val="00FE1272"/>
    <w:rsid w:val="00FE2517"/>
    <w:rsid w:val="00FE2655"/>
    <w:rsid w:val="00FE2BE7"/>
    <w:rsid w:val="00FE31FC"/>
    <w:rsid w:val="00FE3A5F"/>
    <w:rsid w:val="00FE508D"/>
    <w:rsid w:val="00FE53C8"/>
    <w:rsid w:val="00FE56AA"/>
    <w:rsid w:val="00FE57BE"/>
    <w:rsid w:val="00FE6960"/>
    <w:rsid w:val="00FF0176"/>
    <w:rsid w:val="00FF0C1F"/>
    <w:rsid w:val="00FF15B4"/>
    <w:rsid w:val="00FF181A"/>
    <w:rsid w:val="00FF1FD2"/>
    <w:rsid w:val="00FF2019"/>
    <w:rsid w:val="00FF242E"/>
    <w:rsid w:val="00FF268F"/>
    <w:rsid w:val="00FF28BE"/>
    <w:rsid w:val="00FF2A21"/>
    <w:rsid w:val="00FF2EE4"/>
    <w:rsid w:val="00FF34BC"/>
    <w:rsid w:val="00FF54F8"/>
    <w:rsid w:val="00FF6994"/>
    <w:rsid w:val="0101600F"/>
    <w:rsid w:val="023D471D"/>
    <w:rsid w:val="025C49EE"/>
    <w:rsid w:val="03A86077"/>
    <w:rsid w:val="043570E3"/>
    <w:rsid w:val="047E3006"/>
    <w:rsid w:val="04D316C9"/>
    <w:rsid w:val="05134064"/>
    <w:rsid w:val="05151950"/>
    <w:rsid w:val="0749719D"/>
    <w:rsid w:val="07EF0236"/>
    <w:rsid w:val="09380E13"/>
    <w:rsid w:val="099E3CC2"/>
    <w:rsid w:val="09A46E52"/>
    <w:rsid w:val="09AF350A"/>
    <w:rsid w:val="09F35B14"/>
    <w:rsid w:val="0A310FDA"/>
    <w:rsid w:val="0A3603E3"/>
    <w:rsid w:val="0AC546EF"/>
    <w:rsid w:val="0AD57543"/>
    <w:rsid w:val="0ADB0F46"/>
    <w:rsid w:val="0B8C2ED6"/>
    <w:rsid w:val="0BE7084D"/>
    <w:rsid w:val="0BFB24CA"/>
    <w:rsid w:val="0C2975D0"/>
    <w:rsid w:val="0C2C1A40"/>
    <w:rsid w:val="0CDE7573"/>
    <w:rsid w:val="0CEA6115"/>
    <w:rsid w:val="0D206749"/>
    <w:rsid w:val="0DFE5677"/>
    <w:rsid w:val="0E7771D7"/>
    <w:rsid w:val="1034053F"/>
    <w:rsid w:val="103B6CA0"/>
    <w:rsid w:val="10737330"/>
    <w:rsid w:val="115F216C"/>
    <w:rsid w:val="11847E24"/>
    <w:rsid w:val="11963E69"/>
    <w:rsid w:val="11CC15E8"/>
    <w:rsid w:val="12312651"/>
    <w:rsid w:val="12E93F3E"/>
    <w:rsid w:val="12ED5625"/>
    <w:rsid w:val="131B2827"/>
    <w:rsid w:val="132152F6"/>
    <w:rsid w:val="13CA6005"/>
    <w:rsid w:val="15A5419D"/>
    <w:rsid w:val="15BC3852"/>
    <w:rsid w:val="15FB7236"/>
    <w:rsid w:val="16E53901"/>
    <w:rsid w:val="17327E28"/>
    <w:rsid w:val="17895B2C"/>
    <w:rsid w:val="17D66D1D"/>
    <w:rsid w:val="17D82A95"/>
    <w:rsid w:val="183C1DD9"/>
    <w:rsid w:val="18725B6E"/>
    <w:rsid w:val="18F11606"/>
    <w:rsid w:val="190E40C6"/>
    <w:rsid w:val="19156B47"/>
    <w:rsid w:val="199B2F4A"/>
    <w:rsid w:val="1A820675"/>
    <w:rsid w:val="1B057F61"/>
    <w:rsid w:val="1B272E92"/>
    <w:rsid w:val="1B476401"/>
    <w:rsid w:val="1B787AA1"/>
    <w:rsid w:val="1C5D5AE3"/>
    <w:rsid w:val="1DA069AB"/>
    <w:rsid w:val="1DA80133"/>
    <w:rsid w:val="1DA84CB7"/>
    <w:rsid w:val="1E8F5E77"/>
    <w:rsid w:val="1EA97D8F"/>
    <w:rsid w:val="1EAB0F03"/>
    <w:rsid w:val="1EB226E0"/>
    <w:rsid w:val="1F1F37F4"/>
    <w:rsid w:val="1F68185B"/>
    <w:rsid w:val="1F69295D"/>
    <w:rsid w:val="1F9E673F"/>
    <w:rsid w:val="20224105"/>
    <w:rsid w:val="20383D9C"/>
    <w:rsid w:val="20735B3E"/>
    <w:rsid w:val="218B6BBF"/>
    <w:rsid w:val="21C87844"/>
    <w:rsid w:val="222C235B"/>
    <w:rsid w:val="22A719E1"/>
    <w:rsid w:val="22D351CD"/>
    <w:rsid w:val="22F0069A"/>
    <w:rsid w:val="22FF5139"/>
    <w:rsid w:val="23365E57"/>
    <w:rsid w:val="23766AEA"/>
    <w:rsid w:val="24B93A57"/>
    <w:rsid w:val="251F46C3"/>
    <w:rsid w:val="25611D71"/>
    <w:rsid w:val="26001B5C"/>
    <w:rsid w:val="26242544"/>
    <w:rsid w:val="26372B43"/>
    <w:rsid w:val="26592EEA"/>
    <w:rsid w:val="27AD33F2"/>
    <w:rsid w:val="281D6F4D"/>
    <w:rsid w:val="282B723F"/>
    <w:rsid w:val="2840669A"/>
    <w:rsid w:val="28B237D6"/>
    <w:rsid w:val="29A155BC"/>
    <w:rsid w:val="2A24453F"/>
    <w:rsid w:val="2AE62313"/>
    <w:rsid w:val="2AF91E06"/>
    <w:rsid w:val="2BBE3CC0"/>
    <w:rsid w:val="2CD57BE6"/>
    <w:rsid w:val="2D227FD2"/>
    <w:rsid w:val="2D647F8E"/>
    <w:rsid w:val="2E2D523F"/>
    <w:rsid w:val="2EE42026"/>
    <w:rsid w:val="2F15778E"/>
    <w:rsid w:val="30032221"/>
    <w:rsid w:val="308A2D68"/>
    <w:rsid w:val="30A25EDE"/>
    <w:rsid w:val="31010150"/>
    <w:rsid w:val="31121186"/>
    <w:rsid w:val="31763BF4"/>
    <w:rsid w:val="31767019"/>
    <w:rsid w:val="31BA1A73"/>
    <w:rsid w:val="329C0C6B"/>
    <w:rsid w:val="334868C9"/>
    <w:rsid w:val="3396251D"/>
    <w:rsid w:val="33B50474"/>
    <w:rsid w:val="33BF7090"/>
    <w:rsid w:val="34EE34A0"/>
    <w:rsid w:val="354A0CD7"/>
    <w:rsid w:val="35505F08"/>
    <w:rsid w:val="35776B74"/>
    <w:rsid w:val="35E30B2B"/>
    <w:rsid w:val="35F43525"/>
    <w:rsid w:val="36511F38"/>
    <w:rsid w:val="3715740A"/>
    <w:rsid w:val="37922808"/>
    <w:rsid w:val="398F2711"/>
    <w:rsid w:val="39BF18AF"/>
    <w:rsid w:val="3A085004"/>
    <w:rsid w:val="3A6E46E1"/>
    <w:rsid w:val="3AFE73AB"/>
    <w:rsid w:val="3B8F1042"/>
    <w:rsid w:val="3BA050D7"/>
    <w:rsid w:val="3BC00367"/>
    <w:rsid w:val="3BDC22A4"/>
    <w:rsid w:val="3C6E77BC"/>
    <w:rsid w:val="3CFF2D9A"/>
    <w:rsid w:val="3D23371B"/>
    <w:rsid w:val="3D4520CB"/>
    <w:rsid w:val="3DDE70D3"/>
    <w:rsid w:val="3E2D5039"/>
    <w:rsid w:val="3E5B58BB"/>
    <w:rsid w:val="3EAD1CD6"/>
    <w:rsid w:val="3ECA5C4A"/>
    <w:rsid w:val="3F984734"/>
    <w:rsid w:val="406163FE"/>
    <w:rsid w:val="40944A28"/>
    <w:rsid w:val="40DF74E5"/>
    <w:rsid w:val="41CA0DF1"/>
    <w:rsid w:val="421C254F"/>
    <w:rsid w:val="43213566"/>
    <w:rsid w:val="43866B0E"/>
    <w:rsid w:val="438D51F4"/>
    <w:rsid w:val="44114AB5"/>
    <w:rsid w:val="44823C05"/>
    <w:rsid w:val="453018B3"/>
    <w:rsid w:val="455C5F2D"/>
    <w:rsid w:val="45B84CA3"/>
    <w:rsid w:val="462E414C"/>
    <w:rsid w:val="46805B8E"/>
    <w:rsid w:val="46874604"/>
    <w:rsid w:val="46A83402"/>
    <w:rsid w:val="46D17C8A"/>
    <w:rsid w:val="472A0CE4"/>
    <w:rsid w:val="481E7A60"/>
    <w:rsid w:val="483E4B03"/>
    <w:rsid w:val="486006E2"/>
    <w:rsid w:val="49DA4239"/>
    <w:rsid w:val="49E74547"/>
    <w:rsid w:val="4A257510"/>
    <w:rsid w:val="4B3B2DE9"/>
    <w:rsid w:val="4B5F43AC"/>
    <w:rsid w:val="4BB63B5B"/>
    <w:rsid w:val="4BC13264"/>
    <w:rsid w:val="4C016803"/>
    <w:rsid w:val="4C0C7A97"/>
    <w:rsid w:val="4C3752D5"/>
    <w:rsid w:val="4CA61FE3"/>
    <w:rsid w:val="4CFA2007"/>
    <w:rsid w:val="4D3B5F1F"/>
    <w:rsid w:val="4D5953BB"/>
    <w:rsid w:val="4D5C27F9"/>
    <w:rsid w:val="4E3A5985"/>
    <w:rsid w:val="4F1C0445"/>
    <w:rsid w:val="4F42290E"/>
    <w:rsid w:val="4F870321"/>
    <w:rsid w:val="502F427C"/>
    <w:rsid w:val="50536245"/>
    <w:rsid w:val="505446A7"/>
    <w:rsid w:val="505521CD"/>
    <w:rsid w:val="506F14CF"/>
    <w:rsid w:val="50B05E59"/>
    <w:rsid w:val="50FB7280"/>
    <w:rsid w:val="51065140"/>
    <w:rsid w:val="52873552"/>
    <w:rsid w:val="537D5F16"/>
    <w:rsid w:val="53CD3498"/>
    <w:rsid w:val="53E8588C"/>
    <w:rsid w:val="55231264"/>
    <w:rsid w:val="55711857"/>
    <w:rsid w:val="55894DF3"/>
    <w:rsid w:val="55E80EFF"/>
    <w:rsid w:val="55FE0905"/>
    <w:rsid w:val="567D5FDA"/>
    <w:rsid w:val="56865479"/>
    <w:rsid w:val="56DA55B8"/>
    <w:rsid w:val="56ED7603"/>
    <w:rsid w:val="57125052"/>
    <w:rsid w:val="576C2FA0"/>
    <w:rsid w:val="577D7B30"/>
    <w:rsid w:val="579D4B86"/>
    <w:rsid w:val="58A40196"/>
    <w:rsid w:val="58E97957"/>
    <w:rsid w:val="59233F27"/>
    <w:rsid w:val="598A7445"/>
    <w:rsid w:val="59F12E36"/>
    <w:rsid w:val="5A063515"/>
    <w:rsid w:val="5A205A6E"/>
    <w:rsid w:val="5A5007B6"/>
    <w:rsid w:val="5A556207"/>
    <w:rsid w:val="5B144D1E"/>
    <w:rsid w:val="5B9F666D"/>
    <w:rsid w:val="5BB530BF"/>
    <w:rsid w:val="5C286A26"/>
    <w:rsid w:val="5C817BC8"/>
    <w:rsid w:val="5CED59A8"/>
    <w:rsid w:val="5D5660AF"/>
    <w:rsid w:val="5E671A49"/>
    <w:rsid w:val="5FB247EC"/>
    <w:rsid w:val="607928AB"/>
    <w:rsid w:val="61073D75"/>
    <w:rsid w:val="615B12C7"/>
    <w:rsid w:val="61854ED9"/>
    <w:rsid w:val="620D153D"/>
    <w:rsid w:val="62416092"/>
    <w:rsid w:val="62D059D6"/>
    <w:rsid w:val="62D268BD"/>
    <w:rsid w:val="630B4459"/>
    <w:rsid w:val="639D1A83"/>
    <w:rsid w:val="65520DE7"/>
    <w:rsid w:val="65A17F37"/>
    <w:rsid w:val="65F20792"/>
    <w:rsid w:val="66C739CD"/>
    <w:rsid w:val="683F7FBE"/>
    <w:rsid w:val="686F79F8"/>
    <w:rsid w:val="68702E63"/>
    <w:rsid w:val="68946C38"/>
    <w:rsid w:val="68DC5CC3"/>
    <w:rsid w:val="698D63E3"/>
    <w:rsid w:val="69B02BE2"/>
    <w:rsid w:val="69CB0240"/>
    <w:rsid w:val="69E51C4B"/>
    <w:rsid w:val="6A2D7F9F"/>
    <w:rsid w:val="6A3363C3"/>
    <w:rsid w:val="6A5D3356"/>
    <w:rsid w:val="6A7E1191"/>
    <w:rsid w:val="6A973B65"/>
    <w:rsid w:val="6B6E35F2"/>
    <w:rsid w:val="6B8754D9"/>
    <w:rsid w:val="6BB44F46"/>
    <w:rsid w:val="6C30706D"/>
    <w:rsid w:val="6C702411"/>
    <w:rsid w:val="6CB01A34"/>
    <w:rsid w:val="6CB945D2"/>
    <w:rsid w:val="6DFC3908"/>
    <w:rsid w:val="6F132694"/>
    <w:rsid w:val="6F7915DC"/>
    <w:rsid w:val="6F8C181C"/>
    <w:rsid w:val="6FB71BD3"/>
    <w:rsid w:val="6FCD0999"/>
    <w:rsid w:val="6FDE7D3C"/>
    <w:rsid w:val="70D2309E"/>
    <w:rsid w:val="70F841F1"/>
    <w:rsid w:val="70FE5410"/>
    <w:rsid w:val="721A4443"/>
    <w:rsid w:val="72D5042B"/>
    <w:rsid w:val="72D87743"/>
    <w:rsid w:val="73603ECF"/>
    <w:rsid w:val="736B1B84"/>
    <w:rsid w:val="736E08C7"/>
    <w:rsid w:val="74094463"/>
    <w:rsid w:val="74097B25"/>
    <w:rsid w:val="745A6021"/>
    <w:rsid w:val="74AA1FEB"/>
    <w:rsid w:val="74CC0400"/>
    <w:rsid w:val="74E25752"/>
    <w:rsid w:val="75A86778"/>
    <w:rsid w:val="75E9523D"/>
    <w:rsid w:val="76B31878"/>
    <w:rsid w:val="76B52101"/>
    <w:rsid w:val="77796C42"/>
    <w:rsid w:val="78145F95"/>
    <w:rsid w:val="783E7867"/>
    <w:rsid w:val="789B1B18"/>
    <w:rsid w:val="78C5525D"/>
    <w:rsid w:val="78C837FC"/>
    <w:rsid w:val="78DC3F5C"/>
    <w:rsid w:val="794F1E4A"/>
    <w:rsid w:val="79EA2DC2"/>
    <w:rsid w:val="7A4421F1"/>
    <w:rsid w:val="7A5E1AFB"/>
    <w:rsid w:val="7AF661D7"/>
    <w:rsid w:val="7B302A33"/>
    <w:rsid w:val="7B5714D4"/>
    <w:rsid w:val="7BB36C63"/>
    <w:rsid w:val="7BCB7664"/>
    <w:rsid w:val="7C9378C3"/>
    <w:rsid w:val="7DC355E5"/>
    <w:rsid w:val="7E453031"/>
    <w:rsid w:val="7EB2095B"/>
    <w:rsid w:val="7F2D5BA8"/>
    <w:rsid w:val="7F966C81"/>
    <w:rsid w:val="7FCC5FAB"/>
    <w:rsid w:val="7FF45921"/>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ocked="1"/>
    <w:lsdException w:qFormat="1" w:unhideWhenUsed="0" w:uiPriority="39" w:semiHidden="0" w:name="toc 2" w:locked="1"/>
    <w:lsdException w:qFormat="1" w:unhideWhenUsed="0" w:uiPriority="39"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99" w:semiHidden="0" w:name="Normal Indent"/>
    <w:lsdException w:qFormat="1" w:uiPriority="99" w:semiHidden="0" w:name="footnote text"/>
    <w:lsdException w:qFormat="1" w:uiPriority="99" w:semiHidden="0" w:name="annotation text"/>
    <w:lsdException w:qFormat="1" w:unhideWhenUsed="0" w:uiPriority="99" w:semiHidden="0" w:name="header"/>
    <w:lsdException w:qFormat="1" w:unhideWhenUsed="0" w:uiPriority="0"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qFormat="1" w:unhideWhenUsed="0" w:uiPriority="0" w:semiHidden="0" w:name="Body Text First Indent"/>
    <w:lsdException w:qFormat="1" w:uiPriority="99" w:name="Body Text First Indent 2"/>
    <w:lsdException w:uiPriority="99" w:name="Note Heading"/>
    <w:lsdException w:uiPriority="99"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qFormat="1" w:unhideWhenUsed="0" w:uiPriority="99" w:name="Placeholder Text"/>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2"/>
    <w:qFormat/>
    <w:uiPriority w:val="99"/>
    <w:pPr>
      <w:keepNext/>
      <w:numPr>
        <w:ilvl w:val="0"/>
        <w:numId w:val="1"/>
      </w:numPr>
      <w:outlineLvl w:val="0"/>
    </w:pPr>
    <w:rPr>
      <w:rFonts w:eastAsia="黑体"/>
      <w:b/>
      <w:sz w:val="28"/>
      <w:szCs w:val="20"/>
    </w:rPr>
  </w:style>
  <w:style w:type="paragraph" w:styleId="3">
    <w:name w:val="heading 2"/>
    <w:basedOn w:val="1"/>
    <w:next w:val="1"/>
    <w:link w:val="43"/>
    <w:qFormat/>
    <w:uiPriority w:val="99"/>
    <w:pPr>
      <w:keepNext/>
      <w:keepLines/>
      <w:numPr>
        <w:ilvl w:val="1"/>
        <w:numId w:val="2"/>
      </w:numPr>
      <w:spacing w:before="260" w:after="260" w:line="416" w:lineRule="auto"/>
      <w:outlineLvl w:val="1"/>
    </w:pPr>
    <w:rPr>
      <w:rFonts w:ascii="Arial" w:hAnsi="Arial" w:eastAsia="黑体"/>
      <w:sz w:val="24"/>
      <w:szCs w:val="20"/>
    </w:rPr>
  </w:style>
  <w:style w:type="paragraph" w:styleId="4">
    <w:name w:val="heading 3"/>
    <w:basedOn w:val="1"/>
    <w:next w:val="5"/>
    <w:link w:val="44"/>
    <w:qFormat/>
    <w:uiPriority w:val="99"/>
    <w:pPr>
      <w:keepNext/>
      <w:numPr>
        <w:ilvl w:val="2"/>
        <w:numId w:val="2"/>
      </w:numPr>
      <w:spacing w:line="400" w:lineRule="exact"/>
      <w:jc w:val="center"/>
      <w:outlineLvl w:val="2"/>
    </w:pPr>
    <w:rPr>
      <w:rFonts w:ascii="仿宋_GB2312" w:eastAsia="仿宋_GB2312"/>
      <w:sz w:val="32"/>
      <w:szCs w:val="20"/>
    </w:rPr>
  </w:style>
  <w:style w:type="paragraph" w:styleId="6">
    <w:name w:val="heading 4"/>
    <w:basedOn w:val="1"/>
    <w:next w:val="1"/>
    <w:link w:val="45"/>
    <w:qFormat/>
    <w:uiPriority w:val="99"/>
    <w:pPr>
      <w:keepNext/>
      <w:keepLines/>
      <w:spacing w:before="280" w:after="290" w:line="376" w:lineRule="auto"/>
      <w:outlineLvl w:val="3"/>
    </w:pPr>
    <w:rPr>
      <w:rFonts w:ascii="Cambria" w:hAnsi="Cambria"/>
      <w:b/>
      <w:bCs/>
      <w:kern w:val="0"/>
      <w:sz w:val="28"/>
      <w:szCs w:val="28"/>
    </w:rPr>
  </w:style>
  <w:style w:type="paragraph" w:styleId="7">
    <w:name w:val="heading 5"/>
    <w:basedOn w:val="1"/>
    <w:next w:val="1"/>
    <w:link w:val="46"/>
    <w:qFormat/>
    <w:uiPriority w:val="99"/>
    <w:pPr>
      <w:keepNext/>
      <w:keepLines/>
      <w:spacing w:before="280" w:after="290" w:line="376" w:lineRule="auto"/>
      <w:outlineLvl w:val="4"/>
    </w:pPr>
    <w:rPr>
      <w:b/>
      <w:bCs/>
      <w:kern w:val="0"/>
      <w:sz w:val="28"/>
      <w:szCs w:val="28"/>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99"/>
    <w:pPr>
      <w:widowControl/>
      <w:ind w:firstLine="420"/>
      <w:jc w:val="left"/>
    </w:pPr>
    <w:rPr>
      <w:kern w:val="0"/>
      <w:sz w:val="20"/>
      <w:szCs w:val="20"/>
    </w:rPr>
  </w:style>
  <w:style w:type="paragraph" w:styleId="8">
    <w:name w:val="annotation text"/>
    <w:basedOn w:val="1"/>
    <w:link w:val="113"/>
    <w:unhideWhenUsed/>
    <w:qFormat/>
    <w:uiPriority w:val="99"/>
    <w:pPr>
      <w:jc w:val="left"/>
    </w:pPr>
  </w:style>
  <w:style w:type="paragraph" w:styleId="9">
    <w:name w:val="Body Text 3"/>
    <w:basedOn w:val="1"/>
    <w:link w:val="48"/>
    <w:qFormat/>
    <w:uiPriority w:val="99"/>
    <w:pPr>
      <w:widowControl/>
      <w:adjustRightInd w:val="0"/>
      <w:snapToGrid w:val="0"/>
      <w:spacing w:line="300" w:lineRule="auto"/>
      <w:jc w:val="left"/>
    </w:pPr>
    <w:rPr>
      <w:kern w:val="0"/>
      <w:sz w:val="16"/>
      <w:szCs w:val="16"/>
    </w:rPr>
  </w:style>
  <w:style w:type="paragraph" w:styleId="10">
    <w:name w:val="Body Text"/>
    <w:basedOn w:val="1"/>
    <w:link w:val="60"/>
    <w:qFormat/>
    <w:uiPriority w:val="99"/>
    <w:pPr>
      <w:spacing w:after="120" w:line="360" w:lineRule="auto"/>
      <w:ind w:firstLine="285" w:firstLineChars="135"/>
    </w:pPr>
    <w:rPr>
      <w:rFonts w:ascii="宋体" w:hAnsi="宋体" w:cs="宋体"/>
      <w:b/>
      <w:szCs w:val="21"/>
      <w:u w:val="single"/>
    </w:rPr>
  </w:style>
  <w:style w:type="paragraph" w:styleId="11">
    <w:name w:val="Body Text Indent"/>
    <w:basedOn w:val="1"/>
    <w:link w:val="52"/>
    <w:qFormat/>
    <w:uiPriority w:val="99"/>
    <w:pPr>
      <w:ind w:firstLine="420" w:firstLineChars="200"/>
    </w:pPr>
    <w:rPr>
      <w:kern w:val="0"/>
      <w:sz w:val="24"/>
      <w:shd w:val="pct10" w:color="auto" w:fill="FFFFFF"/>
    </w:rPr>
  </w:style>
  <w:style w:type="paragraph" w:styleId="12">
    <w:name w:val="Block Text"/>
    <w:basedOn w:val="1"/>
    <w:qFormat/>
    <w:uiPriority w:val="99"/>
    <w:pPr>
      <w:ind w:left="113" w:right="113"/>
      <w:jc w:val="center"/>
    </w:pPr>
    <w:rPr>
      <w:b/>
      <w:bCs/>
      <w:sz w:val="18"/>
      <w:szCs w:val="20"/>
    </w:rPr>
  </w:style>
  <w:style w:type="paragraph" w:styleId="13">
    <w:name w:val="index 4"/>
    <w:basedOn w:val="1"/>
    <w:next w:val="1"/>
    <w:unhideWhenUsed/>
    <w:qFormat/>
    <w:uiPriority w:val="99"/>
    <w:pPr>
      <w:ind w:left="600" w:leftChars="600"/>
    </w:pPr>
    <w:rPr>
      <w:rFonts w:asciiTheme="minorHAnsi" w:hAnsiTheme="minorHAnsi" w:eastAsiaTheme="minorEastAsia" w:cstheme="minorBidi"/>
      <w:szCs w:val="22"/>
    </w:rPr>
  </w:style>
  <w:style w:type="paragraph" w:styleId="14">
    <w:name w:val="toc 3"/>
    <w:basedOn w:val="1"/>
    <w:next w:val="1"/>
    <w:qFormat/>
    <w:locked/>
    <w:uiPriority w:val="39"/>
    <w:pPr>
      <w:ind w:left="840" w:leftChars="400"/>
    </w:pPr>
  </w:style>
  <w:style w:type="paragraph" w:styleId="15">
    <w:name w:val="Plain Text"/>
    <w:basedOn w:val="1"/>
    <w:link w:val="47"/>
    <w:qFormat/>
    <w:uiPriority w:val="99"/>
    <w:rPr>
      <w:rFonts w:ascii="宋体" w:hAnsi="Courier New"/>
      <w:szCs w:val="21"/>
    </w:rPr>
  </w:style>
  <w:style w:type="paragraph" w:styleId="16">
    <w:name w:val="Date"/>
    <w:basedOn w:val="1"/>
    <w:next w:val="1"/>
    <w:link w:val="59"/>
    <w:qFormat/>
    <w:uiPriority w:val="99"/>
    <w:pPr>
      <w:ind w:left="100" w:leftChars="2500"/>
    </w:pPr>
    <w:rPr>
      <w:kern w:val="0"/>
      <w:sz w:val="24"/>
    </w:rPr>
  </w:style>
  <w:style w:type="paragraph" w:styleId="17">
    <w:name w:val="Body Text Indent 2"/>
    <w:basedOn w:val="1"/>
    <w:link w:val="54"/>
    <w:qFormat/>
    <w:uiPriority w:val="99"/>
    <w:pPr>
      <w:spacing w:after="120" w:line="480" w:lineRule="auto"/>
      <w:ind w:left="420" w:leftChars="200"/>
    </w:pPr>
    <w:rPr>
      <w:kern w:val="0"/>
      <w:sz w:val="24"/>
    </w:rPr>
  </w:style>
  <w:style w:type="paragraph" w:styleId="18">
    <w:name w:val="Balloon Text"/>
    <w:basedOn w:val="1"/>
    <w:link w:val="88"/>
    <w:qFormat/>
    <w:uiPriority w:val="99"/>
    <w:rPr>
      <w:sz w:val="18"/>
      <w:szCs w:val="18"/>
    </w:rPr>
  </w:style>
  <w:style w:type="paragraph" w:styleId="19">
    <w:name w:val="footer"/>
    <w:basedOn w:val="1"/>
    <w:link w:val="49"/>
    <w:qFormat/>
    <w:uiPriority w:val="0"/>
    <w:pPr>
      <w:widowControl/>
      <w:tabs>
        <w:tab w:val="center" w:pos="4153"/>
        <w:tab w:val="right" w:pos="8306"/>
      </w:tabs>
      <w:snapToGrid w:val="0"/>
      <w:jc w:val="left"/>
    </w:pPr>
    <w:rPr>
      <w:kern w:val="0"/>
      <w:sz w:val="18"/>
      <w:szCs w:val="18"/>
    </w:rPr>
  </w:style>
  <w:style w:type="paragraph" w:styleId="20">
    <w:name w:val="header"/>
    <w:basedOn w:val="1"/>
    <w:link w:val="50"/>
    <w:qFormat/>
    <w:uiPriority w:val="99"/>
    <w:pPr>
      <w:widowControl/>
      <w:pBdr>
        <w:bottom w:val="single" w:color="auto" w:sz="6" w:space="1"/>
      </w:pBdr>
      <w:tabs>
        <w:tab w:val="center" w:pos="4153"/>
        <w:tab w:val="right" w:pos="8306"/>
      </w:tabs>
      <w:snapToGrid w:val="0"/>
      <w:jc w:val="center"/>
    </w:pPr>
    <w:rPr>
      <w:kern w:val="0"/>
      <w:sz w:val="18"/>
      <w:szCs w:val="18"/>
    </w:rPr>
  </w:style>
  <w:style w:type="paragraph" w:styleId="21">
    <w:name w:val="toc 1"/>
    <w:basedOn w:val="1"/>
    <w:next w:val="1"/>
    <w:qFormat/>
    <w:locked/>
    <w:uiPriority w:val="39"/>
  </w:style>
  <w:style w:type="paragraph" w:styleId="22">
    <w:name w:val="footnote text"/>
    <w:basedOn w:val="1"/>
    <w:link w:val="121"/>
    <w:unhideWhenUsed/>
    <w:qFormat/>
    <w:uiPriority w:val="99"/>
    <w:pPr>
      <w:snapToGrid w:val="0"/>
      <w:jc w:val="left"/>
    </w:pPr>
    <w:rPr>
      <w:rFonts w:ascii="Calibri" w:hAnsi="Calibri" w:cs="Calibri"/>
      <w:sz w:val="18"/>
      <w:szCs w:val="18"/>
    </w:rPr>
  </w:style>
  <w:style w:type="paragraph" w:styleId="23">
    <w:name w:val="Body Text Indent 3"/>
    <w:basedOn w:val="1"/>
    <w:link w:val="56"/>
    <w:qFormat/>
    <w:uiPriority w:val="99"/>
    <w:pPr>
      <w:ind w:firstLine="412" w:firstLineChars="196"/>
    </w:pPr>
    <w:rPr>
      <w:kern w:val="0"/>
      <w:sz w:val="16"/>
      <w:szCs w:val="16"/>
    </w:rPr>
  </w:style>
  <w:style w:type="paragraph" w:styleId="24">
    <w:name w:val="toc 2"/>
    <w:basedOn w:val="1"/>
    <w:next w:val="1"/>
    <w:qFormat/>
    <w:locked/>
    <w:uiPriority w:val="39"/>
    <w:pPr>
      <w:ind w:left="420" w:leftChars="200"/>
    </w:pPr>
  </w:style>
  <w:style w:type="paragraph" w:styleId="25">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26">
    <w:name w:val="Title"/>
    <w:basedOn w:val="1"/>
    <w:next w:val="1"/>
    <w:qFormat/>
    <w:locked/>
    <w:uiPriority w:val="0"/>
    <w:pPr>
      <w:spacing w:before="240" w:after="60"/>
      <w:jc w:val="center"/>
      <w:outlineLvl w:val="0"/>
    </w:pPr>
    <w:rPr>
      <w:rFonts w:asciiTheme="majorHAnsi" w:hAnsiTheme="majorHAnsi" w:eastAsiaTheme="majorEastAsia" w:cstheme="majorBidi"/>
      <w:b/>
      <w:bCs/>
      <w:sz w:val="32"/>
      <w:szCs w:val="32"/>
    </w:rPr>
  </w:style>
  <w:style w:type="paragraph" w:styleId="27">
    <w:name w:val="annotation subject"/>
    <w:basedOn w:val="8"/>
    <w:next w:val="8"/>
    <w:link w:val="114"/>
    <w:semiHidden/>
    <w:unhideWhenUsed/>
    <w:qFormat/>
    <w:uiPriority w:val="99"/>
    <w:rPr>
      <w:b/>
      <w:bCs/>
    </w:rPr>
  </w:style>
  <w:style w:type="paragraph" w:styleId="28">
    <w:name w:val="Body Text First Indent"/>
    <w:basedOn w:val="10"/>
    <w:qFormat/>
    <w:uiPriority w:val="0"/>
    <w:pPr>
      <w:ind w:firstLine="420"/>
    </w:pPr>
    <w:rPr>
      <w:szCs w:val="24"/>
      <w:lang w:val="zh-CN"/>
    </w:rPr>
  </w:style>
  <w:style w:type="paragraph" w:styleId="29">
    <w:name w:val="Body Text First Indent 2"/>
    <w:basedOn w:val="11"/>
    <w:link w:val="120"/>
    <w:semiHidden/>
    <w:unhideWhenUsed/>
    <w:qFormat/>
    <w:uiPriority w:val="99"/>
    <w:pPr>
      <w:widowControl/>
      <w:spacing w:after="120"/>
      <w:ind w:left="420" w:leftChars="200"/>
      <w:jc w:val="left"/>
    </w:pPr>
    <w:rPr>
      <w:sz w:val="20"/>
      <w:szCs w:val="20"/>
      <w:shd w:val="clear" w:color="auto" w:fill="auto"/>
    </w:rPr>
  </w:style>
  <w:style w:type="table" w:styleId="31">
    <w:name w:val="Table Grid"/>
    <w:basedOn w:val="30"/>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qFormat/>
    <w:locked/>
    <w:uiPriority w:val="0"/>
    <w:rPr>
      <w:b/>
      <w:bCs/>
    </w:rPr>
  </w:style>
  <w:style w:type="character" w:styleId="34">
    <w:name w:val="page number"/>
    <w:basedOn w:val="32"/>
    <w:qFormat/>
    <w:uiPriority w:val="0"/>
    <w:rPr>
      <w:rFonts w:cs="Times New Roman"/>
    </w:rPr>
  </w:style>
  <w:style w:type="character" w:styleId="35">
    <w:name w:val="Emphasis"/>
    <w:qFormat/>
    <w:locked/>
    <w:uiPriority w:val="0"/>
    <w:rPr>
      <w:i/>
    </w:rPr>
  </w:style>
  <w:style w:type="character" w:styleId="36">
    <w:name w:val="Hyperlink"/>
    <w:unhideWhenUsed/>
    <w:qFormat/>
    <w:uiPriority w:val="99"/>
    <w:rPr>
      <w:color w:val="0000FF"/>
      <w:u w:val="single"/>
    </w:rPr>
  </w:style>
  <w:style w:type="character" w:styleId="37">
    <w:name w:val="annotation reference"/>
    <w:basedOn w:val="32"/>
    <w:semiHidden/>
    <w:unhideWhenUsed/>
    <w:qFormat/>
    <w:uiPriority w:val="99"/>
    <w:rPr>
      <w:sz w:val="21"/>
      <w:szCs w:val="21"/>
    </w:rPr>
  </w:style>
  <w:style w:type="paragraph" w:customStyle="1" w:styleId="38">
    <w:name w:val="索引 41"/>
    <w:basedOn w:val="1"/>
    <w:next w:val="1"/>
    <w:qFormat/>
    <w:uiPriority w:val="99"/>
    <w:pPr>
      <w:ind w:left="600"/>
    </w:pPr>
    <w:rPr>
      <w:szCs w:val="20"/>
    </w:rPr>
  </w:style>
  <w:style w:type="paragraph" w:customStyle="1" w:styleId="39">
    <w:name w:val="一级条标题"/>
    <w:basedOn w:val="40"/>
    <w:next w:val="41"/>
    <w:qFormat/>
    <w:uiPriority w:val="0"/>
    <w:pPr>
      <w:numPr>
        <w:ilvl w:val="1"/>
        <w:numId w:val="3"/>
      </w:numPr>
      <w:tabs>
        <w:tab w:val="left" w:pos="810"/>
        <w:tab w:val="left" w:pos="1265"/>
      </w:tabs>
      <w:spacing w:beforeLines="50" w:afterLines="50"/>
      <w:outlineLvl w:val="2"/>
    </w:pPr>
    <w:rPr>
      <w:rFonts w:hAnsi="Times New Roman" w:cstheme="minorBidi"/>
      <w:szCs w:val="21"/>
    </w:rPr>
  </w:style>
  <w:style w:type="paragraph" w:customStyle="1" w:styleId="40">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kern w:val="2"/>
      <w:sz w:val="21"/>
      <w:szCs w:val="22"/>
      <w:lang w:val="en-US" w:eastAsia="zh-CN" w:bidi="ar-SA"/>
    </w:rPr>
  </w:style>
  <w:style w:type="paragraph" w:customStyle="1" w:styleId="41">
    <w:name w:val="段"/>
    <w:basedOn w:val="1"/>
    <w:next w:val="1"/>
    <w:qFormat/>
    <w:uiPriority w:val="0"/>
    <w:pPr>
      <w:widowControl/>
      <w:autoSpaceDE w:val="0"/>
      <w:autoSpaceDN w:val="0"/>
      <w:ind w:firstLine="200" w:firstLineChars="200"/>
    </w:pPr>
    <w:rPr>
      <w:rFonts w:hint="eastAsia" w:ascii="宋体"/>
      <w:kern w:val="0"/>
      <w:szCs w:val="20"/>
    </w:rPr>
  </w:style>
  <w:style w:type="character" w:customStyle="1" w:styleId="42">
    <w:name w:val="标题 1 字符"/>
    <w:link w:val="2"/>
    <w:qFormat/>
    <w:locked/>
    <w:uiPriority w:val="99"/>
    <w:rPr>
      <w:rFonts w:eastAsia="黑体"/>
      <w:b/>
      <w:kern w:val="2"/>
      <w:sz w:val="28"/>
    </w:rPr>
  </w:style>
  <w:style w:type="character" w:customStyle="1" w:styleId="43">
    <w:name w:val="标题 2 字符"/>
    <w:link w:val="3"/>
    <w:qFormat/>
    <w:locked/>
    <w:uiPriority w:val="99"/>
    <w:rPr>
      <w:rFonts w:ascii="Arial" w:hAnsi="Arial" w:eastAsia="黑体"/>
      <w:kern w:val="2"/>
      <w:sz w:val="24"/>
    </w:rPr>
  </w:style>
  <w:style w:type="character" w:customStyle="1" w:styleId="44">
    <w:name w:val="标题 3 字符"/>
    <w:link w:val="4"/>
    <w:qFormat/>
    <w:locked/>
    <w:uiPriority w:val="99"/>
    <w:rPr>
      <w:rFonts w:ascii="仿宋_GB2312" w:eastAsia="仿宋_GB2312"/>
      <w:kern w:val="2"/>
      <w:sz w:val="32"/>
    </w:rPr>
  </w:style>
  <w:style w:type="character" w:customStyle="1" w:styleId="45">
    <w:name w:val="标题 4 字符"/>
    <w:link w:val="6"/>
    <w:semiHidden/>
    <w:qFormat/>
    <w:locked/>
    <w:uiPriority w:val="99"/>
    <w:rPr>
      <w:rFonts w:ascii="Cambria" w:hAnsi="Cambria" w:eastAsia="宋体" w:cs="Times New Roman"/>
      <w:b/>
      <w:bCs/>
      <w:sz w:val="28"/>
      <w:szCs w:val="28"/>
    </w:rPr>
  </w:style>
  <w:style w:type="character" w:customStyle="1" w:styleId="46">
    <w:name w:val="标题 5 字符"/>
    <w:link w:val="7"/>
    <w:semiHidden/>
    <w:qFormat/>
    <w:locked/>
    <w:uiPriority w:val="99"/>
    <w:rPr>
      <w:rFonts w:cs="Times New Roman"/>
      <w:b/>
      <w:bCs/>
      <w:sz w:val="28"/>
      <w:szCs w:val="28"/>
    </w:rPr>
  </w:style>
  <w:style w:type="character" w:customStyle="1" w:styleId="47">
    <w:name w:val="纯文本 字符"/>
    <w:link w:val="15"/>
    <w:qFormat/>
    <w:locked/>
    <w:uiPriority w:val="99"/>
    <w:rPr>
      <w:rFonts w:ascii="宋体" w:hAnsi="Courier New" w:eastAsia="宋体" w:cs="Times New Roman"/>
      <w:kern w:val="2"/>
      <w:sz w:val="21"/>
      <w:szCs w:val="21"/>
      <w:lang w:val="en-US" w:eastAsia="zh-CN" w:bidi="ar-SA"/>
    </w:rPr>
  </w:style>
  <w:style w:type="character" w:customStyle="1" w:styleId="48">
    <w:name w:val="正文文本 3 字符"/>
    <w:link w:val="9"/>
    <w:semiHidden/>
    <w:qFormat/>
    <w:locked/>
    <w:uiPriority w:val="99"/>
    <w:rPr>
      <w:rFonts w:cs="Times New Roman"/>
      <w:sz w:val="16"/>
      <w:szCs w:val="16"/>
    </w:rPr>
  </w:style>
  <w:style w:type="character" w:customStyle="1" w:styleId="49">
    <w:name w:val="页脚 字符"/>
    <w:link w:val="19"/>
    <w:qFormat/>
    <w:locked/>
    <w:uiPriority w:val="99"/>
    <w:rPr>
      <w:rFonts w:cs="Times New Roman"/>
      <w:sz w:val="18"/>
      <w:szCs w:val="18"/>
    </w:rPr>
  </w:style>
  <w:style w:type="character" w:customStyle="1" w:styleId="50">
    <w:name w:val="页眉 字符"/>
    <w:link w:val="20"/>
    <w:semiHidden/>
    <w:qFormat/>
    <w:locked/>
    <w:uiPriority w:val="99"/>
    <w:rPr>
      <w:rFonts w:cs="Times New Roman"/>
      <w:sz w:val="18"/>
      <w:szCs w:val="18"/>
    </w:rPr>
  </w:style>
  <w:style w:type="character" w:customStyle="1" w:styleId="51">
    <w:name w:val="px121"/>
    <w:qFormat/>
    <w:uiPriority w:val="99"/>
    <w:rPr>
      <w:rFonts w:cs="Times New Roman"/>
      <w:spacing w:val="312"/>
    </w:rPr>
  </w:style>
  <w:style w:type="character" w:customStyle="1" w:styleId="52">
    <w:name w:val="正文文本缩进 字符"/>
    <w:link w:val="11"/>
    <w:semiHidden/>
    <w:qFormat/>
    <w:locked/>
    <w:uiPriority w:val="99"/>
    <w:rPr>
      <w:rFonts w:cs="Times New Roman"/>
      <w:sz w:val="24"/>
      <w:szCs w:val="24"/>
    </w:rPr>
  </w:style>
  <w:style w:type="paragraph" w:customStyle="1" w:styleId="53">
    <w:name w:val="表格文字"/>
    <w:basedOn w:val="1"/>
    <w:qFormat/>
    <w:uiPriority w:val="99"/>
    <w:pPr>
      <w:snapToGrid w:val="0"/>
      <w:spacing w:before="120"/>
    </w:pPr>
    <w:rPr>
      <w:rFonts w:ascii="Arial Narrow" w:hAnsi="Arial Narrow" w:eastAsia="仿宋_GB2312"/>
      <w:sz w:val="24"/>
      <w:szCs w:val="20"/>
    </w:rPr>
  </w:style>
  <w:style w:type="character" w:customStyle="1" w:styleId="54">
    <w:name w:val="正文文本缩进 2 字符"/>
    <w:link w:val="17"/>
    <w:semiHidden/>
    <w:qFormat/>
    <w:locked/>
    <w:uiPriority w:val="99"/>
    <w:rPr>
      <w:rFonts w:cs="Times New Roman"/>
      <w:sz w:val="24"/>
      <w:szCs w:val="24"/>
    </w:rPr>
  </w:style>
  <w:style w:type="character" w:customStyle="1" w:styleId="55">
    <w:name w:val="Char Char3"/>
    <w:qFormat/>
    <w:uiPriority w:val="99"/>
    <w:rPr>
      <w:rFonts w:ascii="宋体" w:hAnsi="Courier New" w:eastAsia="宋体" w:cs="Times New Roman"/>
      <w:kern w:val="2"/>
      <w:sz w:val="21"/>
      <w:szCs w:val="21"/>
      <w:lang w:val="en-US" w:eastAsia="zh-CN" w:bidi="ar-SA"/>
    </w:rPr>
  </w:style>
  <w:style w:type="character" w:customStyle="1" w:styleId="56">
    <w:name w:val="正文文本缩进 3 字符"/>
    <w:link w:val="23"/>
    <w:semiHidden/>
    <w:qFormat/>
    <w:locked/>
    <w:uiPriority w:val="99"/>
    <w:rPr>
      <w:rFonts w:cs="Times New Roman"/>
      <w:sz w:val="16"/>
      <w:szCs w:val="16"/>
    </w:rPr>
  </w:style>
  <w:style w:type="paragraph" w:customStyle="1" w:styleId="57">
    <w:name w:val="Char1"/>
    <w:basedOn w:val="1"/>
    <w:qFormat/>
    <w:uiPriority w:val="99"/>
    <w:rPr>
      <w:sz w:val="24"/>
    </w:rPr>
  </w:style>
  <w:style w:type="paragraph" w:customStyle="1" w:styleId="58">
    <w:name w:val="样式 标4 + 段前: 0.5 行1"/>
    <w:basedOn w:val="1"/>
    <w:qFormat/>
    <w:uiPriority w:val="99"/>
    <w:pPr>
      <w:tabs>
        <w:tab w:val="left" w:pos="1260"/>
      </w:tabs>
      <w:adjustRightInd w:val="0"/>
      <w:snapToGrid w:val="0"/>
      <w:spacing w:beforeLines="50"/>
      <w:outlineLvl w:val="3"/>
    </w:pPr>
    <w:rPr>
      <w:rFonts w:ascii="Arial Narrow" w:hAnsi="Arial Narrow" w:eastAsia="仿宋_GB2312" w:cs="宋体"/>
      <w:sz w:val="28"/>
      <w:szCs w:val="20"/>
    </w:rPr>
  </w:style>
  <w:style w:type="character" w:customStyle="1" w:styleId="59">
    <w:name w:val="日期 字符"/>
    <w:link w:val="16"/>
    <w:semiHidden/>
    <w:qFormat/>
    <w:locked/>
    <w:uiPriority w:val="99"/>
    <w:rPr>
      <w:rFonts w:cs="Times New Roman"/>
      <w:sz w:val="24"/>
      <w:szCs w:val="24"/>
    </w:rPr>
  </w:style>
  <w:style w:type="character" w:customStyle="1" w:styleId="60">
    <w:name w:val="正文文本 字符"/>
    <w:link w:val="10"/>
    <w:qFormat/>
    <w:locked/>
    <w:uiPriority w:val="99"/>
    <w:rPr>
      <w:rFonts w:ascii="宋体" w:hAnsi="宋体" w:cs="宋体"/>
      <w:b/>
      <w:kern w:val="2"/>
      <w:sz w:val="21"/>
      <w:szCs w:val="21"/>
      <w:u w:val="single"/>
    </w:rPr>
  </w:style>
  <w:style w:type="paragraph" w:customStyle="1" w:styleId="61">
    <w:name w:val="报告正文"/>
    <w:basedOn w:val="1"/>
    <w:qFormat/>
    <w:uiPriority w:val="99"/>
    <w:pPr>
      <w:ind w:firstLine="567"/>
    </w:pPr>
    <w:rPr>
      <w:rFonts w:ascii="Arial Narrow" w:hAnsi="Arial Narrow" w:eastAsia="仿宋_GB2312"/>
      <w:kern w:val="0"/>
      <w:sz w:val="28"/>
      <w:szCs w:val="20"/>
    </w:rPr>
  </w:style>
  <w:style w:type="paragraph" w:styleId="62">
    <w:name w:val="List Paragraph"/>
    <w:basedOn w:val="1"/>
    <w:qFormat/>
    <w:uiPriority w:val="34"/>
    <w:pPr>
      <w:numPr>
        <w:ilvl w:val="0"/>
        <w:numId w:val="4"/>
      </w:numPr>
      <w:tabs>
        <w:tab w:val="left" w:pos="851"/>
      </w:tabs>
      <w:spacing w:line="360" w:lineRule="auto"/>
    </w:pPr>
    <w:rPr>
      <w:rFonts w:ascii="宋体" w:hAnsi="宋体" w:cs="宋体"/>
    </w:rPr>
  </w:style>
  <w:style w:type="paragraph" w:customStyle="1" w:styleId="63">
    <w:name w:val="List Paragraph1"/>
    <w:basedOn w:val="1"/>
    <w:qFormat/>
    <w:uiPriority w:val="99"/>
    <w:pPr>
      <w:ind w:firstLine="420" w:firstLineChars="200"/>
    </w:pPr>
    <w:rPr>
      <w:rFonts w:ascii="Calibri" w:hAnsi="Calibri"/>
      <w:szCs w:val="22"/>
    </w:rPr>
  </w:style>
  <w:style w:type="paragraph" w:customStyle="1" w:styleId="64">
    <w:name w:val="列出段落1"/>
    <w:qFormat/>
    <w:uiPriority w:val="99"/>
    <w:pPr>
      <w:ind w:firstLine="420"/>
    </w:pPr>
    <w:rPr>
      <w:rFonts w:ascii="Times New Roman" w:hAnsi="Times New Roman" w:eastAsia="宋体" w:cs="Times New Roman"/>
      <w:lang w:val="en-US" w:eastAsia="zh-CN" w:bidi="ar-SA"/>
    </w:rPr>
  </w:style>
  <w:style w:type="paragraph" w:customStyle="1" w:styleId="65">
    <w:name w:val="列出段落11"/>
    <w:qFormat/>
    <w:uiPriority w:val="99"/>
    <w:pPr>
      <w:ind w:firstLine="420"/>
    </w:pPr>
    <w:rPr>
      <w:rFonts w:ascii="Times New Roman" w:hAnsi="Times New Roman" w:eastAsia="宋体" w:cs="Times New Roman"/>
      <w:lang w:val="en-US" w:eastAsia="zh-CN" w:bidi="ar-SA"/>
    </w:rPr>
  </w:style>
  <w:style w:type="paragraph" w:styleId="66">
    <w:name w:val="No Spacing"/>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67">
    <w:name w:val="CharAttribute2"/>
    <w:qFormat/>
    <w:uiPriority w:val="99"/>
    <w:rPr>
      <w:rFonts w:ascii="Times New Roman" w:eastAsia="宋体"/>
      <w:b/>
      <w:sz w:val="21"/>
    </w:rPr>
  </w:style>
  <w:style w:type="paragraph" w:customStyle="1" w:styleId="68">
    <w:name w:val="Char"/>
    <w:basedOn w:val="1"/>
    <w:qFormat/>
    <w:uiPriority w:val="99"/>
    <w:rPr>
      <w:sz w:val="30"/>
    </w:rPr>
  </w:style>
  <w:style w:type="paragraph" w:customStyle="1" w:styleId="69">
    <w:name w:val="ParaAttribute2"/>
    <w:qFormat/>
    <w:uiPriority w:val="99"/>
    <w:pPr>
      <w:widowControl w:val="0"/>
      <w:wordWrap w:val="0"/>
      <w:spacing w:before="156" w:after="156"/>
      <w:jc w:val="both"/>
    </w:pPr>
    <w:rPr>
      <w:rFonts w:ascii="Times New Roman" w:hAnsi="Times New Roman" w:eastAsia="Batang" w:cs="Times New Roman"/>
      <w:lang w:val="en-US" w:eastAsia="zh-CN" w:bidi="ar-SA"/>
    </w:rPr>
  </w:style>
  <w:style w:type="paragraph" w:customStyle="1" w:styleId="70">
    <w:name w:val="ParaAttribute6"/>
    <w:qFormat/>
    <w:uiPriority w:val="99"/>
    <w:pPr>
      <w:widowControl w:val="0"/>
      <w:wordWrap w:val="0"/>
      <w:spacing w:before="50"/>
      <w:ind w:left="1276"/>
      <w:jc w:val="both"/>
    </w:pPr>
    <w:rPr>
      <w:rFonts w:ascii="Times New Roman" w:hAnsi="Times New Roman" w:eastAsia="Batang" w:cs="Times New Roman"/>
      <w:lang w:val="en-US" w:eastAsia="zh-CN" w:bidi="ar-SA"/>
    </w:rPr>
  </w:style>
  <w:style w:type="paragraph" w:customStyle="1" w:styleId="71">
    <w:name w:val="ParaAttribute7"/>
    <w:qFormat/>
    <w:uiPriority w:val="99"/>
    <w:pPr>
      <w:widowControl w:val="0"/>
      <w:wordWrap w:val="0"/>
      <w:spacing w:before="50"/>
      <w:jc w:val="both"/>
    </w:pPr>
    <w:rPr>
      <w:rFonts w:ascii="Times New Roman" w:hAnsi="Times New Roman" w:eastAsia="Batang" w:cs="Times New Roman"/>
      <w:lang w:val="en-US" w:eastAsia="zh-CN" w:bidi="ar-SA"/>
    </w:rPr>
  </w:style>
  <w:style w:type="paragraph" w:customStyle="1" w:styleId="72">
    <w:name w:val="ParaAttribute8"/>
    <w:qFormat/>
    <w:uiPriority w:val="99"/>
    <w:pPr>
      <w:widowControl w:val="0"/>
      <w:wordWrap w:val="0"/>
      <w:spacing w:before="50"/>
      <w:ind w:left="993"/>
      <w:jc w:val="both"/>
    </w:pPr>
    <w:rPr>
      <w:rFonts w:ascii="Times New Roman" w:hAnsi="Times New Roman" w:eastAsia="Batang" w:cs="Times New Roman"/>
      <w:lang w:val="en-US" w:eastAsia="zh-CN" w:bidi="ar-SA"/>
    </w:rPr>
  </w:style>
  <w:style w:type="paragraph" w:customStyle="1" w:styleId="73">
    <w:name w:val="ParaAttribute10"/>
    <w:qFormat/>
    <w:uiPriority w:val="99"/>
    <w:pPr>
      <w:widowControl w:val="0"/>
      <w:wordWrap w:val="0"/>
      <w:ind w:left="491"/>
      <w:jc w:val="both"/>
    </w:pPr>
    <w:rPr>
      <w:rFonts w:ascii="Times New Roman" w:hAnsi="Times New Roman" w:eastAsia="Batang" w:cs="Times New Roman"/>
      <w:lang w:val="en-US" w:eastAsia="zh-CN" w:bidi="ar-SA"/>
    </w:rPr>
  </w:style>
  <w:style w:type="paragraph" w:customStyle="1" w:styleId="74">
    <w:name w:val="ParaAttribute22"/>
    <w:qFormat/>
    <w:uiPriority w:val="99"/>
    <w:pPr>
      <w:widowControl w:val="0"/>
      <w:wordWrap w:val="0"/>
      <w:spacing w:before="50"/>
      <w:ind w:left="2340"/>
      <w:jc w:val="both"/>
    </w:pPr>
    <w:rPr>
      <w:rFonts w:ascii="Times New Roman" w:hAnsi="Times New Roman" w:eastAsia="Batang" w:cs="Times New Roman"/>
      <w:lang w:val="en-US" w:eastAsia="zh-CN" w:bidi="ar-SA"/>
    </w:rPr>
  </w:style>
  <w:style w:type="character" w:customStyle="1" w:styleId="75">
    <w:name w:val="CharAttribute4"/>
    <w:qFormat/>
    <w:uiPriority w:val="99"/>
    <w:rPr>
      <w:rFonts w:ascii="Arial Narrow" w:eastAsia="仿宋_GB2312"/>
      <w:sz w:val="21"/>
    </w:rPr>
  </w:style>
  <w:style w:type="character" w:customStyle="1" w:styleId="76">
    <w:name w:val="CharAttribute7"/>
    <w:qFormat/>
    <w:uiPriority w:val="99"/>
    <w:rPr>
      <w:rFonts w:ascii="Times New Roman" w:eastAsia="宋体"/>
      <w:sz w:val="21"/>
    </w:rPr>
  </w:style>
  <w:style w:type="character" w:customStyle="1" w:styleId="77">
    <w:name w:val="CharAttribute9"/>
    <w:qFormat/>
    <w:uiPriority w:val="99"/>
    <w:rPr>
      <w:rFonts w:ascii="Arial" w:eastAsia="宋体"/>
      <w:sz w:val="21"/>
    </w:rPr>
  </w:style>
  <w:style w:type="character" w:customStyle="1" w:styleId="78">
    <w:name w:val="CharAttribute11"/>
    <w:qFormat/>
    <w:uiPriority w:val="99"/>
    <w:rPr>
      <w:rFonts w:ascii="长城大标宋体" w:eastAsia="Times New Roman"/>
      <w:sz w:val="21"/>
    </w:rPr>
  </w:style>
  <w:style w:type="character" w:customStyle="1" w:styleId="79">
    <w:name w:val="CharAttribute12"/>
    <w:qFormat/>
    <w:uiPriority w:val="99"/>
    <w:rPr>
      <w:rFonts w:ascii="Arial Narrow" w:eastAsia="Times New Roman"/>
      <w:sz w:val="21"/>
    </w:rPr>
  </w:style>
  <w:style w:type="character" w:customStyle="1" w:styleId="80">
    <w:name w:val="CharAttribute14"/>
    <w:qFormat/>
    <w:uiPriority w:val="99"/>
    <w:rPr>
      <w:rFonts w:ascii="仿宋_GB2312" w:eastAsia="仿宋_GB2312"/>
      <w:sz w:val="21"/>
    </w:rPr>
  </w:style>
  <w:style w:type="character" w:customStyle="1" w:styleId="81">
    <w:name w:val="CharAttribute18"/>
    <w:qFormat/>
    <w:uiPriority w:val="99"/>
    <w:rPr>
      <w:rFonts w:ascii="仿宋_GB2312" w:eastAsia="仿宋_GB2312"/>
      <w:sz w:val="24"/>
    </w:rPr>
  </w:style>
  <w:style w:type="character" w:customStyle="1" w:styleId="82">
    <w:name w:val="MAICO Bold Zchn"/>
    <w:link w:val="83"/>
    <w:qFormat/>
    <w:locked/>
    <w:uiPriority w:val="99"/>
    <w:rPr>
      <w:rFonts w:ascii="FrutBold" w:hAnsi="FrutBold" w:cs="Times New Roman"/>
      <w:kern w:val="2"/>
      <w:sz w:val="28"/>
      <w:szCs w:val="28"/>
      <w:lang w:val="en-GB"/>
    </w:rPr>
  </w:style>
  <w:style w:type="paragraph" w:customStyle="1" w:styleId="83">
    <w:name w:val="MAICO Bold"/>
    <w:basedOn w:val="1"/>
    <w:link w:val="82"/>
    <w:qFormat/>
    <w:uiPriority w:val="99"/>
    <w:pPr>
      <w:widowControl/>
      <w:tabs>
        <w:tab w:val="left" w:pos="709"/>
        <w:tab w:val="right" w:pos="1701"/>
      </w:tabs>
      <w:ind w:right="112"/>
      <w:jc w:val="left"/>
    </w:pPr>
    <w:rPr>
      <w:rFonts w:ascii="FrutBold" w:hAnsi="FrutBold"/>
      <w:sz w:val="28"/>
      <w:szCs w:val="28"/>
      <w:lang w:val="en-GB"/>
    </w:rPr>
  </w:style>
  <w:style w:type="character" w:customStyle="1" w:styleId="84">
    <w:name w:val="MAICO light Zchn"/>
    <w:link w:val="85"/>
    <w:qFormat/>
    <w:locked/>
    <w:uiPriority w:val="99"/>
    <w:rPr>
      <w:rFonts w:ascii="华文仿宋" w:hAnsi="华文仿宋" w:eastAsia="华文仿宋" w:cs="Times New Roman"/>
      <w:b/>
      <w:kern w:val="2"/>
      <w:sz w:val="28"/>
      <w:szCs w:val="28"/>
      <w:lang w:val="en-GB"/>
    </w:rPr>
  </w:style>
  <w:style w:type="paragraph" w:customStyle="1" w:styleId="85">
    <w:name w:val="MAICO light"/>
    <w:basedOn w:val="1"/>
    <w:link w:val="84"/>
    <w:qFormat/>
    <w:uiPriority w:val="99"/>
    <w:pPr>
      <w:widowControl/>
      <w:spacing w:line="360" w:lineRule="auto"/>
      <w:ind w:firstLine="561" w:firstLineChars="200"/>
    </w:pPr>
    <w:rPr>
      <w:rFonts w:ascii="华文仿宋" w:hAnsi="华文仿宋" w:eastAsia="华文仿宋"/>
      <w:b/>
      <w:sz w:val="28"/>
      <w:szCs w:val="28"/>
      <w:lang w:val="en-GB"/>
    </w:rPr>
  </w:style>
  <w:style w:type="paragraph" w:customStyle="1" w:styleId="86">
    <w:name w:val="p22"/>
    <w:basedOn w:val="1"/>
    <w:qFormat/>
    <w:uiPriority w:val="99"/>
    <w:pPr>
      <w:widowControl/>
      <w:spacing w:line="360" w:lineRule="auto"/>
      <w:ind w:left="720"/>
      <w:jc w:val="left"/>
    </w:pPr>
    <w:rPr>
      <w:rFonts w:ascii="Verdana" w:hAnsi="Verdana" w:cs="宋体"/>
      <w:kern w:val="0"/>
      <w:sz w:val="24"/>
    </w:rPr>
  </w:style>
  <w:style w:type="paragraph" w:customStyle="1" w:styleId="87">
    <w:name w:val="Default"/>
    <w:qFormat/>
    <w:uiPriority w:val="99"/>
    <w:pPr>
      <w:widowControl w:val="0"/>
      <w:autoSpaceDE w:val="0"/>
      <w:autoSpaceDN w:val="0"/>
      <w:adjustRightInd w:val="0"/>
    </w:pPr>
    <w:rPr>
      <w:rFonts w:ascii="黑体" w:hAnsi="Calibri" w:eastAsia="黑体" w:cs="黑体"/>
      <w:color w:val="000000"/>
      <w:sz w:val="24"/>
      <w:szCs w:val="24"/>
      <w:lang w:val="en-US" w:eastAsia="zh-CN" w:bidi="ar-SA"/>
    </w:rPr>
  </w:style>
  <w:style w:type="character" w:customStyle="1" w:styleId="88">
    <w:name w:val="批注框文本 字符"/>
    <w:link w:val="18"/>
    <w:qFormat/>
    <w:locked/>
    <w:uiPriority w:val="99"/>
    <w:rPr>
      <w:rFonts w:cs="Times New Roman"/>
      <w:kern w:val="2"/>
      <w:sz w:val="18"/>
      <w:szCs w:val="18"/>
    </w:rPr>
  </w:style>
  <w:style w:type="paragraph" w:customStyle="1" w:styleId="89">
    <w:name w:val="Char Char3 Char Char"/>
    <w:basedOn w:val="1"/>
    <w:qFormat/>
    <w:uiPriority w:val="99"/>
    <w:rPr>
      <w:rFonts w:ascii="Tahoma" w:hAnsi="Tahoma"/>
      <w:sz w:val="24"/>
      <w:szCs w:val="20"/>
    </w:rPr>
  </w:style>
  <w:style w:type="paragraph" w:customStyle="1" w:styleId="90">
    <w:name w:val="正文 A"/>
    <w:qFormat/>
    <w:uiPriority w:val="0"/>
    <w:pPr>
      <w:widowControl w:val="0"/>
      <w:jc w:val="both"/>
    </w:pPr>
    <w:rPr>
      <w:rFonts w:ascii="Arial Unicode MS" w:hAnsi="Arial Unicode MS" w:eastAsia="Times New Roman" w:cs="Arial Unicode MS"/>
      <w:color w:val="000000"/>
      <w:kern w:val="2"/>
      <w:sz w:val="21"/>
      <w:szCs w:val="21"/>
      <w:u w:color="000000"/>
      <w:lang w:val="en-US" w:eastAsia="zh-CN" w:bidi="ar-SA"/>
    </w:rPr>
  </w:style>
  <w:style w:type="paragraph" w:customStyle="1" w:styleId="91">
    <w:name w:val="默认段落字体 Para Char Char Char Char"/>
    <w:basedOn w:val="1"/>
    <w:qFormat/>
    <w:uiPriority w:val="99"/>
    <w:rPr>
      <w:szCs w:val="21"/>
    </w:rPr>
  </w:style>
  <w:style w:type="paragraph" w:customStyle="1" w:styleId="92">
    <w:name w:val="p0"/>
    <w:qFormat/>
    <w:uiPriority w:val="0"/>
    <w:rPr>
      <w:rFonts w:ascii="Times New Roman" w:hAnsi="Times New Roman" w:eastAsia="宋体" w:cs="Times New Roman"/>
      <w:szCs w:val="21"/>
      <w:lang w:val="en-US" w:eastAsia="zh-CN" w:bidi="ar-SA"/>
    </w:rPr>
  </w:style>
  <w:style w:type="character" w:customStyle="1" w:styleId="93">
    <w:name w:val="mark"/>
    <w:basedOn w:val="32"/>
    <w:qFormat/>
    <w:uiPriority w:val="0"/>
  </w:style>
  <w:style w:type="paragraph" w:customStyle="1" w:styleId="94">
    <w:name w:val="ITB-0"/>
    <w:basedOn w:val="1"/>
    <w:qFormat/>
    <w:uiPriority w:val="0"/>
    <w:pPr>
      <w:adjustRightInd w:val="0"/>
      <w:jc w:val="center"/>
      <w:textAlignment w:val="baseline"/>
    </w:pPr>
    <w:rPr>
      <w:b/>
      <w:sz w:val="32"/>
      <w:szCs w:val="20"/>
    </w:rPr>
  </w:style>
  <w:style w:type="character" w:customStyle="1" w:styleId="95">
    <w:name w:val="bot_zi"/>
    <w:basedOn w:val="32"/>
    <w:qFormat/>
    <w:uiPriority w:val="0"/>
  </w:style>
  <w:style w:type="character" w:customStyle="1" w:styleId="96">
    <w:name w:val="font31"/>
    <w:qFormat/>
    <w:uiPriority w:val="0"/>
    <w:rPr>
      <w:rFonts w:hint="eastAsia" w:ascii="宋体" w:hAnsi="宋体" w:eastAsia="宋体" w:cs="宋体"/>
      <w:color w:val="000000"/>
      <w:sz w:val="24"/>
      <w:szCs w:val="24"/>
      <w:u w:val="none"/>
    </w:rPr>
  </w:style>
  <w:style w:type="paragraph" w:customStyle="1" w:styleId="97">
    <w:name w:val="s3"/>
    <w:basedOn w:val="1"/>
    <w:qFormat/>
    <w:uiPriority w:val="0"/>
    <w:pPr>
      <w:widowControl/>
      <w:spacing w:before="100" w:beforeAutospacing="1" w:after="100" w:afterAutospacing="1"/>
      <w:jc w:val="left"/>
    </w:pPr>
    <w:rPr>
      <w:rFonts w:ascii="宋体" w:hAnsi="宋体" w:cs="宋体"/>
      <w:kern w:val="0"/>
      <w:sz w:val="24"/>
    </w:rPr>
  </w:style>
  <w:style w:type="paragraph" w:customStyle="1" w:styleId="98">
    <w:name w:val="s7"/>
    <w:basedOn w:val="1"/>
    <w:qFormat/>
    <w:uiPriority w:val="0"/>
    <w:pPr>
      <w:widowControl/>
      <w:spacing w:before="100" w:beforeAutospacing="1" w:after="100" w:afterAutospacing="1"/>
      <w:jc w:val="left"/>
    </w:pPr>
    <w:rPr>
      <w:rFonts w:ascii="宋体" w:hAnsi="宋体" w:cs="宋体"/>
      <w:kern w:val="0"/>
      <w:sz w:val="24"/>
    </w:rPr>
  </w:style>
  <w:style w:type="character" w:customStyle="1" w:styleId="99">
    <w:name w:val="bumpedfont15"/>
    <w:basedOn w:val="32"/>
    <w:qFormat/>
    <w:uiPriority w:val="0"/>
  </w:style>
  <w:style w:type="character" w:customStyle="1" w:styleId="100">
    <w:name w:val="bumpedfont20"/>
    <w:basedOn w:val="32"/>
    <w:qFormat/>
    <w:uiPriority w:val="0"/>
  </w:style>
  <w:style w:type="character" w:customStyle="1" w:styleId="101">
    <w:name w:val="标题一级 Char"/>
    <w:link w:val="102"/>
    <w:qFormat/>
    <w:uiPriority w:val="0"/>
    <w:rPr>
      <w:rFonts w:ascii="宋体" w:hAnsi="宋体" w:cs="Times New Roman"/>
      <w:b/>
      <w:kern w:val="2"/>
      <w:sz w:val="21"/>
      <w:szCs w:val="21"/>
    </w:rPr>
  </w:style>
  <w:style w:type="paragraph" w:customStyle="1" w:styleId="102">
    <w:name w:val="标题一级"/>
    <w:basedOn w:val="1"/>
    <w:link w:val="101"/>
    <w:qFormat/>
    <w:uiPriority w:val="0"/>
    <w:pPr>
      <w:spacing w:line="276" w:lineRule="auto"/>
      <w:outlineLvl w:val="2"/>
    </w:pPr>
    <w:rPr>
      <w:rFonts w:ascii="宋体" w:hAnsi="宋体"/>
      <w:b/>
      <w:szCs w:val="21"/>
    </w:rPr>
  </w:style>
  <w:style w:type="character" w:styleId="103">
    <w:name w:val="Placeholder Text"/>
    <w:semiHidden/>
    <w:qFormat/>
    <w:uiPriority w:val="99"/>
    <w:rPr>
      <w:color w:val="808080"/>
    </w:rPr>
  </w:style>
  <w:style w:type="table" w:customStyle="1" w:styleId="104">
    <w:name w:val="网格型1"/>
    <w:basedOn w:val="3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5">
    <w:name w:val="标题二级"/>
    <w:basedOn w:val="1"/>
    <w:qFormat/>
    <w:uiPriority w:val="0"/>
    <w:pPr>
      <w:tabs>
        <w:tab w:val="left" w:pos="993"/>
      </w:tabs>
      <w:ind w:firstLine="422" w:firstLineChars="200"/>
    </w:pPr>
    <w:rPr>
      <w:rFonts w:ascii="宋体" w:hAnsi="宋体"/>
      <w:b/>
      <w:kern w:val="0"/>
      <w:szCs w:val="21"/>
      <w:lang w:val="zh-CN"/>
    </w:rPr>
  </w:style>
  <w:style w:type="character" w:customStyle="1" w:styleId="106">
    <w:name w:val="font01"/>
    <w:basedOn w:val="32"/>
    <w:qFormat/>
    <w:uiPriority w:val="0"/>
    <w:rPr>
      <w:rFonts w:hint="eastAsia" w:ascii="宋体" w:hAnsi="宋体" w:eastAsia="宋体" w:cs="宋体"/>
      <w:color w:val="000000"/>
      <w:sz w:val="22"/>
      <w:szCs w:val="22"/>
      <w:u w:val="none"/>
    </w:rPr>
  </w:style>
  <w:style w:type="character" w:customStyle="1" w:styleId="107">
    <w:name w:val="font21"/>
    <w:basedOn w:val="32"/>
    <w:qFormat/>
    <w:uiPriority w:val="0"/>
    <w:rPr>
      <w:rFonts w:hint="eastAsia" w:ascii="宋体" w:hAnsi="宋体" w:eastAsia="宋体" w:cs="宋体"/>
      <w:color w:val="0000FF"/>
      <w:sz w:val="21"/>
      <w:szCs w:val="21"/>
      <w:u w:val="none"/>
    </w:rPr>
  </w:style>
  <w:style w:type="character" w:customStyle="1" w:styleId="108">
    <w:name w:val="font11"/>
    <w:basedOn w:val="32"/>
    <w:qFormat/>
    <w:uiPriority w:val="0"/>
    <w:rPr>
      <w:rFonts w:hint="eastAsia" w:ascii="宋体" w:hAnsi="宋体" w:eastAsia="宋体" w:cs="宋体"/>
      <w:color w:val="000000"/>
      <w:sz w:val="21"/>
      <w:szCs w:val="21"/>
      <w:u w:val="none"/>
    </w:rPr>
  </w:style>
  <w:style w:type="character" w:customStyle="1" w:styleId="109">
    <w:name w:val="font41"/>
    <w:basedOn w:val="32"/>
    <w:qFormat/>
    <w:uiPriority w:val="0"/>
    <w:rPr>
      <w:rFonts w:hint="eastAsia" w:ascii="宋体" w:hAnsi="宋体" w:eastAsia="宋体" w:cs="宋体"/>
      <w:color w:val="FF0000"/>
      <w:sz w:val="22"/>
      <w:szCs w:val="22"/>
      <w:u w:val="none"/>
    </w:rPr>
  </w:style>
  <w:style w:type="character" w:customStyle="1" w:styleId="110">
    <w:name w:val="font61"/>
    <w:basedOn w:val="32"/>
    <w:qFormat/>
    <w:uiPriority w:val="0"/>
    <w:rPr>
      <w:rFonts w:hint="eastAsia" w:ascii="宋体" w:hAnsi="宋体" w:eastAsia="宋体" w:cs="宋体"/>
      <w:color w:val="000000"/>
      <w:sz w:val="24"/>
      <w:szCs w:val="24"/>
      <w:u w:val="none"/>
    </w:rPr>
  </w:style>
  <w:style w:type="character" w:customStyle="1" w:styleId="111">
    <w:name w:val="font51"/>
    <w:basedOn w:val="32"/>
    <w:qFormat/>
    <w:uiPriority w:val="0"/>
    <w:rPr>
      <w:rFonts w:ascii="Calibri" w:hAnsi="Calibri" w:cs="Calibri"/>
      <w:color w:val="000000"/>
      <w:sz w:val="24"/>
      <w:szCs w:val="24"/>
      <w:u w:val="none"/>
    </w:rPr>
  </w:style>
  <w:style w:type="character" w:customStyle="1" w:styleId="112">
    <w:name w:val="font71"/>
    <w:basedOn w:val="32"/>
    <w:qFormat/>
    <w:uiPriority w:val="0"/>
    <w:rPr>
      <w:rFonts w:hint="eastAsia" w:ascii="宋体" w:hAnsi="宋体" w:eastAsia="宋体" w:cs="宋体"/>
      <w:color w:val="000000"/>
      <w:sz w:val="18"/>
      <w:szCs w:val="18"/>
      <w:u w:val="none"/>
    </w:rPr>
  </w:style>
  <w:style w:type="character" w:customStyle="1" w:styleId="113">
    <w:name w:val="批注文字 字符"/>
    <w:basedOn w:val="32"/>
    <w:link w:val="8"/>
    <w:qFormat/>
    <w:uiPriority w:val="99"/>
    <w:rPr>
      <w:kern w:val="2"/>
      <w:sz w:val="21"/>
      <w:szCs w:val="24"/>
    </w:rPr>
  </w:style>
  <w:style w:type="character" w:customStyle="1" w:styleId="114">
    <w:name w:val="批注主题 字符"/>
    <w:basedOn w:val="113"/>
    <w:link w:val="27"/>
    <w:semiHidden/>
    <w:qFormat/>
    <w:uiPriority w:val="99"/>
    <w:rPr>
      <w:b/>
      <w:bCs/>
      <w:kern w:val="2"/>
      <w:sz w:val="21"/>
      <w:szCs w:val="24"/>
    </w:rPr>
  </w:style>
  <w:style w:type="character" w:customStyle="1" w:styleId="115">
    <w:name w:val="font81"/>
    <w:basedOn w:val="32"/>
    <w:qFormat/>
    <w:uiPriority w:val="0"/>
    <w:rPr>
      <w:rFonts w:hint="default" w:ascii="Calibri" w:hAnsi="Calibri" w:cs="Calibri"/>
      <w:color w:val="000000"/>
      <w:sz w:val="22"/>
      <w:szCs w:val="22"/>
      <w:u w:val="none"/>
    </w:rPr>
  </w:style>
  <w:style w:type="paragraph" w:customStyle="1" w:styleId="116">
    <w:name w:val="正文文本1"/>
    <w:basedOn w:val="1"/>
    <w:next w:val="1"/>
    <w:qFormat/>
    <w:uiPriority w:val="0"/>
    <w:pPr>
      <w:spacing w:line="60" w:lineRule="auto"/>
    </w:pPr>
    <w:rPr>
      <w:rFonts w:ascii="仿宋_GB2312" w:eastAsia="仿宋_GB2312"/>
      <w:sz w:val="32"/>
    </w:rPr>
  </w:style>
  <w:style w:type="paragraph" w:customStyle="1" w:styleId="117">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118">
    <w:name w:val="页脚1"/>
    <w:basedOn w:val="1"/>
    <w:qFormat/>
    <w:uiPriority w:val="0"/>
    <w:pPr>
      <w:tabs>
        <w:tab w:val="center" w:pos="4153"/>
        <w:tab w:val="right" w:pos="8306"/>
      </w:tabs>
      <w:jc w:val="left"/>
    </w:pPr>
    <w:rPr>
      <w:sz w:val="18"/>
      <w:szCs w:val="18"/>
    </w:rPr>
  </w:style>
  <w:style w:type="character" w:customStyle="1" w:styleId="119">
    <w:name w:val="页码1"/>
    <w:qFormat/>
    <w:uiPriority w:val="0"/>
    <w:rPr>
      <w:rFonts w:ascii="Times New Roman" w:hAnsi="Times New Roman" w:eastAsia="宋体" w:cs="Times New Roman"/>
      <w:kern w:val="2"/>
      <w:sz w:val="21"/>
      <w:szCs w:val="24"/>
      <w:lang w:val="en-US" w:eastAsia="zh-CN" w:bidi="ar-SA"/>
    </w:rPr>
  </w:style>
  <w:style w:type="character" w:customStyle="1" w:styleId="120">
    <w:name w:val="正文首行缩进 2 字符"/>
    <w:basedOn w:val="52"/>
    <w:link w:val="29"/>
    <w:semiHidden/>
    <w:qFormat/>
    <w:uiPriority w:val="99"/>
    <w:rPr>
      <w:rFonts w:ascii="Times New Roman" w:hAnsi="Times New Roman" w:cs="Times New Roman"/>
      <w:sz w:val="24"/>
      <w:szCs w:val="24"/>
    </w:rPr>
  </w:style>
  <w:style w:type="character" w:customStyle="1" w:styleId="121">
    <w:name w:val="脚注文本 字符"/>
    <w:link w:val="22"/>
    <w:qFormat/>
    <w:uiPriority w:val="99"/>
    <w:rPr>
      <w:kern w:val="2"/>
      <w:sz w:val="18"/>
      <w:szCs w:val="18"/>
    </w:rPr>
  </w:style>
  <w:style w:type="character" w:customStyle="1" w:styleId="122">
    <w:name w:val="脚注文本 字符1"/>
    <w:basedOn w:val="32"/>
    <w:semiHidden/>
    <w:qFormat/>
    <w:uiPriority w:val="99"/>
    <w:rPr>
      <w:rFonts w:ascii="Times New Roman" w:hAnsi="Times New Roman" w:cs="Times New Roman"/>
      <w:kern w:val="2"/>
      <w:sz w:val="18"/>
      <w:szCs w:val="18"/>
    </w:rPr>
  </w:style>
  <w:style w:type="paragraph" w:customStyle="1" w:styleId="123">
    <w:name w:val="标题二、"/>
    <w:basedOn w:val="1"/>
    <w:unhideWhenUsed/>
    <w:qFormat/>
    <w:uiPriority w:val="99"/>
    <w:pPr>
      <w:spacing w:line="360" w:lineRule="auto"/>
      <w:ind w:firstLine="200" w:firstLineChars="200"/>
      <w:outlineLvl w:val="2"/>
    </w:pPr>
    <w:rPr>
      <w:rFonts w:hint="eastAsia" w:ascii="宋体" w:hAnsi="宋体"/>
      <w:b/>
      <w:kern w:val="0"/>
    </w:rPr>
  </w:style>
  <w:style w:type="paragraph" w:customStyle="1" w:styleId="124">
    <w:name w:val="修订1"/>
    <w:hidden/>
    <w:semiHidden/>
    <w:qFormat/>
    <w:uiPriority w:val="99"/>
    <w:rPr>
      <w:rFonts w:ascii="Times New Roman" w:hAnsi="Times New Roman" w:eastAsia="宋体" w:cs="Times New Roman"/>
      <w:kern w:val="2"/>
      <w:sz w:val="21"/>
      <w:szCs w:val="24"/>
      <w:lang w:val="en-US" w:eastAsia="zh-CN" w:bidi="ar-SA"/>
    </w:rPr>
  </w:style>
  <w:style w:type="paragraph" w:customStyle="1" w:styleId="125">
    <w:name w:val="修订2"/>
    <w:hidden/>
    <w:unhideWhenUsed/>
    <w:qFormat/>
    <w:uiPriority w:val="99"/>
    <w:rPr>
      <w:rFonts w:ascii="Times New Roman" w:hAnsi="Times New Roman" w:eastAsia="宋体" w:cs="Times New Roman"/>
      <w:kern w:val="2"/>
      <w:sz w:val="21"/>
      <w:szCs w:val="24"/>
      <w:lang w:val="en-US" w:eastAsia="zh-CN" w:bidi="ar-SA"/>
    </w:rPr>
  </w:style>
  <w:style w:type="table" w:customStyle="1" w:styleId="126">
    <w:name w:val="table"/>
    <w:basedOn w:val="30"/>
    <w:qFormat/>
    <w:uiPriority w:val="0"/>
  </w:style>
  <w:style w:type="paragraph" w:customStyle="1" w:styleId="127">
    <w:name w:val="正文_14_0"/>
    <w:qFormat/>
    <w:uiPriority w:val="0"/>
    <w:pPr>
      <w:widowControl w:val="0"/>
      <w:jc w:val="both"/>
    </w:pPr>
    <w:rPr>
      <w:rFonts w:ascii="Calibri" w:hAnsi="Calibri" w:eastAsia="宋体" w:cs="Times New Roman"/>
      <w:sz w:val="21"/>
      <w:szCs w:val="22"/>
      <w:lang w:val="en-US" w:eastAsia="zh-CN" w:bidi="ar-SA"/>
    </w:rPr>
  </w:style>
  <w:style w:type="paragraph" w:customStyle="1" w:styleId="128">
    <w:name w:val="正文缩进1"/>
    <w:basedOn w:val="1"/>
    <w:qFormat/>
    <w:uiPriority w:val="99"/>
    <w:pPr>
      <w:ind w:firstLine="420"/>
    </w:pPr>
    <w:rPr>
      <w:b/>
      <w:sz w:val="24"/>
    </w:rPr>
  </w:style>
  <w:style w:type="paragraph" w:customStyle="1" w:styleId="129">
    <w:name w:val="正文_4_0"/>
    <w:qFormat/>
    <w:uiPriority w:val="0"/>
    <w:pPr>
      <w:widowControl w:val="0"/>
      <w:jc w:val="both"/>
    </w:pPr>
    <w:rPr>
      <w:rFonts w:ascii="Calibri" w:hAnsi="Calibri" w:eastAsia="宋体" w:cs="Times New Roman"/>
      <w:sz w:val="21"/>
      <w:szCs w:val="22"/>
      <w:lang w:val="en-US" w:eastAsia="zh-CN" w:bidi="ar-SA"/>
    </w:rPr>
  </w:style>
  <w:style w:type="table" w:customStyle="1" w:styleId="130">
    <w:name w:val="普通表格1"/>
    <w:qFormat/>
    <w:uiPriority w:val="0"/>
    <w:tblPr>
      <w:tblCellMar>
        <w:top w:w="0" w:type="dxa"/>
        <w:left w:w="0" w:type="dxa"/>
        <w:bottom w:w="0" w:type="dxa"/>
        <w:right w:w="0" w:type="dxa"/>
      </w:tblCellMar>
    </w:tblPr>
  </w:style>
  <w:style w:type="paragraph" w:customStyle="1" w:styleId="131">
    <w:name w:val="正文_12_0"/>
    <w:qFormat/>
    <w:uiPriority w:val="0"/>
    <w:pPr>
      <w:widowControl w:val="0"/>
      <w:jc w:val="both"/>
    </w:pPr>
    <w:rPr>
      <w:rFonts w:ascii="Calibri" w:hAnsi="Calibri" w:eastAsia="宋体" w:cs="Times New Roman"/>
      <w:sz w:val="21"/>
      <w:szCs w:val="22"/>
      <w:lang w:val="en-US" w:eastAsia="zh-CN" w:bidi="ar-SA"/>
    </w:rPr>
  </w:style>
  <w:style w:type="paragraph" w:customStyle="1" w:styleId="132">
    <w:name w:val="正文_16"/>
    <w:qFormat/>
    <w:uiPriority w:val="0"/>
    <w:pPr>
      <w:widowControl w:val="0"/>
      <w:jc w:val="both"/>
    </w:pPr>
    <w:rPr>
      <w:rFonts w:ascii="Calibri" w:hAnsi="Calibri" w:eastAsia="宋体" w:cs="Times New Roman"/>
      <w:sz w:val="21"/>
      <w:szCs w:val="22"/>
      <w:lang w:val="en-US" w:eastAsia="zh-CN" w:bidi="ar-SA"/>
    </w:rPr>
  </w:style>
  <w:style w:type="paragraph" w:customStyle="1" w:styleId="133">
    <w:name w:val="纯文本_0_0"/>
    <w:basedOn w:val="134"/>
    <w:qFormat/>
    <w:uiPriority w:val="0"/>
    <w:rPr>
      <w:rFonts w:ascii="宋体" w:hAnsi="Courier New"/>
      <w:szCs w:val="21"/>
    </w:rPr>
  </w:style>
  <w:style w:type="paragraph" w:customStyle="1" w:styleId="134">
    <w:name w:val="正文_7_1_0"/>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135">
    <w:name w:val="批注框文本 Char"/>
    <w:link w:val="136"/>
    <w:qFormat/>
    <w:locked/>
    <w:uiPriority w:val="99"/>
    <w:rPr>
      <w:rFonts w:ascii="Calibri" w:hAnsi="Calibri"/>
      <w:kern w:val="2"/>
      <w:sz w:val="18"/>
      <w:szCs w:val="18"/>
    </w:rPr>
  </w:style>
  <w:style w:type="paragraph" w:customStyle="1" w:styleId="136">
    <w:name w:val="批注框文本1"/>
    <w:basedOn w:val="1"/>
    <w:link w:val="135"/>
    <w:qFormat/>
    <w:uiPriority w:val="99"/>
    <w:rPr>
      <w:rFonts w:ascii="Calibri" w:hAnsi="Calibri"/>
      <w:sz w:val="18"/>
      <w:szCs w:val="18"/>
    </w:rPr>
  </w:style>
  <w:style w:type="paragraph" w:customStyle="1" w:styleId="137">
    <w:name w:val="纯文本5"/>
    <w:basedOn w:val="1"/>
    <w:qFormat/>
    <w:uiPriority w:val="99"/>
    <w:rPr>
      <w:rFonts w:ascii="宋体" w:hAnsi="Courier New" w:eastAsia="Times New Roman"/>
      <w:sz w:val="3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295B523-14A8-45DE-9465-528E15496D86}">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53</Pages>
  <Words>13675</Words>
  <Characters>14888</Characters>
  <Lines>233</Lines>
  <Paragraphs>65</Paragraphs>
  <TotalTime>0</TotalTime>
  <ScaleCrop>false</ScaleCrop>
  <LinksUpToDate>false</LinksUpToDate>
  <CharactersWithSpaces>15592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2026-01-22T16:09:00Z</dcterms:created>
  <dc:creator>yaoyi</dc:creator>
  <cp:lastModifiedBy>向日葵</cp:lastModifiedBy>
  <cp:lastPrinted>2026-06-11T08:19:00Z</cp:lastPrinted>
  <dcterms:modified xsi:type="dcterms:W3CDTF">2026-06-17T06:01:47Z</dcterms:modified>
  <dc:title>江苏舜天高科招标文件</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E4D3269533D64EA1A246CDFBD6D89D55_13</vt:lpwstr>
  </property>
  <property fmtid="{D5CDD505-2E9C-101B-9397-08002B2CF9AE}" pid="4" name="KSOTemplateDocerSaveRecord">
    <vt:lpwstr>eyJoZGlkIjoiNmRjMTg3ZjVkMjAxODI5YzAxMWEwNjQ0YmJlMTYwMjgiLCJ1c2VySWQiOiI1NTAwODM5MzUifQ==</vt:lpwstr>
  </property>
</Properties>
</file>