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5F9C05">
      <w:pPr>
        <w:rPr>
          <w:rFonts w:hint="eastAsia" w:ascii="黑体" w:hAnsi="黑体" w:eastAsia="黑体"/>
          <w:color w:val="auto"/>
          <w:sz w:val="32"/>
          <w:szCs w:val="32"/>
          <w:highlight w:val="none"/>
          <w:lang w:eastAsia="zh-CN"/>
        </w:rPr>
      </w:pPr>
    </w:p>
    <w:p w14:paraId="5046BF71">
      <w:pPr>
        <w:jc w:val="center"/>
        <w:rPr>
          <w:rFonts w:hint="eastAsia" w:ascii="黑体" w:hAnsi="黑体" w:eastAsia="黑体"/>
          <w:color w:val="auto"/>
          <w:spacing w:val="5760"/>
          <w:w w:val="100"/>
          <w:kern w:val="0"/>
          <w:sz w:val="36"/>
          <w:szCs w:val="36"/>
          <w:highlight w:val="none"/>
          <w:fitText w:val="6120" w:id="-1002138880"/>
          <w:lang w:val="en-US" w:eastAsia="zh-CN"/>
        </w:rPr>
      </w:pPr>
    </w:p>
    <w:p w14:paraId="0172CA75">
      <w:pPr>
        <w:jc w:val="center"/>
        <w:rPr>
          <w:rFonts w:hint="eastAsia" w:ascii="宋体" w:hAnsi="宋体" w:eastAsia="宋体" w:cs="宋体"/>
          <w:b/>
          <w:bCs/>
          <w:color w:val="auto"/>
          <w:kern w:val="0"/>
          <w:sz w:val="60"/>
          <w:szCs w:val="60"/>
          <w:highlight w:val="none"/>
          <w:lang w:val="en-US" w:eastAsia="zh-CN"/>
        </w:rPr>
      </w:pPr>
      <w:r>
        <w:rPr>
          <w:rFonts w:hint="eastAsia" w:ascii="宋体" w:hAnsi="宋体" w:eastAsia="宋体" w:cs="宋体"/>
          <w:b/>
          <w:bCs/>
          <w:color w:val="auto"/>
          <w:kern w:val="0"/>
          <w:sz w:val="60"/>
          <w:szCs w:val="60"/>
          <w:highlight w:val="none"/>
          <w:lang w:val="en-US" w:eastAsia="zh-CN"/>
        </w:rPr>
        <w:t>公开招标文件（服务）</w:t>
      </w:r>
    </w:p>
    <w:p w14:paraId="072FC5F4">
      <w:pPr>
        <w:spacing w:line="240" w:lineRule="auto"/>
        <w:jc w:val="center"/>
        <w:rPr>
          <w:rFonts w:ascii="黑体" w:hAnsi="黑体" w:eastAsia="黑体"/>
          <w:color w:val="auto"/>
          <w:sz w:val="52"/>
          <w:szCs w:val="52"/>
          <w:highlight w:val="none"/>
        </w:rPr>
      </w:pPr>
    </w:p>
    <w:p w14:paraId="56E498EB">
      <w:pPr>
        <w:spacing w:line="240" w:lineRule="auto"/>
        <w:jc w:val="center"/>
        <w:rPr>
          <w:rFonts w:ascii="黑体" w:hAnsi="黑体" w:eastAsia="黑体"/>
          <w:color w:val="auto"/>
          <w:sz w:val="52"/>
          <w:szCs w:val="52"/>
          <w:highlight w:val="none"/>
        </w:rPr>
      </w:pPr>
    </w:p>
    <w:p w14:paraId="141C3C86">
      <w:pPr>
        <w:spacing w:line="240" w:lineRule="auto"/>
        <w:jc w:val="center"/>
        <w:rPr>
          <w:rFonts w:ascii="黑体" w:hAnsi="黑体" w:eastAsia="黑体"/>
          <w:color w:val="auto"/>
          <w:sz w:val="52"/>
          <w:szCs w:val="52"/>
          <w:highlight w:val="none"/>
        </w:rPr>
      </w:pPr>
    </w:p>
    <w:p w14:paraId="3872619A">
      <w:pPr>
        <w:ind w:left="368" w:leftChars="175"/>
        <w:rPr>
          <w:rFonts w:hint="eastAsia" w:ascii="宋体" w:hAnsi="宋体" w:eastAsia="宋体" w:cs="宋体"/>
          <w:color w:val="auto"/>
          <w:sz w:val="32"/>
          <w:szCs w:val="32"/>
          <w:highlight w:val="yellow"/>
        </w:rPr>
      </w:pPr>
      <w:r>
        <w:rPr>
          <w:rFonts w:hint="eastAsia" w:ascii="宋体" w:hAnsi="宋体" w:eastAsia="宋体" w:cs="宋体"/>
          <w:color w:val="auto"/>
          <w:sz w:val="32"/>
          <w:szCs w:val="32"/>
          <w:highlight w:val="none"/>
        </w:rPr>
        <w:t>项目编号</w:t>
      </w:r>
      <w:r>
        <w:rPr>
          <w:rFonts w:hint="eastAsia" w:ascii="宋体" w:hAnsi="宋体" w:eastAsia="宋体" w:cs="宋体"/>
          <w:color w:val="auto"/>
          <w:sz w:val="32"/>
          <w:szCs w:val="32"/>
          <w:highlight w:val="none"/>
          <w:lang w:val="en-US" w:eastAsia="zh-CN"/>
        </w:rPr>
        <w:t>/包号</w:t>
      </w:r>
      <w:r>
        <w:rPr>
          <w:rFonts w:hint="eastAsia" w:ascii="宋体" w:hAnsi="宋体" w:eastAsia="宋体" w:cs="宋体"/>
          <w:color w:val="auto"/>
          <w:sz w:val="32"/>
          <w:szCs w:val="32"/>
          <w:highlight w:val="none"/>
        </w:rPr>
        <w:t>：</w:t>
      </w:r>
      <w:r>
        <w:rPr>
          <w:rFonts w:hint="eastAsia" w:ascii="宋体" w:hAnsi="宋体" w:eastAsia="宋体" w:cs="宋体"/>
          <w:color w:val="auto"/>
          <w:sz w:val="32"/>
          <w:szCs w:val="32"/>
          <w:highlight w:val="none"/>
          <w:u w:val="single"/>
        </w:rPr>
        <w:t xml:space="preserve">  </w:t>
      </w:r>
      <w:r>
        <w:rPr>
          <w:rFonts w:hint="eastAsia" w:cs="宋体"/>
          <w:color w:val="auto"/>
          <w:sz w:val="32"/>
          <w:szCs w:val="32"/>
          <w:highlight w:val="none"/>
          <w:u w:val="single"/>
          <w:lang w:val="en-US" w:eastAsia="zh-CN"/>
        </w:rPr>
        <w:t>XJHZ-2026-06</w:t>
      </w:r>
      <w:r>
        <w:rPr>
          <w:rFonts w:hint="eastAsia" w:ascii="宋体" w:hAnsi="宋体" w:eastAsia="宋体" w:cs="宋体"/>
          <w:color w:val="auto"/>
          <w:sz w:val="32"/>
          <w:szCs w:val="32"/>
          <w:highlight w:val="none"/>
          <w:u w:val="single"/>
        </w:rPr>
        <w:t xml:space="preserve"> </w:t>
      </w:r>
      <w:r>
        <w:rPr>
          <w:rFonts w:hint="eastAsia" w:ascii="宋体" w:hAnsi="宋体" w:eastAsia="宋体" w:cs="宋体"/>
          <w:color w:val="auto"/>
          <w:sz w:val="32"/>
          <w:szCs w:val="32"/>
          <w:highlight w:val="none"/>
          <w:u w:val="single"/>
          <w:lang w:val="en-US" w:eastAsia="zh-CN"/>
        </w:rPr>
        <w:t xml:space="preserve"> </w:t>
      </w:r>
      <w:r>
        <w:rPr>
          <w:rFonts w:hint="eastAsia" w:ascii="宋体" w:hAnsi="宋体" w:eastAsia="宋体" w:cs="宋体"/>
          <w:color w:val="auto"/>
          <w:sz w:val="32"/>
          <w:szCs w:val="32"/>
          <w:highlight w:val="none"/>
          <w:u w:val="single"/>
        </w:rPr>
        <w:t xml:space="preserve">    </w:t>
      </w:r>
      <w:r>
        <w:rPr>
          <w:rFonts w:hint="eastAsia" w:ascii="宋体" w:hAnsi="宋体" w:eastAsia="宋体" w:cs="宋体"/>
          <w:color w:val="auto"/>
          <w:sz w:val="32"/>
          <w:szCs w:val="32"/>
          <w:highlight w:val="none"/>
          <w:u w:val="single"/>
          <w:lang w:val="en-US" w:eastAsia="zh-CN"/>
        </w:rPr>
        <w:t xml:space="preserve"> </w:t>
      </w:r>
      <w:r>
        <w:rPr>
          <w:rFonts w:hint="eastAsia" w:ascii="宋体" w:hAnsi="宋体" w:eastAsia="宋体" w:cs="宋体"/>
          <w:color w:val="auto"/>
          <w:sz w:val="32"/>
          <w:szCs w:val="32"/>
          <w:highlight w:val="none"/>
          <w:u w:val="single"/>
        </w:rPr>
        <w:t xml:space="preserve">              </w:t>
      </w:r>
      <w:r>
        <w:rPr>
          <w:rFonts w:hint="eastAsia" w:ascii="宋体" w:hAnsi="宋体" w:eastAsia="宋体" w:cs="宋体"/>
          <w:color w:val="auto"/>
          <w:sz w:val="32"/>
          <w:szCs w:val="32"/>
          <w:highlight w:val="yellow"/>
          <w:u w:val="single"/>
        </w:rPr>
        <w:t xml:space="preserve">    </w:t>
      </w:r>
    </w:p>
    <w:p w14:paraId="11FE393B">
      <w:pPr>
        <w:ind w:left="368" w:leftChars="175"/>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项目名称：</w:t>
      </w:r>
      <w:r>
        <w:rPr>
          <w:rFonts w:hint="eastAsia" w:ascii="宋体" w:hAnsi="宋体" w:eastAsia="宋体" w:cs="宋体"/>
          <w:color w:val="auto"/>
          <w:sz w:val="32"/>
          <w:szCs w:val="32"/>
          <w:highlight w:val="none"/>
          <w:u w:val="single"/>
        </w:rPr>
        <w:t xml:space="preserve">  </w:t>
      </w:r>
      <w:r>
        <w:rPr>
          <w:rFonts w:hint="eastAsia" w:ascii="宋体" w:hAnsi="宋体" w:eastAsia="宋体" w:cs="宋体"/>
          <w:color w:val="auto"/>
          <w:sz w:val="32"/>
          <w:szCs w:val="32"/>
          <w:highlight w:val="none"/>
          <w:u w:val="single"/>
          <w:lang w:eastAsia="zh-CN"/>
        </w:rPr>
        <w:t>2026年“石榴花开·青春绽放”全国青少年女子足球民族团结友谊赛</w:t>
      </w:r>
    </w:p>
    <w:p w14:paraId="167551AD">
      <w:pPr>
        <w:ind w:left="368" w:leftChars="175"/>
        <w:rPr>
          <w:rFonts w:hint="eastAsia" w:ascii="宋体" w:hAnsi="宋体" w:eastAsia="宋体" w:cs="宋体"/>
          <w:color w:val="auto"/>
          <w:sz w:val="32"/>
          <w:szCs w:val="32"/>
          <w:highlight w:val="none"/>
        </w:rPr>
      </w:pPr>
    </w:p>
    <w:p w14:paraId="32D9285A">
      <w:pPr>
        <w:ind w:left="368" w:leftChars="175"/>
        <w:rPr>
          <w:rFonts w:hint="eastAsia" w:ascii="宋体" w:hAnsi="宋体" w:eastAsia="宋体" w:cs="宋体"/>
          <w:color w:val="auto"/>
          <w:sz w:val="32"/>
          <w:szCs w:val="32"/>
          <w:highlight w:val="none"/>
        </w:rPr>
      </w:pPr>
      <w:r>
        <w:rPr>
          <w:rFonts w:hint="eastAsia" w:cs="宋体"/>
          <w:color w:val="auto"/>
          <w:sz w:val="32"/>
          <w:szCs w:val="32"/>
          <w:highlight w:val="none"/>
          <w:lang w:val="en-US" w:eastAsia="zh-CN"/>
        </w:rPr>
        <w:t>招 标</w:t>
      </w:r>
      <w:r>
        <w:rPr>
          <w:rFonts w:hint="eastAsia" w:ascii="宋体" w:hAnsi="宋体" w:eastAsia="宋体" w:cs="宋体"/>
          <w:color w:val="auto"/>
          <w:sz w:val="32"/>
          <w:szCs w:val="32"/>
          <w:highlight w:val="none"/>
          <w:lang w:val="en-US" w:eastAsia="zh-CN"/>
        </w:rPr>
        <w:t xml:space="preserve"> </w:t>
      </w:r>
      <w:r>
        <w:rPr>
          <w:rFonts w:hint="eastAsia" w:ascii="宋体" w:hAnsi="宋体" w:eastAsia="宋体" w:cs="宋体"/>
          <w:color w:val="auto"/>
          <w:sz w:val="32"/>
          <w:szCs w:val="32"/>
          <w:highlight w:val="none"/>
        </w:rPr>
        <w:t>人：</w:t>
      </w:r>
      <w:r>
        <w:rPr>
          <w:rFonts w:hint="eastAsia" w:ascii="宋体" w:hAnsi="宋体" w:eastAsia="宋体" w:cs="宋体"/>
          <w:color w:val="auto"/>
          <w:sz w:val="32"/>
          <w:szCs w:val="32"/>
          <w:highlight w:val="none"/>
          <w:u w:val="single"/>
        </w:rPr>
        <w:t xml:space="preserve"> </w:t>
      </w:r>
      <w:r>
        <w:rPr>
          <w:rFonts w:hint="eastAsia" w:ascii="宋体" w:hAnsi="宋体" w:eastAsia="宋体" w:cs="宋体"/>
          <w:color w:val="auto"/>
          <w:sz w:val="32"/>
          <w:szCs w:val="32"/>
          <w:highlight w:val="none"/>
          <w:u w:val="single"/>
          <w:lang w:eastAsia="zh-CN"/>
        </w:rPr>
        <w:t>新疆维吾尔自治区阿克苏地区妇女联合会</w:t>
      </w:r>
      <w:r>
        <w:rPr>
          <w:rFonts w:hint="eastAsia" w:ascii="宋体" w:hAnsi="宋体" w:eastAsia="宋体" w:cs="宋体"/>
          <w:color w:val="auto"/>
          <w:sz w:val="32"/>
          <w:szCs w:val="32"/>
          <w:highlight w:val="none"/>
          <w:u w:val="single"/>
        </w:rPr>
        <w:t xml:space="preserve">   </w:t>
      </w:r>
    </w:p>
    <w:p w14:paraId="50F6C6AC">
      <w:pPr>
        <w:ind w:left="368" w:leftChars="175"/>
        <w:rPr>
          <w:rFonts w:hint="eastAsia" w:ascii="宋体" w:hAnsi="宋体" w:eastAsia="宋体" w:cs="宋体"/>
          <w:color w:val="auto"/>
          <w:sz w:val="32"/>
          <w:szCs w:val="32"/>
          <w:highlight w:val="none"/>
        </w:rPr>
      </w:pPr>
    </w:p>
    <w:p w14:paraId="1831495B">
      <w:pPr>
        <w:ind w:left="368" w:leftChars="175"/>
        <w:rPr>
          <w:rFonts w:hint="eastAsia" w:ascii="宋体" w:hAnsi="宋体" w:eastAsia="宋体" w:cs="宋体"/>
          <w:color w:val="auto"/>
          <w:sz w:val="36"/>
          <w:szCs w:val="36"/>
          <w:highlight w:val="none"/>
          <w:u w:val="single"/>
        </w:rPr>
        <w:sectPr>
          <w:headerReference r:id="rId5" w:type="default"/>
          <w:footerReference r:id="rId6" w:type="default"/>
          <w:pgSz w:w="11906" w:h="16838"/>
          <w:pgMar w:top="1440" w:right="1800" w:bottom="1440" w:left="1800" w:header="851" w:footer="879" w:gutter="0"/>
          <w:pgBorders>
            <w:top w:val="none" w:sz="0" w:space="0"/>
            <w:left w:val="none" w:sz="0" w:space="0"/>
            <w:bottom w:val="none" w:sz="0" w:space="0"/>
            <w:right w:val="none" w:sz="0" w:space="0"/>
          </w:pgBorders>
          <w:pgNumType w:fmt="numberInDash"/>
          <w:cols w:space="720" w:num="1"/>
          <w:rtlGutter w:val="0"/>
          <w:docGrid w:type="lines" w:linePitch="312" w:charSpace="0"/>
        </w:sectPr>
      </w:pPr>
      <w:r>
        <w:rPr>
          <w:rFonts w:hint="eastAsia" w:cs="宋体"/>
          <w:color w:val="auto"/>
          <w:sz w:val="32"/>
          <w:szCs w:val="32"/>
          <w:highlight w:val="none"/>
          <w:lang w:eastAsia="zh-CN"/>
        </w:rPr>
        <w:t>招标代理机构</w:t>
      </w:r>
      <w:r>
        <w:rPr>
          <w:rFonts w:hint="eastAsia" w:ascii="宋体" w:hAnsi="宋体" w:eastAsia="宋体" w:cs="宋体"/>
          <w:color w:val="auto"/>
          <w:sz w:val="32"/>
          <w:szCs w:val="32"/>
          <w:highlight w:val="none"/>
        </w:rPr>
        <w:t>：</w:t>
      </w:r>
      <w:r>
        <w:rPr>
          <w:rFonts w:hint="eastAsia" w:ascii="宋体" w:hAnsi="宋体" w:eastAsia="宋体" w:cs="宋体"/>
          <w:color w:val="auto"/>
          <w:sz w:val="32"/>
          <w:szCs w:val="32"/>
          <w:highlight w:val="none"/>
          <w:u w:val="single"/>
        </w:rPr>
        <w:t xml:space="preserve">   </w:t>
      </w:r>
      <w:r>
        <w:rPr>
          <w:rFonts w:hint="eastAsia" w:cs="宋体"/>
          <w:color w:val="auto"/>
          <w:sz w:val="32"/>
          <w:szCs w:val="32"/>
          <w:highlight w:val="none"/>
          <w:u w:val="single"/>
          <w:lang w:val="en-US" w:eastAsia="zh-CN"/>
        </w:rPr>
        <w:t>新疆弘智项目管理有限公司</w:t>
      </w:r>
      <w:r>
        <w:rPr>
          <w:rFonts w:hint="eastAsia" w:ascii="宋体" w:hAnsi="宋体" w:eastAsia="宋体" w:cs="宋体"/>
          <w:color w:val="auto"/>
          <w:sz w:val="32"/>
          <w:szCs w:val="32"/>
          <w:highlight w:val="none"/>
          <w:u w:val="single"/>
        </w:rPr>
        <w:t xml:space="preserve">   </w:t>
      </w:r>
      <w:r>
        <w:rPr>
          <w:rFonts w:hint="eastAsia" w:ascii="宋体" w:hAnsi="宋体" w:eastAsia="宋体" w:cs="宋体"/>
          <w:color w:val="auto"/>
          <w:sz w:val="36"/>
          <w:szCs w:val="36"/>
          <w:highlight w:val="none"/>
          <w:u w:val="single"/>
        </w:rPr>
        <w:t xml:space="preserve"> </w:t>
      </w:r>
    </w:p>
    <w:p w14:paraId="2B87B85C">
      <w:pPr>
        <w:spacing w:line="327" w:lineRule="auto"/>
        <w:jc w:val="center"/>
        <w:outlineLvl w:val="0"/>
        <w:rPr>
          <w:rFonts w:hint="eastAsia" w:ascii="宋体" w:hAnsi="宋体" w:eastAsia="宋体" w:cs="宋体"/>
          <w:b/>
          <w:bCs/>
          <w:color w:val="auto"/>
          <w:spacing w:val="-6"/>
          <w:sz w:val="72"/>
          <w:szCs w:val="72"/>
          <w:lang w:eastAsia="zh-CN"/>
        </w:rPr>
      </w:pPr>
      <w:bookmarkStart w:id="0" w:name="_Toc4287"/>
      <w:r>
        <w:rPr>
          <w:rFonts w:hint="eastAsia" w:ascii="宋体" w:hAnsi="宋体" w:eastAsia="宋体" w:cs="宋体"/>
          <w:b/>
          <w:bCs/>
          <w:color w:val="auto"/>
          <w:spacing w:val="-6"/>
          <w:sz w:val="72"/>
          <w:szCs w:val="72"/>
          <w:lang w:eastAsia="zh-CN"/>
        </w:rPr>
        <w:t>招标文件</w:t>
      </w:r>
      <w:bookmarkEnd w:id="0"/>
    </w:p>
    <w:p w14:paraId="215659E1">
      <w:pPr>
        <w:keepNext w:val="0"/>
        <w:keepLines w:val="0"/>
        <w:pageBreakBefore w:val="0"/>
        <w:widowControl w:val="0"/>
        <w:tabs>
          <w:tab w:val="left" w:pos="3240"/>
          <w:tab w:val="left" w:pos="3420"/>
        </w:tabs>
        <w:kinsoku/>
        <w:wordWrap/>
        <w:overflowPunct/>
        <w:topLinePunct w:val="0"/>
        <w:autoSpaceDE/>
        <w:autoSpaceDN/>
        <w:bidi w:val="0"/>
        <w:adjustRightInd/>
        <w:snapToGrid/>
        <w:spacing w:line="240" w:lineRule="auto"/>
        <w:jc w:val="left"/>
        <w:textAlignment w:val="auto"/>
        <w:rPr>
          <w:rFonts w:hint="eastAsia" w:ascii="Times New Roman" w:hAnsi="Times New Roman" w:eastAsia="宋体" w:cs="Times New Roman"/>
          <w:bCs/>
          <w:sz w:val="36"/>
          <w:szCs w:val="36"/>
          <w:lang w:eastAsia="en-US"/>
        </w:rPr>
      </w:pPr>
    </w:p>
    <w:p w14:paraId="2F007B91">
      <w:pPr>
        <w:keepNext w:val="0"/>
        <w:keepLines w:val="0"/>
        <w:pageBreakBefore w:val="0"/>
        <w:widowControl w:val="0"/>
        <w:tabs>
          <w:tab w:val="left" w:pos="3240"/>
          <w:tab w:val="left" w:pos="3420"/>
        </w:tabs>
        <w:kinsoku/>
        <w:wordWrap/>
        <w:overflowPunct/>
        <w:topLinePunct w:val="0"/>
        <w:autoSpaceDE/>
        <w:autoSpaceDN/>
        <w:bidi w:val="0"/>
        <w:adjustRightInd/>
        <w:snapToGrid/>
        <w:spacing w:line="360" w:lineRule="auto"/>
        <w:jc w:val="left"/>
        <w:textAlignment w:val="auto"/>
        <w:rPr>
          <w:rFonts w:hint="eastAsia" w:ascii="宋体" w:hAnsi="宋体" w:eastAsia="宋体" w:cs="宋体"/>
          <w:bCs/>
          <w:sz w:val="32"/>
          <w:szCs w:val="32"/>
          <w:lang w:eastAsia="zh-CN"/>
        </w:rPr>
      </w:pPr>
      <w:r>
        <w:rPr>
          <w:rFonts w:hint="eastAsia" w:ascii="宋体" w:hAnsi="宋体" w:eastAsia="宋体" w:cs="宋体"/>
          <w:bCs/>
          <w:sz w:val="32"/>
          <w:szCs w:val="32"/>
          <w:lang w:eastAsia="en-US"/>
        </w:rPr>
        <w:t>招标人</w:t>
      </w:r>
      <w:r>
        <w:rPr>
          <w:rFonts w:hint="eastAsia" w:ascii="宋体" w:hAnsi="宋体" w:eastAsia="宋体" w:cs="宋体"/>
          <w:bCs/>
          <w:sz w:val="32"/>
          <w:szCs w:val="32"/>
          <w:lang w:eastAsia="zh-CN"/>
        </w:rPr>
        <w:t>（</w:t>
      </w:r>
      <w:r>
        <w:rPr>
          <w:rFonts w:hint="eastAsia" w:ascii="宋体" w:hAnsi="宋体" w:eastAsia="宋体" w:cs="宋体"/>
          <w:bCs/>
          <w:sz w:val="32"/>
          <w:szCs w:val="32"/>
          <w:lang w:eastAsia="en-US"/>
        </w:rPr>
        <w:t>公章</w:t>
      </w:r>
      <w:r>
        <w:rPr>
          <w:rFonts w:hint="eastAsia" w:ascii="宋体" w:hAnsi="宋体" w:eastAsia="宋体" w:cs="宋体"/>
          <w:bCs/>
          <w:sz w:val="32"/>
          <w:szCs w:val="32"/>
          <w:lang w:eastAsia="zh-CN"/>
        </w:rPr>
        <w:t>）</w:t>
      </w:r>
      <w:r>
        <w:rPr>
          <w:rFonts w:hint="eastAsia" w:ascii="宋体" w:hAnsi="宋体" w:eastAsia="宋体" w:cs="宋体"/>
          <w:bCs/>
          <w:sz w:val="32"/>
          <w:szCs w:val="32"/>
          <w:lang w:eastAsia="en-US"/>
        </w:rPr>
        <w:t>：</w:t>
      </w:r>
      <w:bookmarkStart w:id="1" w:name="_Toc1185"/>
      <w:bookmarkStart w:id="2" w:name="_Toc28801"/>
      <w:bookmarkStart w:id="3" w:name="_Toc30917"/>
      <w:r>
        <w:rPr>
          <w:rFonts w:hint="eastAsia" w:ascii="宋体" w:hAnsi="宋体" w:eastAsia="宋体" w:cs="宋体"/>
          <w:bCs/>
          <w:sz w:val="32"/>
          <w:szCs w:val="32"/>
          <w:lang w:eastAsia="en-US"/>
        </w:rPr>
        <w:t xml:space="preserve">新疆维吾尔自治区阿克苏地区妇女联合会 </w:t>
      </w:r>
    </w:p>
    <w:bookmarkEnd w:id="1"/>
    <w:bookmarkEnd w:id="2"/>
    <w:bookmarkEnd w:id="3"/>
    <w:p w14:paraId="3AD0B014">
      <w:pPr>
        <w:keepNext w:val="0"/>
        <w:keepLines w:val="0"/>
        <w:pageBreakBefore w:val="0"/>
        <w:widowControl w:val="0"/>
        <w:tabs>
          <w:tab w:val="left" w:pos="3240"/>
          <w:tab w:val="left" w:pos="3420"/>
        </w:tabs>
        <w:kinsoku/>
        <w:wordWrap/>
        <w:overflowPunct/>
        <w:topLinePunct w:val="0"/>
        <w:autoSpaceDE/>
        <w:autoSpaceDN/>
        <w:bidi w:val="0"/>
        <w:adjustRightInd/>
        <w:snapToGrid/>
        <w:spacing w:line="360" w:lineRule="auto"/>
        <w:jc w:val="left"/>
        <w:textAlignment w:val="auto"/>
        <w:rPr>
          <w:rFonts w:hint="default" w:ascii="宋体" w:hAnsi="宋体" w:eastAsia="宋体" w:cs="宋体"/>
          <w:bCs/>
          <w:sz w:val="32"/>
          <w:szCs w:val="32"/>
          <w:highlight w:val="none"/>
          <w:lang w:val="en-US" w:eastAsia="zh-CN"/>
        </w:rPr>
      </w:pPr>
      <w:bookmarkStart w:id="4" w:name="_Toc30869"/>
      <w:bookmarkStart w:id="5" w:name="_Toc7105"/>
      <w:bookmarkStart w:id="6" w:name="_Toc16191"/>
      <w:r>
        <w:rPr>
          <w:rFonts w:hint="eastAsia" w:ascii="宋体" w:hAnsi="宋体" w:eastAsia="宋体" w:cs="宋体"/>
          <w:bCs/>
          <w:sz w:val="32"/>
          <w:szCs w:val="32"/>
          <w:highlight w:val="none"/>
          <w:lang w:eastAsia="zh-CN"/>
        </w:rPr>
        <w:t>联  系  人</w:t>
      </w:r>
      <w:bookmarkEnd w:id="4"/>
      <w:bookmarkEnd w:id="5"/>
      <w:bookmarkEnd w:id="6"/>
      <w:r>
        <w:rPr>
          <w:rFonts w:hint="eastAsia" w:ascii="宋体" w:hAnsi="宋体" w:eastAsia="宋体" w:cs="宋体"/>
          <w:bCs/>
          <w:sz w:val="32"/>
          <w:szCs w:val="32"/>
          <w:highlight w:val="none"/>
          <w:lang w:eastAsia="zh-CN"/>
        </w:rPr>
        <w:t>：</w:t>
      </w:r>
      <w:r>
        <w:rPr>
          <w:rFonts w:hint="eastAsia" w:cs="宋体"/>
          <w:bCs/>
          <w:sz w:val="32"/>
          <w:szCs w:val="32"/>
          <w:highlight w:val="none"/>
          <w:lang w:val="en-US" w:eastAsia="zh-CN"/>
        </w:rPr>
        <w:t>樊海丽</w:t>
      </w:r>
    </w:p>
    <w:p w14:paraId="1E9D588B">
      <w:pPr>
        <w:keepNext w:val="0"/>
        <w:keepLines w:val="0"/>
        <w:pageBreakBefore w:val="0"/>
        <w:widowControl w:val="0"/>
        <w:tabs>
          <w:tab w:val="left" w:pos="3240"/>
          <w:tab w:val="left" w:pos="3420"/>
        </w:tabs>
        <w:kinsoku/>
        <w:wordWrap/>
        <w:overflowPunct/>
        <w:topLinePunct w:val="0"/>
        <w:autoSpaceDE/>
        <w:autoSpaceDN/>
        <w:bidi w:val="0"/>
        <w:adjustRightInd/>
        <w:snapToGrid/>
        <w:spacing w:line="360" w:lineRule="auto"/>
        <w:jc w:val="left"/>
        <w:textAlignment w:val="auto"/>
        <w:rPr>
          <w:rFonts w:hint="eastAsia" w:ascii="宋体" w:hAnsi="宋体" w:eastAsia="宋体" w:cs="宋体"/>
          <w:bCs/>
          <w:sz w:val="32"/>
          <w:szCs w:val="32"/>
          <w:highlight w:val="none"/>
          <w:lang w:val="en-US" w:eastAsia="zh-CN"/>
        </w:rPr>
      </w:pPr>
      <w:r>
        <w:rPr>
          <w:rFonts w:hint="eastAsia" w:ascii="宋体" w:hAnsi="宋体" w:eastAsia="宋体" w:cs="宋体"/>
          <w:bCs/>
          <w:sz w:val="32"/>
          <w:szCs w:val="32"/>
          <w:highlight w:val="none"/>
          <w:lang w:eastAsia="en-US"/>
        </w:rPr>
        <w:t>电话：</w:t>
      </w:r>
      <w:r>
        <w:rPr>
          <w:rFonts w:hint="eastAsia" w:cs="宋体"/>
          <w:bCs/>
          <w:sz w:val="32"/>
          <w:szCs w:val="32"/>
          <w:highlight w:val="none"/>
          <w:lang w:val="en-US" w:eastAsia="zh-CN"/>
        </w:rPr>
        <w:t>19999710701</w:t>
      </w:r>
    </w:p>
    <w:p w14:paraId="77F4C788">
      <w:pPr>
        <w:keepNext w:val="0"/>
        <w:keepLines w:val="0"/>
        <w:pageBreakBefore w:val="0"/>
        <w:widowControl w:val="0"/>
        <w:tabs>
          <w:tab w:val="left" w:pos="3240"/>
          <w:tab w:val="left" w:pos="3420"/>
        </w:tabs>
        <w:kinsoku/>
        <w:wordWrap/>
        <w:overflowPunct/>
        <w:topLinePunct w:val="0"/>
        <w:autoSpaceDE/>
        <w:autoSpaceDN/>
        <w:bidi w:val="0"/>
        <w:adjustRightInd/>
        <w:snapToGrid/>
        <w:spacing w:line="360" w:lineRule="auto"/>
        <w:jc w:val="left"/>
        <w:textAlignment w:val="auto"/>
        <w:rPr>
          <w:rFonts w:hint="eastAsia" w:ascii="宋体" w:hAnsi="宋体" w:eastAsia="宋体" w:cs="宋体"/>
          <w:bCs/>
          <w:color w:val="auto"/>
          <w:sz w:val="32"/>
          <w:szCs w:val="32"/>
          <w:highlight w:val="none"/>
          <w:lang w:val="en-US" w:eastAsia="zh-CN"/>
        </w:rPr>
      </w:pPr>
      <w:r>
        <w:rPr>
          <w:rFonts w:hint="eastAsia" w:ascii="宋体" w:hAnsi="宋体" w:eastAsia="宋体" w:cs="宋体"/>
          <w:bCs/>
          <w:sz w:val="32"/>
          <w:szCs w:val="32"/>
          <w:highlight w:val="none"/>
          <w:lang w:eastAsia="en-US"/>
        </w:rPr>
        <w:t>联系地址：</w:t>
      </w:r>
      <w:r>
        <w:rPr>
          <w:rFonts w:hint="eastAsia" w:ascii="宋体" w:hAnsi="宋体" w:eastAsia="宋体" w:cs="宋体"/>
          <w:bCs/>
          <w:sz w:val="32"/>
          <w:szCs w:val="32"/>
          <w:highlight w:val="none"/>
          <w:lang w:val="en-US" w:eastAsia="en-US"/>
        </w:rPr>
        <w:t>新疆阿克苏市北大街21号</w:t>
      </w:r>
    </w:p>
    <w:p w14:paraId="148CDC4B">
      <w:pPr>
        <w:bidi w:val="0"/>
        <w:rPr>
          <w:rFonts w:hint="eastAsia" w:ascii="宋体" w:hAnsi="宋体" w:eastAsia="宋体" w:cs="宋体"/>
          <w:sz w:val="32"/>
          <w:szCs w:val="32"/>
          <w:lang w:eastAsia="zh-CN"/>
        </w:rPr>
      </w:pPr>
    </w:p>
    <w:p w14:paraId="6D8EB279">
      <w:pPr>
        <w:bidi w:val="0"/>
        <w:rPr>
          <w:rFonts w:hint="eastAsia" w:ascii="宋体" w:hAnsi="宋体" w:eastAsia="宋体" w:cs="宋体"/>
          <w:sz w:val="32"/>
          <w:szCs w:val="32"/>
          <w:lang w:eastAsia="zh-CN"/>
        </w:rPr>
      </w:pPr>
    </w:p>
    <w:p w14:paraId="500F91EB">
      <w:pPr>
        <w:bidi w:val="0"/>
        <w:rPr>
          <w:rFonts w:hint="eastAsia" w:ascii="宋体" w:hAnsi="宋体" w:eastAsia="宋体" w:cs="宋体"/>
          <w:sz w:val="32"/>
          <w:szCs w:val="32"/>
          <w:lang w:eastAsia="zh-CN"/>
        </w:rPr>
      </w:pPr>
    </w:p>
    <w:p w14:paraId="0C3431FA">
      <w:pPr>
        <w:keepNext w:val="0"/>
        <w:keepLines w:val="0"/>
        <w:pageBreakBefore w:val="0"/>
        <w:widowControl w:val="0"/>
        <w:tabs>
          <w:tab w:val="left" w:pos="3240"/>
          <w:tab w:val="left" w:pos="3420"/>
        </w:tabs>
        <w:kinsoku/>
        <w:wordWrap/>
        <w:overflowPunct/>
        <w:topLinePunct w:val="0"/>
        <w:autoSpaceDE/>
        <w:autoSpaceDN/>
        <w:bidi w:val="0"/>
        <w:adjustRightInd/>
        <w:snapToGrid/>
        <w:spacing w:line="360" w:lineRule="auto"/>
        <w:ind w:left="2621" w:leftChars="444" w:hanging="1689" w:hangingChars="528"/>
        <w:jc w:val="left"/>
        <w:textAlignment w:val="auto"/>
        <w:rPr>
          <w:rFonts w:hint="eastAsia" w:ascii="宋体" w:hAnsi="宋体" w:eastAsia="宋体" w:cs="宋体"/>
          <w:bCs/>
          <w:sz w:val="32"/>
          <w:szCs w:val="32"/>
          <w:lang w:eastAsia="zh-CN"/>
        </w:rPr>
      </w:pPr>
    </w:p>
    <w:p w14:paraId="7B2F2EC8">
      <w:pPr>
        <w:keepNext w:val="0"/>
        <w:keepLines w:val="0"/>
        <w:pageBreakBefore w:val="0"/>
        <w:widowControl w:val="0"/>
        <w:tabs>
          <w:tab w:val="left" w:pos="3240"/>
          <w:tab w:val="left" w:pos="3420"/>
        </w:tabs>
        <w:kinsoku/>
        <w:wordWrap/>
        <w:overflowPunct/>
        <w:topLinePunct w:val="0"/>
        <w:autoSpaceDE/>
        <w:autoSpaceDN/>
        <w:bidi w:val="0"/>
        <w:adjustRightInd/>
        <w:snapToGrid/>
        <w:spacing w:line="360" w:lineRule="auto"/>
        <w:jc w:val="left"/>
        <w:textAlignment w:val="auto"/>
        <w:rPr>
          <w:rFonts w:hint="eastAsia" w:ascii="宋体" w:hAnsi="宋体" w:eastAsia="宋体" w:cs="宋体"/>
          <w:bCs/>
          <w:sz w:val="32"/>
          <w:szCs w:val="32"/>
          <w:lang w:eastAsia="zh-CN"/>
        </w:rPr>
      </w:pPr>
      <w:r>
        <w:rPr>
          <w:rFonts w:hint="eastAsia" w:ascii="宋体" w:hAnsi="宋体" w:eastAsia="宋体" w:cs="宋体"/>
          <w:bCs/>
          <w:sz w:val="32"/>
          <w:szCs w:val="32"/>
          <w:lang w:eastAsia="en-US"/>
        </w:rPr>
        <w:t>招标代理机构</w:t>
      </w:r>
      <w:r>
        <w:rPr>
          <w:rFonts w:hint="eastAsia" w:ascii="宋体" w:hAnsi="宋体" w:eastAsia="宋体" w:cs="宋体"/>
          <w:bCs/>
          <w:sz w:val="32"/>
          <w:szCs w:val="32"/>
          <w:lang w:eastAsia="zh-CN"/>
        </w:rPr>
        <w:t>（</w:t>
      </w:r>
      <w:r>
        <w:rPr>
          <w:rFonts w:hint="eastAsia" w:ascii="宋体" w:hAnsi="宋体" w:eastAsia="宋体" w:cs="宋体"/>
          <w:bCs/>
          <w:sz w:val="32"/>
          <w:szCs w:val="32"/>
          <w:lang w:eastAsia="en-US"/>
        </w:rPr>
        <w:t>公章</w:t>
      </w:r>
      <w:r>
        <w:rPr>
          <w:rFonts w:hint="eastAsia" w:ascii="宋体" w:hAnsi="宋体" w:eastAsia="宋体" w:cs="宋体"/>
          <w:bCs/>
          <w:sz w:val="32"/>
          <w:szCs w:val="32"/>
          <w:lang w:eastAsia="zh-CN"/>
        </w:rPr>
        <w:t>）</w:t>
      </w:r>
      <w:r>
        <w:rPr>
          <w:rFonts w:hint="eastAsia" w:ascii="宋体" w:hAnsi="宋体" w:eastAsia="宋体" w:cs="宋体"/>
          <w:bCs/>
          <w:sz w:val="32"/>
          <w:szCs w:val="32"/>
          <w:lang w:eastAsia="en-US"/>
        </w:rPr>
        <w:t>：</w:t>
      </w:r>
      <w:r>
        <w:rPr>
          <w:rFonts w:hint="eastAsia" w:ascii="宋体" w:hAnsi="宋体" w:eastAsia="宋体" w:cs="宋体"/>
          <w:bCs/>
          <w:sz w:val="32"/>
          <w:szCs w:val="32"/>
          <w:lang w:eastAsia="zh-CN"/>
        </w:rPr>
        <w:t>新疆弘智项目管理有限公司</w:t>
      </w:r>
    </w:p>
    <w:p w14:paraId="13D0DD49">
      <w:pPr>
        <w:keepNext w:val="0"/>
        <w:keepLines w:val="0"/>
        <w:pageBreakBefore w:val="0"/>
        <w:widowControl w:val="0"/>
        <w:tabs>
          <w:tab w:val="left" w:pos="3240"/>
          <w:tab w:val="left" w:pos="3420"/>
        </w:tabs>
        <w:kinsoku/>
        <w:wordWrap/>
        <w:overflowPunct/>
        <w:topLinePunct w:val="0"/>
        <w:autoSpaceDE/>
        <w:autoSpaceDN/>
        <w:bidi w:val="0"/>
        <w:adjustRightInd/>
        <w:snapToGrid/>
        <w:spacing w:line="360" w:lineRule="auto"/>
        <w:jc w:val="left"/>
        <w:textAlignment w:val="auto"/>
        <w:rPr>
          <w:rFonts w:hint="eastAsia" w:ascii="宋体" w:hAnsi="宋体" w:eastAsia="宋体" w:cs="宋体"/>
          <w:bCs/>
          <w:sz w:val="32"/>
          <w:szCs w:val="32"/>
          <w:lang w:eastAsia="zh-CN"/>
        </w:rPr>
      </w:pPr>
      <w:r>
        <w:rPr>
          <w:rFonts w:hint="eastAsia" w:ascii="宋体" w:hAnsi="宋体" w:eastAsia="宋体" w:cs="宋体"/>
          <w:bCs/>
          <w:sz w:val="32"/>
          <w:szCs w:val="32"/>
          <w:lang w:eastAsia="en-US"/>
        </w:rPr>
        <w:t>项目负责人：</w:t>
      </w:r>
      <w:r>
        <w:rPr>
          <w:rFonts w:hint="eastAsia" w:ascii="宋体" w:hAnsi="宋体" w:eastAsia="宋体" w:cs="宋体"/>
          <w:bCs/>
          <w:sz w:val="32"/>
          <w:szCs w:val="32"/>
          <w:lang w:eastAsia="zh-CN"/>
        </w:rPr>
        <w:t>马元元</w:t>
      </w:r>
    </w:p>
    <w:p w14:paraId="1BE0BAD3">
      <w:pPr>
        <w:keepNext w:val="0"/>
        <w:keepLines w:val="0"/>
        <w:pageBreakBefore w:val="0"/>
        <w:widowControl w:val="0"/>
        <w:tabs>
          <w:tab w:val="left" w:pos="3240"/>
          <w:tab w:val="left" w:pos="3420"/>
        </w:tabs>
        <w:kinsoku/>
        <w:wordWrap/>
        <w:overflowPunct/>
        <w:topLinePunct w:val="0"/>
        <w:autoSpaceDE/>
        <w:autoSpaceDN/>
        <w:bidi w:val="0"/>
        <w:adjustRightInd/>
        <w:snapToGrid/>
        <w:spacing w:line="360" w:lineRule="auto"/>
        <w:jc w:val="left"/>
        <w:textAlignment w:val="auto"/>
        <w:rPr>
          <w:rFonts w:hint="eastAsia" w:ascii="宋体" w:hAnsi="宋体" w:eastAsia="宋体" w:cs="宋体"/>
          <w:bCs/>
          <w:sz w:val="32"/>
          <w:szCs w:val="32"/>
          <w:lang w:val="en-US" w:eastAsia="zh-CN"/>
        </w:rPr>
      </w:pPr>
      <w:r>
        <w:rPr>
          <w:rFonts w:hint="eastAsia" w:ascii="宋体" w:hAnsi="宋体" w:eastAsia="宋体" w:cs="宋体"/>
          <w:bCs/>
          <w:sz w:val="32"/>
          <w:szCs w:val="32"/>
          <w:lang w:eastAsia="en-US"/>
        </w:rPr>
        <w:t>电话：</w:t>
      </w:r>
      <w:r>
        <w:rPr>
          <w:rFonts w:hint="eastAsia" w:ascii="宋体" w:hAnsi="宋体" w:eastAsia="宋体" w:cs="宋体"/>
          <w:bCs/>
          <w:sz w:val="32"/>
          <w:szCs w:val="32"/>
          <w:lang w:val="en-US" w:eastAsia="zh-CN"/>
        </w:rPr>
        <w:t>13031264289</w:t>
      </w:r>
    </w:p>
    <w:p w14:paraId="0E475270">
      <w:pPr>
        <w:keepNext w:val="0"/>
        <w:keepLines w:val="0"/>
        <w:pageBreakBefore w:val="0"/>
        <w:widowControl w:val="0"/>
        <w:tabs>
          <w:tab w:val="left" w:pos="3240"/>
          <w:tab w:val="left" w:pos="3420"/>
        </w:tabs>
        <w:kinsoku/>
        <w:wordWrap/>
        <w:overflowPunct/>
        <w:topLinePunct w:val="0"/>
        <w:autoSpaceDE/>
        <w:autoSpaceDN/>
        <w:bidi w:val="0"/>
        <w:adjustRightInd/>
        <w:snapToGrid/>
        <w:spacing w:line="240" w:lineRule="auto"/>
        <w:jc w:val="left"/>
        <w:textAlignment w:val="auto"/>
        <w:rPr>
          <w:rFonts w:hint="eastAsia" w:ascii="宋体" w:hAnsi="宋体" w:eastAsia="宋体" w:cs="宋体"/>
          <w:bCs/>
          <w:sz w:val="32"/>
          <w:szCs w:val="32"/>
          <w:lang w:eastAsia="en-US"/>
        </w:rPr>
      </w:pPr>
      <w:r>
        <w:rPr>
          <w:rFonts w:hint="eastAsia" w:ascii="宋体" w:hAnsi="宋体" w:eastAsia="宋体" w:cs="宋体"/>
          <w:bCs/>
          <w:sz w:val="32"/>
          <w:szCs w:val="32"/>
          <w:lang w:eastAsia="en-US"/>
        </w:rPr>
        <w:t>联系地址：</w:t>
      </w:r>
      <w:r>
        <w:rPr>
          <w:rFonts w:hint="eastAsia" w:ascii="宋体" w:hAnsi="宋体" w:eastAsia="宋体" w:cs="宋体"/>
          <w:bCs/>
          <w:sz w:val="32"/>
          <w:szCs w:val="32"/>
          <w:lang w:eastAsia="zh-CN"/>
        </w:rPr>
        <w:t>新疆阿克苏地区阿克苏市云顶花园</w:t>
      </w:r>
    </w:p>
    <w:p w14:paraId="58AC15E0">
      <w:pPr>
        <w:keepNext w:val="0"/>
        <w:keepLines w:val="0"/>
        <w:pageBreakBefore w:val="0"/>
        <w:widowControl w:val="0"/>
        <w:tabs>
          <w:tab w:val="left" w:pos="3240"/>
          <w:tab w:val="left" w:pos="3420"/>
        </w:tabs>
        <w:kinsoku/>
        <w:wordWrap/>
        <w:overflowPunct/>
        <w:topLinePunct w:val="0"/>
        <w:autoSpaceDE/>
        <w:autoSpaceDN/>
        <w:bidi w:val="0"/>
        <w:adjustRightInd/>
        <w:snapToGrid/>
        <w:spacing w:line="240" w:lineRule="auto"/>
        <w:jc w:val="left"/>
        <w:textAlignment w:val="auto"/>
        <w:rPr>
          <w:rFonts w:hint="eastAsia" w:ascii="Times New Roman" w:hAnsi="Times New Roman" w:eastAsia="宋体" w:cs="Times New Roman"/>
          <w:bCs/>
          <w:sz w:val="36"/>
          <w:szCs w:val="36"/>
          <w:lang w:eastAsia="zh-CN"/>
        </w:rPr>
      </w:pPr>
    </w:p>
    <w:p w14:paraId="71D2F669">
      <w:pPr>
        <w:pStyle w:val="3"/>
        <w:outlineLvl w:val="9"/>
        <w:rPr>
          <w:rFonts w:hint="eastAsia"/>
          <w:lang w:eastAsia="zh-CN"/>
        </w:rPr>
      </w:pPr>
    </w:p>
    <w:p w14:paraId="4250D9C8">
      <w:pPr>
        <w:rPr>
          <w:rFonts w:hint="eastAsia" w:ascii="Times New Roman" w:hAnsi="Times New Roman" w:eastAsia="宋体" w:cs="Times New Roman"/>
          <w:bCs/>
          <w:sz w:val="36"/>
          <w:szCs w:val="36"/>
          <w:lang w:eastAsia="zh-CN"/>
        </w:rPr>
      </w:pPr>
    </w:p>
    <w:p w14:paraId="51E6CBBC">
      <w:pPr>
        <w:pStyle w:val="15"/>
        <w:tabs>
          <w:tab w:val="left" w:pos="567"/>
        </w:tabs>
        <w:rPr>
          <w:rFonts w:hint="eastAsia"/>
          <w:lang w:eastAsia="zh-CN"/>
        </w:rPr>
      </w:pPr>
    </w:p>
    <w:p w14:paraId="767786D3">
      <w:pPr>
        <w:pStyle w:val="16"/>
        <w:rPr>
          <w:rFonts w:hint="eastAsia"/>
          <w:lang w:eastAsia="zh-CN"/>
        </w:rPr>
      </w:pPr>
    </w:p>
    <w:p w14:paraId="57325B9B">
      <w:pPr>
        <w:keepNext w:val="0"/>
        <w:keepLines w:val="0"/>
        <w:pageBreakBefore w:val="0"/>
        <w:widowControl w:val="0"/>
        <w:tabs>
          <w:tab w:val="left" w:pos="3240"/>
          <w:tab w:val="left" w:pos="3420"/>
        </w:tabs>
        <w:kinsoku/>
        <w:wordWrap/>
        <w:overflowPunct/>
        <w:topLinePunct w:val="0"/>
        <w:autoSpaceDE/>
        <w:autoSpaceDN/>
        <w:bidi w:val="0"/>
        <w:adjustRightInd/>
        <w:snapToGrid/>
        <w:spacing w:line="240" w:lineRule="auto"/>
        <w:jc w:val="left"/>
        <w:textAlignment w:val="auto"/>
        <w:rPr>
          <w:rFonts w:hint="eastAsia" w:ascii="Times New Roman" w:hAnsi="Times New Roman" w:eastAsia="宋体" w:cs="Times New Roman"/>
          <w:bCs/>
          <w:sz w:val="36"/>
          <w:szCs w:val="36"/>
          <w:lang w:eastAsia="zh-CN"/>
        </w:rPr>
      </w:pPr>
    </w:p>
    <w:p w14:paraId="3BD11CF7">
      <w:pPr>
        <w:jc w:val="center"/>
        <w:rPr>
          <w:rFonts w:ascii="黑体" w:hAnsi="黑体" w:eastAsia="黑体"/>
          <w:color w:val="auto"/>
          <w:sz w:val="32"/>
          <w:szCs w:val="32"/>
          <w:highlight w:val="none"/>
        </w:rPr>
      </w:pPr>
      <w:r>
        <w:rPr>
          <w:rFonts w:hint="eastAsia" w:cs="Times New Roman"/>
          <w:bCs/>
          <w:sz w:val="36"/>
          <w:szCs w:val="36"/>
          <w:lang w:val="en-US" w:eastAsia="zh-CN"/>
        </w:rPr>
        <w:t>2026</w:t>
      </w:r>
      <w:r>
        <w:rPr>
          <w:rFonts w:hint="eastAsia" w:ascii="Times New Roman" w:hAnsi="Times New Roman" w:eastAsia="宋体" w:cs="Times New Roman"/>
          <w:bCs/>
          <w:sz w:val="36"/>
          <w:szCs w:val="36"/>
          <w:lang w:eastAsia="zh-CN"/>
        </w:rPr>
        <w:t>年</w:t>
      </w:r>
      <w:r>
        <w:rPr>
          <w:rFonts w:hint="eastAsia" w:cs="Times New Roman"/>
          <w:bCs/>
          <w:sz w:val="36"/>
          <w:szCs w:val="36"/>
          <w:lang w:val="en-US" w:eastAsia="zh-CN"/>
        </w:rPr>
        <w:t>6</w:t>
      </w:r>
      <w:r>
        <w:rPr>
          <w:rFonts w:hint="eastAsia" w:ascii="Times New Roman" w:hAnsi="Times New Roman" w:eastAsia="宋体" w:cs="Times New Roman"/>
          <w:bCs/>
          <w:sz w:val="36"/>
          <w:szCs w:val="36"/>
          <w:lang w:eastAsia="zh-CN"/>
        </w:rPr>
        <w:t>月</w:t>
      </w:r>
      <w:r>
        <w:rPr>
          <w:rFonts w:hint="eastAsia" w:ascii="黑体" w:hAnsi="黑体" w:eastAsia="黑体"/>
          <w:color w:val="auto"/>
          <w:sz w:val="32"/>
          <w:szCs w:val="32"/>
          <w:highlight w:val="none"/>
        </w:rPr>
        <w:t xml:space="preserve"> </w:t>
      </w:r>
      <w:r>
        <w:rPr>
          <w:rFonts w:ascii="黑体" w:hAnsi="黑体" w:eastAsia="黑体"/>
          <w:color w:val="auto"/>
          <w:sz w:val="32"/>
          <w:szCs w:val="32"/>
          <w:highlight w:val="none"/>
        </w:rPr>
        <w:t xml:space="preserve">   </w:t>
      </w:r>
    </w:p>
    <w:p w14:paraId="37DEFDDE">
      <w:pPr>
        <w:jc w:val="center"/>
        <w:rPr>
          <w:rFonts w:hint="eastAsia" w:ascii="宋体" w:hAnsi="宋体" w:eastAsia="宋体" w:cs="宋体"/>
          <w:b/>
          <w:bCs/>
          <w:color w:val="auto"/>
          <w:sz w:val="36"/>
          <w:szCs w:val="36"/>
          <w:highlight w:val="none"/>
        </w:rPr>
        <w:sectPr>
          <w:pgSz w:w="11906" w:h="16838"/>
          <w:pgMar w:top="1440" w:right="1800" w:bottom="1440" w:left="1800" w:header="851" w:footer="879" w:gutter="0"/>
          <w:pgBorders>
            <w:top w:val="none" w:sz="0" w:space="0"/>
            <w:left w:val="none" w:sz="0" w:space="0"/>
            <w:bottom w:val="none" w:sz="0" w:space="0"/>
            <w:right w:val="none" w:sz="0" w:space="0"/>
          </w:pgBorders>
          <w:pgNumType w:fmt="numberInDash"/>
          <w:cols w:space="720" w:num="1"/>
          <w:rtlGutter w:val="0"/>
          <w:docGrid w:type="lines" w:linePitch="312" w:charSpace="0"/>
        </w:sectPr>
      </w:pPr>
    </w:p>
    <w:p w14:paraId="71215B09">
      <w:pPr>
        <w:jc w:val="center"/>
        <w:rPr>
          <w:rFonts w:hint="eastAsia" w:ascii="宋体" w:hAnsi="宋体" w:eastAsia="宋体" w:cs="宋体"/>
          <w:b/>
          <w:bCs/>
          <w:color w:val="auto"/>
          <w:sz w:val="36"/>
          <w:szCs w:val="36"/>
          <w:highlight w:val="none"/>
        </w:rPr>
      </w:pPr>
      <w:r>
        <w:rPr>
          <w:rFonts w:hint="eastAsia" w:ascii="宋体" w:hAnsi="宋体" w:eastAsia="宋体" w:cs="宋体"/>
          <w:b/>
          <w:bCs/>
          <w:color w:val="auto"/>
          <w:sz w:val="36"/>
          <w:szCs w:val="36"/>
          <w:highlight w:val="none"/>
        </w:rPr>
        <w:t>目 录</w:t>
      </w:r>
    </w:p>
    <w:p w14:paraId="15696518">
      <w:pPr>
        <w:pStyle w:val="24"/>
        <w:keepNext w:val="0"/>
        <w:keepLines w:val="0"/>
        <w:pageBreakBefore w:val="0"/>
        <w:widowControl w:val="0"/>
        <w:tabs>
          <w:tab w:val="right" w:leader="dot" w:pos="8306"/>
        </w:tabs>
        <w:kinsoku/>
        <w:wordWrap/>
        <w:overflowPunct/>
        <w:topLinePunct w:val="0"/>
        <w:autoSpaceDE/>
        <w:autoSpaceDN/>
        <w:bidi w:val="0"/>
        <w:adjustRightInd/>
        <w:snapToGrid/>
        <w:spacing w:line="400" w:lineRule="exact"/>
        <w:jc w:val="both"/>
        <w:textAlignment w:val="auto"/>
        <w:rPr>
          <w:color w:val="auto"/>
          <w:sz w:val="24"/>
          <w:szCs w:val="24"/>
          <w:highlight w:val="none"/>
        </w:rPr>
      </w:pPr>
      <w:bookmarkStart w:id="7" w:name="_Toc155185859"/>
      <w:bookmarkStart w:id="8" w:name="_Toc10815"/>
      <w:bookmarkStart w:id="9" w:name="_Hlk130458318"/>
      <w:r>
        <w:rPr>
          <w:rFonts w:hint="eastAsia" w:ascii="宋体" w:hAnsi="宋体" w:eastAsia="宋体" w:cs="宋体"/>
          <w:caps w:val="0"/>
          <w:smallCaps w:val="0"/>
          <w:color w:val="auto"/>
          <w:spacing w:val="0"/>
          <w:sz w:val="24"/>
          <w:szCs w:val="24"/>
          <w:highlight w:val="none"/>
        </w:rPr>
        <w:fldChar w:fldCharType="begin"/>
      </w:r>
      <w:r>
        <w:rPr>
          <w:rFonts w:hint="eastAsia" w:ascii="宋体" w:hAnsi="宋体" w:eastAsia="宋体" w:cs="宋体"/>
          <w:caps w:val="0"/>
          <w:smallCaps w:val="0"/>
          <w:color w:val="auto"/>
          <w:spacing w:val="0"/>
          <w:sz w:val="24"/>
          <w:szCs w:val="24"/>
          <w:highlight w:val="none"/>
        </w:rPr>
        <w:instrText xml:space="preserve">TOC \o "1-2" \h \u </w:instrText>
      </w:r>
      <w:r>
        <w:rPr>
          <w:rFonts w:hint="eastAsia" w:ascii="宋体" w:hAnsi="宋体" w:eastAsia="宋体" w:cs="宋体"/>
          <w:caps w:val="0"/>
          <w:smallCaps w:val="0"/>
          <w:color w:val="auto"/>
          <w:spacing w:val="0"/>
          <w:sz w:val="24"/>
          <w:szCs w:val="24"/>
          <w:highlight w:val="none"/>
        </w:rPr>
        <w:fldChar w:fldCharType="separate"/>
      </w:r>
      <w:r>
        <w:rPr>
          <w:rFonts w:hint="eastAsia" w:ascii="宋体" w:hAnsi="宋体" w:eastAsia="宋体" w:cs="宋体"/>
          <w:caps w:val="0"/>
          <w:smallCaps w:val="0"/>
          <w:color w:val="auto"/>
          <w:spacing w:val="0"/>
          <w:sz w:val="24"/>
          <w:szCs w:val="24"/>
          <w:highlight w:val="none"/>
        </w:rPr>
        <w:fldChar w:fldCharType="begin"/>
      </w:r>
      <w:r>
        <w:rPr>
          <w:rFonts w:hint="eastAsia" w:ascii="宋体" w:hAnsi="宋体" w:eastAsia="宋体" w:cs="宋体"/>
          <w:caps w:val="0"/>
          <w:smallCaps w:val="0"/>
          <w:color w:val="auto"/>
          <w:spacing w:val="0"/>
          <w:sz w:val="24"/>
          <w:szCs w:val="24"/>
          <w:highlight w:val="none"/>
        </w:rPr>
        <w:instrText xml:space="preserve"> HYPERLINK \l _Toc11922 </w:instrText>
      </w:r>
      <w:r>
        <w:rPr>
          <w:rFonts w:hint="eastAsia" w:ascii="宋体" w:hAnsi="宋体" w:eastAsia="宋体" w:cs="宋体"/>
          <w:caps w:val="0"/>
          <w:smallCaps w:val="0"/>
          <w:color w:val="auto"/>
          <w:spacing w:val="0"/>
          <w:sz w:val="24"/>
          <w:szCs w:val="24"/>
          <w:highlight w:val="none"/>
        </w:rPr>
        <w:fldChar w:fldCharType="separate"/>
      </w:r>
      <w:r>
        <w:rPr>
          <w:rFonts w:hint="eastAsia" w:ascii="宋体" w:hAnsi="宋体" w:eastAsia="宋体" w:cs="宋体"/>
          <w:bCs/>
          <w:color w:val="auto"/>
          <w:kern w:val="44"/>
          <w:sz w:val="24"/>
          <w:szCs w:val="24"/>
          <w:highlight w:val="none"/>
          <w:lang w:val="en-US" w:eastAsia="zh-CN" w:bidi="ar-SA"/>
        </w:rPr>
        <w:t xml:space="preserve">第一章 </w:t>
      </w:r>
      <w:r>
        <w:rPr>
          <w:rFonts w:hint="eastAsia" w:ascii="宋体" w:hAnsi="宋体" w:eastAsia="宋体" w:cs="宋体"/>
          <w:color w:val="auto"/>
          <w:sz w:val="24"/>
          <w:szCs w:val="24"/>
          <w:highlight w:val="none"/>
          <w:lang w:val="en-US" w:eastAsia="zh-CN"/>
        </w:rPr>
        <w:t>招标公告</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_Toc11922 \h </w:instrText>
      </w:r>
      <w:r>
        <w:rPr>
          <w:color w:val="auto"/>
          <w:sz w:val="24"/>
          <w:szCs w:val="24"/>
          <w:highlight w:val="none"/>
        </w:rPr>
        <w:fldChar w:fldCharType="separate"/>
      </w:r>
      <w:r>
        <w:rPr>
          <w:color w:val="auto"/>
          <w:sz w:val="24"/>
          <w:szCs w:val="24"/>
          <w:highlight w:val="none"/>
        </w:rPr>
        <w:t>- 1 -</w:t>
      </w:r>
      <w:r>
        <w:rPr>
          <w:color w:val="auto"/>
          <w:sz w:val="24"/>
          <w:szCs w:val="24"/>
          <w:highlight w:val="none"/>
        </w:rPr>
        <w:fldChar w:fldCharType="end"/>
      </w:r>
      <w:r>
        <w:rPr>
          <w:rFonts w:hint="eastAsia" w:ascii="宋体" w:hAnsi="宋体" w:eastAsia="宋体" w:cs="宋体"/>
          <w:caps w:val="0"/>
          <w:smallCaps w:val="0"/>
          <w:color w:val="auto"/>
          <w:spacing w:val="0"/>
          <w:sz w:val="24"/>
          <w:szCs w:val="24"/>
          <w:highlight w:val="none"/>
        </w:rPr>
        <w:fldChar w:fldCharType="end"/>
      </w:r>
    </w:p>
    <w:p w14:paraId="2488497A">
      <w:pPr>
        <w:pStyle w:val="28"/>
        <w:keepNext w:val="0"/>
        <w:keepLines w:val="0"/>
        <w:pageBreakBefore w:val="0"/>
        <w:widowControl w:val="0"/>
        <w:tabs>
          <w:tab w:val="right" w:leader="dot" w:pos="8306"/>
        </w:tabs>
        <w:kinsoku/>
        <w:wordWrap/>
        <w:overflowPunct/>
        <w:topLinePunct w:val="0"/>
        <w:autoSpaceDE/>
        <w:autoSpaceDN/>
        <w:bidi w:val="0"/>
        <w:adjustRightInd/>
        <w:snapToGrid/>
        <w:spacing w:line="400" w:lineRule="exact"/>
        <w:jc w:val="both"/>
        <w:textAlignment w:val="auto"/>
        <w:rPr>
          <w:color w:val="auto"/>
          <w:sz w:val="24"/>
          <w:szCs w:val="24"/>
          <w:highlight w:val="none"/>
        </w:rPr>
      </w:pPr>
      <w:r>
        <w:rPr>
          <w:rFonts w:hint="eastAsia" w:ascii="宋体" w:hAnsi="宋体" w:eastAsia="宋体" w:cs="宋体"/>
          <w:caps w:val="0"/>
          <w:smallCaps w:val="0"/>
          <w:color w:val="auto"/>
          <w:spacing w:val="0"/>
          <w:sz w:val="24"/>
          <w:szCs w:val="24"/>
          <w:highlight w:val="none"/>
        </w:rPr>
        <w:fldChar w:fldCharType="begin"/>
      </w:r>
      <w:r>
        <w:rPr>
          <w:rFonts w:hint="eastAsia" w:ascii="宋体" w:hAnsi="宋体" w:eastAsia="宋体" w:cs="宋体"/>
          <w:caps w:val="0"/>
          <w:smallCaps w:val="0"/>
          <w:color w:val="auto"/>
          <w:spacing w:val="0"/>
          <w:sz w:val="24"/>
          <w:szCs w:val="24"/>
          <w:highlight w:val="none"/>
        </w:rPr>
        <w:instrText xml:space="preserve"> HYPERLINK \l _Toc1899 </w:instrText>
      </w:r>
      <w:r>
        <w:rPr>
          <w:rFonts w:hint="eastAsia" w:ascii="宋体" w:hAnsi="宋体" w:eastAsia="宋体" w:cs="宋体"/>
          <w:caps w:val="0"/>
          <w:smallCaps w:val="0"/>
          <w:color w:val="auto"/>
          <w:spacing w:val="0"/>
          <w:sz w:val="24"/>
          <w:szCs w:val="24"/>
          <w:highlight w:val="none"/>
        </w:rPr>
        <w:fldChar w:fldCharType="separate"/>
      </w:r>
      <w:r>
        <w:rPr>
          <w:rFonts w:hint="eastAsia"/>
          <w:color w:val="auto"/>
          <w:sz w:val="24"/>
          <w:szCs w:val="24"/>
          <w:highlight w:val="none"/>
          <w:lang w:val="en-US" w:eastAsia="zh-CN"/>
        </w:rPr>
        <w:t>项目概况：</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_Toc1899 \h </w:instrText>
      </w:r>
      <w:r>
        <w:rPr>
          <w:color w:val="auto"/>
          <w:sz w:val="24"/>
          <w:szCs w:val="24"/>
          <w:highlight w:val="none"/>
        </w:rPr>
        <w:fldChar w:fldCharType="separate"/>
      </w:r>
      <w:r>
        <w:rPr>
          <w:b/>
        </w:rPr>
        <w:t>错误！未定义书签。</w:t>
      </w:r>
      <w:r>
        <w:rPr>
          <w:color w:val="auto"/>
          <w:sz w:val="24"/>
          <w:szCs w:val="24"/>
          <w:highlight w:val="none"/>
        </w:rPr>
        <w:fldChar w:fldCharType="end"/>
      </w:r>
      <w:r>
        <w:rPr>
          <w:rFonts w:hint="eastAsia" w:ascii="宋体" w:hAnsi="宋体" w:eastAsia="宋体" w:cs="宋体"/>
          <w:caps w:val="0"/>
          <w:smallCaps w:val="0"/>
          <w:color w:val="auto"/>
          <w:spacing w:val="0"/>
          <w:sz w:val="24"/>
          <w:szCs w:val="24"/>
          <w:highlight w:val="none"/>
        </w:rPr>
        <w:fldChar w:fldCharType="end"/>
      </w:r>
    </w:p>
    <w:p w14:paraId="06A83551">
      <w:pPr>
        <w:pStyle w:val="28"/>
        <w:keepNext w:val="0"/>
        <w:keepLines w:val="0"/>
        <w:pageBreakBefore w:val="0"/>
        <w:widowControl w:val="0"/>
        <w:tabs>
          <w:tab w:val="right" w:leader="dot" w:pos="8306"/>
        </w:tabs>
        <w:kinsoku/>
        <w:wordWrap/>
        <w:overflowPunct/>
        <w:topLinePunct w:val="0"/>
        <w:autoSpaceDE/>
        <w:autoSpaceDN/>
        <w:bidi w:val="0"/>
        <w:adjustRightInd/>
        <w:snapToGrid/>
        <w:spacing w:line="400" w:lineRule="exact"/>
        <w:jc w:val="both"/>
        <w:textAlignment w:val="auto"/>
        <w:rPr>
          <w:color w:val="auto"/>
          <w:sz w:val="24"/>
          <w:szCs w:val="24"/>
          <w:highlight w:val="none"/>
        </w:rPr>
      </w:pPr>
      <w:r>
        <w:rPr>
          <w:rFonts w:hint="eastAsia" w:ascii="宋体" w:hAnsi="宋体" w:eastAsia="宋体" w:cs="宋体"/>
          <w:caps w:val="0"/>
          <w:smallCaps w:val="0"/>
          <w:color w:val="auto"/>
          <w:spacing w:val="0"/>
          <w:sz w:val="24"/>
          <w:szCs w:val="24"/>
          <w:highlight w:val="none"/>
        </w:rPr>
        <w:fldChar w:fldCharType="begin"/>
      </w:r>
      <w:r>
        <w:rPr>
          <w:rFonts w:hint="eastAsia" w:ascii="宋体" w:hAnsi="宋体" w:eastAsia="宋体" w:cs="宋体"/>
          <w:caps w:val="0"/>
          <w:smallCaps w:val="0"/>
          <w:color w:val="auto"/>
          <w:spacing w:val="0"/>
          <w:sz w:val="24"/>
          <w:szCs w:val="24"/>
          <w:highlight w:val="none"/>
        </w:rPr>
        <w:instrText xml:space="preserve"> HYPERLINK \l _Toc6854 </w:instrText>
      </w:r>
      <w:r>
        <w:rPr>
          <w:rFonts w:hint="eastAsia" w:ascii="宋体" w:hAnsi="宋体" w:eastAsia="宋体" w:cs="宋体"/>
          <w:caps w:val="0"/>
          <w:smallCaps w:val="0"/>
          <w:color w:val="auto"/>
          <w:spacing w:val="0"/>
          <w:sz w:val="24"/>
          <w:szCs w:val="24"/>
          <w:highlight w:val="none"/>
        </w:rPr>
        <w:fldChar w:fldCharType="separate"/>
      </w:r>
      <w:r>
        <w:rPr>
          <w:rFonts w:hint="eastAsia" w:ascii="宋体" w:hAnsi="宋体" w:eastAsia="宋体" w:cs="宋体"/>
          <w:bCs/>
          <w:color w:val="auto"/>
          <w:kern w:val="2"/>
          <w:sz w:val="24"/>
          <w:szCs w:val="24"/>
          <w:highlight w:val="none"/>
          <w:lang w:val="hr-HR" w:eastAsia="zh-CN" w:bidi="ar-SA"/>
        </w:rPr>
        <w:t>一、项目基本情况</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_Toc6854 \h </w:instrText>
      </w:r>
      <w:r>
        <w:rPr>
          <w:color w:val="auto"/>
          <w:sz w:val="24"/>
          <w:szCs w:val="24"/>
          <w:highlight w:val="none"/>
        </w:rPr>
        <w:fldChar w:fldCharType="separate"/>
      </w:r>
      <w:r>
        <w:rPr>
          <w:b/>
        </w:rPr>
        <w:t>错误！未定义书签。</w:t>
      </w:r>
      <w:r>
        <w:rPr>
          <w:color w:val="auto"/>
          <w:sz w:val="24"/>
          <w:szCs w:val="24"/>
          <w:highlight w:val="none"/>
        </w:rPr>
        <w:fldChar w:fldCharType="end"/>
      </w:r>
      <w:r>
        <w:rPr>
          <w:rFonts w:hint="eastAsia" w:ascii="宋体" w:hAnsi="宋体" w:eastAsia="宋体" w:cs="宋体"/>
          <w:caps w:val="0"/>
          <w:smallCaps w:val="0"/>
          <w:color w:val="auto"/>
          <w:spacing w:val="0"/>
          <w:sz w:val="24"/>
          <w:szCs w:val="24"/>
          <w:highlight w:val="none"/>
        </w:rPr>
        <w:fldChar w:fldCharType="end"/>
      </w:r>
    </w:p>
    <w:p w14:paraId="1BEBA06C">
      <w:pPr>
        <w:pStyle w:val="28"/>
        <w:keepNext w:val="0"/>
        <w:keepLines w:val="0"/>
        <w:pageBreakBefore w:val="0"/>
        <w:widowControl w:val="0"/>
        <w:tabs>
          <w:tab w:val="right" w:leader="dot" w:pos="8306"/>
        </w:tabs>
        <w:kinsoku/>
        <w:wordWrap/>
        <w:overflowPunct/>
        <w:topLinePunct w:val="0"/>
        <w:autoSpaceDE/>
        <w:autoSpaceDN/>
        <w:bidi w:val="0"/>
        <w:adjustRightInd/>
        <w:snapToGrid/>
        <w:spacing w:line="400" w:lineRule="exact"/>
        <w:jc w:val="both"/>
        <w:textAlignment w:val="auto"/>
        <w:rPr>
          <w:color w:val="auto"/>
          <w:sz w:val="24"/>
          <w:szCs w:val="24"/>
          <w:highlight w:val="none"/>
        </w:rPr>
      </w:pPr>
      <w:r>
        <w:rPr>
          <w:rFonts w:hint="eastAsia" w:ascii="宋体" w:hAnsi="宋体" w:eastAsia="宋体" w:cs="宋体"/>
          <w:caps w:val="0"/>
          <w:smallCaps w:val="0"/>
          <w:color w:val="auto"/>
          <w:spacing w:val="0"/>
          <w:sz w:val="24"/>
          <w:szCs w:val="24"/>
          <w:highlight w:val="none"/>
        </w:rPr>
        <w:fldChar w:fldCharType="begin"/>
      </w:r>
      <w:r>
        <w:rPr>
          <w:rFonts w:hint="eastAsia" w:ascii="宋体" w:hAnsi="宋体" w:eastAsia="宋体" w:cs="宋体"/>
          <w:caps w:val="0"/>
          <w:smallCaps w:val="0"/>
          <w:color w:val="auto"/>
          <w:spacing w:val="0"/>
          <w:sz w:val="24"/>
          <w:szCs w:val="24"/>
          <w:highlight w:val="none"/>
        </w:rPr>
        <w:instrText xml:space="preserve"> HYPERLINK \l _Toc17328 </w:instrText>
      </w:r>
      <w:r>
        <w:rPr>
          <w:rFonts w:hint="eastAsia" w:ascii="宋体" w:hAnsi="宋体" w:eastAsia="宋体" w:cs="宋体"/>
          <w:caps w:val="0"/>
          <w:smallCaps w:val="0"/>
          <w:color w:val="auto"/>
          <w:spacing w:val="0"/>
          <w:sz w:val="24"/>
          <w:szCs w:val="24"/>
          <w:highlight w:val="none"/>
        </w:rPr>
        <w:fldChar w:fldCharType="separate"/>
      </w:r>
      <w:r>
        <w:rPr>
          <w:rFonts w:hint="eastAsia" w:ascii="宋体" w:hAnsi="宋体" w:eastAsia="宋体" w:cs="宋体"/>
          <w:bCs/>
          <w:color w:val="auto"/>
          <w:kern w:val="2"/>
          <w:sz w:val="24"/>
          <w:szCs w:val="24"/>
          <w:highlight w:val="none"/>
          <w:lang w:val="en-US" w:eastAsia="zh-CN" w:bidi="ar-SA"/>
        </w:rPr>
        <w:t>二、申请</w:t>
      </w:r>
      <w:r>
        <w:rPr>
          <w:rFonts w:hint="eastAsia" w:ascii="宋体" w:hAnsi="宋体" w:eastAsia="宋体" w:cs="宋体"/>
          <w:bCs/>
          <w:color w:val="auto"/>
          <w:kern w:val="2"/>
          <w:sz w:val="24"/>
          <w:szCs w:val="24"/>
          <w:highlight w:val="none"/>
          <w:lang w:val="hr-HR" w:eastAsia="zh-CN" w:bidi="ar-SA"/>
        </w:rPr>
        <w:t>人</w:t>
      </w:r>
      <w:r>
        <w:rPr>
          <w:rFonts w:hint="eastAsia" w:ascii="宋体" w:hAnsi="宋体" w:eastAsia="宋体" w:cs="宋体"/>
          <w:bCs/>
          <w:color w:val="auto"/>
          <w:kern w:val="2"/>
          <w:sz w:val="24"/>
          <w:szCs w:val="24"/>
          <w:highlight w:val="none"/>
          <w:lang w:val="en-US" w:eastAsia="zh-CN" w:bidi="ar-SA"/>
        </w:rPr>
        <w:t>的</w:t>
      </w:r>
      <w:r>
        <w:rPr>
          <w:rFonts w:hint="eastAsia" w:ascii="宋体" w:hAnsi="宋体" w:eastAsia="宋体" w:cs="宋体"/>
          <w:bCs/>
          <w:color w:val="auto"/>
          <w:kern w:val="2"/>
          <w:sz w:val="24"/>
          <w:szCs w:val="24"/>
          <w:highlight w:val="none"/>
          <w:lang w:val="hr-HR" w:eastAsia="zh-CN" w:bidi="ar-SA"/>
        </w:rPr>
        <w:t>资格要求</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_Toc17328 \h </w:instrText>
      </w:r>
      <w:r>
        <w:rPr>
          <w:color w:val="auto"/>
          <w:sz w:val="24"/>
          <w:szCs w:val="24"/>
          <w:highlight w:val="none"/>
        </w:rPr>
        <w:fldChar w:fldCharType="separate"/>
      </w:r>
      <w:r>
        <w:rPr>
          <w:b/>
        </w:rPr>
        <w:t>错误！未定义书签。</w:t>
      </w:r>
      <w:r>
        <w:rPr>
          <w:color w:val="auto"/>
          <w:sz w:val="24"/>
          <w:szCs w:val="24"/>
          <w:highlight w:val="none"/>
        </w:rPr>
        <w:fldChar w:fldCharType="end"/>
      </w:r>
      <w:r>
        <w:rPr>
          <w:rFonts w:hint="eastAsia" w:ascii="宋体" w:hAnsi="宋体" w:eastAsia="宋体" w:cs="宋体"/>
          <w:caps w:val="0"/>
          <w:smallCaps w:val="0"/>
          <w:color w:val="auto"/>
          <w:spacing w:val="0"/>
          <w:sz w:val="24"/>
          <w:szCs w:val="24"/>
          <w:highlight w:val="none"/>
        </w:rPr>
        <w:fldChar w:fldCharType="end"/>
      </w:r>
    </w:p>
    <w:p w14:paraId="4FF742BC">
      <w:pPr>
        <w:pStyle w:val="28"/>
        <w:keepNext w:val="0"/>
        <w:keepLines w:val="0"/>
        <w:pageBreakBefore w:val="0"/>
        <w:widowControl w:val="0"/>
        <w:tabs>
          <w:tab w:val="right" w:leader="dot" w:pos="8306"/>
        </w:tabs>
        <w:kinsoku/>
        <w:wordWrap/>
        <w:overflowPunct/>
        <w:topLinePunct w:val="0"/>
        <w:autoSpaceDE/>
        <w:autoSpaceDN/>
        <w:bidi w:val="0"/>
        <w:adjustRightInd/>
        <w:snapToGrid/>
        <w:spacing w:line="400" w:lineRule="exact"/>
        <w:jc w:val="both"/>
        <w:textAlignment w:val="auto"/>
        <w:rPr>
          <w:color w:val="auto"/>
          <w:sz w:val="24"/>
          <w:szCs w:val="24"/>
          <w:highlight w:val="none"/>
        </w:rPr>
      </w:pPr>
      <w:r>
        <w:rPr>
          <w:rFonts w:hint="eastAsia" w:ascii="宋体" w:hAnsi="宋体" w:eastAsia="宋体" w:cs="宋体"/>
          <w:caps w:val="0"/>
          <w:smallCaps w:val="0"/>
          <w:color w:val="auto"/>
          <w:spacing w:val="0"/>
          <w:sz w:val="24"/>
          <w:szCs w:val="24"/>
          <w:highlight w:val="none"/>
        </w:rPr>
        <w:fldChar w:fldCharType="begin"/>
      </w:r>
      <w:r>
        <w:rPr>
          <w:rFonts w:hint="eastAsia" w:ascii="宋体" w:hAnsi="宋体" w:eastAsia="宋体" w:cs="宋体"/>
          <w:caps w:val="0"/>
          <w:smallCaps w:val="0"/>
          <w:color w:val="auto"/>
          <w:spacing w:val="0"/>
          <w:sz w:val="24"/>
          <w:szCs w:val="24"/>
          <w:highlight w:val="none"/>
        </w:rPr>
        <w:instrText xml:space="preserve"> HYPERLINK \l _Toc10741 </w:instrText>
      </w:r>
      <w:r>
        <w:rPr>
          <w:rFonts w:hint="eastAsia" w:ascii="宋体" w:hAnsi="宋体" w:eastAsia="宋体" w:cs="宋体"/>
          <w:caps w:val="0"/>
          <w:smallCaps w:val="0"/>
          <w:color w:val="auto"/>
          <w:spacing w:val="0"/>
          <w:sz w:val="24"/>
          <w:szCs w:val="24"/>
          <w:highlight w:val="none"/>
        </w:rPr>
        <w:fldChar w:fldCharType="separate"/>
      </w:r>
      <w:r>
        <w:rPr>
          <w:rFonts w:hint="eastAsia" w:ascii="宋体" w:hAnsi="宋体" w:eastAsia="宋体" w:cs="宋体"/>
          <w:bCs/>
          <w:color w:val="auto"/>
          <w:kern w:val="2"/>
          <w:sz w:val="24"/>
          <w:szCs w:val="24"/>
          <w:highlight w:val="none"/>
          <w:lang w:val="en-US" w:eastAsia="zh-CN" w:bidi="ar-SA"/>
        </w:rPr>
        <w:t>三、</w:t>
      </w:r>
      <w:r>
        <w:rPr>
          <w:rFonts w:hint="eastAsia" w:ascii="宋体" w:hAnsi="宋体" w:eastAsia="宋体" w:cs="宋体"/>
          <w:bCs/>
          <w:color w:val="auto"/>
          <w:kern w:val="2"/>
          <w:sz w:val="24"/>
          <w:szCs w:val="24"/>
          <w:highlight w:val="none"/>
          <w:lang w:val="hr-HR" w:eastAsia="zh-CN" w:bidi="ar-SA"/>
        </w:rPr>
        <w:t>获取招标文件</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_Toc10741 \h </w:instrText>
      </w:r>
      <w:r>
        <w:rPr>
          <w:color w:val="auto"/>
          <w:sz w:val="24"/>
          <w:szCs w:val="24"/>
          <w:highlight w:val="none"/>
        </w:rPr>
        <w:fldChar w:fldCharType="separate"/>
      </w:r>
      <w:r>
        <w:rPr>
          <w:b/>
        </w:rPr>
        <w:t>错误！未定义书签。</w:t>
      </w:r>
      <w:r>
        <w:rPr>
          <w:color w:val="auto"/>
          <w:sz w:val="24"/>
          <w:szCs w:val="24"/>
          <w:highlight w:val="none"/>
        </w:rPr>
        <w:fldChar w:fldCharType="end"/>
      </w:r>
      <w:r>
        <w:rPr>
          <w:rFonts w:hint="eastAsia" w:ascii="宋体" w:hAnsi="宋体" w:eastAsia="宋体" w:cs="宋体"/>
          <w:caps w:val="0"/>
          <w:smallCaps w:val="0"/>
          <w:color w:val="auto"/>
          <w:spacing w:val="0"/>
          <w:sz w:val="24"/>
          <w:szCs w:val="24"/>
          <w:highlight w:val="none"/>
        </w:rPr>
        <w:fldChar w:fldCharType="end"/>
      </w:r>
    </w:p>
    <w:p w14:paraId="660C3C87">
      <w:pPr>
        <w:pStyle w:val="28"/>
        <w:keepNext w:val="0"/>
        <w:keepLines w:val="0"/>
        <w:pageBreakBefore w:val="0"/>
        <w:widowControl w:val="0"/>
        <w:tabs>
          <w:tab w:val="right" w:leader="dot" w:pos="8306"/>
        </w:tabs>
        <w:kinsoku/>
        <w:wordWrap/>
        <w:overflowPunct/>
        <w:topLinePunct w:val="0"/>
        <w:autoSpaceDE/>
        <w:autoSpaceDN/>
        <w:bidi w:val="0"/>
        <w:adjustRightInd/>
        <w:snapToGrid/>
        <w:spacing w:line="400" w:lineRule="exact"/>
        <w:jc w:val="both"/>
        <w:textAlignment w:val="auto"/>
        <w:rPr>
          <w:color w:val="auto"/>
          <w:sz w:val="24"/>
          <w:szCs w:val="24"/>
          <w:highlight w:val="none"/>
        </w:rPr>
      </w:pPr>
      <w:r>
        <w:rPr>
          <w:rFonts w:hint="eastAsia" w:ascii="宋体" w:hAnsi="宋体" w:eastAsia="宋体" w:cs="宋体"/>
          <w:caps w:val="0"/>
          <w:smallCaps w:val="0"/>
          <w:color w:val="auto"/>
          <w:spacing w:val="0"/>
          <w:sz w:val="24"/>
          <w:szCs w:val="24"/>
          <w:highlight w:val="none"/>
        </w:rPr>
        <w:fldChar w:fldCharType="begin"/>
      </w:r>
      <w:r>
        <w:rPr>
          <w:rFonts w:hint="eastAsia" w:ascii="宋体" w:hAnsi="宋体" w:eastAsia="宋体" w:cs="宋体"/>
          <w:caps w:val="0"/>
          <w:smallCaps w:val="0"/>
          <w:color w:val="auto"/>
          <w:spacing w:val="0"/>
          <w:sz w:val="24"/>
          <w:szCs w:val="24"/>
          <w:highlight w:val="none"/>
        </w:rPr>
        <w:instrText xml:space="preserve"> HYPERLINK \l _Toc30285 </w:instrText>
      </w:r>
      <w:r>
        <w:rPr>
          <w:rFonts w:hint="eastAsia" w:ascii="宋体" w:hAnsi="宋体" w:eastAsia="宋体" w:cs="宋体"/>
          <w:caps w:val="0"/>
          <w:smallCaps w:val="0"/>
          <w:color w:val="auto"/>
          <w:spacing w:val="0"/>
          <w:sz w:val="24"/>
          <w:szCs w:val="24"/>
          <w:highlight w:val="none"/>
        </w:rPr>
        <w:fldChar w:fldCharType="separate"/>
      </w:r>
      <w:r>
        <w:rPr>
          <w:rFonts w:hint="eastAsia" w:ascii="宋体" w:hAnsi="宋体" w:eastAsia="宋体" w:cs="宋体"/>
          <w:bCs/>
          <w:color w:val="auto"/>
          <w:kern w:val="2"/>
          <w:sz w:val="24"/>
          <w:szCs w:val="24"/>
          <w:highlight w:val="none"/>
          <w:lang w:val="en-US" w:eastAsia="zh-CN" w:bidi="ar-SA"/>
        </w:rPr>
        <w:t>四、</w:t>
      </w:r>
      <w:r>
        <w:rPr>
          <w:rFonts w:hint="eastAsia" w:ascii="宋体" w:hAnsi="宋体" w:eastAsia="宋体" w:cs="宋体"/>
          <w:bCs/>
          <w:color w:val="auto"/>
          <w:kern w:val="2"/>
          <w:sz w:val="24"/>
          <w:szCs w:val="24"/>
          <w:highlight w:val="none"/>
          <w:lang w:val="hr-HR" w:eastAsia="zh-CN" w:bidi="ar-SA"/>
        </w:rPr>
        <w:t>提交投标文件截止时间</w:t>
      </w:r>
      <w:r>
        <w:rPr>
          <w:rFonts w:hint="eastAsia" w:ascii="宋体" w:hAnsi="宋体" w:eastAsia="宋体" w:cs="宋体"/>
          <w:bCs/>
          <w:color w:val="auto"/>
          <w:kern w:val="2"/>
          <w:sz w:val="24"/>
          <w:szCs w:val="24"/>
          <w:highlight w:val="none"/>
          <w:lang w:val="en-US" w:eastAsia="zh-CN" w:bidi="ar-SA"/>
        </w:rPr>
        <w:t>/</w:t>
      </w:r>
      <w:r>
        <w:rPr>
          <w:rFonts w:hint="eastAsia" w:ascii="宋体" w:hAnsi="宋体" w:eastAsia="宋体" w:cs="宋体"/>
          <w:bCs/>
          <w:color w:val="auto"/>
          <w:kern w:val="2"/>
          <w:sz w:val="24"/>
          <w:szCs w:val="24"/>
          <w:highlight w:val="none"/>
          <w:lang w:val="hr-HR" w:eastAsia="zh-CN" w:bidi="ar-SA"/>
        </w:rPr>
        <w:t>开标时间、递交方式和</w:t>
      </w:r>
      <w:r>
        <w:rPr>
          <w:rFonts w:hint="eastAsia" w:ascii="宋体" w:hAnsi="宋体" w:eastAsia="宋体" w:cs="宋体"/>
          <w:bCs/>
          <w:color w:val="auto"/>
          <w:kern w:val="2"/>
          <w:sz w:val="24"/>
          <w:szCs w:val="24"/>
          <w:highlight w:val="none"/>
          <w:lang w:val="en-US" w:eastAsia="zh-CN" w:bidi="ar-SA"/>
        </w:rPr>
        <w:t>开标</w:t>
      </w:r>
      <w:r>
        <w:rPr>
          <w:rFonts w:hint="eastAsia" w:ascii="宋体" w:hAnsi="宋体" w:eastAsia="宋体" w:cs="宋体"/>
          <w:bCs/>
          <w:color w:val="auto"/>
          <w:kern w:val="2"/>
          <w:sz w:val="24"/>
          <w:szCs w:val="24"/>
          <w:highlight w:val="none"/>
          <w:lang w:val="hr-HR" w:eastAsia="zh-CN" w:bidi="ar-SA"/>
        </w:rPr>
        <w:t>地点</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_Toc30285 \h </w:instrText>
      </w:r>
      <w:r>
        <w:rPr>
          <w:color w:val="auto"/>
          <w:sz w:val="24"/>
          <w:szCs w:val="24"/>
          <w:highlight w:val="none"/>
        </w:rPr>
        <w:fldChar w:fldCharType="separate"/>
      </w:r>
      <w:r>
        <w:rPr>
          <w:b/>
        </w:rPr>
        <w:t>错误！未定义书签。</w:t>
      </w:r>
      <w:r>
        <w:rPr>
          <w:color w:val="auto"/>
          <w:sz w:val="24"/>
          <w:szCs w:val="24"/>
          <w:highlight w:val="none"/>
        </w:rPr>
        <w:fldChar w:fldCharType="end"/>
      </w:r>
      <w:r>
        <w:rPr>
          <w:rFonts w:hint="eastAsia" w:ascii="宋体" w:hAnsi="宋体" w:eastAsia="宋体" w:cs="宋体"/>
          <w:caps w:val="0"/>
          <w:smallCaps w:val="0"/>
          <w:color w:val="auto"/>
          <w:spacing w:val="0"/>
          <w:sz w:val="24"/>
          <w:szCs w:val="24"/>
          <w:highlight w:val="none"/>
        </w:rPr>
        <w:fldChar w:fldCharType="end"/>
      </w:r>
    </w:p>
    <w:p w14:paraId="188318DF">
      <w:pPr>
        <w:pStyle w:val="28"/>
        <w:keepNext w:val="0"/>
        <w:keepLines w:val="0"/>
        <w:pageBreakBefore w:val="0"/>
        <w:widowControl w:val="0"/>
        <w:tabs>
          <w:tab w:val="right" w:leader="dot" w:pos="8306"/>
        </w:tabs>
        <w:kinsoku/>
        <w:wordWrap/>
        <w:overflowPunct/>
        <w:topLinePunct w:val="0"/>
        <w:autoSpaceDE/>
        <w:autoSpaceDN/>
        <w:bidi w:val="0"/>
        <w:adjustRightInd/>
        <w:snapToGrid/>
        <w:spacing w:line="400" w:lineRule="exact"/>
        <w:jc w:val="both"/>
        <w:textAlignment w:val="auto"/>
        <w:rPr>
          <w:color w:val="auto"/>
          <w:sz w:val="24"/>
          <w:szCs w:val="24"/>
          <w:highlight w:val="none"/>
        </w:rPr>
      </w:pPr>
      <w:r>
        <w:rPr>
          <w:rFonts w:hint="eastAsia" w:ascii="宋体" w:hAnsi="宋体" w:eastAsia="宋体" w:cs="宋体"/>
          <w:caps w:val="0"/>
          <w:smallCaps w:val="0"/>
          <w:color w:val="auto"/>
          <w:spacing w:val="0"/>
          <w:sz w:val="24"/>
          <w:szCs w:val="24"/>
          <w:highlight w:val="none"/>
        </w:rPr>
        <w:fldChar w:fldCharType="begin"/>
      </w:r>
      <w:r>
        <w:rPr>
          <w:rFonts w:hint="eastAsia" w:ascii="宋体" w:hAnsi="宋体" w:eastAsia="宋体" w:cs="宋体"/>
          <w:caps w:val="0"/>
          <w:smallCaps w:val="0"/>
          <w:color w:val="auto"/>
          <w:spacing w:val="0"/>
          <w:sz w:val="24"/>
          <w:szCs w:val="24"/>
          <w:highlight w:val="none"/>
        </w:rPr>
        <w:instrText xml:space="preserve"> HYPERLINK \l _Toc27965 </w:instrText>
      </w:r>
      <w:r>
        <w:rPr>
          <w:rFonts w:hint="eastAsia" w:ascii="宋体" w:hAnsi="宋体" w:eastAsia="宋体" w:cs="宋体"/>
          <w:caps w:val="0"/>
          <w:smallCaps w:val="0"/>
          <w:color w:val="auto"/>
          <w:spacing w:val="0"/>
          <w:sz w:val="24"/>
          <w:szCs w:val="24"/>
          <w:highlight w:val="none"/>
        </w:rPr>
        <w:fldChar w:fldCharType="separate"/>
      </w:r>
      <w:r>
        <w:rPr>
          <w:rFonts w:hint="eastAsia" w:ascii="宋体" w:hAnsi="宋体" w:eastAsia="宋体" w:cs="宋体"/>
          <w:bCs/>
          <w:color w:val="auto"/>
          <w:kern w:val="2"/>
          <w:sz w:val="24"/>
          <w:szCs w:val="24"/>
          <w:highlight w:val="none"/>
          <w:lang w:val="en-US" w:eastAsia="zh-CN" w:bidi="ar-SA"/>
        </w:rPr>
        <w:t>五、</w:t>
      </w:r>
      <w:r>
        <w:rPr>
          <w:rFonts w:hint="eastAsia" w:ascii="宋体" w:hAnsi="宋体" w:eastAsia="宋体" w:cs="宋体"/>
          <w:bCs/>
          <w:color w:val="auto"/>
          <w:kern w:val="2"/>
          <w:sz w:val="24"/>
          <w:szCs w:val="24"/>
          <w:highlight w:val="none"/>
          <w:lang w:val="hr-HR" w:eastAsia="zh-CN" w:bidi="ar-SA"/>
        </w:rPr>
        <w:t>公告期限</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_Toc27965 \h </w:instrText>
      </w:r>
      <w:r>
        <w:rPr>
          <w:color w:val="auto"/>
          <w:sz w:val="24"/>
          <w:szCs w:val="24"/>
          <w:highlight w:val="none"/>
        </w:rPr>
        <w:fldChar w:fldCharType="separate"/>
      </w:r>
      <w:r>
        <w:rPr>
          <w:b/>
        </w:rPr>
        <w:t>错误！未定义书签。</w:t>
      </w:r>
      <w:r>
        <w:rPr>
          <w:color w:val="auto"/>
          <w:sz w:val="24"/>
          <w:szCs w:val="24"/>
          <w:highlight w:val="none"/>
        </w:rPr>
        <w:fldChar w:fldCharType="end"/>
      </w:r>
      <w:r>
        <w:rPr>
          <w:rFonts w:hint="eastAsia" w:ascii="宋体" w:hAnsi="宋体" w:eastAsia="宋体" w:cs="宋体"/>
          <w:caps w:val="0"/>
          <w:smallCaps w:val="0"/>
          <w:color w:val="auto"/>
          <w:spacing w:val="0"/>
          <w:sz w:val="24"/>
          <w:szCs w:val="24"/>
          <w:highlight w:val="none"/>
        </w:rPr>
        <w:fldChar w:fldCharType="end"/>
      </w:r>
    </w:p>
    <w:p w14:paraId="6717B036">
      <w:pPr>
        <w:pStyle w:val="28"/>
        <w:keepNext w:val="0"/>
        <w:keepLines w:val="0"/>
        <w:pageBreakBefore w:val="0"/>
        <w:widowControl w:val="0"/>
        <w:tabs>
          <w:tab w:val="right" w:leader="dot" w:pos="8306"/>
        </w:tabs>
        <w:kinsoku/>
        <w:wordWrap/>
        <w:overflowPunct/>
        <w:topLinePunct w:val="0"/>
        <w:autoSpaceDE/>
        <w:autoSpaceDN/>
        <w:bidi w:val="0"/>
        <w:adjustRightInd/>
        <w:snapToGrid/>
        <w:spacing w:line="400" w:lineRule="exact"/>
        <w:jc w:val="both"/>
        <w:textAlignment w:val="auto"/>
        <w:rPr>
          <w:color w:val="auto"/>
          <w:sz w:val="24"/>
          <w:szCs w:val="24"/>
          <w:highlight w:val="none"/>
        </w:rPr>
      </w:pPr>
      <w:r>
        <w:rPr>
          <w:rFonts w:hint="eastAsia" w:ascii="宋体" w:hAnsi="宋体" w:eastAsia="宋体" w:cs="宋体"/>
          <w:caps w:val="0"/>
          <w:smallCaps w:val="0"/>
          <w:color w:val="auto"/>
          <w:spacing w:val="0"/>
          <w:sz w:val="24"/>
          <w:szCs w:val="24"/>
          <w:highlight w:val="none"/>
        </w:rPr>
        <w:fldChar w:fldCharType="begin"/>
      </w:r>
      <w:r>
        <w:rPr>
          <w:rFonts w:hint="eastAsia" w:ascii="宋体" w:hAnsi="宋体" w:eastAsia="宋体" w:cs="宋体"/>
          <w:caps w:val="0"/>
          <w:smallCaps w:val="0"/>
          <w:color w:val="auto"/>
          <w:spacing w:val="0"/>
          <w:sz w:val="24"/>
          <w:szCs w:val="24"/>
          <w:highlight w:val="none"/>
        </w:rPr>
        <w:instrText xml:space="preserve"> HYPERLINK \l _Toc10290 </w:instrText>
      </w:r>
      <w:r>
        <w:rPr>
          <w:rFonts w:hint="eastAsia" w:ascii="宋体" w:hAnsi="宋体" w:eastAsia="宋体" w:cs="宋体"/>
          <w:caps w:val="0"/>
          <w:smallCaps w:val="0"/>
          <w:color w:val="auto"/>
          <w:spacing w:val="0"/>
          <w:sz w:val="24"/>
          <w:szCs w:val="24"/>
          <w:highlight w:val="none"/>
        </w:rPr>
        <w:fldChar w:fldCharType="separate"/>
      </w:r>
      <w:r>
        <w:rPr>
          <w:rFonts w:hint="eastAsia" w:ascii="宋体" w:hAnsi="宋体" w:eastAsia="宋体" w:cs="宋体"/>
          <w:bCs/>
          <w:color w:val="auto"/>
          <w:kern w:val="2"/>
          <w:sz w:val="24"/>
          <w:szCs w:val="24"/>
          <w:highlight w:val="none"/>
          <w:lang w:val="en-US" w:eastAsia="zh-CN" w:bidi="ar-SA"/>
        </w:rPr>
        <w:t>六、</w:t>
      </w:r>
      <w:r>
        <w:rPr>
          <w:rFonts w:hint="eastAsia" w:ascii="宋体" w:hAnsi="宋体" w:eastAsia="宋体" w:cs="宋体"/>
          <w:bCs/>
          <w:color w:val="auto"/>
          <w:kern w:val="2"/>
          <w:sz w:val="24"/>
          <w:szCs w:val="24"/>
          <w:highlight w:val="none"/>
          <w:lang w:val="hr-HR" w:eastAsia="zh-CN" w:bidi="ar-SA"/>
        </w:rPr>
        <w:t>其他补充事宜</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_Toc10290 \h </w:instrText>
      </w:r>
      <w:r>
        <w:rPr>
          <w:color w:val="auto"/>
          <w:sz w:val="24"/>
          <w:szCs w:val="24"/>
          <w:highlight w:val="none"/>
        </w:rPr>
        <w:fldChar w:fldCharType="separate"/>
      </w:r>
      <w:r>
        <w:rPr>
          <w:b/>
        </w:rPr>
        <w:t>错误！未定义书签。</w:t>
      </w:r>
      <w:r>
        <w:rPr>
          <w:color w:val="auto"/>
          <w:sz w:val="24"/>
          <w:szCs w:val="24"/>
          <w:highlight w:val="none"/>
        </w:rPr>
        <w:fldChar w:fldCharType="end"/>
      </w:r>
      <w:r>
        <w:rPr>
          <w:rFonts w:hint="eastAsia" w:ascii="宋体" w:hAnsi="宋体" w:eastAsia="宋体" w:cs="宋体"/>
          <w:caps w:val="0"/>
          <w:smallCaps w:val="0"/>
          <w:color w:val="auto"/>
          <w:spacing w:val="0"/>
          <w:sz w:val="24"/>
          <w:szCs w:val="24"/>
          <w:highlight w:val="none"/>
        </w:rPr>
        <w:fldChar w:fldCharType="end"/>
      </w:r>
    </w:p>
    <w:p w14:paraId="6A7A288C">
      <w:pPr>
        <w:pStyle w:val="28"/>
        <w:keepNext w:val="0"/>
        <w:keepLines w:val="0"/>
        <w:pageBreakBefore w:val="0"/>
        <w:widowControl w:val="0"/>
        <w:tabs>
          <w:tab w:val="right" w:leader="dot" w:pos="8306"/>
        </w:tabs>
        <w:kinsoku/>
        <w:wordWrap/>
        <w:overflowPunct/>
        <w:topLinePunct w:val="0"/>
        <w:autoSpaceDE/>
        <w:autoSpaceDN/>
        <w:bidi w:val="0"/>
        <w:adjustRightInd/>
        <w:snapToGrid/>
        <w:spacing w:line="400" w:lineRule="exact"/>
        <w:jc w:val="both"/>
        <w:textAlignment w:val="auto"/>
        <w:rPr>
          <w:color w:val="auto"/>
          <w:sz w:val="24"/>
          <w:szCs w:val="24"/>
          <w:highlight w:val="none"/>
        </w:rPr>
      </w:pPr>
      <w:r>
        <w:rPr>
          <w:rFonts w:hint="eastAsia" w:ascii="宋体" w:hAnsi="宋体" w:eastAsia="宋体" w:cs="宋体"/>
          <w:caps w:val="0"/>
          <w:smallCaps w:val="0"/>
          <w:color w:val="auto"/>
          <w:spacing w:val="0"/>
          <w:sz w:val="24"/>
          <w:szCs w:val="24"/>
          <w:highlight w:val="none"/>
        </w:rPr>
        <w:fldChar w:fldCharType="begin"/>
      </w:r>
      <w:r>
        <w:rPr>
          <w:rFonts w:hint="eastAsia" w:ascii="宋体" w:hAnsi="宋体" w:eastAsia="宋体" w:cs="宋体"/>
          <w:caps w:val="0"/>
          <w:smallCaps w:val="0"/>
          <w:color w:val="auto"/>
          <w:spacing w:val="0"/>
          <w:sz w:val="24"/>
          <w:szCs w:val="24"/>
          <w:highlight w:val="none"/>
        </w:rPr>
        <w:instrText xml:space="preserve"> HYPERLINK \l _Toc15605 </w:instrText>
      </w:r>
      <w:r>
        <w:rPr>
          <w:rFonts w:hint="eastAsia" w:ascii="宋体" w:hAnsi="宋体" w:eastAsia="宋体" w:cs="宋体"/>
          <w:caps w:val="0"/>
          <w:smallCaps w:val="0"/>
          <w:color w:val="auto"/>
          <w:spacing w:val="0"/>
          <w:sz w:val="24"/>
          <w:szCs w:val="24"/>
          <w:highlight w:val="none"/>
        </w:rPr>
        <w:fldChar w:fldCharType="separate"/>
      </w:r>
      <w:r>
        <w:rPr>
          <w:rFonts w:hint="eastAsia" w:ascii="宋体" w:hAnsi="宋体" w:eastAsia="宋体" w:cs="宋体"/>
          <w:bCs/>
          <w:color w:val="auto"/>
          <w:kern w:val="2"/>
          <w:sz w:val="24"/>
          <w:szCs w:val="24"/>
          <w:highlight w:val="none"/>
          <w:lang w:val="en-US" w:eastAsia="zh-CN" w:bidi="ar-SA"/>
        </w:rPr>
        <w:t>七、</w:t>
      </w:r>
      <w:r>
        <w:rPr>
          <w:rFonts w:hint="eastAsia" w:ascii="宋体" w:hAnsi="宋体" w:eastAsia="宋体" w:cs="宋体"/>
          <w:bCs/>
          <w:color w:val="auto"/>
          <w:kern w:val="2"/>
          <w:sz w:val="24"/>
          <w:szCs w:val="24"/>
          <w:highlight w:val="none"/>
          <w:lang w:val="hr-HR" w:eastAsia="zh-CN" w:bidi="ar-SA"/>
        </w:rPr>
        <w:t>对本次</w:t>
      </w:r>
      <w:r>
        <w:rPr>
          <w:rFonts w:hint="eastAsia" w:ascii="宋体" w:hAnsi="宋体" w:eastAsia="宋体" w:cs="宋体"/>
          <w:bCs/>
          <w:color w:val="auto"/>
          <w:kern w:val="2"/>
          <w:sz w:val="24"/>
          <w:szCs w:val="24"/>
          <w:highlight w:val="none"/>
          <w:lang w:val="en-US" w:eastAsia="zh-CN" w:bidi="ar-SA"/>
        </w:rPr>
        <w:t>招标</w:t>
      </w:r>
      <w:r>
        <w:rPr>
          <w:rFonts w:hint="eastAsia" w:ascii="宋体" w:hAnsi="宋体" w:eastAsia="宋体" w:cs="宋体"/>
          <w:bCs/>
          <w:color w:val="auto"/>
          <w:kern w:val="2"/>
          <w:sz w:val="24"/>
          <w:szCs w:val="24"/>
          <w:highlight w:val="none"/>
          <w:lang w:val="hr-HR" w:eastAsia="zh-CN" w:bidi="ar-SA"/>
        </w:rPr>
        <w:t>提出询问，请按以下方式联系</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_Toc15605 \h </w:instrText>
      </w:r>
      <w:r>
        <w:rPr>
          <w:color w:val="auto"/>
          <w:sz w:val="24"/>
          <w:szCs w:val="24"/>
          <w:highlight w:val="none"/>
        </w:rPr>
        <w:fldChar w:fldCharType="separate"/>
      </w:r>
      <w:r>
        <w:rPr>
          <w:b/>
        </w:rPr>
        <w:t>错误！未定义书签。</w:t>
      </w:r>
      <w:r>
        <w:rPr>
          <w:color w:val="auto"/>
          <w:sz w:val="24"/>
          <w:szCs w:val="24"/>
          <w:highlight w:val="none"/>
        </w:rPr>
        <w:fldChar w:fldCharType="end"/>
      </w:r>
      <w:r>
        <w:rPr>
          <w:rFonts w:hint="eastAsia" w:ascii="宋体" w:hAnsi="宋体" w:eastAsia="宋体" w:cs="宋体"/>
          <w:caps w:val="0"/>
          <w:smallCaps w:val="0"/>
          <w:color w:val="auto"/>
          <w:spacing w:val="0"/>
          <w:sz w:val="24"/>
          <w:szCs w:val="24"/>
          <w:highlight w:val="none"/>
        </w:rPr>
        <w:fldChar w:fldCharType="end"/>
      </w:r>
    </w:p>
    <w:p w14:paraId="3DE2578A">
      <w:pPr>
        <w:pStyle w:val="24"/>
        <w:keepNext w:val="0"/>
        <w:keepLines w:val="0"/>
        <w:pageBreakBefore w:val="0"/>
        <w:widowControl w:val="0"/>
        <w:tabs>
          <w:tab w:val="right" w:leader="dot" w:pos="8306"/>
        </w:tabs>
        <w:kinsoku/>
        <w:wordWrap/>
        <w:overflowPunct/>
        <w:topLinePunct w:val="0"/>
        <w:autoSpaceDE/>
        <w:autoSpaceDN/>
        <w:bidi w:val="0"/>
        <w:adjustRightInd/>
        <w:snapToGrid/>
        <w:spacing w:line="400" w:lineRule="exact"/>
        <w:jc w:val="both"/>
        <w:textAlignment w:val="auto"/>
        <w:rPr>
          <w:color w:val="auto"/>
          <w:sz w:val="24"/>
          <w:szCs w:val="24"/>
          <w:highlight w:val="none"/>
        </w:rPr>
      </w:pPr>
      <w:r>
        <w:rPr>
          <w:rFonts w:hint="eastAsia" w:ascii="宋体" w:hAnsi="宋体" w:eastAsia="宋体" w:cs="宋体"/>
          <w:caps w:val="0"/>
          <w:smallCaps w:val="0"/>
          <w:color w:val="auto"/>
          <w:spacing w:val="0"/>
          <w:sz w:val="24"/>
          <w:szCs w:val="24"/>
          <w:highlight w:val="none"/>
        </w:rPr>
        <w:fldChar w:fldCharType="begin"/>
      </w:r>
      <w:r>
        <w:rPr>
          <w:rFonts w:hint="eastAsia" w:ascii="宋体" w:hAnsi="宋体" w:eastAsia="宋体" w:cs="宋体"/>
          <w:caps w:val="0"/>
          <w:smallCaps w:val="0"/>
          <w:color w:val="auto"/>
          <w:spacing w:val="0"/>
          <w:sz w:val="24"/>
          <w:szCs w:val="24"/>
          <w:highlight w:val="none"/>
        </w:rPr>
        <w:instrText xml:space="preserve"> HYPERLINK \l _Toc32500 </w:instrText>
      </w:r>
      <w:r>
        <w:rPr>
          <w:rFonts w:hint="eastAsia" w:ascii="宋体" w:hAnsi="宋体" w:eastAsia="宋体" w:cs="宋体"/>
          <w:caps w:val="0"/>
          <w:smallCaps w:val="0"/>
          <w:color w:val="auto"/>
          <w:spacing w:val="0"/>
          <w:sz w:val="24"/>
          <w:szCs w:val="24"/>
          <w:highlight w:val="none"/>
        </w:rPr>
        <w:fldChar w:fldCharType="separate"/>
      </w:r>
      <w:r>
        <w:rPr>
          <w:rFonts w:hint="eastAsia" w:ascii="宋体" w:hAnsi="宋体" w:eastAsia="宋体" w:cs="宋体"/>
          <w:bCs/>
          <w:color w:val="auto"/>
          <w:kern w:val="44"/>
          <w:sz w:val="24"/>
          <w:szCs w:val="24"/>
          <w:highlight w:val="none"/>
          <w:lang w:val="en-US" w:eastAsia="zh-CN" w:bidi="ar-SA"/>
        </w:rPr>
        <w:t>第二章 投标人须知</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_Toc32500 \h </w:instrText>
      </w:r>
      <w:r>
        <w:rPr>
          <w:color w:val="auto"/>
          <w:sz w:val="24"/>
          <w:szCs w:val="24"/>
          <w:highlight w:val="none"/>
        </w:rPr>
        <w:fldChar w:fldCharType="separate"/>
      </w:r>
      <w:r>
        <w:rPr>
          <w:color w:val="auto"/>
          <w:sz w:val="24"/>
          <w:szCs w:val="24"/>
          <w:highlight w:val="none"/>
        </w:rPr>
        <w:t>- 7 -</w:t>
      </w:r>
      <w:r>
        <w:rPr>
          <w:color w:val="auto"/>
          <w:sz w:val="24"/>
          <w:szCs w:val="24"/>
          <w:highlight w:val="none"/>
        </w:rPr>
        <w:fldChar w:fldCharType="end"/>
      </w:r>
      <w:r>
        <w:rPr>
          <w:rFonts w:hint="eastAsia" w:ascii="宋体" w:hAnsi="宋体" w:eastAsia="宋体" w:cs="宋体"/>
          <w:caps w:val="0"/>
          <w:smallCaps w:val="0"/>
          <w:color w:val="auto"/>
          <w:spacing w:val="0"/>
          <w:sz w:val="24"/>
          <w:szCs w:val="24"/>
          <w:highlight w:val="none"/>
        </w:rPr>
        <w:fldChar w:fldCharType="end"/>
      </w:r>
    </w:p>
    <w:p w14:paraId="6B4D3188">
      <w:pPr>
        <w:pStyle w:val="28"/>
        <w:keepNext w:val="0"/>
        <w:keepLines w:val="0"/>
        <w:pageBreakBefore w:val="0"/>
        <w:widowControl w:val="0"/>
        <w:tabs>
          <w:tab w:val="right" w:leader="dot" w:pos="8306"/>
        </w:tabs>
        <w:kinsoku/>
        <w:wordWrap/>
        <w:overflowPunct/>
        <w:topLinePunct w:val="0"/>
        <w:autoSpaceDE/>
        <w:autoSpaceDN/>
        <w:bidi w:val="0"/>
        <w:adjustRightInd/>
        <w:snapToGrid/>
        <w:spacing w:line="400" w:lineRule="exact"/>
        <w:jc w:val="both"/>
        <w:textAlignment w:val="auto"/>
        <w:rPr>
          <w:color w:val="auto"/>
          <w:sz w:val="24"/>
          <w:szCs w:val="24"/>
          <w:highlight w:val="none"/>
        </w:rPr>
      </w:pPr>
      <w:r>
        <w:rPr>
          <w:rFonts w:hint="eastAsia" w:ascii="宋体" w:hAnsi="宋体" w:eastAsia="宋体" w:cs="宋体"/>
          <w:caps w:val="0"/>
          <w:smallCaps w:val="0"/>
          <w:color w:val="auto"/>
          <w:spacing w:val="0"/>
          <w:sz w:val="24"/>
          <w:szCs w:val="24"/>
          <w:highlight w:val="none"/>
        </w:rPr>
        <w:fldChar w:fldCharType="begin"/>
      </w:r>
      <w:r>
        <w:rPr>
          <w:rFonts w:hint="eastAsia" w:ascii="宋体" w:hAnsi="宋体" w:eastAsia="宋体" w:cs="宋体"/>
          <w:caps w:val="0"/>
          <w:smallCaps w:val="0"/>
          <w:color w:val="auto"/>
          <w:spacing w:val="0"/>
          <w:sz w:val="24"/>
          <w:szCs w:val="24"/>
          <w:highlight w:val="none"/>
        </w:rPr>
        <w:instrText xml:space="preserve"> HYPERLINK \l _Toc1168 </w:instrText>
      </w:r>
      <w:r>
        <w:rPr>
          <w:rFonts w:hint="eastAsia" w:ascii="宋体" w:hAnsi="宋体" w:eastAsia="宋体" w:cs="宋体"/>
          <w:caps w:val="0"/>
          <w:smallCaps w:val="0"/>
          <w:color w:val="auto"/>
          <w:spacing w:val="0"/>
          <w:sz w:val="24"/>
          <w:szCs w:val="24"/>
          <w:highlight w:val="none"/>
        </w:rPr>
        <w:fldChar w:fldCharType="separate"/>
      </w:r>
      <w:r>
        <w:rPr>
          <w:rFonts w:hint="eastAsia" w:ascii="等线 Light" w:hAnsi="等线 Light" w:eastAsia="宋体" w:cs="Times New Roman"/>
          <w:bCs/>
          <w:color w:val="auto"/>
          <w:kern w:val="2"/>
          <w:sz w:val="24"/>
          <w:szCs w:val="24"/>
          <w:highlight w:val="none"/>
          <w:lang w:val="en-US" w:eastAsia="zh-CN" w:bidi="ar-SA"/>
        </w:rPr>
        <w:t>一、投标人须知前附表</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_Toc1168 \h </w:instrText>
      </w:r>
      <w:r>
        <w:rPr>
          <w:color w:val="auto"/>
          <w:sz w:val="24"/>
          <w:szCs w:val="24"/>
          <w:highlight w:val="none"/>
        </w:rPr>
        <w:fldChar w:fldCharType="separate"/>
      </w:r>
      <w:r>
        <w:rPr>
          <w:color w:val="auto"/>
          <w:sz w:val="24"/>
          <w:szCs w:val="24"/>
          <w:highlight w:val="none"/>
        </w:rPr>
        <w:t>- 7 -</w:t>
      </w:r>
      <w:r>
        <w:rPr>
          <w:color w:val="auto"/>
          <w:sz w:val="24"/>
          <w:szCs w:val="24"/>
          <w:highlight w:val="none"/>
        </w:rPr>
        <w:fldChar w:fldCharType="end"/>
      </w:r>
      <w:r>
        <w:rPr>
          <w:rFonts w:hint="eastAsia" w:ascii="宋体" w:hAnsi="宋体" w:eastAsia="宋体" w:cs="宋体"/>
          <w:caps w:val="0"/>
          <w:smallCaps w:val="0"/>
          <w:color w:val="auto"/>
          <w:spacing w:val="0"/>
          <w:sz w:val="24"/>
          <w:szCs w:val="24"/>
          <w:highlight w:val="none"/>
        </w:rPr>
        <w:fldChar w:fldCharType="end"/>
      </w:r>
    </w:p>
    <w:p w14:paraId="2E89B847">
      <w:pPr>
        <w:pStyle w:val="28"/>
        <w:keepNext w:val="0"/>
        <w:keepLines w:val="0"/>
        <w:pageBreakBefore w:val="0"/>
        <w:widowControl w:val="0"/>
        <w:tabs>
          <w:tab w:val="right" w:leader="dot" w:pos="8306"/>
        </w:tabs>
        <w:kinsoku/>
        <w:wordWrap/>
        <w:overflowPunct/>
        <w:topLinePunct w:val="0"/>
        <w:autoSpaceDE/>
        <w:autoSpaceDN/>
        <w:bidi w:val="0"/>
        <w:adjustRightInd/>
        <w:snapToGrid/>
        <w:spacing w:line="400" w:lineRule="exact"/>
        <w:jc w:val="both"/>
        <w:textAlignment w:val="auto"/>
        <w:rPr>
          <w:color w:val="auto"/>
          <w:sz w:val="24"/>
          <w:szCs w:val="24"/>
          <w:highlight w:val="none"/>
        </w:rPr>
      </w:pPr>
      <w:r>
        <w:rPr>
          <w:rFonts w:hint="eastAsia" w:ascii="宋体" w:hAnsi="宋体" w:eastAsia="宋体" w:cs="宋体"/>
          <w:caps w:val="0"/>
          <w:smallCaps w:val="0"/>
          <w:color w:val="auto"/>
          <w:spacing w:val="0"/>
          <w:sz w:val="24"/>
          <w:szCs w:val="24"/>
          <w:highlight w:val="none"/>
        </w:rPr>
        <w:fldChar w:fldCharType="begin"/>
      </w:r>
      <w:r>
        <w:rPr>
          <w:rFonts w:hint="eastAsia" w:ascii="宋体" w:hAnsi="宋体" w:eastAsia="宋体" w:cs="宋体"/>
          <w:caps w:val="0"/>
          <w:smallCaps w:val="0"/>
          <w:color w:val="auto"/>
          <w:spacing w:val="0"/>
          <w:sz w:val="24"/>
          <w:szCs w:val="24"/>
          <w:highlight w:val="none"/>
        </w:rPr>
        <w:instrText xml:space="preserve"> HYPERLINK \l _Toc27559 </w:instrText>
      </w:r>
      <w:r>
        <w:rPr>
          <w:rFonts w:hint="eastAsia" w:ascii="宋体" w:hAnsi="宋体" w:eastAsia="宋体" w:cs="宋体"/>
          <w:caps w:val="0"/>
          <w:smallCaps w:val="0"/>
          <w:color w:val="auto"/>
          <w:spacing w:val="0"/>
          <w:sz w:val="24"/>
          <w:szCs w:val="24"/>
          <w:highlight w:val="none"/>
        </w:rPr>
        <w:fldChar w:fldCharType="separate"/>
      </w:r>
      <w:r>
        <w:rPr>
          <w:rFonts w:hint="eastAsia" w:ascii="等线 Light" w:hAnsi="等线 Light" w:eastAsia="宋体" w:cs="Times New Roman"/>
          <w:bCs/>
          <w:color w:val="auto"/>
          <w:kern w:val="2"/>
          <w:sz w:val="24"/>
          <w:szCs w:val="24"/>
          <w:highlight w:val="none"/>
          <w:lang w:val="en-US" w:eastAsia="zh-CN" w:bidi="ar-SA"/>
        </w:rPr>
        <w:t>二、投标人须知</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_Toc27559 \h </w:instrText>
      </w:r>
      <w:r>
        <w:rPr>
          <w:color w:val="auto"/>
          <w:sz w:val="24"/>
          <w:szCs w:val="24"/>
          <w:highlight w:val="none"/>
        </w:rPr>
        <w:fldChar w:fldCharType="separate"/>
      </w:r>
      <w:r>
        <w:rPr>
          <w:color w:val="auto"/>
          <w:sz w:val="24"/>
          <w:szCs w:val="24"/>
          <w:highlight w:val="none"/>
        </w:rPr>
        <w:t>- 13 -</w:t>
      </w:r>
      <w:r>
        <w:rPr>
          <w:color w:val="auto"/>
          <w:sz w:val="24"/>
          <w:szCs w:val="24"/>
          <w:highlight w:val="none"/>
        </w:rPr>
        <w:fldChar w:fldCharType="end"/>
      </w:r>
      <w:r>
        <w:rPr>
          <w:rFonts w:hint="eastAsia" w:ascii="宋体" w:hAnsi="宋体" w:eastAsia="宋体" w:cs="宋体"/>
          <w:caps w:val="0"/>
          <w:smallCaps w:val="0"/>
          <w:color w:val="auto"/>
          <w:spacing w:val="0"/>
          <w:sz w:val="24"/>
          <w:szCs w:val="24"/>
          <w:highlight w:val="none"/>
        </w:rPr>
        <w:fldChar w:fldCharType="end"/>
      </w:r>
    </w:p>
    <w:p w14:paraId="4C26D0FA">
      <w:pPr>
        <w:pStyle w:val="24"/>
        <w:keepNext w:val="0"/>
        <w:keepLines w:val="0"/>
        <w:pageBreakBefore w:val="0"/>
        <w:widowControl w:val="0"/>
        <w:tabs>
          <w:tab w:val="right" w:leader="dot" w:pos="8306"/>
        </w:tabs>
        <w:kinsoku/>
        <w:wordWrap/>
        <w:overflowPunct/>
        <w:topLinePunct w:val="0"/>
        <w:autoSpaceDE/>
        <w:autoSpaceDN/>
        <w:bidi w:val="0"/>
        <w:adjustRightInd/>
        <w:snapToGrid/>
        <w:spacing w:line="400" w:lineRule="exact"/>
        <w:jc w:val="both"/>
        <w:textAlignment w:val="auto"/>
        <w:rPr>
          <w:color w:val="auto"/>
          <w:sz w:val="24"/>
          <w:szCs w:val="24"/>
          <w:highlight w:val="none"/>
        </w:rPr>
      </w:pPr>
      <w:r>
        <w:rPr>
          <w:rFonts w:hint="eastAsia" w:ascii="宋体" w:hAnsi="宋体" w:eastAsia="宋体" w:cs="宋体"/>
          <w:caps w:val="0"/>
          <w:smallCaps w:val="0"/>
          <w:color w:val="auto"/>
          <w:spacing w:val="0"/>
          <w:sz w:val="24"/>
          <w:szCs w:val="24"/>
          <w:highlight w:val="none"/>
        </w:rPr>
        <w:fldChar w:fldCharType="begin"/>
      </w:r>
      <w:r>
        <w:rPr>
          <w:rFonts w:hint="eastAsia" w:ascii="宋体" w:hAnsi="宋体" w:eastAsia="宋体" w:cs="宋体"/>
          <w:caps w:val="0"/>
          <w:smallCaps w:val="0"/>
          <w:color w:val="auto"/>
          <w:spacing w:val="0"/>
          <w:sz w:val="24"/>
          <w:szCs w:val="24"/>
          <w:highlight w:val="none"/>
        </w:rPr>
        <w:instrText xml:space="preserve"> HYPERLINK \l _Toc32401 </w:instrText>
      </w:r>
      <w:r>
        <w:rPr>
          <w:rFonts w:hint="eastAsia" w:ascii="宋体" w:hAnsi="宋体" w:eastAsia="宋体" w:cs="宋体"/>
          <w:caps w:val="0"/>
          <w:smallCaps w:val="0"/>
          <w:color w:val="auto"/>
          <w:spacing w:val="0"/>
          <w:sz w:val="24"/>
          <w:szCs w:val="24"/>
          <w:highlight w:val="none"/>
        </w:rPr>
        <w:fldChar w:fldCharType="separate"/>
      </w:r>
      <w:r>
        <w:rPr>
          <w:rFonts w:hint="eastAsia" w:ascii="宋体" w:hAnsi="宋体" w:eastAsia="宋体" w:cs="宋体"/>
          <w:bCs/>
          <w:color w:val="auto"/>
          <w:kern w:val="44"/>
          <w:sz w:val="24"/>
          <w:szCs w:val="24"/>
          <w:highlight w:val="none"/>
          <w:lang w:val="en-US" w:eastAsia="zh-CN" w:bidi="ar-SA"/>
        </w:rPr>
        <w:t>第三章 采购需求</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_Toc32401 \h </w:instrText>
      </w:r>
      <w:r>
        <w:rPr>
          <w:color w:val="auto"/>
          <w:sz w:val="24"/>
          <w:szCs w:val="24"/>
          <w:highlight w:val="none"/>
        </w:rPr>
        <w:fldChar w:fldCharType="separate"/>
      </w:r>
      <w:r>
        <w:rPr>
          <w:color w:val="auto"/>
          <w:sz w:val="24"/>
          <w:szCs w:val="24"/>
          <w:highlight w:val="none"/>
        </w:rPr>
        <w:t>- 39 -</w:t>
      </w:r>
      <w:r>
        <w:rPr>
          <w:color w:val="auto"/>
          <w:sz w:val="24"/>
          <w:szCs w:val="24"/>
          <w:highlight w:val="none"/>
        </w:rPr>
        <w:fldChar w:fldCharType="end"/>
      </w:r>
      <w:r>
        <w:rPr>
          <w:rFonts w:hint="eastAsia" w:ascii="宋体" w:hAnsi="宋体" w:eastAsia="宋体" w:cs="宋体"/>
          <w:caps w:val="0"/>
          <w:smallCaps w:val="0"/>
          <w:color w:val="auto"/>
          <w:spacing w:val="0"/>
          <w:sz w:val="24"/>
          <w:szCs w:val="24"/>
          <w:highlight w:val="none"/>
        </w:rPr>
        <w:fldChar w:fldCharType="end"/>
      </w:r>
    </w:p>
    <w:p w14:paraId="24620D3E">
      <w:pPr>
        <w:pStyle w:val="24"/>
        <w:keepNext w:val="0"/>
        <w:keepLines w:val="0"/>
        <w:pageBreakBefore w:val="0"/>
        <w:widowControl w:val="0"/>
        <w:tabs>
          <w:tab w:val="right" w:leader="dot" w:pos="8306"/>
        </w:tabs>
        <w:kinsoku/>
        <w:wordWrap/>
        <w:overflowPunct/>
        <w:topLinePunct w:val="0"/>
        <w:autoSpaceDE/>
        <w:autoSpaceDN/>
        <w:bidi w:val="0"/>
        <w:adjustRightInd/>
        <w:snapToGrid/>
        <w:spacing w:line="400" w:lineRule="exact"/>
        <w:jc w:val="both"/>
        <w:textAlignment w:val="auto"/>
        <w:rPr>
          <w:color w:val="auto"/>
          <w:sz w:val="24"/>
          <w:szCs w:val="24"/>
          <w:highlight w:val="none"/>
        </w:rPr>
      </w:pPr>
      <w:r>
        <w:rPr>
          <w:rFonts w:hint="eastAsia" w:ascii="宋体" w:hAnsi="宋体" w:eastAsia="宋体" w:cs="宋体"/>
          <w:caps w:val="0"/>
          <w:smallCaps w:val="0"/>
          <w:color w:val="auto"/>
          <w:spacing w:val="0"/>
          <w:sz w:val="24"/>
          <w:szCs w:val="24"/>
          <w:highlight w:val="none"/>
        </w:rPr>
        <w:fldChar w:fldCharType="begin"/>
      </w:r>
      <w:r>
        <w:rPr>
          <w:rFonts w:hint="eastAsia" w:ascii="宋体" w:hAnsi="宋体" w:eastAsia="宋体" w:cs="宋体"/>
          <w:caps w:val="0"/>
          <w:smallCaps w:val="0"/>
          <w:color w:val="auto"/>
          <w:spacing w:val="0"/>
          <w:sz w:val="24"/>
          <w:szCs w:val="24"/>
          <w:highlight w:val="none"/>
        </w:rPr>
        <w:instrText xml:space="preserve"> HYPERLINK \l _Toc7544 </w:instrText>
      </w:r>
      <w:r>
        <w:rPr>
          <w:rFonts w:hint="eastAsia" w:ascii="宋体" w:hAnsi="宋体" w:eastAsia="宋体" w:cs="宋体"/>
          <w:caps w:val="0"/>
          <w:smallCaps w:val="0"/>
          <w:color w:val="auto"/>
          <w:spacing w:val="0"/>
          <w:sz w:val="24"/>
          <w:szCs w:val="24"/>
          <w:highlight w:val="none"/>
        </w:rPr>
        <w:fldChar w:fldCharType="separate"/>
      </w:r>
      <w:r>
        <w:rPr>
          <w:rFonts w:hint="eastAsia" w:ascii="宋体" w:hAnsi="宋体" w:eastAsia="宋体" w:cs="宋体"/>
          <w:bCs/>
          <w:color w:val="auto"/>
          <w:kern w:val="44"/>
          <w:sz w:val="24"/>
          <w:szCs w:val="24"/>
          <w:highlight w:val="none"/>
          <w:lang w:val="en-US" w:eastAsia="zh-CN" w:bidi="ar-SA"/>
        </w:rPr>
        <w:t>第四章 资格审查</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_Toc7544 \h </w:instrText>
      </w:r>
      <w:r>
        <w:rPr>
          <w:color w:val="auto"/>
          <w:sz w:val="24"/>
          <w:szCs w:val="24"/>
          <w:highlight w:val="none"/>
        </w:rPr>
        <w:fldChar w:fldCharType="separate"/>
      </w:r>
      <w:r>
        <w:rPr>
          <w:color w:val="auto"/>
          <w:sz w:val="24"/>
          <w:szCs w:val="24"/>
          <w:highlight w:val="none"/>
        </w:rPr>
        <w:t>- 39 -</w:t>
      </w:r>
      <w:r>
        <w:rPr>
          <w:color w:val="auto"/>
          <w:sz w:val="24"/>
          <w:szCs w:val="24"/>
          <w:highlight w:val="none"/>
        </w:rPr>
        <w:fldChar w:fldCharType="end"/>
      </w:r>
      <w:r>
        <w:rPr>
          <w:rFonts w:hint="eastAsia" w:ascii="宋体" w:hAnsi="宋体" w:eastAsia="宋体" w:cs="宋体"/>
          <w:caps w:val="0"/>
          <w:smallCaps w:val="0"/>
          <w:color w:val="auto"/>
          <w:spacing w:val="0"/>
          <w:sz w:val="24"/>
          <w:szCs w:val="24"/>
          <w:highlight w:val="none"/>
        </w:rPr>
        <w:fldChar w:fldCharType="end"/>
      </w:r>
    </w:p>
    <w:p w14:paraId="42D01E46">
      <w:pPr>
        <w:pStyle w:val="28"/>
        <w:keepNext w:val="0"/>
        <w:keepLines w:val="0"/>
        <w:pageBreakBefore w:val="0"/>
        <w:widowControl w:val="0"/>
        <w:tabs>
          <w:tab w:val="right" w:leader="dot" w:pos="8306"/>
        </w:tabs>
        <w:kinsoku/>
        <w:wordWrap/>
        <w:overflowPunct/>
        <w:topLinePunct w:val="0"/>
        <w:autoSpaceDE/>
        <w:autoSpaceDN/>
        <w:bidi w:val="0"/>
        <w:adjustRightInd/>
        <w:snapToGrid/>
        <w:spacing w:line="400" w:lineRule="exact"/>
        <w:jc w:val="both"/>
        <w:textAlignment w:val="auto"/>
        <w:rPr>
          <w:color w:val="auto"/>
          <w:sz w:val="24"/>
          <w:szCs w:val="24"/>
          <w:highlight w:val="none"/>
        </w:rPr>
      </w:pPr>
      <w:r>
        <w:rPr>
          <w:rFonts w:hint="eastAsia" w:ascii="宋体" w:hAnsi="宋体" w:eastAsia="宋体" w:cs="宋体"/>
          <w:caps w:val="0"/>
          <w:smallCaps w:val="0"/>
          <w:color w:val="auto"/>
          <w:spacing w:val="0"/>
          <w:sz w:val="24"/>
          <w:szCs w:val="24"/>
          <w:highlight w:val="none"/>
        </w:rPr>
        <w:fldChar w:fldCharType="begin"/>
      </w:r>
      <w:r>
        <w:rPr>
          <w:rFonts w:hint="eastAsia" w:ascii="宋体" w:hAnsi="宋体" w:eastAsia="宋体" w:cs="宋体"/>
          <w:caps w:val="0"/>
          <w:smallCaps w:val="0"/>
          <w:color w:val="auto"/>
          <w:spacing w:val="0"/>
          <w:sz w:val="24"/>
          <w:szCs w:val="24"/>
          <w:highlight w:val="none"/>
        </w:rPr>
        <w:instrText xml:space="preserve"> HYPERLINK \l _Toc26947 </w:instrText>
      </w:r>
      <w:r>
        <w:rPr>
          <w:rFonts w:hint="eastAsia" w:ascii="宋体" w:hAnsi="宋体" w:eastAsia="宋体" w:cs="宋体"/>
          <w:caps w:val="0"/>
          <w:smallCaps w:val="0"/>
          <w:color w:val="auto"/>
          <w:spacing w:val="0"/>
          <w:sz w:val="24"/>
          <w:szCs w:val="24"/>
          <w:highlight w:val="none"/>
        </w:rPr>
        <w:fldChar w:fldCharType="separate"/>
      </w:r>
      <w:r>
        <w:rPr>
          <w:rFonts w:hint="eastAsia"/>
          <w:color w:val="auto"/>
          <w:sz w:val="24"/>
          <w:szCs w:val="24"/>
          <w:highlight w:val="none"/>
          <w:lang w:val="en-US" w:eastAsia="zh-CN"/>
        </w:rPr>
        <w:t>一、资格审查程序</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_Toc26947 \h </w:instrText>
      </w:r>
      <w:r>
        <w:rPr>
          <w:color w:val="auto"/>
          <w:sz w:val="24"/>
          <w:szCs w:val="24"/>
          <w:highlight w:val="none"/>
        </w:rPr>
        <w:fldChar w:fldCharType="separate"/>
      </w:r>
      <w:r>
        <w:rPr>
          <w:color w:val="auto"/>
          <w:sz w:val="24"/>
          <w:szCs w:val="24"/>
          <w:highlight w:val="none"/>
        </w:rPr>
        <w:t>- 56 -</w:t>
      </w:r>
      <w:r>
        <w:rPr>
          <w:color w:val="auto"/>
          <w:sz w:val="24"/>
          <w:szCs w:val="24"/>
          <w:highlight w:val="none"/>
        </w:rPr>
        <w:fldChar w:fldCharType="end"/>
      </w:r>
      <w:r>
        <w:rPr>
          <w:rFonts w:hint="eastAsia" w:ascii="宋体" w:hAnsi="宋体" w:eastAsia="宋体" w:cs="宋体"/>
          <w:caps w:val="0"/>
          <w:smallCaps w:val="0"/>
          <w:color w:val="auto"/>
          <w:spacing w:val="0"/>
          <w:sz w:val="24"/>
          <w:szCs w:val="24"/>
          <w:highlight w:val="none"/>
        </w:rPr>
        <w:fldChar w:fldCharType="end"/>
      </w:r>
    </w:p>
    <w:p w14:paraId="7F3982EE">
      <w:pPr>
        <w:pStyle w:val="28"/>
        <w:keepNext w:val="0"/>
        <w:keepLines w:val="0"/>
        <w:pageBreakBefore w:val="0"/>
        <w:widowControl w:val="0"/>
        <w:tabs>
          <w:tab w:val="right" w:leader="dot" w:pos="8306"/>
        </w:tabs>
        <w:kinsoku/>
        <w:wordWrap/>
        <w:overflowPunct/>
        <w:topLinePunct w:val="0"/>
        <w:autoSpaceDE/>
        <w:autoSpaceDN/>
        <w:bidi w:val="0"/>
        <w:adjustRightInd/>
        <w:snapToGrid/>
        <w:spacing w:line="400" w:lineRule="exact"/>
        <w:jc w:val="both"/>
        <w:textAlignment w:val="auto"/>
        <w:rPr>
          <w:color w:val="auto"/>
          <w:sz w:val="24"/>
          <w:szCs w:val="24"/>
          <w:highlight w:val="none"/>
        </w:rPr>
      </w:pPr>
      <w:r>
        <w:rPr>
          <w:rFonts w:hint="eastAsia" w:ascii="宋体" w:hAnsi="宋体" w:eastAsia="宋体" w:cs="宋体"/>
          <w:caps w:val="0"/>
          <w:smallCaps w:val="0"/>
          <w:color w:val="auto"/>
          <w:spacing w:val="0"/>
          <w:sz w:val="24"/>
          <w:szCs w:val="24"/>
          <w:highlight w:val="none"/>
        </w:rPr>
        <w:fldChar w:fldCharType="begin"/>
      </w:r>
      <w:r>
        <w:rPr>
          <w:rFonts w:hint="eastAsia" w:ascii="宋体" w:hAnsi="宋体" w:eastAsia="宋体" w:cs="宋体"/>
          <w:caps w:val="0"/>
          <w:smallCaps w:val="0"/>
          <w:color w:val="auto"/>
          <w:spacing w:val="0"/>
          <w:sz w:val="24"/>
          <w:szCs w:val="24"/>
          <w:highlight w:val="none"/>
        </w:rPr>
        <w:instrText xml:space="preserve"> HYPERLINK \l _Toc15886 </w:instrText>
      </w:r>
      <w:r>
        <w:rPr>
          <w:rFonts w:hint="eastAsia" w:ascii="宋体" w:hAnsi="宋体" w:eastAsia="宋体" w:cs="宋体"/>
          <w:caps w:val="0"/>
          <w:smallCaps w:val="0"/>
          <w:color w:val="auto"/>
          <w:spacing w:val="0"/>
          <w:sz w:val="24"/>
          <w:szCs w:val="24"/>
          <w:highlight w:val="none"/>
        </w:rPr>
        <w:fldChar w:fldCharType="separate"/>
      </w:r>
      <w:r>
        <w:rPr>
          <w:rFonts w:hint="eastAsia"/>
          <w:color w:val="auto"/>
          <w:sz w:val="24"/>
          <w:szCs w:val="24"/>
          <w:highlight w:val="none"/>
          <w:lang w:val="en-US" w:eastAsia="zh-CN"/>
        </w:rPr>
        <w:t>二、资格审查要求</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_Toc15886 \h </w:instrText>
      </w:r>
      <w:r>
        <w:rPr>
          <w:color w:val="auto"/>
          <w:sz w:val="24"/>
          <w:szCs w:val="24"/>
          <w:highlight w:val="none"/>
        </w:rPr>
        <w:fldChar w:fldCharType="separate"/>
      </w:r>
      <w:r>
        <w:rPr>
          <w:color w:val="auto"/>
          <w:sz w:val="24"/>
          <w:szCs w:val="24"/>
          <w:highlight w:val="none"/>
        </w:rPr>
        <w:t>- 56 -</w:t>
      </w:r>
      <w:r>
        <w:rPr>
          <w:color w:val="auto"/>
          <w:sz w:val="24"/>
          <w:szCs w:val="24"/>
          <w:highlight w:val="none"/>
        </w:rPr>
        <w:fldChar w:fldCharType="end"/>
      </w:r>
      <w:r>
        <w:rPr>
          <w:rFonts w:hint="eastAsia" w:ascii="宋体" w:hAnsi="宋体" w:eastAsia="宋体" w:cs="宋体"/>
          <w:caps w:val="0"/>
          <w:smallCaps w:val="0"/>
          <w:color w:val="auto"/>
          <w:spacing w:val="0"/>
          <w:sz w:val="24"/>
          <w:szCs w:val="24"/>
          <w:highlight w:val="none"/>
        </w:rPr>
        <w:fldChar w:fldCharType="end"/>
      </w:r>
    </w:p>
    <w:p w14:paraId="066E7EF7">
      <w:pPr>
        <w:pStyle w:val="24"/>
        <w:keepNext w:val="0"/>
        <w:keepLines w:val="0"/>
        <w:pageBreakBefore w:val="0"/>
        <w:widowControl w:val="0"/>
        <w:tabs>
          <w:tab w:val="right" w:leader="dot" w:pos="8306"/>
        </w:tabs>
        <w:kinsoku/>
        <w:wordWrap/>
        <w:overflowPunct/>
        <w:topLinePunct w:val="0"/>
        <w:autoSpaceDE/>
        <w:autoSpaceDN/>
        <w:bidi w:val="0"/>
        <w:adjustRightInd/>
        <w:snapToGrid/>
        <w:spacing w:line="400" w:lineRule="exact"/>
        <w:jc w:val="both"/>
        <w:textAlignment w:val="auto"/>
        <w:rPr>
          <w:color w:val="auto"/>
          <w:sz w:val="24"/>
          <w:szCs w:val="24"/>
          <w:highlight w:val="none"/>
        </w:rPr>
      </w:pPr>
      <w:r>
        <w:rPr>
          <w:rFonts w:hint="eastAsia" w:ascii="宋体" w:hAnsi="宋体" w:eastAsia="宋体" w:cs="宋体"/>
          <w:caps w:val="0"/>
          <w:smallCaps w:val="0"/>
          <w:color w:val="auto"/>
          <w:spacing w:val="0"/>
          <w:sz w:val="24"/>
          <w:szCs w:val="24"/>
          <w:highlight w:val="none"/>
        </w:rPr>
        <w:fldChar w:fldCharType="begin"/>
      </w:r>
      <w:r>
        <w:rPr>
          <w:rFonts w:hint="eastAsia" w:ascii="宋体" w:hAnsi="宋体" w:eastAsia="宋体" w:cs="宋体"/>
          <w:caps w:val="0"/>
          <w:smallCaps w:val="0"/>
          <w:color w:val="auto"/>
          <w:spacing w:val="0"/>
          <w:sz w:val="24"/>
          <w:szCs w:val="24"/>
          <w:highlight w:val="none"/>
        </w:rPr>
        <w:instrText xml:space="preserve"> HYPERLINK \l _Toc28158 </w:instrText>
      </w:r>
      <w:r>
        <w:rPr>
          <w:rFonts w:hint="eastAsia" w:ascii="宋体" w:hAnsi="宋体" w:eastAsia="宋体" w:cs="宋体"/>
          <w:caps w:val="0"/>
          <w:smallCaps w:val="0"/>
          <w:color w:val="auto"/>
          <w:spacing w:val="0"/>
          <w:sz w:val="24"/>
          <w:szCs w:val="24"/>
          <w:highlight w:val="none"/>
        </w:rPr>
        <w:fldChar w:fldCharType="separate"/>
      </w:r>
      <w:r>
        <w:rPr>
          <w:rFonts w:hint="eastAsia" w:ascii="宋体" w:hAnsi="宋体" w:eastAsia="宋体" w:cs="宋体"/>
          <w:bCs/>
          <w:color w:val="auto"/>
          <w:kern w:val="44"/>
          <w:sz w:val="24"/>
          <w:szCs w:val="24"/>
          <w:highlight w:val="none"/>
          <w:lang w:val="en-US" w:eastAsia="zh-CN" w:bidi="ar-SA"/>
        </w:rPr>
        <w:t>第五章 评标方法及标准(综合评分法)</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_Toc28158 \h </w:instrText>
      </w:r>
      <w:r>
        <w:rPr>
          <w:color w:val="auto"/>
          <w:sz w:val="24"/>
          <w:szCs w:val="24"/>
          <w:highlight w:val="none"/>
        </w:rPr>
        <w:fldChar w:fldCharType="separate"/>
      </w:r>
      <w:r>
        <w:rPr>
          <w:color w:val="auto"/>
          <w:sz w:val="24"/>
          <w:szCs w:val="24"/>
          <w:highlight w:val="none"/>
        </w:rPr>
        <w:t>- 57 -</w:t>
      </w:r>
      <w:r>
        <w:rPr>
          <w:color w:val="auto"/>
          <w:sz w:val="24"/>
          <w:szCs w:val="24"/>
          <w:highlight w:val="none"/>
        </w:rPr>
        <w:fldChar w:fldCharType="end"/>
      </w:r>
      <w:r>
        <w:rPr>
          <w:rFonts w:hint="eastAsia" w:ascii="宋体" w:hAnsi="宋体" w:eastAsia="宋体" w:cs="宋体"/>
          <w:caps w:val="0"/>
          <w:smallCaps w:val="0"/>
          <w:color w:val="auto"/>
          <w:spacing w:val="0"/>
          <w:sz w:val="24"/>
          <w:szCs w:val="24"/>
          <w:highlight w:val="none"/>
        </w:rPr>
        <w:fldChar w:fldCharType="end"/>
      </w:r>
    </w:p>
    <w:p w14:paraId="146E851C">
      <w:pPr>
        <w:pStyle w:val="28"/>
        <w:keepNext w:val="0"/>
        <w:keepLines w:val="0"/>
        <w:pageBreakBefore w:val="0"/>
        <w:widowControl w:val="0"/>
        <w:tabs>
          <w:tab w:val="right" w:leader="dot" w:pos="8306"/>
        </w:tabs>
        <w:kinsoku/>
        <w:wordWrap/>
        <w:overflowPunct/>
        <w:topLinePunct w:val="0"/>
        <w:autoSpaceDE/>
        <w:autoSpaceDN/>
        <w:bidi w:val="0"/>
        <w:adjustRightInd/>
        <w:snapToGrid/>
        <w:spacing w:line="400" w:lineRule="exact"/>
        <w:jc w:val="both"/>
        <w:textAlignment w:val="auto"/>
        <w:rPr>
          <w:color w:val="auto"/>
          <w:sz w:val="24"/>
          <w:szCs w:val="24"/>
          <w:highlight w:val="none"/>
        </w:rPr>
      </w:pPr>
      <w:r>
        <w:rPr>
          <w:rFonts w:hint="eastAsia" w:ascii="宋体" w:hAnsi="宋体" w:eastAsia="宋体" w:cs="宋体"/>
          <w:caps w:val="0"/>
          <w:smallCaps w:val="0"/>
          <w:color w:val="auto"/>
          <w:spacing w:val="0"/>
          <w:sz w:val="24"/>
          <w:szCs w:val="24"/>
          <w:highlight w:val="none"/>
        </w:rPr>
        <w:fldChar w:fldCharType="begin"/>
      </w:r>
      <w:r>
        <w:rPr>
          <w:rFonts w:hint="eastAsia" w:ascii="宋体" w:hAnsi="宋体" w:eastAsia="宋体" w:cs="宋体"/>
          <w:caps w:val="0"/>
          <w:smallCaps w:val="0"/>
          <w:color w:val="auto"/>
          <w:spacing w:val="0"/>
          <w:sz w:val="24"/>
          <w:szCs w:val="24"/>
          <w:highlight w:val="none"/>
        </w:rPr>
        <w:instrText xml:space="preserve"> HYPERLINK \l _Toc17592 </w:instrText>
      </w:r>
      <w:r>
        <w:rPr>
          <w:rFonts w:hint="eastAsia" w:ascii="宋体" w:hAnsi="宋体" w:eastAsia="宋体" w:cs="宋体"/>
          <w:caps w:val="0"/>
          <w:smallCaps w:val="0"/>
          <w:color w:val="auto"/>
          <w:spacing w:val="0"/>
          <w:sz w:val="24"/>
          <w:szCs w:val="24"/>
          <w:highlight w:val="none"/>
        </w:rPr>
        <w:fldChar w:fldCharType="separate"/>
      </w:r>
      <w:r>
        <w:rPr>
          <w:rFonts w:hint="eastAsia" w:ascii="宋体" w:hAnsi="宋体" w:eastAsia="宋体" w:cs="宋体"/>
          <w:color w:val="auto"/>
          <w:sz w:val="24"/>
          <w:szCs w:val="24"/>
          <w:highlight w:val="none"/>
          <w:lang w:val="zh-CN" w:eastAsia="zh-CN"/>
        </w:rPr>
        <w:t>一、评标</w:t>
      </w:r>
      <w:r>
        <w:rPr>
          <w:rFonts w:hint="eastAsia" w:ascii="宋体" w:hAnsi="宋体" w:eastAsia="宋体" w:cs="宋体"/>
          <w:color w:val="auto"/>
          <w:sz w:val="24"/>
          <w:szCs w:val="24"/>
          <w:highlight w:val="none"/>
          <w:lang w:val="en-US" w:eastAsia="zh-CN"/>
        </w:rPr>
        <w:t>方</w:t>
      </w:r>
      <w:r>
        <w:rPr>
          <w:rFonts w:hint="eastAsia" w:ascii="宋体" w:hAnsi="宋体" w:eastAsia="宋体" w:cs="宋体"/>
          <w:color w:val="auto"/>
          <w:sz w:val="24"/>
          <w:szCs w:val="24"/>
          <w:highlight w:val="none"/>
          <w:lang w:val="zh-CN" w:eastAsia="zh-CN"/>
        </w:rPr>
        <w:t>法</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_Toc17592 \h </w:instrText>
      </w:r>
      <w:r>
        <w:rPr>
          <w:color w:val="auto"/>
          <w:sz w:val="24"/>
          <w:szCs w:val="24"/>
          <w:highlight w:val="none"/>
        </w:rPr>
        <w:fldChar w:fldCharType="separate"/>
      </w:r>
      <w:r>
        <w:rPr>
          <w:color w:val="auto"/>
          <w:sz w:val="24"/>
          <w:szCs w:val="24"/>
          <w:highlight w:val="none"/>
        </w:rPr>
        <w:t>- 57 -</w:t>
      </w:r>
      <w:r>
        <w:rPr>
          <w:color w:val="auto"/>
          <w:sz w:val="24"/>
          <w:szCs w:val="24"/>
          <w:highlight w:val="none"/>
        </w:rPr>
        <w:fldChar w:fldCharType="end"/>
      </w:r>
      <w:r>
        <w:rPr>
          <w:rFonts w:hint="eastAsia" w:ascii="宋体" w:hAnsi="宋体" w:eastAsia="宋体" w:cs="宋体"/>
          <w:caps w:val="0"/>
          <w:smallCaps w:val="0"/>
          <w:color w:val="auto"/>
          <w:spacing w:val="0"/>
          <w:sz w:val="24"/>
          <w:szCs w:val="24"/>
          <w:highlight w:val="none"/>
        </w:rPr>
        <w:fldChar w:fldCharType="end"/>
      </w:r>
    </w:p>
    <w:p w14:paraId="6C1A7BEC">
      <w:pPr>
        <w:pStyle w:val="28"/>
        <w:keepNext w:val="0"/>
        <w:keepLines w:val="0"/>
        <w:pageBreakBefore w:val="0"/>
        <w:widowControl w:val="0"/>
        <w:tabs>
          <w:tab w:val="right" w:leader="dot" w:pos="8306"/>
        </w:tabs>
        <w:kinsoku/>
        <w:wordWrap/>
        <w:overflowPunct/>
        <w:topLinePunct w:val="0"/>
        <w:autoSpaceDE/>
        <w:autoSpaceDN/>
        <w:bidi w:val="0"/>
        <w:adjustRightInd/>
        <w:snapToGrid/>
        <w:spacing w:line="400" w:lineRule="exact"/>
        <w:jc w:val="both"/>
        <w:textAlignment w:val="auto"/>
        <w:rPr>
          <w:color w:val="auto"/>
          <w:sz w:val="24"/>
          <w:szCs w:val="24"/>
          <w:highlight w:val="none"/>
        </w:rPr>
      </w:pPr>
      <w:r>
        <w:rPr>
          <w:rFonts w:hint="eastAsia" w:ascii="宋体" w:hAnsi="宋体" w:eastAsia="宋体" w:cs="宋体"/>
          <w:caps w:val="0"/>
          <w:smallCaps w:val="0"/>
          <w:color w:val="auto"/>
          <w:spacing w:val="0"/>
          <w:sz w:val="24"/>
          <w:szCs w:val="24"/>
          <w:highlight w:val="none"/>
        </w:rPr>
        <w:fldChar w:fldCharType="begin"/>
      </w:r>
      <w:r>
        <w:rPr>
          <w:rFonts w:hint="eastAsia" w:ascii="宋体" w:hAnsi="宋体" w:eastAsia="宋体" w:cs="宋体"/>
          <w:caps w:val="0"/>
          <w:smallCaps w:val="0"/>
          <w:color w:val="auto"/>
          <w:spacing w:val="0"/>
          <w:sz w:val="24"/>
          <w:szCs w:val="24"/>
          <w:highlight w:val="none"/>
        </w:rPr>
        <w:instrText xml:space="preserve"> HYPERLINK \l _Toc27095 </w:instrText>
      </w:r>
      <w:r>
        <w:rPr>
          <w:rFonts w:hint="eastAsia" w:ascii="宋体" w:hAnsi="宋体" w:eastAsia="宋体" w:cs="宋体"/>
          <w:caps w:val="0"/>
          <w:smallCaps w:val="0"/>
          <w:color w:val="auto"/>
          <w:spacing w:val="0"/>
          <w:sz w:val="24"/>
          <w:szCs w:val="24"/>
          <w:highlight w:val="none"/>
        </w:rPr>
        <w:fldChar w:fldCharType="separate"/>
      </w:r>
      <w:r>
        <w:rPr>
          <w:rFonts w:hint="eastAsia" w:ascii="宋体" w:hAnsi="宋体" w:eastAsia="宋体" w:cs="宋体"/>
          <w:color w:val="auto"/>
          <w:sz w:val="24"/>
          <w:szCs w:val="24"/>
          <w:highlight w:val="none"/>
          <w:lang w:val="en-US" w:eastAsia="zh-CN"/>
        </w:rPr>
        <w:t>二</w:t>
      </w:r>
      <w:r>
        <w:rPr>
          <w:rFonts w:hint="eastAsia" w:ascii="宋体" w:hAnsi="宋体" w:eastAsia="宋体" w:cs="宋体"/>
          <w:color w:val="auto"/>
          <w:sz w:val="24"/>
          <w:szCs w:val="24"/>
          <w:highlight w:val="none"/>
          <w:lang w:val="zh-CN" w:eastAsia="zh-CN"/>
        </w:rPr>
        <w:t>、评标程序</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_Toc27095 \h </w:instrText>
      </w:r>
      <w:r>
        <w:rPr>
          <w:color w:val="auto"/>
          <w:sz w:val="24"/>
          <w:szCs w:val="24"/>
          <w:highlight w:val="none"/>
        </w:rPr>
        <w:fldChar w:fldCharType="separate"/>
      </w:r>
      <w:r>
        <w:rPr>
          <w:color w:val="auto"/>
          <w:sz w:val="24"/>
          <w:szCs w:val="24"/>
          <w:highlight w:val="none"/>
        </w:rPr>
        <w:t>- 57 -</w:t>
      </w:r>
      <w:r>
        <w:rPr>
          <w:color w:val="auto"/>
          <w:sz w:val="24"/>
          <w:szCs w:val="24"/>
          <w:highlight w:val="none"/>
        </w:rPr>
        <w:fldChar w:fldCharType="end"/>
      </w:r>
      <w:r>
        <w:rPr>
          <w:rFonts w:hint="eastAsia" w:ascii="宋体" w:hAnsi="宋体" w:eastAsia="宋体" w:cs="宋体"/>
          <w:caps w:val="0"/>
          <w:smallCaps w:val="0"/>
          <w:color w:val="auto"/>
          <w:spacing w:val="0"/>
          <w:sz w:val="24"/>
          <w:szCs w:val="24"/>
          <w:highlight w:val="none"/>
        </w:rPr>
        <w:fldChar w:fldCharType="end"/>
      </w:r>
    </w:p>
    <w:p w14:paraId="34D695CF">
      <w:pPr>
        <w:pStyle w:val="28"/>
        <w:keepNext w:val="0"/>
        <w:keepLines w:val="0"/>
        <w:pageBreakBefore w:val="0"/>
        <w:widowControl w:val="0"/>
        <w:tabs>
          <w:tab w:val="right" w:leader="dot" w:pos="8306"/>
        </w:tabs>
        <w:kinsoku/>
        <w:wordWrap/>
        <w:overflowPunct/>
        <w:topLinePunct w:val="0"/>
        <w:autoSpaceDE/>
        <w:autoSpaceDN/>
        <w:bidi w:val="0"/>
        <w:adjustRightInd/>
        <w:snapToGrid/>
        <w:spacing w:line="400" w:lineRule="exact"/>
        <w:jc w:val="both"/>
        <w:textAlignment w:val="auto"/>
        <w:rPr>
          <w:color w:val="auto"/>
          <w:sz w:val="24"/>
          <w:szCs w:val="24"/>
          <w:highlight w:val="none"/>
        </w:rPr>
      </w:pPr>
      <w:r>
        <w:rPr>
          <w:rFonts w:hint="eastAsia" w:ascii="宋体" w:hAnsi="宋体" w:eastAsia="宋体" w:cs="宋体"/>
          <w:caps w:val="0"/>
          <w:smallCaps w:val="0"/>
          <w:color w:val="auto"/>
          <w:spacing w:val="0"/>
          <w:sz w:val="24"/>
          <w:szCs w:val="24"/>
          <w:highlight w:val="none"/>
        </w:rPr>
        <w:fldChar w:fldCharType="begin"/>
      </w:r>
      <w:r>
        <w:rPr>
          <w:rFonts w:hint="eastAsia" w:ascii="宋体" w:hAnsi="宋体" w:eastAsia="宋体" w:cs="宋体"/>
          <w:caps w:val="0"/>
          <w:smallCaps w:val="0"/>
          <w:color w:val="auto"/>
          <w:spacing w:val="0"/>
          <w:sz w:val="24"/>
          <w:szCs w:val="24"/>
          <w:highlight w:val="none"/>
        </w:rPr>
        <w:instrText xml:space="preserve"> HYPERLINK \l _Toc5253 </w:instrText>
      </w:r>
      <w:r>
        <w:rPr>
          <w:rFonts w:hint="eastAsia" w:ascii="宋体" w:hAnsi="宋体" w:eastAsia="宋体" w:cs="宋体"/>
          <w:caps w:val="0"/>
          <w:smallCaps w:val="0"/>
          <w:color w:val="auto"/>
          <w:spacing w:val="0"/>
          <w:sz w:val="24"/>
          <w:szCs w:val="24"/>
          <w:highlight w:val="none"/>
        </w:rPr>
        <w:fldChar w:fldCharType="separate"/>
      </w:r>
      <w:r>
        <w:rPr>
          <w:rFonts w:hint="eastAsia" w:ascii="宋体" w:hAnsi="宋体" w:eastAsia="宋体" w:cs="宋体"/>
          <w:color w:val="auto"/>
          <w:sz w:val="24"/>
          <w:szCs w:val="24"/>
          <w:highlight w:val="none"/>
          <w:lang w:val="zh-CN" w:eastAsia="zh-CN"/>
        </w:rPr>
        <w:t>三、评标</w:t>
      </w:r>
      <w:r>
        <w:rPr>
          <w:rFonts w:hint="eastAsia" w:ascii="宋体" w:hAnsi="宋体" w:eastAsia="宋体" w:cs="宋体"/>
          <w:color w:val="auto"/>
          <w:sz w:val="24"/>
          <w:szCs w:val="24"/>
          <w:highlight w:val="none"/>
          <w:lang w:val="en-US" w:eastAsia="zh-CN"/>
        </w:rPr>
        <w:t>其他要求</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_Toc5253 \h </w:instrText>
      </w:r>
      <w:r>
        <w:rPr>
          <w:color w:val="auto"/>
          <w:sz w:val="24"/>
          <w:szCs w:val="24"/>
          <w:highlight w:val="none"/>
        </w:rPr>
        <w:fldChar w:fldCharType="separate"/>
      </w:r>
      <w:r>
        <w:rPr>
          <w:color w:val="auto"/>
          <w:sz w:val="24"/>
          <w:szCs w:val="24"/>
          <w:highlight w:val="none"/>
        </w:rPr>
        <w:t>- 65 -</w:t>
      </w:r>
      <w:r>
        <w:rPr>
          <w:color w:val="auto"/>
          <w:sz w:val="24"/>
          <w:szCs w:val="24"/>
          <w:highlight w:val="none"/>
        </w:rPr>
        <w:fldChar w:fldCharType="end"/>
      </w:r>
      <w:r>
        <w:rPr>
          <w:rFonts w:hint="eastAsia" w:ascii="宋体" w:hAnsi="宋体" w:eastAsia="宋体" w:cs="宋体"/>
          <w:caps w:val="0"/>
          <w:smallCaps w:val="0"/>
          <w:color w:val="auto"/>
          <w:spacing w:val="0"/>
          <w:sz w:val="24"/>
          <w:szCs w:val="24"/>
          <w:highlight w:val="none"/>
        </w:rPr>
        <w:fldChar w:fldCharType="end"/>
      </w:r>
    </w:p>
    <w:p w14:paraId="15F2D6B9">
      <w:pPr>
        <w:pStyle w:val="28"/>
        <w:keepNext w:val="0"/>
        <w:keepLines w:val="0"/>
        <w:pageBreakBefore w:val="0"/>
        <w:widowControl w:val="0"/>
        <w:tabs>
          <w:tab w:val="right" w:leader="dot" w:pos="8306"/>
        </w:tabs>
        <w:kinsoku/>
        <w:wordWrap/>
        <w:overflowPunct/>
        <w:topLinePunct w:val="0"/>
        <w:autoSpaceDE/>
        <w:autoSpaceDN/>
        <w:bidi w:val="0"/>
        <w:adjustRightInd/>
        <w:snapToGrid/>
        <w:spacing w:line="400" w:lineRule="exact"/>
        <w:jc w:val="both"/>
        <w:textAlignment w:val="auto"/>
        <w:rPr>
          <w:color w:val="auto"/>
          <w:sz w:val="24"/>
          <w:szCs w:val="24"/>
          <w:highlight w:val="none"/>
        </w:rPr>
      </w:pPr>
      <w:r>
        <w:rPr>
          <w:rFonts w:hint="eastAsia" w:ascii="宋体" w:hAnsi="宋体" w:eastAsia="宋体" w:cs="宋体"/>
          <w:caps w:val="0"/>
          <w:smallCaps w:val="0"/>
          <w:color w:val="auto"/>
          <w:spacing w:val="0"/>
          <w:sz w:val="24"/>
          <w:szCs w:val="24"/>
          <w:highlight w:val="none"/>
        </w:rPr>
        <w:fldChar w:fldCharType="begin"/>
      </w:r>
      <w:r>
        <w:rPr>
          <w:rFonts w:hint="eastAsia" w:ascii="宋体" w:hAnsi="宋体" w:eastAsia="宋体" w:cs="宋体"/>
          <w:caps w:val="0"/>
          <w:smallCaps w:val="0"/>
          <w:color w:val="auto"/>
          <w:spacing w:val="0"/>
          <w:sz w:val="24"/>
          <w:szCs w:val="24"/>
          <w:highlight w:val="none"/>
        </w:rPr>
        <w:instrText xml:space="preserve"> HYPERLINK \l _Toc17549 </w:instrText>
      </w:r>
      <w:r>
        <w:rPr>
          <w:rFonts w:hint="eastAsia" w:ascii="宋体" w:hAnsi="宋体" w:eastAsia="宋体" w:cs="宋体"/>
          <w:caps w:val="0"/>
          <w:smallCaps w:val="0"/>
          <w:color w:val="auto"/>
          <w:spacing w:val="0"/>
          <w:sz w:val="24"/>
          <w:szCs w:val="24"/>
          <w:highlight w:val="none"/>
        </w:rPr>
        <w:fldChar w:fldCharType="separate"/>
      </w:r>
      <w:r>
        <w:rPr>
          <w:rFonts w:hint="eastAsia" w:ascii="宋体" w:hAnsi="宋体" w:eastAsia="宋体" w:cs="宋体"/>
          <w:color w:val="auto"/>
          <w:sz w:val="24"/>
          <w:szCs w:val="24"/>
          <w:highlight w:val="none"/>
          <w:lang w:val="en-US" w:eastAsia="zh-CN"/>
        </w:rPr>
        <w:t>四</w:t>
      </w:r>
      <w:r>
        <w:rPr>
          <w:rFonts w:hint="eastAsia" w:ascii="宋体" w:hAnsi="宋体" w:eastAsia="宋体" w:cs="宋体"/>
          <w:color w:val="auto"/>
          <w:sz w:val="24"/>
          <w:szCs w:val="24"/>
          <w:highlight w:val="none"/>
          <w:lang w:val="zh-CN" w:eastAsia="zh-CN"/>
        </w:rPr>
        <w:t>、评标标准</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_Toc17549 \h </w:instrText>
      </w:r>
      <w:r>
        <w:rPr>
          <w:color w:val="auto"/>
          <w:sz w:val="24"/>
          <w:szCs w:val="24"/>
          <w:highlight w:val="none"/>
        </w:rPr>
        <w:fldChar w:fldCharType="separate"/>
      </w:r>
      <w:r>
        <w:rPr>
          <w:b/>
        </w:rPr>
        <w:t>错误！未定义书签。</w:t>
      </w:r>
      <w:r>
        <w:rPr>
          <w:color w:val="auto"/>
          <w:sz w:val="24"/>
          <w:szCs w:val="24"/>
          <w:highlight w:val="none"/>
        </w:rPr>
        <w:fldChar w:fldCharType="end"/>
      </w:r>
      <w:r>
        <w:rPr>
          <w:rFonts w:hint="eastAsia" w:ascii="宋体" w:hAnsi="宋体" w:eastAsia="宋体" w:cs="宋体"/>
          <w:caps w:val="0"/>
          <w:smallCaps w:val="0"/>
          <w:color w:val="auto"/>
          <w:spacing w:val="0"/>
          <w:sz w:val="24"/>
          <w:szCs w:val="24"/>
          <w:highlight w:val="none"/>
        </w:rPr>
        <w:fldChar w:fldCharType="end"/>
      </w:r>
    </w:p>
    <w:p w14:paraId="6B3FEB76">
      <w:pPr>
        <w:pStyle w:val="24"/>
        <w:keepNext w:val="0"/>
        <w:keepLines w:val="0"/>
        <w:pageBreakBefore w:val="0"/>
        <w:widowControl w:val="0"/>
        <w:tabs>
          <w:tab w:val="right" w:leader="dot" w:pos="8306"/>
        </w:tabs>
        <w:kinsoku/>
        <w:wordWrap/>
        <w:overflowPunct/>
        <w:topLinePunct w:val="0"/>
        <w:autoSpaceDE/>
        <w:autoSpaceDN/>
        <w:bidi w:val="0"/>
        <w:adjustRightInd/>
        <w:snapToGrid/>
        <w:spacing w:line="400" w:lineRule="exact"/>
        <w:jc w:val="both"/>
        <w:textAlignment w:val="auto"/>
        <w:rPr>
          <w:color w:val="auto"/>
          <w:sz w:val="24"/>
          <w:szCs w:val="24"/>
          <w:highlight w:val="none"/>
        </w:rPr>
      </w:pPr>
      <w:r>
        <w:rPr>
          <w:rFonts w:hint="eastAsia" w:ascii="宋体" w:hAnsi="宋体" w:eastAsia="宋体" w:cs="宋体"/>
          <w:caps w:val="0"/>
          <w:smallCaps w:val="0"/>
          <w:color w:val="auto"/>
          <w:spacing w:val="0"/>
          <w:sz w:val="24"/>
          <w:szCs w:val="24"/>
          <w:highlight w:val="none"/>
        </w:rPr>
        <w:fldChar w:fldCharType="begin"/>
      </w:r>
      <w:r>
        <w:rPr>
          <w:rFonts w:hint="eastAsia" w:ascii="宋体" w:hAnsi="宋体" w:eastAsia="宋体" w:cs="宋体"/>
          <w:caps w:val="0"/>
          <w:smallCaps w:val="0"/>
          <w:color w:val="auto"/>
          <w:spacing w:val="0"/>
          <w:sz w:val="24"/>
          <w:szCs w:val="24"/>
          <w:highlight w:val="none"/>
        </w:rPr>
        <w:instrText xml:space="preserve"> HYPERLINK \l _Toc27054 </w:instrText>
      </w:r>
      <w:r>
        <w:rPr>
          <w:rFonts w:hint="eastAsia" w:ascii="宋体" w:hAnsi="宋体" w:eastAsia="宋体" w:cs="宋体"/>
          <w:caps w:val="0"/>
          <w:smallCaps w:val="0"/>
          <w:color w:val="auto"/>
          <w:spacing w:val="0"/>
          <w:sz w:val="24"/>
          <w:szCs w:val="24"/>
          <w:highlight w:val="none"/>
        </w:rPr>
        <w:fldChar w:fldCharType="separate"/>
      </w:r>
      <w:r>
        <w:rPr>
          <w:rFonts w:hint="eastAsia" w:ascii="宋体" w:hAnsi="宋体" w:eastAsia="宋体" w:cs="宋体"/>
          <w:bCs/>
          <w:color w:val="auto"/>
          <w:kern w:val="44"/>
          <w:sz w:val="24"/>
          <w:szCs w:val="24"/>
          <w:highlight w:val="none"/>
          <w:lang w:val="en-US" w:eastAsia="zh-CN" w:bidi="ar-SA"/>
        </w:rPr>
        <w:t>第五章 评标方法及标准(</w:t>
      </w:r>
      <w:r>
        <w:rPr>
          <w:rFonts w:hint="eastAsia" w:ascii="宋体" w:eastAsia="宋体" w:cs="宋体"/>
          <w:bCs/>
          <w:color w:val="auto"/>
          <w:kern w:val="44"/>
          <w:sz w:val="24"/>
          <w:szCs w:val="24"/>
          <w:highlight w:val="none"/>
          <w:lang w:val="en-US" w:eastAsia="zh-CN" w:bidi="ar-SA"/>
        </w:rPr>
        <w:t>最低</w:t>
      </w:r>
      <w:r>
        <w:rPr>
          <w:rFonts w:hint="eastAsia" w:ascii="宋体" w:hAnsi="宋体" w:eastAsia="宋体" w:cs="宋体"/>
          <w:bCs/>
          <w:color w:val="auto"/>
          <w:kern w:val="44"/>
          <w:sz w:val="24"/>
          <w:szCs w:val="24"/>
          <w:highlight w:val="none"/>
          <w:lang w:val="en-US" w:eastAsia="zh-CN" w:bidi="ar-SA"/>
        </w:rPr>
        <w:t>评标价法)</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_Toc27054 \h </w:instrText>
      </w:r>
      <w:r>
        <w:rPr>
          <w:color w:val="auto"/>
          <w:sz w:val="24"/>
          <w:szCs w:val="24"/>
          <w:highlight w:val="none"/>
        </w:rPr>
        <w:fldChar w:fldCharType="separate"/>
      </w:r>
      <w:r>
        <w:rPr>
          <w:b/>
        </w:rPr>
        <w:t>错误！未定义书签。</w:t>
      </w:r>
      <w:r>
        <w:rPr>
          <w:color w:val="auto"/>
          <w:sz w:val="24"/>
          <w:szCs w:val="24"/>
          <w:highlight w:val="none"/>
        </w:rPr>
        <w:fldChar w:fldCharType="end"/>
      </w:r>
      <w:r>
        <w:rPr>
          <w:rFonts w:hint="eastAsia" w:ascii="宋体" w:hAnsi="宋体" w:eastAsia="宋体" w:cs="宋体"/>
          <w:caps w:val="0"/>
          <w:smallCaps w:val="0"/>
          <w:color w:val="auto"/>
          <w:spacing w:val="0"/>
          <w:sz w:val="24"/>
          <w:szCs w:val="24"/>
          <w:highlight w:val="none"/>
        </w:rPr>
        <w:fldChar w:fldCharType="end"/>
      </w:r>
    </w:p>
    <w:p w14:paraId="402F61FF">
      <w:pPr>
        <w:pStyle w:val="28"/>
        <w:keepNext w:val="0"/>
        <w:keepLines w:val="0"/>
        <w:pageBreakBefore w:val="0"/>
        <w:widowControl w:val="0"/>
        <w:tabs>
          <w:tab w:val="right" w:leader="dot" w:pos="8306"/>
        </w:tabs>
        <w:kinsoku/>
        <w:wordWrap/>
        <w:overflowPunct/>
        <w:topLinePunct w:val="0"/>
        <w:autoSpaceDE/>
        <w:autoSpaceDN/>
        <w:bidi w:val="0"/>
        <w:adjustRightInd/>
        <w:snapToGrid/>
        <w:spacing w:line="400" w:lineRule="exact"/>
        <w:jc w:val="both"/>
        <w:textAlignment w:val="auto"/>
        <w:rPr>
          <w:color w:val="auto"/>
          <w:sz w:val="24"/>
          <w:szCs w:val="24"/>
          <w:highlight w:val="none"/>
        </w:rPr>
      </w:pPr>
      <w:r>
        <w:rPr>
          <w:rFonts w:hint="eastAsia" w:ascii="宋体" w:hAnsi="宋体" w:eastAsia="宋体" w:cs="宋体"/>
          <w:caps w:val="0"/>
          <w:smallCaps w:val="0"/>
          <w:color w:val="auto"/>
          <w:spacing w:val="0"/>
          <w:sz w:val="24"/>
          <w:szCs w:val="24"/>
          <w:highlight w:val="none"/>
        </w:rPr>
        <w:fldChar w:fldCharType="begin"/>
      </w:r>
      <w:r>
        <w:rPr>
          <w:rFonts w:hint="eastAsia" w:ascii="宋体" w:hAnsi="宋体" w:eastAsia="宋体" w:cs="宋体"/>
          <w:caps w:val="0"/>
          <w:smallCaps w:val="0"/>
          <w:color w:val="auto"/>
          <w:spacing w:val="0"/>
          <w:sz w:val="24"/>
          <w:szCs w:val="24"/>
          <w:highlight w:val="none"/>
        </w:rPr>
        <w:instrText xml:space="preserve"> HYPERLINK \l _Toc19026 </w:instrText>
      </w:r>
      <w:r>
        <w:rPr>
          <w:rFonts w:hint="eastAsia" w:ascii="宋体" w:hAnsi="宋体" w:eastAsia="宋体" w:cs="宋体"/>
          <w:caps w:val="0"/>
          <w:smallCaps w:val="0"/>
          <w:color w:val="auto"/>
          <w:spacing w:val="0"/>
          <w:sz w:val="24"/>
          <w:szCs w:val="24"/>
          <w:highlight w:val="none"/>
        </w:rPr>
        <w:fldChar w:fldCharType="separate"/>
      </w:r>
      <w:r>
        <w:rPr>
          <w:rFonts w:hint="eastAsia"/>
          <w:color w:val="auto"/>
          <w:sz w:val="24"/>
          <w:szCs w:val="24"/>
          <w:highlight w:val="none"/>
          <w:lang w:val="zh-CN" w:eastAsia="zh-CN"/>
        </w:rPr>
        <w:t>一、评标</w:t>
      </w:r>
      <w:r>
        <w:rPr>
          <w:rFonts w:hint="eastAsia"/>
          <w:color w:val="auto"/>
          <w:sz w:val="24"/>
          <w:szCs w:val="24"/>
          <w:highlight w:val="none"/>
          <w:lang w:val="en-US" w:eastAsia="zh-CN"/>
        </w:rPr>
        <w:t>方</w:t>
      </w:r>
      <w:r>
        <w:rPr>
          <w:rFonts w:hint="eastAsia"/>
          <w:color w:val="auto"/>
          <w:sz w:val="24"/>
          <w:szCs w:val="24"/>
          <w:highlight w:val="none"/>
          <w:lang w:val="zh-CN" w:eastAsia="zh-CN"/>
        </w:rPr>
        <w:t>法</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_Toc19026 \h </w:instrText>
      </w:r>
      <w:r>
        <w:rPr>
          <w:color w:val="auto"/>
          <w:sz w:val="24"/>
          <w:szCs w:val="24"/>
          <w:highlight w:val="none"/>
        </w:rPr>
        <w:fldChar w:fldCharType="separate"/>
      </w:r>
      <w:r>
        <w:rPr>
          <w:b/>
        </w:rPr>
        <w:t>错误！未定义书签。</w:t>
      </w:r>
      <w:r>
        <w:rPr>
          <w:color w:val="auto"/>
          <w:sz w:val="24"/>
          <w:szCs w:val="24"/>
          <w:highlight w:val="none"/>
        </w:rPr>
        <w:fldChar w:fldCharType="end"/>
      </w:r>
      <w:r>
        <w:rPr>
          <w:rFonts w:hint="eastAsia" w:ascii="宋体" w:hAnsi="宋体" w:eastAsia="宋体" w:cs="宋体"/>
          <w:caps w:val="0"/>
          <w:smallCaps w:val="0"/>
          <w:color w:val="auto"/>
          <w:spacing w:val="0"/>
          <w:sz w:val="24"/>
          <w:szCs w:val="24"/>
          <w:highlight w:val="none"/>
        </w:rPr>
        <w:fldChar w:fldCharType="end"/>
      </w:r>
    </w:p>
    <w:p w14:paraId="69E8F4BE">
      <w:pPr>
        <w:pStyle w:val="28"/>
        <w:keepNext w:val="0"/>
        <w:keepLines w:val="0"/>
        <w:pageBreakBefore w:val="0"/>
        <w:widowControl w:val="0"/>
        <w:tabs>
          <w:tab w:val="right" w:leader="dot" w:pos="8306"/>
        </w:tabs>
        <w:kinsoku/>
        <w:wordWrap/>
        <w:overflowPunct/>
        <w:topLinePunct w:val="0"/>
        <w:autoSpaceDE/>
        <w:autoSpaceDN/>
        <w:bidi w:val="0"/>
        <w:adjustRightInd/>
        <w:snapToGrid/>
        <w:spacing w:line="400" w:lineRule="exact"/>
        <w:jc w:val="both"/>
        <w:textAlignment w:val="auto"/>
        <w:rPr>
          <w:color w:val="auto"/>
          <w:sz w:val="24"/>
          <w:szCs w:val="24"/>
          <w:highlight w:val="none"/>
        </w:rPr>
      </w:pPr>
      <w:r>
        <w:rPr>
          <w:rFonts w:hint="eastAsia" w:ascii="宋体" w:hAnsi="宋体" w:eastAsia="宋体" w:cs="宋体"/>
          <w:caps w:val="0"/>
          <w:smallCaps w:val="0"/>
          <w:color w:val="auto"/>
          <w:spacing w:val="0"/>
          <w:sz w:val="24"/>
          <w:szCs w:val="24"/>
          <w:highlight w:val="none"/>
        </w:rPr>
        <w:fldChar w:fldCharType="begin"/>
      </w:r>
      <w:r>
        <w:rPr>
          <w:rFonts w:hint="eastAsia" w:ascii="宋体" w:hAnsi="宋体" w:eastAsia="宋体" w:cs="宋体"/>
          <w:caps w:val="0"/>
          <w:smallCaps w:val="0"/>
          <w:color w:val="auto"/>
          <w:spacing w:val="0"/>
          <w:sz w:val="24"/>
          <w:szCs w:val="24"/>
          <w:highlight w:val="none"/>
        </w:rPr>
        <w:instrText xml:space="preserve"> HYPERLINK \l _Toc10558 </w:instrText>
      </w:r>
      <w:r>
        <w:rPr>
          <w:rFonts w:hint="eastAsia" w:ascii="宋体" w:hAnsi="宋体" w:eastAsia="宋体" w:cs="宋体"/>
          <w:caps w:val="0"/>
          <w:smallCaps w:val="0"/>
          <w:color w:val="auto"/>
          <w:spacing w:val="0"/>
          <w:sz w:val="24"/>
          <w:szCs w:val="24"/>
          <w:highlight w:val="none"/>
        </w:rPr>
        <w:fldChar w:fldCharType="separate"/>
      </w:r>
      <w:r>
        <w:rPr>
          <w:rFonts w:hint="eastAsia"/>
          <w:color w:val="auto"/>
          <w:sz w:val="24"/>
          <w:szCs w:val="24"/>
          <w:highlight w:val="none"/>
          <w:lang w:val="zh-CN" w:eastAsia="zh-CN"/>
        </w:rPr>
        <w:t>二、评标程序</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_Toc10558 \h </w:instrText>
      </w:r>
      <w:r>
        <w:rPr>
          <w:color w:val="auto"/>
          <w:sz w:val="24"/>
          <w:szCs w:val="24"/>
          <w:highlight w:val="none"/>
        </w:rPr>
        <w:fldChar w:fldCharType="separate"/>
      </w:r>
      <w:r>
        <w:rPr>
          <w:b/>
        </w:rPr>
        <w:t>错误！未定义书签。</w:t>
      </w:r>
      <w:r>
        <w:rPr>
          <w:color w:val="auto"/>
          <w:sz w:val="24"/>
          <w:szCs w:val="24"/>
          <w:highlight w:val="none"/>
        </w:rPr>
        <w:fldChar w:fldCharType="end"/>
      </w:r>
      <w:r>
        <w:rPr>
          <w:rFonts w:hint="eastAsia" w:ascii="宋体" w:hAnsi="宋体" w:eastAsia="宋体" w:cs="宋体"/>
          <w:caps w:val="0"/>
          <w:smallCaps w:val="0"/>
          <w:color w:val="auto"/>
          <w:spacing w:val="0"/>
          <w:sz w:val="24"/>
          <w:szCs w:val="24"/>
          <w:highlight w:val="none"/>
        </w:rPr>
        <w:fldChar w:fldCharType="end"/>
      </w:r>
    </w:p>
    <w:p w14:paraId="24D06964">
      <w:pPr>
        <w:pStyle w:val="28"/>
        <w:keepNext w:val="0"/>
        <w:keepLines w:val="0"/>
        <w:pageBreakBefore w:val="0"/>
        <w:widowControl w:val="0"/>
        <w:tabs>
          <w:tab w:val="right" w:leader="dot" w:pos="8306"/>
        </w:tabs>
        <w:kinsoku/>
        <w:wordWrap/>
        <w:overflowPunct/>
        <w:topLinePunct w:val="0"/>
        <w:autoSpaceDE/>
        <w:autoSpaceDN/>
        <w:bidi w:val="0"/>
        <w:adjustRightInd/>
        <w:snapToGrid/>
        <w:spacing w:line="400" w:lineRule="exact"/>
        <w:jc w:val="both"/>
        <w:textAlignment w:val="auto"/>
        <w:rPr>
          <w:color w:val="auto"/>
          <w:sz w:val="24"/>
          <w:szCs w:val="24"/>
          <w:highlight w:val="none"/>
        </w:rPr>
      </w:pPr>
      <w:r>
        <w:rPr>
          <w:rFonts w:hint="eastAsia" w:ascii="宋体" w:hAnsi="宋体" w:eastAsia="宋体" w:cs="宋体"/>
          <w:caps w:val="0"/>
          <w:smallCaps w:val="0"/>
          <w:color w:val="auto"/>
          <w:spacing w:val="0"/>
          <w:sz w:val="24"/>
          <w:szCs w:val="24"/>
          <w:highlight w:val="none"/>
        </w:rPr>
        <w:fldChar w:fldCharType="begin"/>
      </w:r>
      <w:r>
        <w:rPr>
          <w:rFonts w:hint="eastAsia" w:ascii="宋体" w:hAnsi="宋体" w:eastAsia="宋体" w:cs="宋体"/>
          <w:caps w:val="0"/>
          <w:smallCaps w:val="0"/>
          <w:color w:val="auto"/>
          <w:spacing w:val="0"/>
          <w:sz w:val="24"/>
          <w:szCs w:val="24"/>
          <w:highlight w:val="none"/>
        </w:rPr>
        <w:instrText xml:space="preserve"> HYPERLINK \l _Toc30493 </w:instrText>
      </w:r>
      <w:r>
        <w:rPr>
          <w:rFonts w:hint="eastAsia" w:ascii="宋体" w:hAnsi="宋体" w:eastAsia="宋体" w:cs="宋体"/>
          <w:caps w:val="0"/>
          <w:smallCaps w:val="0"/>
          <w:color w:val="auto"/>
          <w:spacing w:val="0"/>
          <w:sz w:val="24"/>
          <w:szCs w:val="24"/>
          <w:highlight w:val="none"/>
        </w:rPr>
        <w:fldChar w:fldCharType="separate"/>
      </w:r>
      <w:r>
        <w:rPr>
          <w:rFonts w:hint="eastAsia" w:ascii="等线 Light" w:hAnsi="等线 Light" w:eastAsia="宋体" w:cs="Times New Roman"/>
          <w:bCs/>
          <w:color w:val="auto"/>
          <w:kern w:val="2"/>
          <w:sz w:val="24"/>
          <w:szCs w:val="24"/>
          <w:highlight w:val="none"/>
          <w:lang w:val="zh-CN" w:eastAsia="zh-CN" w:bidi="ar-SA"/>
        </w:rPr>
        <w:t>三、评标</w:t>
      </w:r>
      <w:r>
        <w:rPr>
          <w:rFonts w:hint="eastAsia" w:ascii="等线 Light" w:hAnsi="等线 Light" w:eastAsia="宋体" w:cs="Times New Roman"/>
          <w:bCs/>
          <w:color w:val="auto"/>
          <w:kern w:val="2"/>
          <w:sz w:val="24"/>
          <w:szCs w:val="24"/>
          <w:highlight w:val="none"/>
          <w:lang w:val="en-US" w:eastAsia="zh-CN" w:bidi="ar-SA"/>
        </w:rPr>
        <w:t>其他要求</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_Toc30493 \h </w:instrText>
      </w:r>
      <w:r>
        <w:rPr>
          <w:color w:val="auto"/>
          <w:sz w:val="24"/>
          <w:szCs w:val="24"/>
          <w:highlight w:val="none"/>
        </w:rPr>
        <w:fldChar w:fldCharType="separate"/>
      </w:r>
      <w:r>
        <w:rPr>
          <w:b/>
        </w:rPr>
        <w:t>错误！未定义书签。</w:t>
      </w:r>
      <w:r>
        <w:rPr>
          <w:color w:val="auto"/>
          <w:sz w:val="24"/>
          <w:szCs w:val="24"/>
          <w:highlight w:val="none"/>
        </w:rPr>
        <w:fldChar w:fldCharType="end"/>
      </w:r>
      <w:r>
        <w:rPr>
          <w:rFonts w:hint="eastAsia" w:ascii="宋体" w:hAnsi="宋体" w:eastAsia="宋体" w:cs="宋体"/>
          <w:caps w:val="0"/>
          <w:smallCaps w:val="0"/>
          <w:color w:val="auto"/>
          <w:spacing w:val="0"/>
          <w:sz w:val="24"/>
          <w:szCs w:val="24"/>
          <w:highlight w:val="none"/>
        </w:rPr>
        <w:fldChar w:fldCharType="end"/>
      </w:r>
    </w:p>
    <w:p w14:paraId="7162C272">
      <w:pPr>
        <w:pStyle w:val="28"/>
        <w:keepNext w:val="0"/>
        <w:keepLines w:val="0"/>
        <w:pageBreakBefore w:val="0"/>
        <w:widowControl w:val="0"/>
        <w:tabs>
          <w:tab w:val="right" w:leader="dot" w:pos="8306"/>
        </w:tabs>
        <w:kinsoku/>
        <w:wordWrap/>
        <w:overflowPunct/>
        <w:topLinePunct w:val="0"/>
        <w:autoSpaceDE/>
        <w:autoSpaceDN/>
        <w:bidi w:val="0"/>
        <w:adjustRightInd/>
        <w:snapToGrid/>
        <w:spacing w:line="400" w:lineRule="exact"/>
        <w:jc w:val="both"/>
        <w:textAlignment w:val="auto"/>
        <w:rPr>
          <w:color w:val="auto"/>
          <w:sz w:val="24"/>
          <w:szCs w:val="24"/>
          <w:highlight w:val="none"/>
        </w:rPr>
      </w:pPr>
      <w:r>
        <w:rPr>
          <w:rFonts w:hint="eastAsia" w:ascii="宋体" w:hAnsi="宋体" w:eastAsia="宋体" w:cs="宋体"/>
          <w:caps w:val="0"/>
          <w:smallCaps w:val="0"/>
          <w:color w:val="auto"/>
          <w:spacing w:val="0"/>
          <w:sz w:val="24"/>
          <w:szCs w:val="24"/>
          <w:highlight w:val="none"/>
        </w:rPr>
        <w:fldChar w:fldCharType="begin"/>
      </w:r>
      <w:r>
        <w:rPr>
          <w:rFonts w:hint="eastAsia" w:ascii="宋体" w:hAnsi="宋体" w:eastAsia="宋体" w:cs="宋体"/>
          <w:caps w:val="0"/>
          <w:smallCaps w:val="0"/>
          <w:color w:val="auto"/>
          <w:spacing w:val="0"/>
          <w:sz w:val="24"/>
          <w:szCs w:val="24"/>
          <w:highlight w:val="none"/>
        </w:rPr>
        <w:instrText xml:space="preserve"> HYPERLINK \l _Toc17927 </w:instrText>
      </w:r>
      <w:r>
        <w:rPr>
          <w:rFonts w:hint="eastAsia" w:ascii="宋体" w:hAnsi="宋体" w:eastAsia="宋体" w:cs="宋体"/>
          <w:caps w:val="0"/>
          <w:smallCaps w:val="0"/>
          <w:color w:val="auto"/>
          <w:spacing w:val="0"/>
          <w:sz w:val="24"/>
          <w:szCs w:val="24"/>
          <w:highlight w:val="none"/>
        </w:rPr>
        <w:fldChar w:fldCharType="separate"/>
      </w:r>
      <w:r>
        <w:rPr>
          <w:rFonts w:hint="eastAsia" w:ascii="等线 Light" w:hAnsi="等线 Light" w:eastAsia="宋体" w:cs="Times New Roman"/>
          <w:bCs/>
          <w:color w:val="auto"/>
          <w:kern w:val="2"/>
          <w:sz w:val="24"/>
          <w:szCs w:val="24"/>
          <w:highlight w:val="none"/>
          <w:lang w:val="en-US" w:eastAsia="zh-CN" w:bidi="ar-SA"/>
        </w:rPr>
        <w:t>四</w:t>
      </w:r>
      <w:r>
        <w:rPr>
          <w:rFonts w:hint="eastAsia" w:ascii="等线 Light" w:hAnsi="等线 Light" w:eastAsia="宋体" w:cs="Times New Roman"/>
          <w:bCs/>
          <w:color w:val="auto"/>
          <w:kern w:val="2"/>
          <w:sz w:val="24"/>
          <w:szCs w:val="24"/>
          <w:highlight w:val="none"/>
          <w:lang w:val="zh-CN" w:eastAsia="zh-CN" w:bidi="ar-SA"/>
        </w:rPr>
        <w:t>、评标标准</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_Toc17927 \h </w:instrText>
      </w:r>
      <w:r>
        <w:rPr>
          <w:color w:val="auto"/>
          <w:sz w:val="24"/>
          <w:szCs w:val="24"/>
          <w:highlight w:val="none"/>
        </w:rPr>
        <w:fldChar w:fldCharType="separate"/>
      </w:r>
      <w:r>
        <w:rPr>
          <w:b/>
        </w:rPr>
        <w:t>错误！未定义书签。</w:t>
      </w:r>
      <w:r>
        <w:rPr>
          <w:color w:val="auto"/>
          <w:sz w:val="24"/>
          <w:szCs w:val="24"/>
          <w:highlight w:val="none"/>
        </w:rPr>
        <w:fldChar w:fldCharType="end"/>
      </w:r>
      <w:r>
        <w:rPr>
          <w:rFonts w:hint="eastAsia" w:ascii="宋体" w:hAnsi="宋体" w:eastAsia="宋体" w:cs="宋体"/>
          <w:caps w:val="0"/>
          <w:smallCaps w:val="0"/>
          <w:color w:val="auto"/>
          <w:spacing w:val="0"/>
          <w:sz w:val="24"/>
          <w:szCs w:val="24"/>
          <w:highlight w:val="none"/>
        </w:rPr>
        <w:fldChar w:fldCharType="end"/>
      </w:r>
    </w:p>
    <w:p w14:paraId="101F1EE8">
      <w:pPr>
        <w:pStyle w:val="24"/>
        <w:keepNext w:val="0"/>
        <w:keepLines w:val="0"/>
        <w:pageBreakBefore w:val="0"/>
        <w:widowControl w:val="0"/>
        <w:tabs>
          <w:tab w:val="right" w:leader="dot" w:pos="8306"/>
        </w:tabs>
        <w:kinsoku/>
        <w:wordWrap/>
        <w:overflowPunct/>
        <w:topLinePunct w:val="0"/>
        <w:autoSpaceDE/>
        <w:autoSpaceDN/>
        <w:bidi w:val="0"/>
        <w:adjustRightInd/>
        <w:snapToGrid/>
        <w:spacing w:line="400" w:lineRule="exact"/>
        <w:jc w:val="both"/>
        <w:textAlignment w:val="auto"/>
        <w:rPr>
          <w:color w:val="auto"/>
          <w:sz w:val="24"/>
          <w:szCs w:val="24"/>
          <w:highlight w:val="none"/>
        </w:rPr>
      </w:pPr>
      <w:r>
        <w:rPr>
          <w:rFonts w:hint="eastAsia" w:ascii="宋体" w:hAnsi="宋体" w:eastAsia="宋体" w:cs="宋体"/>
          <w:caps w:val="0"/>
          <w:smallCaps w:val="0"/>
          <w:color w:val="auto"/>
          <w:spacing w:val="0"/>
          <w:sz w:val="24"/>
          <w:szCs w:val="24"/>
          <w:highlight w:val="none"/>
        </w:rPr>
        <w:fldChar w:fldCharType="begin"/>
      </w:r>
      <w:r>
        <w:rPr>
          <w:rFonts w:hint="eastAsia" w:ascii="宋体" w:hAnsi="宋体" w:eastAsia="宋体" w:cs="宋体"/>
          <w:caps w:val="0"/>
          <w:smallCaps w:val="0"/>
          <w:color w:val="auto"/>
          <w:spacing w:val="0"/>
          <w:sz w:val="24"/>
          <w:szCs w:val="24"/>
          <w:highlight w:val="none"/>
        </w:rPr>
        <w:instrText xml:space="preserve"> HYPERLINK \l _Toc1640 </w:instrText>
      </w:r>
      <w:r>
        <w:rPr>
          <w:rFonts w:hint="eastAsia" w:ascii="宋体" w:hAnsi="宋体" w:eastAsia="宋体" w:cs="宋体"/>
          <w:caps w:val="0"/>
          <w:smallCaps w:val="0"/>
          <w:color w:val="auto"/>
          <w:spacing w:val="0"/>
          <w:sz w:val="24"/>
          <w:szCs w:val="24"/>
          <w:highlight w:val="none"/>
        </w:rPr>
        <w:fldChar w:fldCharType="separate"/>
      </w:r>
      <w:r>
        <w:rPr>
          <w:rFonts w:hint="eastAsia" w:ascii="宋体" w:hAnsi="宋体" w:eastAsia="宋体" w:cs="宋体"/>
          <w:bCs/>
          <w:color w:val="auto"/>
          <w:kern w:val="44"/>
          <w:sz w:val="24"/>
          <w:szCs w:val="24"/>
          <w:highlight w:val="none"/>
          <w:lang w:val="zh-CN" w:eastAsia="zh-CN" w:bidi="ar-SA"/>
        </w:rPr>
        <w:t>第六章 合同草案</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_Toc1640 \h </w:instrText>
      </w:r>
      <w:r>
        <w:rPr>
          <w:color w:val="auto"/>
          <w:sz w:val="24"/>
          <w:szCs w:val="24"/>
          <w:highlight w:val="none"/>
        </w:rPr>
        <w:fldChar w:fldCharType="separate"/>
      </w:r>
      <w:r>
        <w:rPr>
          <w:color w:val="auto"/>
          <w:sz w:val="24"/>
          <w:szCs w:val="24"/>
          <w:highlight w:val="none"/>
        </w:rPr>
        <w:t>68</w:t>
      </w:r>
      <w:r>
        <w:rPr>
          <w:color w:val="auto"/>
          <w:sz w:val="24"/>
          <w:szCs w:val="24"/>
          <w:highlight w:val="none"/>
        </w:rPr>
        <w:fldChar w:fldCharType="end"/>
      </w:r>
      <w:r>
        <w:rPr>
          <w:rFonts w:hint="eastAsia" w:ascii="宋体" w:hAnsi="宋体" w:eastAsia="宋体" w:cs="宋体"/>
          <w:caps w:val="0"/>
          <w:smallCaps w:val="0"/>
          <w:color w:val="auto"/>
          <w:spacing w:val="0"/>
          <w:sz w:val="24"/>
          <w:szCs w:val="24"/>
          <w:highlight w:val="none"/>
        </w:rPr>
        <w:fldChar w:fldCharType="end"/>
      </w:r>
    </w:p>
    <w:p w14:paraId="369DDF99">
      <w:pPr>
        <w:pStyle w:val="28"/>
        <w:keepNext w:val="0"/>
        <w:keepLines w:val="0"/>
        <w:pageBreakBefore w:val="0"/>
        <w:widowControl w:val="0"/>
        <w:tabs>
          <w:tab w:val="right" w:leader="dot" w:pos="8306"/>
        </w:tabs>
        <w:kinsoku/>
        <w:wordWrap/>
        <w:overflowPunct/>
        <w:topLinePunct w:val="0"/>
        <w:autoSpaceDE/>
        <w:autoSpaceDN/>
        <w:bidi w:val="0"/>
        <w:adjustRightInd/>
        <w:snapToGrid/>
        <w:spacing w:line="400" w:lineRule="exact"/>
        <w:jc w:val="both"/>
        <w:textAlignment w:val="auto"/>
        <w:rPr>
          <w:color w:val="auto"/>
          <w:sz w:val="24"/>
          <w:szCs w:val="24"/>
          <w:highlight w:val="none"/>
        </w:rPr>
      </w:pPr>
      <w:r>
        <w:rPr>
          <w:rFonts w:hint="eastAsia" w:ascii="宋体" w:hAnsi="宋体" w:eastAsia="宋体" w:cs="宋体"/>
          <w:caps w:val="0"/>
          <w:smallCaps w:val="0"/>
          <w:color w:val="auto"/>
          <w:spacing w:val="0"/>
          <w:sz w:val="24"/>
          <w:szCs w:val="24"/>
          <w:highlight w:val="none"/>
        </w:rPr>
        <w:fldChar w:fldCharType="begin"/>
      </w:r>
      <w:r>
        <w:rPr>
          <w:rFonts w:hint="eastAsia" w:ascii="宋体" w:hAnsi="宋体" w:eastAsia="宋体" w:cs="宋体"/>
          <w:caps w:val="0"/>
          <w:smallCaps w:val="0"/>
          <w:color w:val="auto"/>
          <w:spacing w:val="0"/>
          <w:sz w:val="24"/>
          <w:szCs w:val="24"/>
          <w:highlight w:val="none"/>
        </w:rPr>
        <w:instrText xml:space="preserve"> HYPERLINK \l _Toc31195 </w:instrText>
      </w:r>
      <w:r>
        <w:rPr>
          <w:rFonts w:hint="eastAsia" w:ascii="宋体" w:hAnsi="宋体" w:eastAsia="宋体" w:cs="宋体"/>
          <w:caps w:val="0"/>
          <w:smallCaps w:val="0"/>
          <w:color w:val="auto"/>
          <w:spacing w:val="0"/>
          <w:sz w:val="24"/>
          <w:szCs w:val="24"/>
          <w:highlight w:val="none"/>
        </w:rPr>
        <w:fldChar w:fldCharType="separate"/>
      </w:r>
      <w:r>
        <w:rPr>
          <w:rFonts w:hint="eastAsia" w:ascii="宋体" w:hAnsi="宋体" w:eastAsia="宋体" w:cs="宋体"/>
          <w:bCs/>
          <w:color w:val="auto"/>
          <w:spacing w:val="-20"/>
          <w:kern w:val="44"/>
          <w:sz w:val="24"/>
          <w:szCs w:val="24"/>
          <w:highlight w:val="none"/>
          <w:lang w:val="en-US" w:eastAsia="zh-CN" w:bidi="ar-SA"/>
        </w:rPr>
        <w:t>政府采购合同参考范本</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_Toc31195 \h </w:instrText>
      </w:r>
      <w:r>
        <w:rPr>
          <w:color w:val="auto"/>
          <w:sz w:val="24"/>
          <w:szCs w:val="24"/>
          <w:highlight w:val="none"/>
        </w:rPr>
        <w:fldChar w:fldCharType="separate"/>
      </w:r>
      <w:r>
        <w:rPr>
          <w:color w:val="auto"/>
          <w:sz w:val="24"/>
          <w:szCs w:val="24"/>
          <w:highlight w:val="none"/>
        </w:rPr>
        <w:t>68</w:t>
      </w:r>
      <w:r>
        <w:rPr>
          <w:color w:val="auto"/>
          <w:sz w:val="24"/>
          <w:szCs w:val="24"/>
          <w:highlight w:val="none"/>
        </w:rPr>
        <w:fldChar w:fldCharType="end"/>
      </w:r>
      <w:r>
        <w:rPr>
          <w:rFonts w:hint="eastAsia" w:ascii="宋体" w:hAnsi="宋体" w:eastAsia="宋体" w:cs="宋体"/>
          <w:caps w:val="0"/>
          <w:smallCaps w:val="0"/>
          <w:color w:val="auto"/>
          <w:spacing w:val="0"/>
          <w:sz w:val="24"/>
          <w:szCs w:val="24"/>
          <w:highlight w:val="none"/>
        </w:rPr>
        <w:fldChar w:fldCharType="end"/>
      </w:r>
    </w:p>
    <w:p w14:paraId="560A8ED6">
      <w:pPr>
        <w:pStyle w:val="28"/>
        <w:keepNext w:val="0"/>
        <w:keepLines w:val="0"/>
        <w:pageBreakBefore w:val="0"/>
        <w:widowControl w:val="0"/>
        <w:tabs>
          <w:tab w:val="right" w:leader="dot" w:pos="8306"/>
        </w:tabs>
        <w:kinsoku/>
        <w:wordWrap/>
        <w:overflowPunct/>
        <w:topLinePunct w:val="0"/>
        <w:autoSpaceDE/>
        <w:autoSpaceDN/>
        <w:bidi w:val="0"/>
        <w:adjustRightInd/>
        <w:snapToGrid/>
        <w:spacing w:line="400" w:lineRule="exact"/>
        <w:jc w:val="both"/>
        <w:textAlignment w:val="auto"/>
        <w:rPr>
          <w:color w:val="auto"/>
          <w:sz w:val="24"/>
          <w:szCs w:val="24"/>
          <w:highlight w:val="none"/>
        </w:rPr>
      </w:pPr>
      <w:r>
        <w:rPr>
          <w:rFonts w:hint="eastAsia" w:ascii="宋体" w:hAnsi="宋体" w:eastAsia="宋体" w:cs="宋体"/>
          <w:caps w:val="0"/>
          <w:smallCaps w:val="0"/>
          <w:color w:val="auto"/>
          <w:spacing w:val="0"/>
          <w:sz w:val="24"/>
          <w:szCs w:val="24"/>
          <w:highlight w:val="none"/>
        </w:rPr>
        <w:fldChar w:fldCharType="begin"/>
      </w:r>
      <w:r>
        <w:rPr>
          <w:rFonts w:hint="eastAsia" w:ascii="宋体" w:hAnsi="宋体" w:eastAsia="宋体" w:cs="宋体"/>
          <w:caps w:val="0"/>
          <w:smallCaps w:val="0"/>
          <w:color w:val="auto"/>
          <w:spacing w:val="0"/>
          <w:sz w:val="24"/>
          <w:szCs w:val="24"/>
          <w:highlight w:val="none"/>
        </w:rPr>
        <w:instrText xml:space="preserve"> HYPERLINK \l _Toc3569 </w:instrText>
      </w:r>
      <w:r>
        <w:rPr>
          <w:rFonts w:hint="eastAsia" w:ascii="宋体" w:hAnsi="宋体" w:eastAsia="宋体" w:cs="宋体"/>
          <w:caps w:val="0"/>
          <w:smallCaps w:val="0"/>
          <w:color w:val="auto"/>
          <w:spacing w:val="0"/>
          <w:sz w:val="24"/>
          <w:szCs w:val="24"/>
          <w:highlight w:val="none"/>
        </w:rPr>
        <w:fldChar w:fldCharType="separate"/>
      </w:r>
      <w:r>
        <w:rPr>
          <w:rFonts w:hint="eastAsia" w:ascii="宋体" w:hAnsi="宋体" w:eastAsia="宋体" w:cs="宋体"/>
          <w:bCs/>
          <w:color w:val="auto"/>
          <w:spacing w:val="-20"/>
          <w:kern w:val="44"/>
          <w:sz w:val="24"/>
          <w:szCs w:val="24"/>
          <w:highlight w:val="none"/>
          <w:lang w:val="en-US" w:eastAsia="zh-CN" w:bidi="ar-SA"/>
        </w:rPr>
        <w:t>（服务类）</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_Toc3569 \h </w:instrText>
      </w:r>
      <w:r>
        <w:rPr>
          <w:color w:val="auto"/>
          <w:sz w:val="24"/>
          <w:szCs w:val="24"/>
          <w:highlight w:val="none"/>
        </w:rPr>
        <w:fldChar w:fldCharType="separate"/>
      </w:r>
      <w:r>
        <w:rPr>
          <w:color w:val="auto"/>
          <w:sz w:val="24"/>
          <w:szCs w:val="24"/>
          <w:highlight w:val="none"/>
        </w:rPr>
        <w:t>68</w:t>
      </w:r>
      <w:r>
        <w:rPr>
          <w:color w:val="auto"/>
          <w:sz w:val="24"/>
          <w:szCs w:val="24"/>
          <w:highlight w:val="none"/>
        </w:rPr>
        <w:fldChar w:fldCharType="end"/>
      </w:r>
      <w:r>
        <w:rPr>
          <w:rFonts w:hint="eastAsia" w:ascii="宋体" w:hAnsi="宋体" w:eastAsia="宋体" w:cs="宋体"/>
          <w:caps w:val="0"/>
          <w:smallCaps w:val="0"/>
          <w:color w:val="auto"/>
          <w:spacing w:val="0"/>
          <w:sz w:val="24"/>
          <w:szCs w:val="24"/>
          <w:highlight w:val="none"/>
        </w:rPr>
        <w:fldChar w:fldCharType="end"/>
      </w:r>
    </w:p>
    <w:p w14:paraId="12617205">
      <w:pPr>
        <w:pStyle w:val="28"/>
        <w:keepNext w:val="0"/>
        <w:keepLines w:val="0"/>
        <w:pageBreakBefore w:val="0"/>
        <w:widowControl w:val="0"/>
        <w:tabs>
          <w:tab w:val="right" w:leader="dot" w:pos="8306"/>
        </w:tabs>
        <w:kinsoku/>
        <w:wordWrap/>
        <w:overflowPunct/>
        <w:topLinePunct w:val="0"/>
        <w:autoSpaceDE/>
        <w:autoSpaceDN/>
        <w:bidi w:val="0"/>
        <w:adjustRightInd/>
        <w:snapToGrid/>
        <w:spacing w:line="400" w:lineRule="exact"/>
        <w:jc w:val="both"/>
        <w:textAlignment w:val="auto"/>
        <w:rPr>
          <w:color w:val="auto"/>
          <w:sz w:val="24"/>
          <w:szCs w:val="24"/>
          <w:highlight w:val="none"/>
        </w:rPr>
      </w:pPr>
      <w:r>
        <w:rPr>
          <w:rFonts w:hint="eastAsia" w:ascii="宋体" w:hAnsi="宋体" w:eastAsia="宋体" w:cs="宋体"/>
          <w:caps w:val="0"/>
          <w:smallCaps w:val="0"/>
          <w:color w:val="auto"/>
          <w:spacing w:val="0"/>
          <w:sz w:val="24"/>
          <w:szCs w:val="24"/>
          <w:highlight w:val="none"/>
        </w:rPr>
        <w:fldChar w:fldCharType="begin"/>
      </w:r>
      <w:r>
        <w:rPr>
          <w:rFonts w:hint="eastAsia" w:ascii="宋体" w:hAnsi="宋体" w:eastAsia="宋体" w:cs="宋体"/>
          <w:caps w:val="0"/>
          <w:smallCaps w:val="0"/>
          <w:color w:val="auto"/>
          <w:spacing w:val="0"/>
          <w:sz w:val="24"/>
          <w:szCs w:val="24"/>
          <w:highlight w:val="none"/>
        </w:rPr>
        <w:instrText xml:space="preserve"> HYPERLINK \l _Toc8654 </w:instrText>
      </w:r>
      <w:r>
        <w:rPr>
          <w:rFonts w:hint="eastAsia" w:ascii="宋体" w:hAnsi="宋体" w:eastAsia="宋体" w:cs="宋体"/>
          <w:caps w:val="0"/>
          <w:smallCaps w:val="0"/>
          <w:color w:val="auto"/>
          <w:spacing w:val="0"/>
          <w:sz w:val="24"/>
          <w:szCs w:val="24"/>
          <w:highlight w:val="none"/>
        </w:rPr>
        <w:fldChar w:fldCharType="separate"/>
      </w:r>
      <w:r>
        <w:rPr>
          <w:rFonts w:hint="eastAsia" w:ascii="宋体" w:hAnsi="宋体" w:eastAsia="宋体" w:cs="宋体"/>
          <w:color w:val="auto"/>
          <w:sz w:val="24"/>
          <w:szCs w:val="24"/>
          <w:highlight w:val="none"/>
        </w:rPr>
        <w:t>第一部分 合同书</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_Toc8654 \h </w:instrText>
      </w:r>
      <w:r>
        <w:rPr>
          <w:color w:val="auto"/>
          <w:sz w:val="24"/>
          <w:szCs w:val="24"/>
          <w:highlight w:val="none"/>
        </w:rPr>
        <w:fldChar w:fldCharType="separate"/>
      </w:r>
      <w:r>
        <w:rPr>
          <w:color w:val="auto"/>
          <w:sz w:val="24"/>
          <w:szCs w:val="24"/>
          <w:highlight w:val="none"/>
        </w:rPr>
        <w:t>68</w:t>
      </w:r>
      <w:r>
        <w:rPr>
          <w:color w:val="auto"/>
          <w:sz w:val="24"/>
          <w:szCs w:val="24"/>
          <w:highlight w:val="none"/>
        </w:rPr>
        <w:fldChar w:fldCharType="end"/>
      </w:r>
      <w:r>
        <w:rPr>
          <w:rFonts w:hint="eastAsia" w:ascii="宋体" w:hAnsi="宋体" w:eastAsia="宋体" w:cs="宋体"/>
          <w:caps w:val="0"/>
          <w:smallCaps w:val="0"/>
          <w:color w:val="auto"/>
          <w:spacing w:val="0"/>
          <w:sz w:val="24"/>
          <w:szCs w:val="24"/>
          <w:highlight w:val="none"/>
        </w:rPr>
        <w:fldChar w:fldCharType="end"/>
      </w:r>
    </w:p>
    <w:p w14:paraId="4E1B2741">
      <w:pPr>
        <w:pStyle w:val="28"/>
        <w:keepNext w:val="0"/>
        <w:keepLines w:val="0"/>
        <w:pageBreakBefore w:val="0"/>
        <w:widowControl w:val="0"/>
        <w:tabs>
          <w:tab w:val="right" w:leader="dot" w:pos="8306"/>
        </w:tabs>
        <w:kinsoku/>
        <w:wordWrap/>
        <w:overflowPunct/>
        <w:topLinePunct w:val="0"/>
        <w:autoSpaceDE/>
        <w:autoSpaceDN/>
        <w:bidi w:val="0"/>
        <w:adjustRightInd/>
        <w:snapToGrid/>
        <w:spacing w:line="400" w:lineRule="exact"/>
        <w:jc w:val="both"/>
        <w:textAlignment w:val="auto"/>
        <w:rPr>
          <w:color w:val="auto"/>
          <w:sz w:val="24"/>
          <w:szCs w:val="24"/>
          <w:highlight w:val="none"/>
        </w:rPr>
      </w:pPr>
      <w:r>
        <w:rPr>
          <w:rFonts w:hint="eastAsia" w:ascii="宋体" w:hAnsi="宋体" w:eastAsia="宋体" w:cs="宋体"/>
          <w:caps w:val="0"/>
          <w:smallCaps w:val="0"/>
          <w:color w:val="auto"/>
          <w:spacing w:val="0"/>
          <w:sz w:val="24"/>
          <w:szCs w:val="24"/>
          <w:highlight w:val="none"/>
        </w:rPr>
        <w:fldChar w:fldCharType="begin"/>
      </w:r>
      <w:r>
        <w:rPr>
          <w:rFonts w:hint="eastAsia" w:ascii="宋体" w:hAnsi="宋体" w:eastAsia="宋体" w:cs="宋体"/>
          <w:caps w:val="0"/>
          <w:smallCaps w:val="0"/>
          <w:color w:val="auto"/>
          <w:spacing w:val="0"/>
          <w:sz w:val="24"/>
          <w:szCs w:val="24"/>
          <w:highlight w:val="none"/>
        </w:rPr>
        <w:instrText xml:space="preserve"> HYPERLINK \l _Toc25481 </w:instrText>
      </w:r>
      <w:r>
        <w:rPr>
          <w:rFonts w:hint="eastAsia" w:ascii="宋体" w:hAnsi="宋体" w:eastAsia="宋体" w:cs="宋体"/>
          <w:caps w:val="0"/>
          <w:smallCaps w:val="0"/>
          <w:color w:val="auto"/>
          <w:spacing w:val="0"/>
          <w:sz w:val="24"/>
          <w:szCs w:val="24"/>
          <w:highlight w:val="none"/>
        </w:rPr>
        <w:fldChar w:fldCharType="separate"/>
      </w:r>
      <w:r>
        <w:rPr>
          <w:rFonts w:hint="eastAsia" w:ascii="宋体" w:hAnsi="宋体" w:eastAsia="宋体" w:cs="宋体"/>
          <w:color w:val="auto"/>
          <w:sz w:val="24"/>
          <w:szCs w:val="24"/>
          <w:highlight w:val="none"/>
        </w:rPr>
        <w:t>第二部分 合同一般条款</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_Toc25481 \h </w:instrText>
      </w:r>
      <w:r>
        <w:rPr>
          <w:color w:val="auto"/>
          <w:sz w:val="24"/>
          <w:szCs w:val="24"/>
          <w:highlight w:val="none"/>
        </w:rPr>
        <w:fldChar w:fldCharType="separate"/>
      </w:r>
      <w:r>
        <w:rPr>
          <w:color w:val="auto"/>
          <w:sz w:val="24"/>
          <w:szCs w:val="24"/>
          <w:highlight w:val="none"/>
        </w:rPr>
        <w:t>72</w:t>
      </w:r>
      <w:r>
        <w:rPr>
          <w:color w:val="auto"/>
          <w:sz w:val="24"/>
          <w:szCs w:val="24"/>
          <w:highlight w:val="none"/>
        </w:rPr>
        <w:fldChar w:fldCharType="end"/>
      </w:r>
      <w:r>
        <w:rPr>
          <w:rFonts w:hint="eastAsia" w:ascii="宋体" w:hAnsi="宋体" w:eastAsia="宋体" w:cs="宋体"/>
          <w:caps w:val="0"/>
          <w:smallCaps w:val="0"/>
          <w:color w:val="auto"/>
          <w:spacing w:val="0"/>
          <w:sz w:val="24"/>
          <w:szCs w:val="24"/>
          <w:highlight w:val="none"/>
        </w:rPr>
        <w:fldChar w:fldCharType="end"/>
      </w:r>
    </w:p>
    <w:p w14:paraId="331D3380">
      <w:pPr>
        <w:pStyle w:val="28"/>
        <w:keepNext w:val="0"/>
        <w:keepLines w:val="0"/>
        <w:pageBreakBefore w:val="0"/>
        <w:widowControl w:val="0"/>
        <w:tabs>
          <w:tab w:val="right" w:leader="dot" w:pos="8306"/>
        </w:tabs>
        <w:kinsoku/>
        <w:wordWrap/>
        <w:overflowPunct/>
        <w:topLinePunct w:val="0"/>
        <w:autoSpaceDE/>
        <w:autoSpaceDN/>
        <w:bidi w:val="0"/>
        <w:adjustRightInd/>
        <w:snapToGrid/>
        <w:spacing w:line="400" w:lineRule="exact"/>
        <w:jc w:val="both"/>
        <w:textAlignment w:val="auto"/>
        <w:rPr>
          <w:color w:val="auto"/>
          <w:sz w:val="24"/>
          <w:szCs w:val="24"/>
          <w:highlight w:val="none"/>
        </w:rPr>
      </w:pPr>
      <w:r>
        <w:rPr>
          <w:rFonts w:hint="eastAsia" w:ascii="宋体" w:hAnsi="宋体" w:eastAsia="宋体" w:cs="宋体"/>
          <w:caps w:val="0"/>
          <w:smallCaps w:val="0"/>
          <w:color w:val="auto"/>
          <w:spacing w:val="0"/>
          <w:sz w:val="24"/>
          <w:szCs w:val="24"/>
          <w:highlight w:val="none"/>
        </w:rPr>
        <w:fldChar w:fldCharType="begin"/>
      </w:r>
      <w:r>
        <w:rPr>
          <w:rFonts w:hint="eastAsia" w:ascii="宋体" w:hAnsi="宋体" w:eastAsia="宋体" w:cs="宋体"/>
          <w:caps w:val="0"/>
          <w:smallCaps w:val="0"/>
          <w:color w:val="auto"/>
          <w:spacing w:val="0"/>
          <w:sz w:val="24"/>
          <w:szCs w:val="24"/>
          <w:highlight w:val="none"/>
        </w:rPr>
        <w:instrText xml:space="preserve"> HYPERLINK \l _Toc7510 </w:instrText>
      </w:r>
      <w:r>
        <w:rPr>
          <w:rFonts w:hint="eastAsia" w:ascii="宋体" w:hAnsi="宋体" w:eastAsia="宋体" w:cs="宋体"/>
          <w:caps w:val="0"/>
          <w:smallCaps w:val="0"/>
          <w:color w:val="auto"/>
          <w:spacing w:val="0"/>
          <w:sz w:val="24"/>
          <w:szCs w:val="24"/>
          <w:highlight w:val="none"/>
        </w:rPr>
        <w:fldChar w:fldCharType="separate"/>
      </w:r>
      <w:r>
        <w:rPr>
          <w:rFonts w:hint="eastAsia" w:ascii="宋体" w:hAnsi="宋体" w:eastAsia="宋体" w:cs="宋体"/>
          <w:color w:val="auto"/>
          <w:sz w:val="24"/>
          <w:szCs w:val="24"/>
          <w:highlight w:val="none"/>
        </w:rPr>
        <w:t>第三部分 合同专用条款</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_Toc7510 \h </w:instrText>
      </w:r>
      <w:r>
        <w:rPr>
          <w:color w:val="auto"/>
          <w:sz w:val="24"/>
          <w:szCs w:val="24"/>
          <w:highlight w:val="none"/>
        </w:rPr>
        <w:fldChar w:fldCharType="separate"/>
      </w:r>
      <w:r>
        <w:rPr>
          <w:color w:val="auto"/>
          <w:sz w:val="24"/>
          <w:szCs w:val="24"/>
          <w:highlight w:val="none"/>
        </w:rPr>
        <w:t>76</w:t>
      </w:r>
      <w:r>
        <w:rPr>
          <w:color w:val="auto"/>
          <w:sz w:val="24"/>
          <w:szCs w:val="24"/>
          <w:highlight w:val="none"/>
        </w:rPr>
        <w:fldChar w:fldCharType="end"/>
      </w:r>
      <w:r>
        <w:rPr>
          <w:rFonts w:hint="eastAsia" w:ascii="宋体" w:hAnsi="宋体" w:eastAsia="宋体" w:cs="宋体"/>
          <w:caps w:val="0"/>
          <w:smallCaps w:val="0"/>
          <w:color w:val="auto"/>
          <w:spacing w:val="0"/>
          <w:sz w:val="24"/>
          <w:szCs w:val="24"/>
          <w:highlight w:val="none"/>
        </w:rPr>
        <w:fldChar w:fldCharType="end"/>
      </w:r>
    </w:p>
    <w:p w14:paraId="76B37FD5">
      <w:pPr>
        <w:pStyle w:val="24"/>
        <w:keepNext w:val="0"/>
        <w:keepLines w:val="0"/>
        <w:pageBreakBefore w:val="0"/>
        <w:widowControl w:val="0"/>
        <w:tabs>
          <w:tab w:val="right" w:leader="dot" w:pos="8306"/>
        </w:tabs>
        <w:kinsoku/>
        <w:wordWrap/>
        <w:overflowPunct/>
        <w:topLinePunct w:val="0"/>
        <w:autoSpaceDE/>
        <w:autoSpaceDN/>
        <w:bidi w:val="0"/>
        <w:adjustRightInd/>
        <w:snapToGrid/>
        <w:spacing w:line="400" w:lineRule="exact"/>
        <w:jc w:val="both"/>
        <w:textAlignment w:val="auto"/>
        <w:rPr>
          <w:color w:val="auto"/>
          <w:sz w:val="24"/>
          <w:szCs w:val="24"/>
          <w:highlight w:val="none"/>
        </w:rPr>
      </w:pPr>
      <w:r>
        <w:rPr>
          <w:rFonts w:hint="eastAsia" w:ascii="宋体" w:hAnsi="宋体" w:eastAsia="宋体" w:cs="宋体"/>
          <w:caps w:val="0"/>
          <w:smallCaps w:val="0"/>
          <w:color w:val="auto"/>
          <w:spacing w:val="0"/>
          <w:sz w:val="24"/>
          <w:szCs w:val="24"/>
          <w:highlight w:val="none"/>
        </w:rPr>
        <w:fldChar w:fldCharType="begin"/>
      </w:r>
      <w:r>
        <w:rPr>
          <w:rFonts w:hint="eastAsia" w:ascii="宋体" w:hAnsi="宋体" w:eastAsia="宋体" w:cs="宋体"/>
          <w:caps w:val="0"/>
          <w:smallCaps w:val="0"/>
          <w:color w:val="auto"/>
          <w:spacing w:val="0"/>
          <w:sz w:val="24"/>
          <w:szCs w:val="24"/>
          <w:highlight w:val="none"/>
        </w:rPr>
        <w:instrText xml:space="preserve"> HYPERLINK \l _Toc20007 </w:instrText>
      </w:r>
      <w:r>
        <w:rPr>
          <w:rFonts w:hint="eastAsia" w:ascii="宋体" w:hAnsi="宋体" w:eastAsia="宋体" w:cs="宋体"/>
          <w:caps w:val="0"/>
          <w:smallCaps w:val="0"/>
          <w:color w:val="auto"/>
          <w:spacing w:val="0"/>
          <w:sz w:val="24"/>
          <w:szCs w:val="24"/>
          <w:highlight w:val="none"/>
        </w:rPr>
        <w:fldChar w:fldCharType="separate"/>
      </w:r>
      <w:r>
        <w:rPr>
          <w:rFonts w:hint="eastAsia" w:ascii="宋体" w:hAnsi="宋体" w:eastAsia="宋体" w:cs="宋体"/>
          <w:bCs/>
          <w:color w:val="auto"/>
          <w:kern w:val="44"/>
          <w:sz w:val="24"/>
          <w:szCs w:val="24"/>
          <w:highlight w:val="none"/>
          <w:lang w:val="en-US" w:eastAsia="zh-CN" w:bidi="ar-SA"/>
        </w:rPr>
        <w:t>第七章 投标文件格式</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_Toc20007 \h </w:instrText>
      </w:r>
      <w:r>
        <w:rPr>
          <w:color w:val="auto"/>
          <w:sz w:val="24"/>
          <w:szCs w:val="24"/>
          <w:highlight w:val="none"/>
        </w:rPr>
        <w:fldChar w:fldCharType="separate"/>
      </w:r>
      <w:r>
        <w:rPr>
          <w:color w:val="auto"/>
          <w:sz w:val="24"/>
          <w:szCs w:val="24"/>
          <w:highlight w:val="none"/>
        </w:rPr>
        <w:t>77</w:t>
      </w:r>
      <w:r>
        <w:rPr>
          <w:color w:val="auto"/>
          <w:sz w:val="24"/>
          <w:szCs w:val="24"/>
          <w:highlight w:val="none"/>
        </w:rPr>
        <w:fldChar w:fldCharType="end"/>
      </w:r>
      <w:r>
        <w:rPr>
          <w:rFonts w:hint="eastAsia" w:ascii="宋体" w:hAnsi="宋体" w:eastAsia="宋体" w:cs="宋体"/>
          <w:caps w:val="0"/>
          <w:smallCaps w:val="0"/>
          <w:color w:val="auto"/>
          <w:spacing w:val="0"/>
          <w:sz w:val="24"/>
          <w:szCs w:val="24"/>
          <w:highlight w:val="none"/>
        </w:rPr>
        <w:fldChar w:fldCharType="end"/>
      </w:r>
    </w:p>
    <w:p w14:paraId="1011868D">
      <w:pPr>
        <w:pStyle w:val="24"/>
        <w:keepNext w:val="0"/>
        <w:keepLines w:val="0"/>
        <w:pageBreakBefore w:val="0"/>
        <w:widowControl w:val="0"/>
        <w:tabs>
          <w:tab w:val="right" w:leader="dot" w:pos="8306"/>
        </w:tabs>
        <w:kinsoku/>
        <w:wordWrap/>
        <w:overflowPunct/>
        <w:topLinePunct w:val="0"/>
        <w:autoSpaceDE/>
        <w:autoSpaceDN/>
        <w:bidi w:val="0"/>
        <w:adjustRightInd/>
        <w:snapToGrid/>
        <w:spacing w:line="400" w:lineRule="exact"/>
        <w:jc w:val="both"/>
        <w:textAlignment w:val="auto"/>
        <w:rPr>
          <w:color w:val="auto"/>
          <w:sz w:val="24"/>
          <w:szCs w:val="24"/>
          <w:highlight w:val="none"/>
        </w:rPr>
      </w:pPr>
      <w:r>
        <w:rPr>
          <w:rFonts w:hint="eastAsia" w:ascii="宋体" w:hAnsi="宋体" w:eastAsia="宋体" w:cs="宋体"/>
          <w:caps w:val="0"/>
          <w:smallCaps w:val="0"/>
          <w:color w:val="auto"/>
          <w:spacing w:val="0"/>
          <w:sz w:val="24"/>
          <w:szCs w:val="24"/>
          <w:highlight w:val="none"/>
        </w:rPr>
        <w:fldChar w:fldCharType="begin"/>
      </w:r>
      <w:r>
        <w:rPr>
          <w:rFonts w:hint="eastAsia" w:ascii="宋体" w:hAnsi="宋体" w:eastAsia="宋体" w:cs="宋体"/>
          <w:caps w:val="0"/>
          <w:smallCaps w:val="0"/>
          <w:color w:val="auto"/>
          <w:spacing w:val="0"/>
          <w:sz w:val="24"/>
          <w:szCs w:val="24"/>
          <w:highlight w:val="none"/>
        </w:rPr>
        <w:instrText xml:space="preserve"> HYPERLINK \l _Toc20344 </w:instrText>
      </w:r>
      <w:r>
        <w:rPr>
          <w:rFonts w:hint="eastAsia" w:ascii="宋体" w:hAnsi="宋体" w:eastAsia="宋体" w:cs="宋体"/>
          <w:caps w:val="0"/>
          <w:smallCaps w:val="0"/>
          <w:color w:val="auto"/>
          <w:spacing w:val="0"/>
          <w:sz w:val="24"/>
          <w:szCs w:val="24"/>
          <w:highlight w:val="none"/>
        </w:rPr>
        <w:fldChar w:fldCharType="separate"/>
      </w:r>
      <w:r>
        <w:rPr>
          <w:rFonts w:hint="eastAsia"/>
          <w:color w:val="auto"/>
          <w:sz w:val="24"/>
          <w:szCs w:val="24"/>
          <w:highlight w:val="none"/>
        </w:rPr>
        <w:t>投标文件</w:t>
      </w:r>
      <w:r>
        <w:rPr>
          <w:rFonts w:hint="eastAsia" w:ascii="宋体" w:hAnsi="宋体" w:eastAsia="宋体" w:cs="宋体"/>
          <w:caps w:val="0"/>
          <w:smallCaps w:val="0"/>
          <w:color w:val="auto"/>
          <w:spacing w:val="0"/>
          <w:sz w:val="24"/>
          <w:szCs w:val="24"/>
          <w:highlight w:val="none"/>
        </w:rPr>
        <w:fldChar w:fldCharType="end"/>
      </w:r>
      <w:r>
        <w:rPr>
          <w:rFonts w:hint="eastAsia" w:ascii="宋体" w:hAnsi="宋体" w:eastAsia="宋体" w:cs="宋体"/>
          <w:caps w:val="0"/>
          <w:smallCaps w:val="0"/>
          <w:color w:val="auto"/>
          <w:spacing w:val="0"/>
          <w:sz w:val="24"/>
          <w:szCs w:val="24"/>
          <w:highlight w:val="none"/>
        </w:rPr>
        <w:fldChar w:fldCharType="begin"/>
      </w:r>
      <w:r>
        <w:rPr>
          <w:rFonts w:hint="eastAsia" w:ascii="宋体" w:hAnsi="宋体" w:eastAsia="宋体" w:cs="宋体"/>
          <w:caps w:val="0"/>
          <w:smallCaps w:val="0"/>
          <w:color w:val="auto"/>
          <w:spacing w:val="0"/>
          <w:sz w:val="24"/>
          <w:szCs w:val="24"/>
          <w:highlight w:val="none"/>
        </w:rPr>
        <w:instrText xml:space="preserve"> HYPERLINK \l _Toc17637 </w:instrText>
      </w:r>
      <w:r>
        <w:rPr>
          <w:rFonts w:hint="eastAsia" w:ascii="宋体" w:hAnsi="宋体" w:eastAsia="宋体" w:cs="宋体"/>
          <w:caps w:val="0"/>
          <w:smallCaps w:val="0"/>
          <w:color w:val="auto"/>
          <w:spacing w:val="0"/>
          <w:sz w:val="24"/>
          <w:szCs w:val="24"/>
          <w:highlight w:val="none"/>
        </w:rPr>
        <w:fldChar w:fldCharType="separate"/>
      </w:r>
      <w:r>
        <w:rPr>
          <w:rFonts w:hint="eastAsia"/>
          <w:color w:val="auto"/>
          <w:sz w:val="24"/>
          <w:szCs w:val="24"/>
          <w:highlight w:val="none"/>
        </w:rPr>
        <w:t>资格证明文件</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_Toc17637 \h </w:instrText>
      </w:r>
      <w:r>
        <w:rPr>
          <w:color w:val="auto"/>
          <w:sz w:val="24"/>
          <w:szCs w:val="24"/>
          <w:highlight w:val="none"/>
        </w:rPr>
        <w:fldChar w:fldCharType="separate"/>
      </w:r>
      <w:r>
        <w:rPr>
          <w:b/>
        </w:rPr>
        <w:t>错误！未定义书签。</w:t>
      </w:r>
      <w:r>
        <w:rPr>
          <w:color w:val="auto"/>
          <w:sz w:val="24"/>
          <w:szCs w:val="24"/>
          <w:highlight w:val="none"/>
        </w:rPr>
        <w:fldChar w:fldCharType="end"/>
      </w:r>
      <w:r>
        <w:rPr>
          <w:rFonts w:hint="eastAsia" w:ascii="宋体" w:hAnsi="宋体" w:eastAsia="宋体" w:cs="宋体"/>
          <w:caps w:val="0"/>
          <w:smallCaps w:val="0"/>
          <w:color w:val="auto"/>
          <w:spacing w:val="0"/>
          <w:sz w:val="24"/>
          <w:szCs w:val="24"/>
          <w:highlight w:val="none"/>
        </w:rPr>
        <w:fldChar w:fldCharType="end"/>
      </w:r>
    </w:p>
    <w:p w14:paraId="146C485A">
      <w:pPr>
        <w:pStyle w:val="28"/>
        <w:keepNext w:val="0"/>
        <w:keepLines w:val="0"/>
        <w:pageBreakBefore w:val="0"/>
        <w:widowControl w:val="0"/>
        <w:tabs>
          <w:tab w:val="right" w:leader="dot" w:pos="8306"/>
        </w:tabs>
        <w:kinsoku/>
        <w:wordWrap/>
        <w:overflowPunct/>
        <w:topLinePunct w:val="0"/>
        <w:autoSpaceDE/>
        <w:autoSpaceDN/>
        <w:bidi w:val="0"/>
        <w:adjustRightInd/>
        <w:snapToGrid/>
        <w:spacing w:line="400" w:lineRule="exact"/>
        <w:jc w:val="both"/>
        <w:textAlignment w:val="auto"/>
        <w:rPr>
          <w:color w:val="auto"/>
          <w:sz w:val="24"/>
          <w:szCs w:val="24"/>
          <w:highlight w:val="none"/>
        </w:rPr>
      </w:pPr>
      <w:r>
        <w:rPr>
          <w:rFonts w:hint="eastAsia" w:ascii="宋体" w:hAnsi="宋体" w:eastAsia="宋体" w:cs="宋体"/>
          <w:caps w:val="0"/>
          <w:smallCaps w:val="0"/>
          <w:color w:val="auto"/>
          <w:spacing w:val="0"/>
          <w:sz w:val="24"/>
          <w:szCs w:val="24"/>
          <w:highlight w:val="none"/>
        </w:rPr>
        <w:fldChar w:fldCharType="begin"/>
      </w:r>
      <w:r>
        <w:rPr>
          <w:rFonts w:hint="eastAsia" w:ascii="宋体" w:hAnsi="宋体" w:eastAsia="宋体" w:cs="宋体"/>
          <w:caps w:val="0"/>
          <w:smallCaps w:val="0"/>
          <w:color w:val="auto"/>
          <w:spacing w:val="0"/>
          <w:sz w:val="24"/>
          <w:szCs w:val="24"/>
          <w:highlight w:val="none"/>
        </w:rPr>
        <w:instrText xml:space="preserve"> HYPERLINK \l _Toc6767 </w:instrText>
      </w:r>
      <w:r>
        <w:rPr>
          <w:rFonts w:hint="eastAsia" w:ascii="宋体" w:hAnsi="宋体" w:eastAsia="宋体" w:cs="宋体"/>
          <w:caps w:val="0"/>
          <w:smallCaps w:val="0"/>
          <w:color w:val="auto"/>
          <w:spacing w:val="0"/>
          <w:sz w:val="24"/>
          <w:szCs w:val="24"/>
          <w:highlight w:val="none"/>
        </w:rPr>
        <w:fldChar w:fldCharType="separate"/>
      </w:r>
      <w:r>
        <w:rPr>
          <w:rFonts w:hint="eastAsia" w:ascii="等线 Light" w:hAnsi="等线 Light" w:eastAsia="宋体" w:cs="Times New Roman"/>
          <w:bCs/>
          <w:color w:val="auto"/>
          <w:kern w:val="2"/>
          <w:sz w:val="24"/>
          <w:szCs w:val="24"/>
          <w:highlight w:val="none"/>
          <w:lang w:val="en-US" w:eastAsia="zh-CN" w:bidi="ar-SA"/>
        </w:rPr>
        <w:t>一、满足《中华人民共和国政府采购法》第二十二条规定</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_Toc6767 \h </w:instrText>
      </w:r>
      <w:r>
        <w:rPr>
          <w:color w:val="auto"/>
          <w:sz w:val="24"/>
          <w:szCs w:val="24"/>
          <w:highlight w:val="none"/>
        </w:rPr>
        <w:fldChar w:fldCharType="separate"/>
      </w:r>
      <w:r>
        <w:rPr>
          <w:b/>
        </w:rPr>
        <w:t>错误！未定义书签。</w:t>
      </w:r>
      <w:r>
        <w:rPr>
          <w:color w:val="auto"/>
          <w:sz w:val="24"/>
          <w:szCs w:val="24"/>
          <w:highlight w:val="none"/>
        </w:rPr>
        <w:fldChar w:fldCharType="end"/>
      </w:r>
      <w:r>
        <w:rPr>
          <w:rFonts w:hint="eastAsia" w:ascii="宋体" w:hAnsi="宋体" w:eastAsia="宋体" w:cs="宋体"/>
          <w:caps w:val="0"/>
          <w:smallCaps w:val="0"/>
          <w:color w:val="auto"/>
          <w:spacing w:val="0"/>
          <w:sz w:val="24"/>
          <w:szCs w:val="24"/>
          <w:highlight w:val="none"/>
        </w:rPr>
        <w:fldChar w:fldCharType="end"/>
      </w:r>
    </w:p>
    <w:p w14:paraId="63627D6E">
      <w:pPr>
        <w:pStyle w:val="28"/>
        <w:keepNext w:val="0"/>
        <w:keepLines w:val="0"/>
        <w:pageBreakBefore w:val="0"/>
        <w:widowControl w:val="0"/>
        <w:tabs>
          <w:tab w:val="right" w:leader="dot" w:pos="8306"/>
        </w:tabs>
        <w:kinsoku/>
        <w:wordWrap/>
        <w:overflowPunct/>
        <w:topLinePunct w:val="0"/>
        <w:autoSpaceDE/>
        <w:autoSpaceDN/>
        <w:bidi w:val="0"/>
        <w:adjustRightInd/>
        <w:snapToGrid/>
        <w:spacing w:line="400" w:lineRule="exact"/>
        <w:jc w:val="both"/>
        <w:textAlignment w:val="auto"/>
        <w:rPr>
          <w:color w:val="auto"/>
          <w:sz w:val="24"/>
          <w:szCs w:val="24"/>
          <w:highlight w:val="none"/>
        </w:rPr>
      </w:pPr>
      <w:r>
        <w:rPr>
          <w:rFonts w:hint="eastAsia" w:ascii="宋体" w:hAnsi="宋体" w:eastAsia="宋体" w:cs="宋体"/>
          <w:caps w:val="0"/>
          <w:smallCaps w:val="0"/>
          <w:color w:val="auto"/>
          <w:spacing w:val="0"/>
          <w:sz w:val="24"/>
          <w:szCs w:val="24"/>
          <w:highlight w:val="none"/>
        </w:rPr>
        <w:fldChar w:fldCharType="begin"/>
      </w:r>
      <w:r>
        <w:rPr>
          <w:rFonts w:hint="eastAsia" w:ascii="宋体" w:hAnsi="宋体" w:eastAsia="宋体" w:cs="宋体"/>
          <w:caps w:val="0"/>
          <w:smallCaps w:val="0"/>
          <w:color w:val="auto"/>
          <w:spacing w:val="0"/>
          <w:sz w:val="24"/>
          <w:szCs w:val="24"/>
          <w:highlight w:val="none"/>
        </w:rPr>
        <w:instrText xml:space="preserve"> HYPERLINK \l _Toc21134 </w:instrText>
      </w:r>
      <w:r>
        <w:rPr>
          <w:rFonts w:hint="eastAsia" w:ascii="宋体" w:hAnsi="宋体" w:eastAsia="宋体" w:cs="宋体"/>
          <w:caps w:val="0"/>
          <w:smallCaps w:val="0"/>
          <w:color w:val="auto"/>
          <w:spacing w:val="0"/>
          <w:sz w:val="24"/>
          <w:szCs w:val="24"/>
          <w:highlight w:val="none"/>
        </w:rPr>
        <w:fldChar w:fldCharType="separate"/>
      </w:r>
      <w:r>
        <w:rPr>
          <w:rFonts w:hint="eastAsia"/>
          <w:color w:val="auto"/>
          <w:sz w:val="24"/>
          <w:szCs w:val="24"/>
          <w:highlight w:val="none"/>
          <w:lang w:val="en-US" w:eastAsia="zh-CN"/>
        </w:rPr>
        <w:t>二、</w:t>
      </w:r>
      <w:r>
        <w:rPr>
          <w:rFonts w:hint="eastAsia"/>
          <w:color w:val="auto"/>
          <w:sz w:val="24"/>
          <w:szCs w:val="24"/>
          <w:highlight w:val="none"/>
          <w:lang w:val="zh-CN" w:eastAsia="zh-CN"/>
        </w:rPr>
        <w:t>联合体协议书【如适用】</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_Toc21134 \h </w:instrText>
      </w:r>
      <w:r>
        <w:rPr>
          <w:color w:val="auto"/>
          <w:sz w:val="24"/>
          <w:szCs w:val="24"/>
          <w:highlight w:val="none"/>
        </w:rPr>
        <w:fldChar w:fldCharType="separate"/>
      </w:r>
      <w:r>
        <w:rPr>
          <w:b/>
        </w:rPr>
        <w:t>错误！未定义书签。</w:t>
      </w:r>
      <w:r>
        <w:rPr>
          <w:color w:val="auto"/>
          <w:sz w:val="24"/>
          <w:szCs w:val="24"/>
          <w:highlight w:val="none"/>
        </w:rPr>
        <w:fldChar w:fldCharType="end"/>
      </w:r>
      <w:r>
        <w:rPr>
          <w:rFonts w:hint="eastAsia" w:ascii="宋体" w:hAnsi="宋体" w:eastAsia="宋体" w:cs="宋体"/>
          <w:caps w:val="0"/>
          <w:smallCaps w:val="0"/>
          <w:color w:val="auto"/>
          <w:spacing w:val="0"/>
          <w:sz w:val="24"/>
          <w:szCs w:val="24"/>
          <w:highlight w:val="none"/>
        </w:rPr>
        <w:fldChar w:fldCharType="end"/>
      </w:r>
    </w:p>
    <w:p w14:paraId="5EF7A072">
      <w:pPr>
        <w:pStyle w:val="24"/>
        <w:keepNext w:val="0"/>
        <w:keepLines w:val="0"/>
        <w:pageBreakBefore w:val="0"/>
        <w:widowControl w:val="0"/>
        <w:tabs>
          <w:tab w:val="right" w:leader="dot" w:pos="8306"/>
        </w:tabs>
        <w:kinsoku/>
        <w:wordWrap/>
        <w:overflowPunct/>
        <w:topLinePunct w:val="0"/>
        <w:autoSpaceDE/>
        <w:autoSpaceDN/>
        <w:bidi w:val="0"/>
        <w:adjustRightInd/>
        <w:snapToGrid/>
        <w:spacing w:line="400" w:lineRule="exact"/>
        <w:jc w:val="both"/>
        <w:textAlignment w:val="auto"/>
        <w:rPr>
          <w:color w:val="auto"/>
          <w:sz w:val="24"/>
          <w:szCs w:val="24"/>
          <w:highlight w:val="none"/>
        </w:rPr>
      </w:pPr>
      <w:r>
        <w:rPr>
          <w:rFonts w:hint="eastAsia" w:ascii="宋体" w:hAnsi="宋体" w:eastAsia="宋体" w:cs="宋体"/>
          <w:caps w:val="0"/>
          <w:smallCaps w:val="0"/>
          <w:color w:val="auto"/>
          <w:spacing w:val="0"/>
          <w:sz w:val="24"/>
          <w:szCs w:val="24"/>
          <w:highlight w:val="none"/>
        </w:rPr>
        <w:fldChar w:fldCharType="begin"/>
      </w:r>
      <w:r>
        <w:rPr>
          <w:rFonts w:hint="eastAsia" w:ascii="宋体" w:hAnsi="宋体" w:eastAsia="宋体" w:cs="宋体"/>
          <w:caps w:val="0"/>
          <w:smallCaps w:val="0"/>
          <w:color w:val="auto"/>
          <w:spacing w:val="0"/>
          <w:sz w:val="24"/>
          <w:szCs w:val="24"/>
          <w:highlight w:val="none"/>
        </w:rPr>
        <w:instrText xml:space="preserve"> HYPERLINK \l _Toc12650 </w:instrText>
      </w:r>
      <w:r>
        <w:rPr>
          <w:rFonts w:hint="eastAsia" w:ascii="宋体" w:hAnsi="宋体" w:eastAsia="宋体" w:cs="宋体"/>
          <w:caps w:val="0"/>
          <w:smallCaps w:val="0"/>
          <w:color w:val="auto"/>
          <w:spacing w:val="0"/>
          <w:sz w:val="24"/>
          <w:szCs w:val="24"/>
          <w:highlight w:val="none"/>
        </w:rPr>
        <w:fldChar w:fldCharType="separate"/>
      </w:r>
      <w:r>
        <w:rPr>
          <w:rFonts w:hint="eastAsia" w:ascii="宋体" w:hAnsi="宋体" w:cs="宋体"/>
          <w:color w:val="auto"/>
          <w:kern w:val="0"/>
          <w:sz w:val="24"/>
          <w:szCs w:val="24"/>
          <w:highlight w:val="none"/>
        </w:rPr>
        <w:t>联合体协议书</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_Toc12650 \h </w:instrText>
      </w:r>
      <w:r>
        <w:rPr>
          <w:color w:val="auto"/>
          <w:sz w:val="24"/>
          <w:szCs w:val="24"/>
          <w:highlight w:val="none"/>
        </w:rPr>
        <w:fldChar w:fldCharType="separate"/>
      </w:r>
      <w:r>
        <w:rPr>
          <w:b/>
        </w:rPr>
        <w:t>错误！未定义书签。</w:t>
      </w:r>
      <w:r>
        <w:rPr>
          <w:color w:val="auto"/>
          <w:sz w:val="24"/>
          <w:szCs w:val="24"/>
          <w:highlight w:val="none"/>
        </w:rPr>
        <w:fldChar w:fldCharType="end"/>
      </w:r>
      <w:r>
        <w:rPr>
          <w:rFonts w:hint="eastAsia" w:ascii="宋体" w:hAnsi="宋体" w:eastAsia="宋体" w:cs="宋体"/>
          <w:caps w:val="0"/>
          <w:smallCaps w:val="0"/>
          <w:color w:val="auto"/>
          <w:spacing w:val="0"/>
          <w:sz w:val="24"/>
          <w:szCs w:val="24"/>
          <w:highlight w:val="none"/>
        </w:rPr>
        <w:fldChar w:fldCharType="end"/>
      </w:r>
    </w:p>
    <w:p w14:paraId="4906EA9E">
      <w:pPr>
        <w:pStyle w:val="28"/>
        <w:keepNext w:val="0"/>
        <w:keepLines w:val="0"/>
        <w:pageBreakBefore w:val="0"/>
        <w:widowControl w:val="0"/>
        <w:tabs>
          <w:tab w:val="right" w:leader="dot" w:pos="8306"/>
        </w:tabs>
        <w:kinsoku/>
        <w:wordWrap/>
        <w:overflowPunct/>
        <w:topLinePunct w:val="0"/>
        <w:autoSpaceDE/>
        <w:autoSpaceDN/>
        <w:bidi w:val="0"/>
        <w:adjustRightInd/>
        <w:snapToGrid/>
        <w:spacing w:line="400" w:lineRule="exact"/>
        <w:jc w:val="both"/>
        <w:textAlignment w:val="auto"/>
        <w:rPr>
          <w:color w:val="auto"/>
          <w:sz w:val="24"/>
          <w:szCs w:val="24"/>
          <w:highlight w:val="none"/>
        </w:rPr>
      </w:pPr>
      <w:r>
        <w:rPr>
          <w:rFonts w:hint="eastAsia" w:ascii="宋体" w:hAnsi="宋体" w:eastAsia="宋体" w:cs="宋体"/>
          <w:caps w:val="0"/>
          <w:smallCaps w:val="0"/>
          <w:color w:val="auto"/>
          <w:spacing w:val="0"/>
          <w:sz w:val="24"/>
          <w:szCs w:val="24"/>
          <w:highlight w:val="none"/>
        </w:rPr>
        <w:fldChar w:fldCharType="begin"/>
      </w:r>
      <w:r>
        <w:rPr>
          <w:rFonts w:hint="eastAsia" w:ascii="宋体" w:hAnsi="宋体" w:eastAsia="宋体" w:cs="宋体"/>
          <w:caps w:val="0"/>
          <w:smallCaps w:val="0"/>
          <w:color w:val="auto"/>
          <w:spacing w:val="0"/>
          <w:sz w:val="24"/>
          <w:szCs w:val="24"/>
          <w:highlight w:val="none"/>
        </w:rPr>
        <w:instrText xml:space="preserve"> HYPERLINK \l _Toc10975 </w:instrText>
      </w:r>
      <w:r>
        <w:rPr>
          <w:rFonts w:hint="eastAsia" w:ascii="宋体" w:hAnsi="宋体" w:eastAsia="宋体" w:cs="宋体"/>
          <w:caps w:val="0"/>
          <w:smallCaps w:val="0"/>
          <w:color w:val="auto"/>
          <w:spacing w:val="0"/>
          <w:sz w:val="24"/>
          <w:szCs w:val="24"/>
          <w:highlight w:val="none"/>
        </w:rPr>
        <w:fldChar w:fldCharType="separate"/>
      </w:r>
      <w:r>
        <w:rPr>
          <w:rFonts w:hint="eastAsia"/>
          <w:color w:val="auto"/>
          <w:sz w:val="24"/>
          <w:szCs w:val="24"/>
          <w:highlight w:val="none"/>
          <w:lang w:val="en-US" w:eastAsia="zh-CN"/>
        </w:rPr>
        <w:t>三、</w:t>
      </w:r>
      <w:r>
        <w:rPr>
          <w:rFonts w:hint="eastAsia"/>
          <w:color w:val="auto"/>
          <w:sz w:val="24"/>
          <w:szCs w:val="24"/>
          <w:highlight w:val="none"/>
          <w:lang w:val="zh-CN" w:eastAsia="zh-CN"/>
        </w:rPr>
        <w:t>分包意向协议书【如适用】</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_Toc10975 \h </w:instrText>
      </w:r>
      <w:r>
        <w:rPr>
          <w:color w:val="auto"/>
          <w:sz w:val="24"/>
          <w:szCs w:val="24"/>
          <w:highlight w:val="none"/>
        </w:rPr>
        <w:fldChar w:fldCharType="separate"/>
      </w:r>
      <w:r>
        <w:rPr>
          <w:b/>
        </w:rPr>
        <w:t>错误！未定义书签。</w:t>
      </w:r>
      <w:r>
        <w:rPr>
          <w:color w:val="auto"/>
          <w:sz w:val="24"/>
          <w:szCs w:val="24"/>
          <w:highlight w:val="none"/>
        </w:rPr>
        <w:fldChar w:fldCharType="end"/>
      </w:r>
      <w:r>
        <w:rPr>
          <w:rFonts w:hint="eastAsia" w:ascii="宋体" w:hAnsi="宋体" w:eastAsia="宋体" w:cs="宋体"/>
          <w:caps w:val="0"/>
          <w:smallCaps w:val="0"/>
          <w:color w:val="auto"/>
          <w:spacing w:val="0"/>
          <w:sz w:val="24"/>
          <w:szCs w:val="24"/>
          <w:highlight w:val="none"/>
        </w:rPr>
        <w:fldChar w:fldCharType="end"/>
      </w:r>
    </w:p>
    <w:p w14:paraId="48F8D32F">
      <w:pPr>
        <w:pStyle w:val="24"/>
        <w:keepNext w:val="0"/>
        <w:keepLines w:val="0"/>
        <w:pageBreakBefore w:val="0"/>
        <w:widowControl w:val="0"/>
        <w:tabs>
          <w:tab w:val="right" w:leader="dot" w:pos="8306"/>
        </w:tabs>
        <w:kinsoku/>
        <w:wordWrap/>
        <w:overflowPunct/>
        <w:topLinePunct w:val="0"/>
        <w:autoSpaceDE/>
        <w:autoSpaceDN/>
        <w:bidi w:val="0"/>
        <w:adjustRightInd/>
        <w:snapToGrid/>
        <w:spacing w:line="400" w:lineRule="exact"/>
        <w:jc w:val="both"/>
        <w:textAlignment w:val="auto"/>
        <w:rPr>
          <w:color w:val="auto"/>
          <w:sz w:val="24"/>
          <w:szCs w:val="24"/>
          <w:highlight w:val="none"/>
        </w:rPr>
      </w:pPr>
      <w:r>
        <w:rPr>
          <w:rFonts w:hint="eastAsia" w:ascii="宋体" w:hAnsi="宋体" w:eastAsia="宋体" w:cs="宋体"/>
          <w:caps w:val="0"/>
          <w:smallCaps w:val="0"/>
          <w:color w:val="auto"/>
          <w:spacing w:val="0"/>
          <w:sz w:val="24"/>
          <w:szCs w:val="24"/>
          <w:highlight w:val="none"/>
        </w:rPr>
        <w:fldChar w:fldCharType="begin"/>
      </w:r>
      <w:r>
        <w:rPr>
          <w:rFonts w:hint="eastAsia" w:ascii="宋体" w:hAnsi="宋体" w:eastAsia="宋体" w:cs="宋体"/>
          <w:caps w:val="0"/>
          <w:smallCaps w:val="0"/>
          <w:color w:val="auto"/>
          <w:spacing w:val="0"/>
          <w:sz w:val="24"/>
          <w:szCs w:val="24"/>
          <w:highlight w:val="none"/>
        </w:rPr>
        <w:instrText xml:space="preserve"> HYPERLINK \l _Toc14674 </w:instrText>
      </w:r>
      <w:r>
        <w:rPr>
          <w:rFonts w:hint="eastAsia" w:ascii="宋体" w:hAnsi="宋体" w:eastAsia="宋体" w:cs="宋体"/>
          <w:caps w:val="0"/>
          <w:smallCaps w:val="0"/>
          <w:color w:val="auto"/>
          <w:spacing w:val="0"/>
          <w:sz w:val="24"/>
          <w:szCs w:val="24"/>
          <w:highlight w:val="none"/>
        </w:rPr>
        <w:fldChar w:fldCharType="separate"/>
      </w:r>
      <w:r>
        <w:rPr>
          <w:rFonts w:hint="eastAsia" w:ascii="宋体" w:hAnsi="宋体" w:cs="宋体"/>
          <w:color w:val="auto"/>
          <w:kern w:val="0"/>
          <w:sz w:val="24"/>
          <w:szCs w:val="24"/>
          <w:highlight w:val="none"/>
        </w:rPr>
        <w:t>分包意向协议</w:t>
      </w:r>
      <w:r>
        <w:rPr>
          <w:rFonts w:hint="eastAsia" w:ascii="宋体" w:hAnsi="宋体" w:cs="宋体"/>
          <w:color w:val="auto"/>
          <w:kern w:val="0"/>
          <w:sz w:val="24"/>
          <w:szCs w:val="24"/>
          <w:highlight w:val="none"/>
          <w:lang w:val="en-US" w:eastAsia="zh-CN"/>
        </w:rPr>
        <w:t>书</w:t>
      </w:r>
      <w:r>
        <w:rPr>
          <w:rFonts w:hint="eastAsia" w:ascii="宋体" w:hAnsi="宋体" w:eastAsia="宋体" w:cs="宋体"/>
          <w:caps w:val="0"/>
          <w:smallCaps w:val="0"/>
          <w:color w:val="auto"/>
          <w:spacing w:val="0"/>
          <w:sz w:val="24"/>
          <w:szCs w:val="24"/>
          <w:highlight w:val="none"/>
        </w:rPr>
        <w:fldChar w:fldCharType="end"/>
      </w:r>
      <w:r>
        <w:rPr>
          <w:rFonts w:hint="eastAsia" w:ascii="宋体" w:hAnsi="宋体" w:eastAsia="宋体" w:cs="宋体"/>
          <w:caps w:val="0"/>
          <w:smallCaps w:val="0"/>
          <w:color w:val="auto"/>
          <w:spacing w:val="0"/>
          <w:sz w:val="24"/>
          <w:szCs w:val="24"/>
          <w:highlight w:val="none"/>
        </w:rPr>
        <w:fldChar w:fldCharType="begin"/>
      </w:r>
      <w:r>
        <w:rPr>
          <w:rFonts w:hint="eastAsia" w:ascii="宋体" w:hAnsi="宋体" w:eastAsia="宋体" w:cs="宋体"/>
          <w:caps w:val="0"/>
          <w:smallCaps w:val="0"/>
          <w:color w:val="auto"/>
          <w:spacing w:val="0"/>
          <w:sz w:val="24"/>
          <w:szCs w:val="24"/>
          <w:highlight w:val="none"/>
        </w:rPr>
        <w:instrText xml:space="preserve"> HYPERLINK \l _Toc9911 </w:instrText>
      </w:r>
      <w:r>
        <w:rPr>
          <w:rFonts w:hint="eastAsia" w:ascii="宋体" w:hAnsi="宋体" w:eastAsia="宋体" w:cs="宋体"/>
          <w:caps w:val="0"/>
          <w:smallCaps w:val="0"/>
          <w:color w:val="auto"/>
          <w:spacing w:val="0"/>
          <w:sz w:val="24"/>
          <w:szCs w:val="24"/>
          <w:highlight w:val="none"/>
        </w:rPr>
        <w:fldChar w:fldCharType="separate"/>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_Toc9911 \h </w:instrText>
      </w:r>
      <w:r>
        <w:rPr>
          <w:color w:val="auto"/>
          <w:sz w:val="24"/>
          <w:szCs w:val="24"/>
          <w:highlight w:val="none"/>
        </w:rPr>
        <w:fldChar w:fldCharType="separate"/>
      </w:r>
      <w:r>
        <w:rPr>
          <w:b/>
        </w:rPr>
        <w:t>错误！未定义书签。</w:t>
      </w:r>
      <w:r>
        <w:rPr>
          <w:color w:val="auto"/>
          <w:sz w:val="24"/>
          <w:szCs w:val="24"/>
          <w:highlight w:val="none"/>
        </w:rPr>
        <w:fldChar w:fldCharType="end"/>
      </w:r>
      <w:r>
        <w:rPr>
          <w:rFonts w:hint="eastAsia" w:ascii="宋体" w:hAnsi="宋体" w:eastAsia="宋体" w:cs="宋体"/>
          <w:caps w:val="0"/>
          <w:smallCaps w:val="0"/>
          <w:color w:val="auto"/>
          <w:spacing w:val="0"/>
          <w:sz w:val="24"/>
          <w:szCs w:val="24"/>
          <w:highlight w:val="none"/>
        </w:rPr>
        <w:fldChar w:fldCharType="end"/>
      </w:r>
    </w:p>
    <w:p w14:paraId="06108B77">
      <w:pPr>
        <w:pStyle w:val="28"/>
        <w:keepNext w:val="0"/>
        <w:keepLines w:val="0"/>
        <w:pageBreakBefore w:val="0"/>
        <w:widowControl w:val="0"/>
        <w:tabs>
          <w:tab w:val="right" w:leader="dot" w:pos="8306"/>
        </w:tabs>
        <w:kinsoku/>
        <w:wordWrap/>
        <w:overflowPunct/>
        <w:topLinePunct w:val="0"/>
        <w:autoSpaceDE/>
        <w:autoSpaceDN/>
        <w:bidi w:val="0"/>
        <w:adjustRightInd/>
        <w:snapToGrid/>
        <w:spacing w:line="400" w:lineRule="exact"/>
        <w:jc w:val="both"/>
        <w:textAlignment w:val="auto"/>
        <w:rPr>
          <w:color w:val="auto"/>
          <w:sz w:val="24"/>
          <w:szCs w:val="24"/>
          <w:highlight w:val="none"/>
        </w:rPr>
      </w:pPr>
      <w:r>
        <w:rPr>
          <w:rFonts w:hint="eastAsia" w:ascii="宋体" w:hAnsi="宋体" w:eastAsia="宋体" w:cs="宋体"/>
          <w:caps w:val="0"/>
          <w:smallCaps w:val="0"/>
          <w:color w:val="auto"/>
          <w:spacing w:val="0"/>
          <w:sz w:val="24"/>
          <w:szCs w:val="24"/>
          <w:highlight w:val="none"/>
        </w:rPr>
        <w:fldChar w:fldCharType="begin"/>
      </w:r>
      <w:r>
        <w:rPr>
          <w:rFonts w:hint="eastAsia" w:ascii="宋体" w:hAnsi="宋体" w:eastAsia="宋体" w:cs="宋体"/>
          <w:caps w:val="0"/>
          <w:smallCaps w:val="0"/>
          <w:color w:val="auto"/>
          <w:spacing w:val="0"/>
          <w:sz w:val="24"/>
          <w:szCs w:val="24"/>
          <w:highlight w:val="none"/>
        </w:rPr>
        <w:instrText xml:space="preserve"> HYPERLINK \l _Toc14524 </w:instrText>
      </w:r>
      <w:r>
        <w:rPr>
          <w:rFonts w:hint="eastAsia" w:ascii="宋体" w:hAnsi="宋体" w:eastAsia="宋体" w:cs="宋体"/>
          <w:caps w:val="0"/>
          <w:smallCaps w:val="0"/>
          <w:color w:val="auto"/>
          <w:spacing w:val="0"/>
          <w:sz w:val="24"/>
          <w:szCs w:val="24"/>
          <w:highlight w:val="none"/>
        </w:rPr>
        <w:fldChar w:fldCharType="separate"/>
      </w:r>
      <w:r>
        <w:rPr>
          <w:rFonts w:hint="eastAsia"/>
          <w:color w:val="auto"/>
          <w:sz w:val="24"/>
          <w:szCs w:val="24"/>
          <w:highlight w:val="none"/>
          <w:lang w:val="en-US" w:eastAsia="zh-CN"/>
        </w:rPr>
        <w:t>四、落实政府采购政策相关证明文件</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_Toc14524 \h </w:instrText>
      </w:r>
      <w:r>
        <w:rPr>
          <w:color w:val="auto"/>
          <w:sz w:val="24"/>
          <w:szCs w:val="24"/>
          <w:highlight w:val="none"/>
        </w:rPr>
        <w:fldChar w:fldCharType="separate"/>
      </w:r>
      <w:r>
        <w:rPr>
          <w:b/>
        </w:rPr>
        <w:t>错误！未定义书签。</w:t>
      </w:r>
      <w:r>
        <w:rPr>
          <w:color w:val="auto"/>
          <w:sz w:val="24"/>
          <w:szCs w:val="24"/>
          <w:highlight w:val="none"/>
        </w:rPr>
        <w:fldChar w:fldCharType="end"/>
      </w:r>
      <w:r>
        <w:rPr>
          <w:rFonts w:hint="eastAsia" w:ascii="宋体" w:hAnsi="宋体" w:eastAsia="宋体" w:cs="宋体"/>
          <w:caps w:val="0"/>
          <w:smallCaps w:val="0"/>
          <w:color w:val="auto"/>
          <w:spacing w:val="0"/>
          <w:sz w:val="24"/>
          <w:szCs w:val="24"/>
          <w:highlight w:val="none"/>
        </w:rPr>
        <w:fldChar w:fldCharType="end"/>
      </w:r>
    </w:p>
    <w:p w14:paraId="751A657E">
      <w:pPr>
        <w:pStyle w:val="28"/>
        <w:keepNext w:val="0"/>
        <w:keepLines w:val="0"/>
        <w:pageBreakBefore w:val="0"/>
        <w:widowControl w:val="0"/>
        <w:tabs>
          <w:tab w:val="right" w:leader="dot" w:pos="8306"/>
        </w:tabs>
        <w:kinsoku/>
        <w:wordWrap/>
        <w:overflowPunct/>
        <w:topLinePunct w:val="0"/>
        <w:autoSpaceDE/>
        <w:autoSpaceDN/>
        <w:bidi w:val="0"/>
        <w:adjustRightInd/>
        <w:snapToGrid/>
        <w:spacing w:line="400" w:lineRule="exact"/>
        <w:jc w:val="both"/>
        <w:textAlignment w:val="auto"/>
        <w:rPr>
          <w:color w:val="auto"/>
          <w:sz w:val="24"/>
          <w:szCs w:val="24"/>
          <w:highlight w:val="none"/>
        </w:rPr>
      </w:pPr>
      <w:r>
        <w:rPr>
          <w:rFonts w:hint="eastAsia" w:ascii="宋体" w:hAnsi="宋体" w:eastAsia="宋体" w:cs="宋体"/>
          <w:caps w:val="0"/>
          <w:smallCaps w:val="0"/>
          <w:color w:val="auto"/>
          <w:spacing w:val="0"/>
          <w:sz w:val="24"/>
          <w:szCs w:val="24"/>
          <w:highlight w:val="none"/>
        </w:rPr>
        <w:fldChar w:fldCharType="begin"/>
      </w:r>
      <w:r>
        <w:rPr>
          <w:rFonts w:hint="eastAsia" w:ascii="宋体" w:hAnsi="宋体" w:eastAsia="宋体" w:cs="宋体"/>
          <w:caps w:val="0"/>
          <w:smallCaps w:val="0"/>
          <w:color w:val="auto"/>
          <w:spacing w:val="0"/>
          <w:sz w:val="24"/>
          <w:szCs w:val="24"/>
          <w:highlight w:val="none"/>
        </w:rPr>
        <w:instrText xml:space="preserve"> HYPERLINK \l _Toc18110 </w:instrText>
      </w:r>
      <w:r>
        <w:rPr>
          <w:rFonts w:hint="eastAsia" w:ascii="宋体" w:hAnsi="宋体" w:eastAsia="宋体" w:cs="宋体"/>
          <w:caps w:val="0"/>
          <w:smallCaps w:val="0"/>
          <w:color w:val="auto"/>
          <w:spacing w:val="0"/>
          <w:sz w:val="24"/>
          <w:szCs w:val="24"/>
          <w:highlight w:val="none"/>
        </w:rPr>
        <w:fldChar w:fldCharType="separate"/>
      </w:r>
      <w:r>
        <w:rPr>
          <w:rFonts w:hint="eastAsia" w:cs="Times New Roman"/>
          <w:bCs/>
          <w:color w:val="auto"/>
          <w:kern w:val="2"/>
          <w:sz w:val="24"/>
          <w:szCs w:val="24"/>
          <w:highlight w:val="none"/>
          <w:lang w:val="en-US" w:eastAsia="zh-CN" w:bidi="ar-SA"/>
        </w:rPr>
        <w:t>五、不参与围标串标承诺书</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_Toc18110 \h </w:instrText>
      </w:r>
      <w:r>
        <w:rPr>
          <w:color w:val="auto"/>
          <w:sz w:val="24"/>
          <w:szCs w:val="24"/>
          <w:highlight w:val="none"/>
        </w:rPr>
        <w:fldChar w:fldCharType="separate"/>
      </w:r>
      <w:r>
        <w:rPr>
          <w:b/>
        </w:rPr>
        <w:t>错误！未定义书签。</w:t>
      </w:r>
      <w:r>
        <w:rPr>
          <w:color w:val="auto"/>
          <w:sz w:val="24"/>
          <w:szCs w:val="24"/>
          <w:highlight w:val="none"/>
        </w:rPr>
        <w:fldChar w:fldCharType="end"/>
      </w:r>
      <w:r>
        <w:rPr>
          <w:rFonts w:hint="eastAsia" w:ascii="宋体" w:hAnsi="宋体" w:eastAsia="宋体" w:cs="宋体"/>
          <w:caps w:val="0"/>
          <w:smallCaps w:val="0"/>
          <w:color w:val="auto"/>
          <w:spacing w:val="0"/>
          <w:sz w:val="24"/>
          <w:szCs w:val="24"/>
          <w:highlight w:val="none"/>
        </w:rPr>
        <w:fldChar w:fldCharType="end"/>
      </w:r>
    </w:p>
    <w:p w14:paraId="7BC41FE2">
      <w:pPr>
        <w:pStyle w:val="28"/>
        <w:keepNext w:val="0"/>
        <w:keepLines w:val="0"/>
        <w:pageBreakBefore w:val="0"/>
        <w:widowControl w:val="0"/>
        <w:tabs>
          <w:tab w:val="right" w:leader="dot" w:pos="8306"/>
        </w:tabs>
        <w:kinsoku/>
        <w:wordWrap/>
        <w:overflowPunct/>
        <w:topLinePunct w:val="0"/>
        <w:autoSpaceDE/>
        <w:autoSpaceDN/>
        <w:bidi w:val="0"/>
        <w:adjustRightInd/>
        <w:snapToGrid/>
        <w:spacing w:line="400" w:lineRule="exact"/>
        <w:jc w:val="both"/>
        <w:textAlignment w:val="auto"/>
        <w:rPr>
          <w:color w:val="auto"/>
          <w:sz w:val="24"/>
          <w:szCs w:val="24"/>
          <w:highlight w:val="none"/>
        </w:rPr>
      </w:pPr>
      <w:r>
        <w:rPr>
          <w:rFonts w:hint="eastAsia" w:ascii="宋体" w:hAnsi="宋体" w:eastAsia="宋体" w:cs="宋体"/>
          <w:caps w:val="0"/>
          <w:smallCaps w:val="0"/>
          <w:color w:val="auto"/>
          <w:spacing w:val="0"/>
          <w:sz w:val="24"/>
          <w:szCs w:val="24"/>
          <w:highlight w:val="none"/>
        </w:rPr>
        <w:fldChar w:fldCharType="begin"/>
      </w:r>
      <w:r>
        <w:rPr>
          <w:rFonts w:hint="eastAsia" w:ascii="宋体" w:hAnsi="宋体" w:eastAsia="宋体" w:cs="宋体"/>
          <w:caps w:val="0"/>
          <w:smallCaps w:val="0"/>
          <w:color w:val="auto"/>
          <w:spacing w:val="0"/>
          <w:sz w:val="24"/>
          <w:szCs w:val="24"/>
          <w:highlight w:val="none"/>
        </w:rPr>
        <w:instrText xml:space="preserve"> HYPERLINK \l _Toc6223 </w:instrText>
      </w:r>
      <w:r>
        <w:rPr>
          <w:rFonts w:hint="eastAsia" w:ascii="宋体" w:hAnsi="宋体" w:eastAsia="宋体" w:cs="宋体"/>
          <w:caps w:val="0"/>
          <w:smallCaps w:val="0"/>
          <w:color w:val="auto"/>
          <w:spacing w:val="0"/>
          <w:sz w:val="24"/>
          <w:szCs w:val="24"/>
          <w:highlight w:val="none"/>
        </w:rPr>
        <w:fldChar w:fldCharType="separate"/>
      </w:r>
      <w:r>
        <w:rPr>
          <w:rFonts w:hint="eastAsia" w:cs="Times New Roman"/>
          <w:bCs/>
          <w:color w:val="auto"/>
          <w:kern w:val="2"/>
          <w:sz w:val="24"/>
          <w:szCs w:val="24"/>
          <w:highlight w:val="none"/>
          <w:lang w:val="en-US" w:eastAsia="zh-CN" w:bidi="ar-SA"/>
        </w:rPr>
        <w:t>六</w:t>
      </w:r>
      <w:r>
        <w:rPr>
          <w:rFonts w:hint="eastAsia" w:ascii="等线 Light" w:hAnsi="等线 Light" w:eastAsia="宋体" w:cs="Times New Roman"/>
          <w:bCs/>
          <w:color w:val="auto"/>
          <w:kern w:val="2"/>
          <w:sz w:val="24"/>
          <w:szCs w:val="24"/>
          <w:highlight w:val="none"/>
          <w:lang w:val="en-US" w:eastAsia="zh-CN" w:bidi="ar-SA"/>
        </w:rPr>
        <w:t>、</w:t>
      </w:r>
      <w:r>
        <w:rPr>
          <w:rFonts w:hint="eastAsia" w:ascii="等线 Light" w:hAnsi="等线 Light" w:eastAsia="宋体" w:cs="Times New Roman"/>
          <w:bCs/>
          <w:color w:val="auto"/>
          <w:kern w:val="2"/>
          <w:sz w:val="24"/>
          <w:szCs w:val="24"/>
          <w:highlight w:val="none"/>
          <w:lang w:val="zh-CN" w:eastAsia="zh-CN" w:bidi="ar-SA"/>
        </w:rPr>
        <w:t>其他资格证明文件</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_Toc6223 \h </w:instrText>
      </w:r>
      <w:r>
        <w:rPr>
          <w:color w:val="auto"/>
          <w:sz w:val="24"/>
          <w:szCs w:val="24"/>
          <w:highlight w:val="none"/>
        </w:rPr>
        <w:fldChar w:fldCharType="separate"/>
      </w:r>
      <w:r>
        <w:rPr>
          <w:b/>
        </w:rPr>
        <w:t>错误！未定义书签。</w:t>
      </w:r>
      <w:r>
        <w:rPr>
          <w:color w:val="auto"/>
          <w:sz w:val="24"/>
          <w:szCs w:val="24"/>
          <w:highlight w:val="none"/>
        </w:rPr>
        <w:fldChar w:fldCharType="end"/>
      </w:r>
      <w:r>
        <w:rPr>
          <w:rFonts w:hint="eastAsia" w:ascii="宋体" w:hAnsi="宋体" w:eastAsia="宋体" w:cs="宋体"/>
          <w:caps w:val="0"/>
          <w:smallCaps w:val="0"/>
          <w:color w:val="auto"/>
          <w:spacing w:val="0"/>
          <w:sz w:val="24"/>
          <w:szCs w:val="24"/>
          <w:highlight w:val="none"/>
        </w:rPr>
        <w:fldChar w:fldCharType="end"/>
      </w:r>
    </w:p>
    <w:p w14:paraId="4D937C3D">
      <w:pPr>
        <w:pStyle w:val="24"/>
        <w:keepNext w:val="0"/>
        <w:keepLines w:val="0"/>
        <w:pageBreakBefore w:val="0"/>
        <w:widowControl w:val="0"/>
        <w:tabs>
          <w:tab w:val="right" w:leader="dot" w:pos="8306"/>
        </w:tabs>
        <w:kinsoku/>
        <w:wordWrap/>
        <w:overflowPunct/>
        <w:topLinePunct w:val="0"/>
        <w:autoSpaceDE/>
        <w:autoSpaceDN/>
        <w:bidi w:val="0"/>
        <w:adjustRightInd/>
        <w:snapToGrid/>
        <w:spacing w:line="400" w:lineRule="exact"/>
        <w:jc w:val="both"/>
        <w:textAlignment w:val="auto"/>
        <w:rPr>
          <w:color w:val="auto"/>
          <w:sz w:val="24"/>
          <w:szCs w:val="24"/>
          <w:highlight w:val="none"/>
        </w:rPr>
      </w:pPr>
      <w:r>
        <w:rPr>
          <w:rFonts w:hint="eastAsia" w:ascii="宋体" w:hAnsi="宋体" w:eastAsia="宋体" w:cs="宋体"/>
          <w:caps w:val="0"/>
          <w:smallCaps w:val="0"/>
          <w:color w:val="auto"/>
          <w:spacing w:val="0"/>
          <w:sz w:val="24"/>
          <w:szCs w:val="24"/>
          <w:highlight w:val="none"/>
        </w:rPr>
        <w:fldChar w:fldCharType="begin"/>
      </w:r>
      <w:r>
        <w:rPr>
          <w:rFonts w:hint="eastAsia" w:ascii="宋体" w:hAnsi="宋体" w:eastAsia="宋体" w:cs="宋体"/>
          <w:caps w:val="0"/>
          <w:smallCaps w:val="0"/>
          <w:color w:val="auto"/>
          <w:spacing w:val="0"/>
          <w:sz w:val="24"/>
          <w:szCs w:val="24"/>
          <w:highlight w:val="none"/>
        </w:rPr>
        <w:instrText xml:space="preserve"> HYPERLINK \l _Toc16701 </w:instrText>
      </w:r>
      <w:r>
        <w:rPr>
          <w:rFonts w:hint="eastAsia" w:ascii="宋体" w:hAnsi="宋体" w:eastAsia="宋体" w:cs="宋体"/>
          <w:caps w:val="0"/>
          <w:smallCaps w:val="0"/>
          <w:color w:val="auto"/>
          <w:spacing w:val="0"/>
          <w:sz w:val="24"/>
          <w:szCs w:val="24"/>
          <w:highlight w:val="none"/>
        </w:rPr>
        <w:fldChar w:fldCharType="separate"/>
      </w:r>
      <w:r>
        <w:rPr>
          <w:rFonts w:hint="eastAsia"/>
          <w:color w:val="auto"/>
          <w:sz w:val="24"/>
          <w:szCs w:val="24"/>
          <w:highlight w:val="none"/>
        </w:rPr>
        <w:t>投标文件</w:t>
      </w:r>
      <w:r>
        <w:rPr>
          <w:rFonts w:hint="eastAsia" w:ascii="宋体" w:hAnsi="宋体" w:eastAsia="宋体" w:cs="宋体"/>
          <w:caps w:val="0"/>
          <w:smallCaps w:val="0"/>
          <w:color w:val="auto"/>
          <w:spacing w:val="0"/>
          <w:sz w:val="24"/>
          <w:szCs w:val="24"/>
          <w:highlight w:val="none"/>
        </w:rPr>
        <w:fldChar w:fldCharType="end"/>
      </w:r>
      <w:r>
        <w:rPr>
          <w:rFonts w:hint="eastAsia" w:ascii="宋体" w:hAnsi="宋体" w:eastAsia="宋体" w:cs="宋体"/>
          <w:caps w:val="0"/>
          <w:smallCaps w:val="0"/>
          <w:color w:val="auto"/>
          <w:spacing w:val="0"/>
          <w:sz w:val="24"/>
          <w:szCs w:val="24"/>
          <w:highlight w:val="none"/>
        </w:rPr>
        <w:fldChar w:fldCharType="begin"/>
      </w:r>
      <w:r>
        <w:rPr>
          <w:rFonts w:hint="eastAsia" w:ascii="宋体" w:hAnsi="宋体" w:eastAsia="宋体" w:cs="宋体"/>
          <w:caps w:val="0"/>
          <w:smallCaps w:val="0"/>
          <w:color w:val="auto"/>
          <w:spacing w:val="0"/>
          <w:sz w:val="24"/>
          <w:szCs w:val="24"/>
          <w:highlight w:val="none"/>
        </w:rPr>
        <w:instrText xml:space="preserve"> HYPERLINK \l _Toc30374 </w:instrText>
      </w:r>
      <w:r>
        <w:rPr>
          <w:rFonts w:hint="eastAsia" w:ascii="宋体" w:hAnsi="宋体" w:eastAsia="宋体" w:cs="宋体"/>
          <w:caps w:val="0"/>
          <w:smallCaps w:val="0"/>
          <w:color w:val="auto"/>
          <w:spacing w:val="0"/>
          <w:sz w:val="24"/>
          <w:szCs w:val="24"/>
          <w:highlight w:val="none"/>
        </w:rPr>
        <w:fldChar w:fldCharType="separate"/>
      </w:r>
      <w:r>
        <w:rPr>
          <w:rFonts w:hint="eastAsia"/>
          <w:color w:val="auto"/>
          <w:sz w:val="24"/>
          <w:szCs w:val="24"/>
          <w:highlight w:val="none"/>
          <w:lang w:val="en-US" w:eastAsia="zh-CN"/>
        </w:rPr>
        <w:t>报价文件</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_Toc30374 \h </w:instrText>
      </w:r>
      <w:r>
        <w:rPr>
          <w:color w:val="auto"/>
          <w:sz w:val="24"/>
          <w:szCs w:val="24"/>
          <w:highlight w:val="none"/>
        </w:rPr>
        <w:fldChar w:fldCharType="separate"/>
      </w:r>
      <w:r>
        <w:rPr>
          <w:b/>
        </w:rPr>
        <w:t>错误！未定义书签。</w:t>
      </w:r>
      <w:r>
        <w:rPr>
          <w:color w:val="auto"/>
          <w:sz w:val="24"/>
          <w:szCs w:val="24"/>
          <w:highlight w:val="none"/>
        </w:rPr>
        <w:fldChar w:fldCharType="end"/>
      </w:r>
      <w:r>
        <w:rPr>
          <w:rFonts w:hint="eastAsia" w:ascii="宋体" w:hAnsi="宋体" w:eastAsia="宋体" w:cs="宋体"/>
          <w:caps w:val="0"/>
          <w:smallCaps w:val="0"/>
          <w:color w:val="auto"/>
          <w:spacing w:val="0"/>
          <w:sz w:val="24"/>
          <w:szCs w:val="24"/>
          <w:highlight w:val="none"/>
        </w:rPr>
        <w:fldChar w:fldCharType="end"/>
      </w:r>
    </w:p>
    <w:p w14:paraId="230A7BCA">
      <w:pPr>
        <w:pStyle w:val="28"/>
        <w:keepNext w:val="0"/>
        <w:keepLines w:val="0"/>
        <w:pageBreakBefore w:val="0"/>
        <w:widowControl w:val="0"/>
        <w:tabs>
          <w:tab w:val="right" w:leader="dot" w:pos="8306"/>
        </w:tabs>
        <w:kinsoku/>
        <w:wordWrap/>
        <w:overflowPunct/>
        <w:topLinePunct w:val="0"/>
        <w:autoSpaceDE/>
        <w:autoSpaceDN/>
        <w:bidi w:val="0"/>
        <w:adjustRightInd/>
        <w:snapToGrid/>
        <w:spacing w:line="400" w:lineRule="exact"/>
        <w:jc w:val="both"/>
        <w:textAlignment w:val="auto"/>
        <w:rPr>
          <w:color w:val="auto"/>
          <w:sz w:val="24"/>
          <w:szCs w:val="24"/>
          <w:highlight w:val="none"/>
        </w:rPr>
      </w:pPr>
      <w:r>
        <w:rPr>
          <w:rFonts w:hint="eastAsia" w:ascii="宋体" w:hAnsi="宋体" w:eastAsia="宋体" w:cs="宋体"/>
          <w:caps w:val="0"/>
          <w:smallCaps w:val="0"/>
          <w:color w:val="auto"/>
          <w:spacing w:val="0"/>
          <w:sz w:val="24"/>
          <w:szCs w:val="24"/>
          <w:highlight w:val="none"/>
        </w:rPr>
        <w:fldChar w:fldCharType="begin"/>
      </w:r>
      <w:r>
        <w:rPr>
          <w:rFonts w:hint="eastAsia" w:ascii="宋体" w:hAnsi="宋体" w:eastAsia="宋体" w:cs="宋体"/>
          <w:caps w:val="0"/>
          <w:smallCaps w:val="0"/>
          <w:color w:val="auto"/>
          <w:spacing w:val="0"/>
          <w:sz w:val="24"/>
          <w:szCs w:val="24"/>
          <w:highlight w:val="none"/>
        </w:rPr>
        <w:instrText xml:space="preserve"> HYPERLINK \l _Toc2238 </w:instrText>
      </w:r>
      <w:r>
        <w:rPr>
          <w:rFonts w:hint="eastAsia" w:ascii="宋体" w:hAnsi="宋体" w:eastAsia="宋体" w:cs="宋体"/>
          <w:caps w:val="0"/>
          <w:smallCaps w:val="0"/>
          <w:color w:val="auto"/>
          <w:spacing w:val="0"/>
          <w:sz w:val="24"/>
          <w:szCs w:val="24"/>
          <w:highlight w:val="none"/>
        </w:rPr>
        <w:fldChar w:fldCharType="separate"/>
      </w:r>
      <w:r>
        <w:rPr>
          <w:rFonts w:hint="eastAsia" w:cs="Times New Roman"/>
          <w:bCs/>
          <w:color w:val="auto"/>
          <w:kern w:val="2"/>
          <w:sz w:val="24"/>
          <w:szCs w:val="24"/>
          <w:highlight w:val="none"/>
          <w:lang w:val="en-US" w:eastAsia="zh-CN" w:bidi="ar-SA"/>
        </w:rPr>
        <w:t>一、开标一览表</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_Toc2238 \h </w:instrText>
      </w:r>
      <w:r>
        <w:rPr>
          <w:color w:val="auto"/>
          <w:sz w:val="24"/>
          <w:szCs w:val="24"/>
          <w:highlight w:val="none"/>
        </w:rPr>
        <w:fldChar w:fldCharType="separate"/>
      </w:r>
      <w:r>
        <w:rPr>
          <w:b/>
        </w:rPr>
        <w:t>错误！未定义书签。</w:t>
      </w:r>
      <w:r>
        <w:rPr>
          <w:color w:val="auto"/>
          <w:sz w:val="24"/>
          <w:szCs w:val="24"/>
          <w:highlight w:val="none"/>
        </w:rPr>
        <w:fldChar w:fldCharType="end"/>
      </w:r>
      <w:r>
        <w:rPr>
          <w:rFonts w:hint="eastAsia" w:ascii="宋体" w:hAnsi="宋体" w:eastAsia="宋体" w:cs="宋体"/>
          <w:caps w:val="0"/>
          <w:smallCaps w:val="0"/>
          <w:color w:val="auto"/>
          <w:spacing w:val="0"/>
          <w:sz w:val="24"/>
          <w:szCs w:val="24"/>
          <w:highlight w:val="none"/>
        </w:rPr>
        <w:fldChar w:fldCharType="end"/>
      </w:r>
    </w:p>
    <w:p w14:paraId="4DCEBD1E">
      <w:pPr>
        <w:pStyle w:val="28"/>
        <w:keepNext w:val="0"/>
        <w:keepLines w:val="0"/>
        <w:pageBreakBefore w:val="0"/>
        <w:widowControl w:val="0"/>
        <w:tabs>
          <w:tab w:val="right" w:leader="dot" w:pos="8306"/>
        </w:tabs>
        <w:kinsoku/>
        <w:wordWrap/>
        <w:overflowPunct/>
        <w:topLinePunct w:val="0"/>
        <w:autoSpaceDE/>
        <w:autoSpaceDN/>
        <w:bidi w:val="0"/>
        <w:adjustRightInd/>
        <w:snapToGrid/>
        <w:spacing w:line="400" w:lineRule="exact"/>
        <w:jc w:val="both"/>
        <w:textAlignment w:val="auto"/>
        <w:rPr>
          <w:color w:val="auto"/>
          <w:sz w:val="24"/>
          <w:szCs w:val="24"/>
          <w:highlight w:val="none"/>
        </w:rPr>
      </w:pPr>
      <w:r>
        <w:rPr>
          <w:rFonts w:hint="eastAsia" w:ascii="宋体" w:hAnsi="宋体" w:eastAsia="宋体" w:cs="宋体"/>
          <w:caps w:val="0"/>
          <w:smallCaps w:val="0"/>
          <w:color w:val="auto"/>
          <w:spacing w:val="0"/>
          <w:sz w:val="24"/>
          <w:szCs w:val="24"/>
          <w:highlight w:val="none"/>
        </w:rPr>
        <w:fldChar w:fldCharType="begin"/>
      </w:r>
      <w:r>
        <w:rPr>
          <w:rFonts w:hint="eastAsia" w:ascii="宋体" w:hAnsi="宋体" w:eastAsia="宋体" w:cs="宋体"/>
          <w:caps w:val="0"/>
          <w:smallCaps w:val="0"/>
          <w:color w:val="auto"/>
          <w:spacing w:val="0"/>
          <w:sz w:val="24"/>
          <w:szCs w:val="24"/>
          <w:highlight w:val="none"/>
        </w:rPr>
        <w:instrText xml:space="preserve"> HYPERLINK \l _Toc12971 </w:instrText>
      </w:r>
      <w:r>
        <w:rPr>
          <w:rFonts w:hint="eastAsia" w:ascii="宋体" w:hAnsi="宋体" w:eastAsia="宋体" w:cs="宋体"/>
          <w:caps w:val="0"/>
          <w:smallCaps w:val="0"/>
          <w:color w:val="auto"/>
          <w:spacing w:val="0"/>
          <w:sz w:val="24"/>
          <w:szCs w:val="24"/>
          <w:highlight w:val="none"/>
        </w:rPr>
        <w:fldChar w:fldCharType="separate"/>
      </w:r>
      <w:r>
        <w:rPr>
          <w:rFonts w:hint="eastAsia" w:cs="Times New Roman"/>
          <w:bCs/>
          <w:color w:val="auto"/>
          <w:kern w:val="2"/>
          <w:sz w:val="24"/>
          <w:szCs w:val="24"/>
          <w:highlight w:val="none"/>
          <w:lang w:val="en-US" w:eastAsia="zh-CN" w:bidi="ar-SA"/>
        </w:rPr>
        <w:t>二、分项报价表</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_Toc12971 \h </w:instrText>
      </w:r>
      <w:r>
        <w:rPr>
          <w:color w:val="auto"/>
          <w:sz w:val="24"/>
          <w:szCs w:val="24"/>
          <w:highlight w:val="none"/>
        </w:rPr>
        <w:fldChar w:fldCharType="separate"/>
      </w:r>
      <w:r>
        <w:rPr>
          <w:b/>
        </w:rPr>
        <w:t>错误！未定义书签。</w:t>
      </w:r>
      <w:r>
        <w:rPr>
          <w:color w:val="auto"/>
          <w:sz w:val="24"/>
          <w:szCs w:val="24"/>
          <w:highlight w:val="none"/>
        </w:rPr>
        <w:fldChar w:fldCharType="end"/>
      </w:r>
      <w:r>
        <w:rPr>
          <w:rFonts w:hint="eastAsia" w:ascii="宋体" w:hAnsi="宋体" w:eastAsia="宋体" w:cs="宋体"/>
          <w:caps w:val="0"/>
          <w:smallCaps w:val="0"/>
          <w:color w:val="auto"/>
          <w:spacing w:val="0"/>
          <w:sz w:val="24"/>
          <w:szCs w:val="24"/>
          <w:highlight w:val="none"/>
        </w:rPr>
        <w:fldChar w:fldCharType="end"/>
      </w:r>
    </w:p>
    <w:p w14:paraId="33D8728E">
      <w:pPr>
        <w:pStyle w:val="28"/>
        <w:keepNext w:val="0"/>
        <w:keepLines w:val="0"/>
        <w:pageBreakBefore w:val="0"/>
        <w:widowControl w:val="0"/>
        <w:tabs>
          <w:tab w:val="right" w:leader="dot" w:pos="8306"/>
        </w:tabs>
        <w:kinsoku/>
        <w:wordWrap/>
        <w:overflowPunct/>
        <w:topLinePunct w:val="0"/>
        <w:autoSpaceDE/>
        <w:autoSpaceDN/>
        <w:bidi w:val="0"/>
        <w:adjustRightInd/>
        <w:snapToGrid/>
        <w:spacing w:line="400" w:lineRule="exact"/>
        <w:jc w:val="both"/>
        <w:textAlignment w:val="auto"/>
        <w:rPr>
          <w:color w:val="auto"/>
          <w:sz w:val="24"/>
          <w:szCs w:val="24"/>
          <w:highlight w:val="none"/>
        </w:rPr>
      </w:pPr>
      <w:r>
        <w:rPr>
          <w:rFonts w:hint="eastAsia" w:cs="Times New Roman"/>
          <w:bCs/>
          <w:color w:val="auto"/>
          <w:kern w:val="2"/>
          <w:sz w:val="24"/>
          <w:szCs w:val="24"/>
          <w:highlight w:val="none"/>
          <w:lang w:val="en-US" w:eastAsia="zh-CN" w:bidi="ar-SA"/>
        </w:rPr>
        <w:fldChar w:fldCharType="begin"/>
      </w:r>
      <w:r>
        <w:rPr>
          <w:rFonts w:hint="eastAsia" w:cs="Times New Roman"/>
          <w:bCs/>
          <w:color w:val="auto"/>
          <w:kern w:val="2"/>
          <w:sz w:val="24"/>
          <w:szCs w:val="24"/>
          <w:highlight w:val="none"/>
          <w:lang w:val="en-US" w:eastAsia="zh-CN" w:bidi="ar-SA"/>
        </w:rPr>
        <w:instrText xml:space="preserve"> HYPERLINK \l _Toc28343 </w:instrText>
      </w:r>
      <w:r>
        <w:rPr>
          <w:rFonts w:hint="eastAsia" w:cs="Times New Roman"/>
          <w:bCs/>
          <w:color w:val="auto"/>
          <w:kern w:val="2"/>
          <w:sz w:val="24"/>
          <w:szCs w:val="24"/>
          <w:highlight w:val="none"/>
          <w:lang w:val="en-US" w:eastAsia="zh-CN" w:bidi="ar-SA"/>
        </w:rPr>
        <w:fldChar w:fldCharType="separate"/>
      </w:r>
      <w:r>
        <w:rPr>
          <w:rFonts w:hint="eastAsia" w:cs="Times New Roman"/>
          <w:bCs/>
          <w:color w:val="auto"/>
          <w:kern w:val="2"/>
          <w:sz w:val="24"/>
          <w:szCs w:val="24"/>
          <w:highlight w:val="none"/>
          <w:lang w:val="en-US" w:eastAsia="zh-CN" w:bidi="ar-SA"/>
        </w:rPr>
        <w:t>三、关于符合本国产品标准的声明函或财政部规定的其他</w:t>
      </w:r>
      <w:r>
        <w:rPr>
          <w:rFonts w:hint="eastAsia" w:cs="Times New Roman"/>
          <w:bCs/>
          <w:color w:val="auto"/>
          <w:kern w:val="2"/>
          <w:sz w:val="24"/>
          <w:szCs w:val="24"/>
          <w:highlight w:val="none"/>
          <w:lang w:val="en-US" w:eastAsia="zh-CN" w:bidi="ar-SA"/>
        </w:rPr>
        <w:fldChar w:fldCharType="end"/>
      </w:r>
      <w:r>
        <w:rPr>
          <w:rFonts w:hint="eastAsia" w:cs="Times New Roman"/>
          <w:bCs/>
          <w:color w:val="auto"/>
          <w:kern w:val="2"/>
          <w:sz w:val="24"/>
          <w:szCs w:val="24"/>
          <w:highlight w:val="none"/>
          <w:lang w:val="en-US" w:eastAsia="zh-CN" w:bidi="ar-SA"/>
        </w:rPr>
        <w:fldChar w:fldCharType="begin"/>
      </w:r>
      <w:r>
        <w:rPr>
          <w:rFonts w:hint="eastAsia" w:cs="Times New Roman"/>
          <w:bCs/>
          <w:color w:val="auto"/>
          <w:kern w:val="2"/>
          <w:sz w:val="24"/>
          <w:szCs w:val="24"/>
          <w:highlight w:val="none"/>
          <w:lang w:val="en-US" w:eastAsia="zh-CN" w:bidi="ar-SA"/>
        </w:rPr>
        <w:instrText xml:space="preserve"> HYPERLINK \l _Toc15816 </w:instrText>
      </w:r>
      <w:r>
        <w:rPr>
          <w:rFonts w:hint="eastAsia" w:cs="Times New Roman"/>
          <w:bCs/>
          <w:color w:val="auto"/>
          <w:kern w:val="2"/>
          <w:sz w:val="24"/>
          <w:szCs w:val="24"/>
          <w:highlight w:val="none"/>
          <w:lang w:val="en-US" w:eastAsia="zh-CN" w:bidi="ar-SA"/>
        </w:rPr>
        <w:fldChar w:fldCharType="separate"/>
      </w:r>
      <w:r>
        <w:rPr>
          <w:rFonts w:hint="eastAsia" w:cs="Times New Roman"/>
          <w:bCs/>
          <w:color w:val="auto"/>
          <w:kern w:val="2"/>
          <w:sz w:val="24"/>
          <w:szCs w:val="24"/>
          <w:highlight w:val="none"/>
          <w:lang w:val="en-US" w:eastAsia="zh-CN" w:bidi="ar-SA"/>
        </w:rPr>
        <w:t>证明文件</w:t>
      </w:r>
      <w:r>
        <w:rPr>
          <w:rFonts w:hint="eastAsia" w:cs="Times New Roman"/>
          <w:bCs/>
          <w:color w:val="auto"/>
          <w:kern w:val="2"/>
          <w:sz w:val="24"/>
          <w:szCs w:val="24"/>
          <w:highlight w:val="none"/>
          <w:lang w:val="en-US" w:eastAsia="zh-CN" w:bidi="ar-SA"/>
        </w:rPr>
        <w:tab/>
      </w:r>
      <w:r>
        <w:rPr>
          <w:rFonts w:hint="eastAsia" w:cs="Times New Roman"/>
          <w:bCs/>
          <w:color w:val="auto"/>
          <w:kern w:val="2"/>
          <w:sz w:val="24"/>
          <w:szCs w:val="24"/>
          <w:highlight w:val="none"/>
          <w:lang w:val="en-US" w:eastAsia="zh-CN" w:bidi="ar-SA"/>
        </w:rPr>
        <w:fldChar w:fldCharType="begin"/>
      </w:r>
      <w:r>
        <w:rPr>
          <w:rFonts w:hint="eastAsia" w:cs="Times New Roman"/>
          <w:bCs/>
          <w:color w:val="auto"/>
          <w:kern w:val="2"/>
          <w:sz w:val="24"/>
          <w:szCs w:val="24"/>
          <w:highlight w:val="none"/>
          <w:lang w:val="en-US" w:eastAsia="zh-CN" w:bidi="ar-SA"/>
        </w:rPr>
        <w:instrText xml:space="preserve"> PAGEREF _Toc15816 \h </w:instrText>
      </w:r>
      <w:r>
        <w:rPr>
          <w:rFonts w:hint="eastAsia" w:cs="Times New Roman"/>
          <w:bCs/>
          <w:color w:val="auto"/>
          <w:kern w:val="2"/>
          <w:sz w:val="24"/>
          <w:szCs w:val="24"/>
          <w:highlight w:val="none"/>
          <w:lang w:val="en-US" w:eastAsia="zh-CN" w:bidi="ar-SA"/>
        </w:rPr>
        <w:fldChar w:fldCharType="separate"/>
      </w:r>
      <w:r>
        <w:rPr>
          <w:b/>
        </w:rPr>
        <w:t>错误！未定义书签。</w:t>
      </w:r>
      <w:r>
        <w:rPr>
          <w:rFonts w:hint="eastAsia" w:cs="Times New Roman"/>
          <w:bCs/>
          <w:color w:val="auto"/>
          <w:kern w:val="2"/>
          <w:sz w:val="24"/>
          <w:szCs w:val="24"/>
          <w:highlight w:val="none"/>
          <w:lang w:val="en-US" w:eastAsia="zh-CN" w:bidi="ar-SA"/>
        </w:rPr>
        <w:fldChar w:fldCharType="end"/>
      </w:r>
      <w:r>
        <w:rPr>
          <w:rFonts w:hint="eastAsia" w:cs="Times New Roman"/>
          <w:bCs/>
          <w:color w:val="auto"/>
          <w:kern w:val="2"/>
          <w:sz w:val="24"/>
          <w:szCs w:val="24"/>
          <w:highlight w:val="none"/>
          <w:lang w:val="en-US" w:eastAsia="zh-CN" w:bidi="ar-SA"/>
        </w:rPr>
        <w:fldChar w:fldCharType="end"/>
      </w:r>
    </w:p>
    <w:p w14:paraId="09366844">
      <w:pPr>
        <w:pStyle w:val="24"/>
        <w:keepNext w:val="0"/>
        <w:keepLines w:val="0"/>
        <w:pageBreakBefore w:val="0"/>
        <w:widowControl w:val="0"/>
        <w:tabs>
          <w:tab w:val="right" w:leader="dot" w:pos="8306"/>
        </w:tabs>
        <w:kinsoku/>
        <w:wordWrap/>
        <w:overflowPunct/>
        <w:topLinePunct w:val="0"/>
        <w:autoSpaceDE/>
        <w:autoSpaceDN/>
        <w:bidi w:val="0"/>
        <w:adjustRightInd/>
        <w:snapToGrid/>
        <w:spacing w:line="400" w:lineRule="exact"/>
        <w:jc w:val="both"/>
        <w:textAlignment w:val="auto"/>
        <w:rPr>
          <w:color w:val="auto"/>
          <w:sz w:val="24"/>
          <w:szCs w:val="24"/>
          <w:highlight w:val="none"/>
        </w:rPr>
      </w:pPr>
      <w:r>
        <w:rPr>
          <w:rFonts w:hint="eastAsia" w:ascii="宋体" w:hAnsi="宋体" w:eastAsia="宋体" w:cs="宋体"/>
          <w:caps w:val="0"/>
          <w:smallCaps w:val="0"/>
          <w:color w:val="auto"/>
          <w:spacing w:val="0"/>
          <w:sz w:val="24"/>
          <w:szCs w:val="24"/>
          <w:highlight w:val="none"/>
        </w:rPr>
        <w:fldChar w:fldCharType="begin"/>
      </w:r>
      <w:r>
        <w:rPr>
          <w:rFonts w:hint="eastAsia" w:ascii="宋体" w:hAnsi="宋体" w:eastAsia="宋体" w:cs="宋体"/>
          <w:caps w:val="0"/>
          <w:smallCaps w:val="0"/>
          <w:color w:val="auto"/>
          <w:spacing w:val="0"/>
          <w:sz w:val="24"/>
          <w:szCs w:val="24"/>
          <w:highlight w:val="none"/>
        </w:rPr>
        <w:instrText xml:space="preserve"> HYPERLINK \l _Toc29933 </w:instrText>
      </w:r>
      <w:r>
        <w:rPr>
          <w:rFonts w:hint="eastAsia" w:ascii="宋体" w:hAnsi="宋体" w:eastAsia="宋体" w:cs="宋体"/>
          <w:caps w:val="0"/>
          <w:smallCaps w:val="0"/>
          <w:color w:val="auto"/>
          <w:spacing w:val="0"/>
          <w:sz w:val="24"/>
          <w:szCs w:val="24"/>
          <w:highlight w:val="none"/>
        </w:rPr>
        <w:fldChar w:fldCharType="separate"/>
      </w:r>
      <w:r>
        <w:rPr>
          <w:rFonts w:hint="eastAsia"/>
          <w:color w:val="auto"/>
          <w:sz w:val="24"/>
          <w:szCs w:val="24"/>
          <w:highlight w:val="none"/>
        </w:rPr>
        <w:t>投标文件</w:t>
      </w:r>
      <w:r>
        <w:rPr>
          <w:rFonts w:hint="eastAsia" w:ascii="宋体" w:hAnsi="宋体" w:eastAsia="宋体" w:cs="宋体"/>
          <w:caps w:val="0"/>
          <w:smallCaps w:val="0"/>
          <w:color w:val="auto"/>
          <w:spacing w:val="0"/>
          <w:sz w:val="24"/>
          <w:szCs w:val="24"/>
          <w:highlight w:val="none"/>
        </w:rPr>
        <w:fldChar w:fldCharType="end"/>
      </w:r>
      <w:r>
        <w:rPr>
          <w:rFonts w:hint="eastAsia" w:ascii="宋体" w:hAnsi="宋体" w:eastAsia="宋体" w:cs="宋体"/>
          <w:caps w:val="0"/>
          <w:smallCaps w:val="0"/>
          <w:color w:val="auto"/>
          <w:spacing w:val="0"/>
          <w:sz w:val="24"/>
          <w:szCs w:val="24"/>
          <w:highlight w:val="none"/>
        </w:rPr>
        <w:fldChar w:fldCharType="begin"/>
      </w:r>
      <w:r>
        <w:rPr>
          <w:rFonts w:hint="eastAsia" w:ascii="宋体" w:hAnsi="宋体" w:eastAsia="宋体" w:cs="宋体"/>
          <w:caps w:val="0"/>
          <w:smallCaps w:val="0"/>
          <w:color w:val="auto"/>
          <w:spacing w:val="0"/>
          <w:sz w:val="24"/>
          <w:szCs w:val="24"/>
          <w:highlight w:val="none"/>
        </w:rPr>
        <w:instrText xml:space="preserve"> HYPERLINK \l _Toc6309 </w:instrText>
      </w:r>
      <w:r>
        <w:rPr>
          <w:rFonts w:hint="eastAsia" w:ascii="宋体" w:hAnsi="宋体" w:eastAsia="宋体" w:cs="宋体"/>
          <w:caps w:val="0"/>
          <w:smallCaps w:val="0"/>
          <w:color w:val="auto"/>
          <w:spacing w:val="0"/>
          <w:sz w:val="24"/>
          <w:szCs w:val="24"/>
          <w:highlight w:val="none"/>
        </w:rPr>
        <w:fldChar w:fldCharType="separate"/>
      </w:r>
      <w:r>
        <w:rPr>
          <w:rFonts w:hint="eastAsia"/>
          <w:color w:val="auto"/>
          <w:sz w:val="24"/>
          <w:szCs w:val="24"/>
          <w:highlight w:val="none"/>
          <w:lang w:val="en-US" w:eastAsia="zh-CN"/>
        </w:rPr>
        <w:t>商务技术文件</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_Toc6309 \h </w:instrText>
      </w:r>
      <w:r>
        <w:rPr>
          <w:color w:val="auto"/>
          <w:sz w:val="24"/>
          <w:szCs w:val="24"/>
          <w:highlight w:val="none"/>
        </w:rPr>
        <w:fldChar w:fldCharType="separate"/>
      </w:r>
      <w:r>
        <w:rPr>
          <w:b/>
        </w:rPr>
        <w:t>错误！未定义书签。</w:t>
      </w:r>
      <w:r>
        <w:rPr>
          <w:color w:val="auto"/>
          <w:sz w:val="24"/>
          <w:szCs w:val="24"/>
          <w:highlight w:val="none"/>
        </w:rPr>
        <w:fldChar w:fldCharType="end"/>
      </w:r>
      <w:r>
        <w:rPr>
          <w:rFonts w:hint="eastAsia" w:ascii="宋体" w:hAnsi="宋体" w:eastAsia="宋体" w:cs="宋体"/>
          <w:caps w:val="0"/>
          <w:smallCaps w:val="0"/>
          <w:color w:val="auto"/>
          <w:spacing w:val="0"/>
          <w:sz w:val="24"/>
          <w:szCs w:val="24"/>
          <w:highlight w:val="none"/>
        </w:rPr>
        <w:fldChar w:fldCharType="end"/>
      </w:r>
    </w:p>
    <w:p w14:paraId="4043F890">
      <w:pPr>
        <w:pStyle w:val="28"/>
        <w:keepNext w:val="0"/>
        <w:keepLines w:val="0"/>
        <w:pageBreakBefore w:val="0"/>
        <w:widowControl w:val="0"/>
        <w:tabs>
          <w:tab w:val="right" w:leader="dot" w:pos="8306"/>
        </w:tabs>
        <w:kinsoku/>
        <w:wordWrap/>
        <w:overflowPunct/>
        <w:topLinePunct w:val="0"/>
        <w:autoSpaceDE/>
        <w:autoSpaceDN/>
        <w:bidi w:val="0"/>
        <w:adjustRightInd/>
        <w:snapToGrid/>
        <w:spacing w:line="400" w:lineRule="exact"/>
        <w:jc w:val="both"/>
        <w:textAlignment w:val="auto"/>
        <w:rPr>
          <w:color w:val="auto"/>
          <w:sz w:val="24"/>
          <w:szCs w:val="24"/>
          <w:highlight w:val="none"/>
        </w:rPr>
      </w:pPr>
      <w:r>
        <w:rPr>
          <w:rFonts w:hint="eastAsia" w:ascii="宋体" w:hAnsi="宋体" w:eastAsia="宋体" w:cs="宋体"/>
          <w:caps w:val="0"/>
          <w:smallCaps w:val="0"/>
          <w:color w:val="auto"/>
          <w:spacing w:val="0"/>
          <w:sz w:val="24"/>
          <w:szCs w:val="24"/>
          <w:highlight w:val="none"/>
        </w:rPr>
        <w:fldChar w:fldCharType="begin"/>
      </w:r>
      <w:r>
        <w:rPr>
          <w:rFonts w:hint="eastAsia" w:ascii="宋体" w:hAnsi="宋体" w:eastAsia="宋体" w:cs="宋体"/>
          <w:caps w:val="0"/>
          <w:smallCaps w:val="0"/>
          <w:color w:val="auto"/>
          <w:spacing w:val="0"/>
          <w:sz w:val="24"/>
          <w:szCs w:val="24"/>
          <w:highlight w:val="none"/>
        </w:rPr>
        <w:instrText xml:space="preserve"> HYPERLINK \l _Toc28532 </w:instrText>
      </w:r>
      <w:r>
        <w:rPr>
          <w:rFonts w:hint="eastAsia" w:ascii="宋体" w:hAnsi="宋体" w:eastAsia="宋体" w:cs="宋体"/>
          <w:caps w:val="0"/>
          <w:smallCaps w:val="0"/>
          <w:color w:val="auto"/>
          <w:spacing w:val="0"/>
          <w:sz w:val="24"/>
          <w:szCs w:val="24"/>
          <w:highlight w:val="none"/>
        </w:rPr>
        <w:fldChar w:fldCharType="separate"/>
      </w:r>
      <w:r>
        <w:rPr>
          <w:rFonts w:hint="eastAsia" w:ascii="等线 Light" w:hAnsi="等线 Light" w:eastAsia="宋体" w:cs="Times New Roman"/>
          <w:bCs/>
          <w:color w:val="auto"/>
          <w:kern w:val="2"/>
          <w:sz w:val="24"/>
          <w:szCs w:val="24"/>
          <w:highlight w:val="none"/>
          <w:lang w:val="en-US" w:eastAsia="zh-CN" w:bidi="ar-SA"/>
        </w:rPr>
        <w:t>一、投标函</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_Toc28532 \h </w:instrText>
      </w:r>
      <w:r>
        <w:rPr>
          <w:color w:val="auto"/>
          <w:sz w:val="24"/>
          <w:szCs w:val="24"/>
          <w:highlight w:val="none"/>
        </w:rPr>
        <w:fldChar w:fldCharType="separate"/>
      </w:r>
      <w:r>
        <w:rPr>
          <w:b/>
        </w:rPr>
        <w:t>错误！未定义书签。</w:t>
      </w:r>
      <w:r>
        <w:rPr>
          <w:color w:val="auto"/>
          <w:sz w:val="24"/>
          <w:szCs w:val="24"/>
          <w:highlight w:val="none"/>
        </w:rPr>
        <w:fldChar w:fldCharType="end"/>
      </w:r>
      <w:r>
        <w:rPr>
          <w:rFonts w:hint="eastAsia" w:ascii="宋体" w:hAnsi="宋体" w:eastAsia="宋体" w:cs="宋体"/>
          <w:caps w:val="0"/>
          <w:smallCaps w:val="0"/>
          <w:color w:val="auto"/>
          <w:spacing w:val="0"/>
          <w:sz w:val="24"/>
          <w:szCs w:val="24"/>
          <w:highlight w:val="none"/>
        </w:rPr>
        <w:fldChar w:fldCharType="end"/>
      </w:r>
    </w:p>
    <w:p w14:paraId="3BDD466E">
      <w:pPr>
        <w:pStyle w:val="28"/>
        <w:keepNext w:val="0"/>
        <w:keepLines w:val="0"/>
        <w:pageBreakBefore w:val="0"/>
        <w:widowControl w:val="0"/>
        <w:tabs>
          <w:tab w:val="right" w:leader="dot" w:pos="8306"/>
        </w:tabs>
        <w:kinsoku/>
        <w:wordWrap/>
        <w:overflowPunct/>
        <w:topLinePunct w:val="0"/>
        <w:autoSpaceDE/>
        <w:autoSpaceDN/>
        <w:bidi w:val="0"/>
        <w:adjustRightInd/>
        <w:snapToGrid/>
        <w:spacing w:line="400" w:lineRule="exact"/>
        <w:jc w:val="both"/>
        <w:textAlignment w:val="auto"/>
        <w:rPr>
          <w:color w:val="auto"/>
          <w:sz w:val="24"/>
          <w:szCs w:val="24"/>
          <w:highlight w:val="none"/>
        </w:rPr>
      </w:pPr>
      <w:r>
        <w:rPr>
          <w:rFonts w:hint="eastAsia" w:ascii="宋体" w:hAnsi="宋体" w:eastAsia="宋体" w:cs="宋体"/>
          <w:caps w:val="0"/>
          <w:smallCaps w:val="0"/>
          <w:color w:val="auto"/>
          <w:spacing w:val="0"/>
          <w:sz w:val="24"/>
          <w:szCs w:val="24"/>
          <w:highlight w:val="none"/>
        </w:rPr>
        <w:fldChar w:fldCharType="begin"/>
      </w:r>
      <w:r>
        <w:rPr>
          <w:rFonts w:hint="eastAsia" w:ascii="宋体" w:hAnsi="宋体" w:eastAsia="宋体" w:cs="宋体"/>
          <w:caps w:val="0"/>
          <w:smallCaps w:val="0"/>
          <w:color w:val="auto"/>
          <w:spacing w:val="0"/>
          <w:sz w:val="24"/>
          <w:szCs w:val="24"/>
          <w:highlight w:val="none"/>
        </w:rPr>
        <w:instrText xml:space="preserve"> HYPERLINK \l _Toc3285 </w:instrText>
      </w:r>
      <w:r>
        <w:rPr>
          <w:rFonts w:hint="eastAsia" w:ascii="宋体" w:hAnsi="宋体" w:eastAsia="宋体" w:cs="宋体"/>
          <w:caps w:val="0"/>
          <w:smallCaps w:val="0"/>
          <w:color w:val="auto"/>
          <w:spacing w:val="0"/>
          <w:sz w:val="24"/>
          <w:szCs w:val="24"/>
          <w:highlight w:val="none"/>
        </w:rPr>
        <w:fldChar w:fldCharType="separate"/>
      </w:r>
      <w:r>
        <w:rPr>
          <w:rFonts w:hint="eastAsia" w:cs="Times New Roman"/>
          <w:bCs/>
          <w:color w:val="auto"/>
          <w:kern w:val="2"/>
          <w:sz w:val="24"/>
          <w:szCs w:val="24"/>
          <w:highlight w:val="none"/>
          <w:lang w:val="en-US" w:eastAsia="zh-CN" w:bidi="ar-SA"/>
        </w:rPr>
        <w:t>二</w:t>
      </w:r>
      <w:r>
        <w:rPr>
          <w:rFonts w:hint="eastAsia" w:ascii="等线 Light" w:hAnsi="等线 Light" w:eastAsia="宋体" w:cs="Times New Roman"/>
          <w:bCs/>
          <w:color w:val="auto"/>
          <w:kern w:val="2"/>
          <w:sz w:val="24"/>
          <w:szCs w:val="24"/>
          <w:highlight w:val="none"/>
          <w:lang w:val="en-US" w:eastAsia="zh-CN" w:bidi="ar-SA"/>
        </w:rPr>
        <w:t>、法定代表人（单位负责人）身份证明</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_Toc3285 \h </w:instrText>
      </w:r>
      <w:r>
        <w:rPr>
          <w:color w:val="auto"/>
          <w:sz w:val="24"/>
          <w:szCs w:val="24"/>
          <w:highlight w:val="none"/>
        </w:rPr>
        <w:fldChar w:fldCharType="separate"/>
      </w:r>
      <w:r>
        <w:rPr>
          <w:b/>
        </w:rPr>
        <w:t>错误！未定义书签。</w:t>
      </w:r>
      <w:r>
        <w:rPr>
          <w:color w:val="auto"/>
          <w:sz w:val="24"/>
          <w:szCs w:val="24"/>
          <w:highlight w:val="none"/>
        </w:rPr>
        <w:fldChar w:fldCharType="end"/>
      </w:r>
      <w:r>
        <w:rPr>
          <w:rFonts w:hint="eastAsia" w:ascii="宋体" w:hAnsi="宋体" w:eastAsia="宋体" w:cs="宋体"/>
          <w:caps w:val="0"/>
          <w:smallCaps w:val="0"/>
          <w:color w:val="auto"/>
          <w:spacing w:val="0"/>
          <w:sz w:val="24"/>
          <w:szCs w:val="24"/>
          <w:highlight w:val="none"/>
        </w:rPr>
        <w:fldChar w:fldCharType="end"/>
      </w:r>
    </w:p>
    <w:p w14:paraId="635632C8">
      <w:pPr>
        <w:pStyle w:val="28"/>
        <w:keepNext w:val="0"/>
        <w:keepLines w:val="0"/>
        <w:pageBreakBefore w:val="0"/>
        <w:widowControl w:val="0"/>
        <w:tabs>
          <w:tab w:val="right" w:leader="dot" w:pos="8306"/>
        </w:tabs>
        <w:kinsoku/>
        <w:wordWrap/>
        <w:overflowPunct/>
        <w:topLinePunct w:val="0"/>
        <w:autoSpaceDE/>
        <w:autoSpaceDN/>
        <w:bidi w:val="0"/>
        <w:adjustRightInd/>
        <w:snapToGrid/>
        <w:spacing w:line="400" w:lineRule="exact"/>
        <w:jc w:val="both"/>
        <w:textAlignment w:val="auto"/>
        <w:rPr>
          <w:color w:val="auto"/>
          <w:sz w:val="24"/>
          <w:szCs w:val="24"/>
          <w:highlight w:val="none"/>
        </w:rPr>
      </w:pPr>
      <w:r>
        <w:rPr>
          <w:rFonts w:hint="eastAsia" w:ascii="宋体" w:hAnsi="宋体" w:eastAsia="宋体" w:cs="宋体"/>
          <w:caps w:val="0"/>
          <w:smallCaps w:val="0"/>
          <w:color w:val="auto"/>
          <w:spacing w:val="0"/>
          <w:sz w:val="24"/>
          <w:szCs w:val="24"/>
          <w:highlight w:val="none"/>
        </w:rPr>
        <w:fldChar w:fldCharType="begin"/>
      </w:r>
      <w:r>
        <w:rPr>
          <w:rFonts w:hint="eastAsia" w:ascii="宋体" w:hAnsi="宋体" w:eastAsia="宋体" w:cs="宋体"/>
          <w:caps w:val="0"/>
          <w:smallCaps w:val="0"/>
          <w:color w:val="auto"/>
          <w:spacing w:val="0"/>
          <w:sz w:val="24"/>
          <w:szCs w:val="24"/>
          <w:highlight w:val="none"/>
        </w:rPr>
        <w:instrText xml:space="preserve"> HYPERLINK \l _Toc22585 </w:instrText>
      </w:r>
      <w:r>
        <w:rPr>
          <w:rFonts w:hint="eastAsia" w:ascii="宋体" w:hAnsi="宋体" w:eastAsia="宋体" w:cs="宋体"/>
          <w:caps w:val="0"/>
          <w:smallCaps w:val="0"/>
          <w:color w:val="auto"/>
          <w:spacing w:val="0"/>
          <w:sz w:val="24"/>
          <w:szCs w:val="24"/>
          <w:highlight w:val="none"/>
        </w:rPr>
        <w:fldChar w:fldCharType="separate"/>
      </w:r>
      <w:r>
        <w:rPr>
          <w:rFonts w:hint="eastAsia" w:cs="Times New Roman"/>
          <w:bCs/>
          <w:color w:val="auto"/>
          <w:kern w:val="2"/>
          <w:sz w:val="24"/>
          <w:szCs w:val="24"/>
          <w:highlight w:val="none"/>
          <w:lang w:val="en-US" w:eastAsia="zh-CN" w:bidi="ar-SA"/>
        </w:rPr>
        <w:t>三</w:t>
      </w:r>
      <w:r>
        <w:rPr>
          <w:rFonts w:hint="eastAsia" w:ascii="等线 Light" w:hAnsi="等线 Light" w:eastAsia="宋体" w:cs="Times New Roman"/>
          <w:bCs/>
          <w:color w:val="auto"/>
          <w:kern w:val="2"/>
          <w:sz w:val="24"/>
          <w:szCs w:val="24"/>
          <w:highlight w:val="none"/>
          <w:lang w:val="en-US" w:eastAsia="zh-CN" w:bidi="ar-SA"/>
        </w:rPr>
        <w:t>、授权委托书</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_Toc22585 \h </w:instrText>
      </w:r>
      <w:r>
        <w:rPr>
          <w:color w:val="auto"/>
          <w:sz w:val="24"/>
          <w:szCs w:val="24"/>
          <w:highlight w:val="none"/>
        </w:rPr>
        <w:fldChar w:fldCharType="separate"/>
      </w:r>
      <w:r>
        <w:rPr>
          <w:b/>
        </w:rPr>
        <w:t>错误！未定义书签。</w:t>
      </w:r>
      <w:r>
        <w:rPr>
          <w:color w:val="auto"/>
          <w:sz w:val="24"/>
          <w:szCs w:val="24"/>
          <w:highlight w:val="none"/>
        </w:rPr>
        <w:fldChar w:fldCharType="end"/>
      </w:r>
      <w:r>
        <w:rPr>
          <w:rFonts w:hint="eastAsia" w:ascii="宋体" w:hAnsi="宋体" w:eastAsia="宋体" w:cs="宋体"/>
          <w:caps w:val="0"/>
          <w:smallCaps w:val="0"/>
          <w:color w:val="auto"/>
          <w:spacing w:val="0"/>
          <w:sz w:val="24"/>
          <w:szCs w:val="24"/>
          <w:highlight w:val="none"/>
        </w:rPr>
        <w:fldChar w:fldCharType="end"/>
      </w:r>
    </w:p>
    <w:p w14:paraId="6D3DB1FF">
      <w:pPr>
        <w:pStyle w:val="28"/>
        <w:keepNext w:val="0"/>
        <w:keepLines w:val="0"/>
        <w:pageBreakBefore w:val="0"/>
        <w:widowControl w:val="0"/>
        <w:tabs>
          <w:tab w:val="right" w:leader="dot" w:pos="8306"/>
        </w:tabs>
        <w:kinsoku/>
        <w:wordWrap/>
        <w:overflowPunct/>
        <w:topLinePunct w:val="0"/>
        <w:autoSpaceDE/>
        <w:autoSpaceDN/>
        <w:bidi w:val="0"/>
        <w:adjustRightInd/>
        <w:snapToGrid/>
        <w:spacing w:line="400" w:lineRule="exact"/>
        <w:jc w:val="both"/>
        <w:textAlignment w:val="auto"/>
        <w:rPr>
          <w:color w:val="auto"/>
          <w:sz w:val="24"/>
          <w:szCs w:val="24"/>
          <w:highlight w:val="none"/>
        </w:rPr>
      </w:pPr>
      <w:r>
        <w:rPr>
          <w:rFonts w:hint="eastAsia" w:ascii="宋体" w:hAnsi="宋体" w:eastAsia="宋体" w:cs="宋体"/>
          <w:caps w:val="0"/>
          <w:smallCaps w:val="0"/>
          <w:color w:val="auto"/>
          <w:spacing w:val="0"/>
          <w:sz w:val="24"/>
          <w:szCs w:val="24"/>
          <w:highlight w:val="none"/>
        </w:rPr>
        <w:fldChar w:fldCharType="begin"/>
      </w:r>
      <w:r>
        <w:rPr>
          <w:rFonts w:hint="eastAsia" w:ascii="宋体" w:hAnsi="宋体" w:eastAsia="宋体" w:cs="宋体"/>
          <w:caps w:val="0"/>
          <w:smallCaps w:val="0"/>
          <w:color w:val="auto"/>
          <w:spacing w:val="0"/>
          <w:sz w:val="24"/>
          <w:szCs w:val="24"/>
          <w:highlight w:val="none"/>
        </w:rPr>
        <w:instrText xml:space="preserve"> HYPERLINK \l _Toc12455 </w:instrText>
      </w:r>
      <w:r>
        <w:rPr>
          <w:rFonts w:hint="eastAsia" w:ascii="宋体" w:hAnsi="宋体" w:eastAsia="宋体" w:cs="宋体"/>
          <w:caps w:val="0"/>
          <w:smallCaps w:val="0"/>
          <w:color w:val="auto"/>
          <w:spacing w:val="0"/>
          <w:sz w:val="24"/>
          <w:szCs w:val="24"/>
          <w:highlight w:val="none"/>
        </w:rPr>
        <w:fldChar w:fldCharType="separate"/>
      </w:r>
      <w:r>
        <w:rPr>
          <w:rFonts w:hint="eastAsia" w:cs="Times New Roman"/>
          <w:bCs/>
          <w:color w:val="auto"/>
          <w:kern w:val="2"/>
          <w:sz w:val="24"/>
          <w:szCs w:val="24"/>
          <w:highlight w:val="none"/>
          <w:lang w:val="en-US" w:eastAsia="zh-CN" w:bidi="ar-SA"/>
        </w:rPr>
        <w:t>四</w:t>
      </w:r>
      <w:r>
        <w:rPr>
          <w:rFonts w:hint="eastAsia" w:ascii="等线 Light" w:hAnsi="等线 Light" w:eastAsia="宋体" w:cs="Times New Roman"/>
          <w:bCs/>
          <w:color w:val="auto"/>
          <w:kern w:val="2"/>
          <w:sz w:val="24"/>
          <w:szCs w:val="24"/>
          <w:highlight w:val="none"/>
          <w:lang w:val="en-US" w:eastAsia="zh-CN" w:bidi="ar-SA"/>
        </w:rPr>
        <w:t>、</w:t>
      </w:r>
      <w:r>
        <w:rPr>
          <w:rFonts w:hint="eastAsia" w:ascii="等线 Light" w:hAnsi="等线 Light" w:eastAsia="宋体" w:cs="Times New Roman"/>
          <w:bCs/>
          <w:color w:val="auto"/>
          <w:kern w:val="2"/>
          <w:sz w:val="24"/>
          <w:szCs w:val="24"/>
          <w:highlight w:val="none"/>
          <w:lang w:val="zh-CN" w:eastAsia="zh-CN" w:bidi="ar-SA"/>
        </w:rPr>
        <w:t>政府采购</w:t>
      </w:r>
      <w:r>
        <w:rPr>
          <w:rFonts w:hint="eastAsia" w:cs="Times New Roman"/>
          <w:bCs/>
          <w:color w:val="auto"/>
          <w:kern w:val="2"/>
          <w:sz w:val="24"/>
          <w:szCs w:val="24"/>
          <w:highlight w:val="none"/>
          <w:lang w:val="en-US" w:eastAsia="zh-CN" w:bidi="ar-SA"/>
        </w:rPr>
        <w:t>投标人</w:t>
      </w:r>
      <w:r>
        <w:rPr>
          <w:rFonts w:hint="eastAsia" w:ascii="等线 Light" w:hAnsi="等线 Light" w:eastAsia="宋体" w:cs="Times New Roman"/>
          <w:bCs/>
          <w:color w:val="auto"/>
          <w:kern w:val="2"/>
          <w:sz w:val="24"/>
          <w:szCs w:val="24"/>
          <w:highlight w:val="none"/>
          <w:lang w:val="zh-CN" w:eastAsia="zh-CN" w:bidi="ar-SA"/>
        </w:rPr>
        <w:t>廉洁自律承诺书</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_Toc12455 \h </w:instrText>
      </w:r>
      <w:r>
        <w:rPr>
          <w:color w:val="auto"/>
          <w:sz w:val="24"/>
          <w:szCs w:val="24"/>
          <w:highlight w:val="none"/>
        </w:rPr>
        <w:fldChar w:fldCharType="separate"/>
      </w:r>
      <w:r>
        <w:rPr>
          <w:b/>
        </w:rPr>
        <w:t>错误！未定义书签。</w:t>
      </w:r>
      <w:r>
        <w:rPr>
          <w:color w:val="auto"/>
          <w:sz w:val="24"/>
          <w:szCs w:val="24"/>
          <w:highlight w:val="none"/>
        </w:rPr>
        <w:fldChar w:fldCharType="end"/>
      </w:r>
      <w:r>
        <w:rPr>
          <w:rFonts w:hint="eastAsia" w:ascii="宋体" w:hAnsi="宋体" w:eastAsia="宋体" w:cs="宋体"/>
          <w:caps w:val="0"/>
          <w:smallCaps w:val="0"/>
          <w:color w:val="auto"/>
          <w:spacing w:val="0"/>
          <w:sz w:val="24"/>
          <w:szCs w:val="24"/>
          <w:highlight w:val="none"/>
        </w:rPr>
        <w:fldChar w:fldCharType="end"/>
      </w:r>
    </w:p>
    <w:p w14:paraId="40EE82BA">
      <w:pPr>
        <w:pStyle w:val="28"/>
        <w:keepNext w:val="0"/>
        <w:keepLines w:val="0"/>
        <w:pageBreakBefore w:val="0"/>
        <w:widowControl w:val="0"/>
        <w:tabs>
          <w:tab w:val="right" w:leader="dot" w:pos="8306"/>
        </w:tabs>
        <w:kinsoku/>
        <w:wordWrap/>
        <w:overflowPunct/>
        <w:topLinePunct w:val="0"/>
        <w:autoSpaceDE/>
        <w:autoSpaceDN/>
        <w:bidi w:val="0"/>
        <w:adjustRightInd/>
        <w:snapToGrid/>
        <w:spacing w:line="400" w:lineRule="exact"/>
        <w:jc w:val="both"/>
        <w:textAlignment w:val="auto"/>
        <w:rPr>
          <w:color w:val="auto"/>
          <w:sz w:val="24"/>
          <w:szCs w:val="24"/>
          <w:highlight w:val="none"/>
        </w:rPr>
      </w:pPr>
      <w:r>
        <w:rPr>
          <w:rFonts w:hint="eastAsia" w:ascii="宋体" w:hAnsi="宋体" w:eastAsia="宋体" w:cs="宋体"/>
          <w:caps w:val="0"/>
          <w:smallCaps w:val="0"/>
          <w:color w:val="auto"/>
          <w:spacing w:val="0"/>
          <w:sz w:val="24"/>
          <w:szCs w:val="24"/>
          <w:highlight w:val="none"/>
        </w:rPr>
        <w:fldChar w:fldCharType="begin"/>
      </w:r>
      <w:r>
        <w:rPr>
          <w:rFonts w:hint="eastAsia" w:ascii="宋体" w:hAnsi="宋体" w:eastAsia="宋体" w:cs="宋体"/>
          <w:caps w:val="0"/>
          <w:smallCaps w:val="0"/>
          <w:color w:val="auto"/>
          <w:spacing w:val="0"/>
          <w:sz w:val="24"/>
          <w:szCs w:val="24"/>
          <w:highlight w:val="none"/>
        </w:rPr>
        <w:instrText xml:space="preserve"> HYPERLINK \l _Toc18432 </w:instrText>
      </w:r>
      <w:r>
        <w:rPr>
          <w:rFonts w:hint="eastAsia" w:ascii="宋体" w:hAnsi="宋体" w:eastAsia="宋体" w:cs="宋体"/>
          <w:caps w:val="0"/>
          <w:smallCaps w:val="0"/>
          <w:color w:val="auto"/>
          <w:spacing w:val="0"/>
          <w:sz w:val="24"/>
          <w:szCs w:val="24"/>
          <w:highlight w:val="none"/>
        </w:rPr>
        <w:fldChar w:fldCharType="separate"/>
      </w:r>
      <w:r>
        <w:rPr>
          <w:rFonts w:hint="eastAsia"/>
          <w:color w:val="auto"/>
          <w:sz w:val="24"/>
          <w:szCs w:val="24"/>
          <w:highlight w:val="none"/>
          <w:lang w:val="en-US" w:eastAsia="zh-CN"/>
        </w:rPr>
        <w:t>五、</w:t>
      </w:r>
      <w:r>
        <w:rPr>
          <w:rFonts w:hint="eastAsia"/>
          <w:color w:val="auto"/>
          <w:sz w:val="24"/>
          <w:szCs w:val="24"/>
          <w:highlight w:val="none"/>
          <w:lang w:val="zh-CN" w:eastAsia="zh-CN"/>
        </w:rPr>
        <w:t>实质性响应一览表【</w:t>
      </w:r>
      <w:r>
        <w:rPr>
          <w:rFonts w:hint="eastAsia"/>
          <w:color w:val="auto"/>
          <w:sz w:val="24"/>
          <w:szCs w:val="24"/>
          <w:highlight w:val="none"/>
          <w:lang w:val="en-US" w:eastAsia="zh-CN"/>
        </w:rPr>
        <w:t>本表须与第五章的一致】</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_Toc18432 \h </w:instrText>
      </w:r>
      <w:r>
        <w:rPr>
          <w:color w:val="auto"/>
          <w:sz w:val="24"/>
          <w:szCs w:val="24"/>
          <w:highlight w:val="none"/>
        </w:rPr>
        <w:fldChar w:fldCharType="separate"/>
      </w:r>
      <w:r>
        <w:rPr>
          <w:b/>
        </w:rPr>
        <w:t>错误！未定义书签。</w:t>
      </w:r>
      <w:r>
        <w:rPr>
          <w:color w:val="auto"/>
          <w:sz w:val="24"/>
          <w:szCs w:val="24"/>
          <w:highlight w:val="none"/>
        </w:rPr>
        <w:fldChar w:fldCharType="end"/>
      </w:r>
      <w:r>
        <w:rPr>
          <w:rFonts w:hint="eastAsia" w:ascii="宋体" w:hAnsi="宋体" w:eastAsia="宋体" w:cs="宋体"/>
          <w:caps w:val="0"/>
          <w:smallCaps w:val="0"/>
          <w:color w:val="auto"/>
          <w:spacing w:val="0"/>
          <w:sz w:val="24"/>
          <w:szCs w:val="24"/>
          <w:highlight w:val="none"/>
        </w:rPr>
        <w:fldChar w:fldCharType="end"/>
      </w:r>
    </w:p>
    <w:p w14:paraId="65C705FB">
      <w:pPr>
        <w:pStyle w:val="28"/>
        <w:keepNext w:val="0"/>
        <w:keepLines w:val="0"/>
        <w:pageBreakBefore w:val="0"/>
        <w:widowControl w:val="0"/>
        <w:tabs>
          <w:tab w:val="right" w:leader="dot" w:pos="8306"/>
        </w:tabs>
        <w:kinsoku/>
        <w:wordWrap/>
        <w:overflowPunct/>
        <w:topLinePunct w:val="0"/>
        <w:autoSpaceDE/>
        <w:autoSpaceDN/>
        <w:bidi w:val="0"/>
        <w:adjustRightInd/>
        <w:snapToGrid/>
        <w:spacing w:line="400" w:lineRule="exact"/>
        <w:jc w:val="both"/>
        <w:textAlignment w:val="auto"/>
        <w:rPr>
          <w:color w:val="auto"/>
          <w:sz w:val="24"/>
          <w:szCs w:val="24"/>
          <w:highlight w:val="none"/>
        </w:rPr>
      </w:pPr>
      <w:r>
        <w:rPr>
          <w:rFonts w:hint="eastAsia" w:ascii="宋体" w:hAnsi="宋体" w:eastAsia="宋体" w:cs="宋体"/>
          <w:caps w:val="0"/>
          <w:smallCaps w:val="0"/>
          <w:color w:val="auto"/>
          <w:spacing w:val="0"/>
          <w:sz w:val="24"/>
          <w:szCs w:val="24"/>
          <w:highlight w:val="none"/>
        </w:rPr>
        <w:fldChar w:fldCharType="begin"/>
      </w:r>
      <w:r>
        <w:rPr>
          <w:rFonts w:hint="eastAsia" w:ascii="宋体" w:hAnsi="宋体" w:eastAsia="宋体" w:cs="宋体"/>
          <w:caps w:val="0"/>
          <w:smallCaps w:val="0"/>
          <w:color w:val="auto"/>
          <w:spacing w:val="0"/>
          <w:sz w:val="24"/>
          <w:szCs w:val="24"/>
          <w:highlight w:val="none"/>
        </w:rPr>
        <w:instrText xml:space="preserve"> HYPERLINK \l _Toc28344 </w:instrText>
      </w:r>
      <w:r>
        <w:rPr>
          <w:rFonts w:hint="eastAsia" w:ascii="宋体" w:hAnsi="宋体" w:eastAsia="宋体" w:cs="宋体"/>
          <w:caps w:val="0"/>
          <w:smallCaps w:val="0"/>
          <w:color w:val="auto"/>
          <w:spacing w:val="0"/>
          <w:sz w:val="24"/>
          <w:szCs w:val="24"/>
          <w:highlight w:val="none"/>
        </w:rPr>
        <w:fldChar w:fldCharType="separate"/>
      </w:r>
      <w:r>
        <w:rPr>
          <w:rFonts w:hint="eastAsia" w:cs="Times New Roman"/>
          <w:bCs/>
          <w:color w:val="auto"/>
          <w:kern w:val="2"/>
          <w:sz w:val="24"/>
          <w:szCs w:val="24"/>
          <w:highlight w:val="none"/>
          <w:lang w:val="en-US" w:eastAsia="zh-CN" w:bidi="ar-SA"/>
        </w:rPr>
        <w:t>六</w:t>
      </w:r>
      <w:r>
        <w:rPr>
          <w:rFonts w:hint="eastAsia" w:ascii="等线 Light" w:hAnsi="等线 Light" w:eastAsia="宋体" w:cs="Times New Roman"/>
          <w:bCs/>
          <w:color w:val="auto"/>
          <w:kern w:val="2"/>
          <w:sz w:val="24"/>
          <w:szCs w:val="24"/>
          <w:highlight w:val="none"/>
          <w:lang w:val="en-US" w:eastAsia="zh-CN" w:bidi="ar-SA"/>
        </w:rPr>
        <w:t>、商务响应偏离表</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_Toc28344 \h </w:instrText>
      </w:r>
      <w:r>
        <w:rPr>
          <w:color w:val="auto"/>
          <w:sz w:val="24"/>
          <w:szCs w:val="24"/>
          <w:highlight w:val="none"/>
        </w:rPr>
        <w:fldChar w:fldCharType="separate"/>
      </w:r>
      <w:r>
        <w:rPr>
          <w:b/>
        </w:rPr>
        <w:t>错误！未定义书签。</w:t>
      </w:r>
      <w:r>
        <w:rPr>
          <w:color w:val="auto"/>
          <w:sz w:val="24"/>
          <w:szCs w:val="24"/>
          <w:highlight w:val="none"/>
        </w:rPr>
        <w:fldChar w:fldCharType="end"/>
      </w:r>
      <w:r>
        <w:rPr>
          <w:rFonts w:hint="eastAsia" w:ascii="宋体" w:hAnsi="宋体" w:eastAsia="宋体" w:cs="宋体"/>
          <w:caps w:val="0"/>
          <w:smallCaps w:val="0"/>
          <w:color w:val="auto"/>
          <w:spacing w:val="0"/>
          <w:sz w:val="24"/>
          <w:szCs w:val="24"/>
          <w:highlight w:val="none"/>
        </w:rPr>
        <w:fldChar w:fldCharType="end"/>
      </w:r>
    </w:p>
    <w:p w14:paraId="1248DFF8">
      <w:pPr>
        <w:pStyle w:val="28"/>
        <w:keepNext w:val="0"/>
        <w:keepLines w:val="0"/>
        <w:pageBreakBefore w:val="0"/>
        <w:widowControl w:val="0"/>
        <w:tabs>
          <w:tab w:val="right" w:leader="dot" w:pos="8306"/>
        </w:tabs>
        <w:kinsoku/>
        <w:wordWrap/>
        <w:overflowPunct/>
        <w:topLinePunct w:val="0"/>
        <w:autoSpaceDE/>
        <w:autoSpaceDN/>
        <w:bidi w:val="0"/>
        <w:adjustRightInd/>
        <w:snapToGrid/>
        <w:spacing w:line="400" w:lineRule="exact"/>
        <w:jc w:val="both"/>
        <w:textAlignment w:val="auto"/>
        <w:rPr>
          <w:color w:val="auto"/>
          <w:sz w:val="24"/>
          <w:szCs w:val="24"/>
          <w:highlight w:val="none"/>
        </w:rPr>
      </w:pPr>
      <w:r>
        <w:rPr>
          <w:rFonts w:hint="eastAsia" w:ascii="宋体" w:hAnsi="宋体" w:eastAsia="宋体" w:cs="宋体"/>
          <w:caps w:val="0"/>
          <w:smallCaps w:val="0"/>
          <w:color w:val="auto"/>
          <w:spacing w:val="0"/>
          <w:sz w:val="24"/>
          <w:szCs w:val="24"/>
          <w:highlight w:val="none"/>
        </w:rPr>
        <w:fldChar w:fldCharType="begin"/>
      </w:r>
      <w:r>
        <w:rPr>
          <w:rFonts w:hint="eastAsia" w:ascii="宋体" w:hAnsi="宋体" w:eastAsia="宋体" w:cs="宋体"/>
          <w:caps w:val="0"/>
          <w:smallCaps w:val="0"/>
          <w:color w:val="auto"/>
          <w:spacing w:val="0"/>
          <w:sz w:val="24"/>
          <w:szCs w:val="24"/>
          <w:highlight w:val="none"/>
        </w:rPr>
        <w:instrText xml:space="preserve"> HYPERLINK \l _Toc2100 </w:instrText>
      </w:r>
      <w:r>
        <w:rPr>
          <w:rFonts w:hint="eastAsia" w:ascii="宋体" w:hAnsi="宋体" w:eastAsia="宋体" w:cs="宋体"/>
          <w:caps w:val="0"/>
          <w:smallCaps w:val="0"/>
          <w:color w:val="auto"/>
          <w:spacing w:val="0"/>
          <w:sz w:val="24"/>
          <w:szCs w:val="24"/>
          <w:highlight w:val="none"/>
        </w:rPr>
        <w:fldChar w:fldCharType="separate"/>
      </w:r>
      <w:r>
        <w:rPr>
          <w:rFonts w:hint="eastAsia" w:cs="Times New Roman"/>
          <w:bCs/>
          <w:color w:val="auto"/>
          <w:kern w:val="2"/>
          <w:sz w:val="24"/>
          <w:szCs w:val="24"/>
          <w:highlight w:val="none"/>
          <w:lang w:val="en-US" w:eastAsia="zh-CN" w:bidi="ar-SA"/>
        </w:rPr>
        <w:t>七</w:t>
      </w:r>
      <w:r>
        <w:rPr>
          <w:rFonts w:hint="eastAsia" w:ascii="等线 Light" w:hAnsi="等线 Light" w:eastAsia="宋体" w:cs="Times New Roman"/>
          <w:bCs/>
          <w:color w:val="auto"/>
          <w:kern w:val="2"/>
          <w:sz w:val="24"/>
          <w:szCs w:val="24"/>
          <w:highlight w:val="none"/>
          <w:lang w:val="en-US" w:eastAsia="zh-CN" w:bidi="ar-SA"/>
        </w:rPr>
        <w:t>、业绩证明文件</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_Toc2100 \h </w:instrText>
      </w:r>
      <w:r>
        <w:rPr>
          <w:color w:val="auto"/>
          <w:sz w:val="24"/>
          <w:szCs w:val="24"/>
          <w:highlight w:val="none"/>
        </w:rPr>
        <w:fldChar w:fldCharType="separate"/>
      </w:r>
      <w:r>
        <w:rPr>
          <w:b/>
        </w:rPr>
        <w:t>错误！未定义书签。</w:t>
      </w:r>
      <w:r>
        <w:rPr>
          <w:color w:val="auto"/>
          <w:sz w:val="24"/>
          <w:szCs w:val="24"/>
          <w:highlight w:val="none"/>
        </w:rPr>
        <w:fldChar w:fldCharType="end"/>
      </w:r>
      <w:r>
        <w:rPr>
          <w:rFonts w:hint="eastAsia" w:ascii="宋体" w:hAnsi="宋体" w:eastAsia="宋体" w:cs="宋体"/>
          <w:caps w:val="0"/>
          <w:smallCaps w:val="0"/>
          <w:color w:val="auto"/>
          <w:spacing w:val="0"/>
          <w:sz w:val="24"/>
          <w:szCs w:val="24"/>
          <w:highlight w:val="none"/>
        </w:rPr>
        <w:fldChar w:fldCharType="end"/>
      </w:r>
    </w:p>
    <w:p w14:paraId="39C8BFC7">
      <w:pPr>
        <w:pStyle w:val="28"/>
        <w:keepNext w:val="0"/>
        <w:keepLines w:val="0"/>
        <w:pageBreakBefore w:val="0"/>
        <w:widowControl w:val="0"/>
        <w:tabs>
          <w:tab w:val="right" w:leader="dot" w:pos="8306"/>
        </w:tabs>
        <w:kinsoku/>
        <w:wordWrap/>
        <w:overflowPunct/>
        <w:topLinePunct w:val="0"/>
        <w:autoSpaceDE/>
        <w:autoSpaceDN/>
        <w:bidi w:val="0"/>
        <w:adjustRightInd/>
        <w:snapToGrid/>
        <w:spacing w:line="400" w:lineRule="exact"/>
        <w:jc w:val="both"/>
        <w:textAlignment w:val="auto"/>
        <w:rPr>
          <w:color w:val="auto"/>
          <w:sz w:val="24"/>
          <w:szCs w:val="24"/>
          <w:highlight w:val="none"/>
        </w:rPr>
      </w:pPr>
      <w:r>
        <w:rPr>
          <w:rFonts w:hint="eastAsia" w:ascii="宋体" w:hAnsi="宋体" w:eastAsia="宋体" w:cs="宋体"/>
          <w:caps w:val="0"/>
          <w:smallCaps w:val="0"/>
          <w:color w:val="auto"/>
          <w:spacing w:val="0"/>
          <w:sz w:val="24"/>
          <w:szCs w:val="24"/>
          <w:highlight w:val="none"/>
        </w:rPr>
        <w:fldChar w:fldCharType="begin"/>
      </w:r>
      <w:r>
        <w:rPr>
          <w:rFonts w:hint="eastAsia" w:ascii="宋体" w:hAnsi="宋体" w:eastAsia="宋体" w:cs="宋体"/>
          <w:caps w:val="0"/>
          <w:smallCaps w:val="0"/>
          <w:color w:val="auto"/>
          <w:spacing w:val="0"/>
          <w:sz w:val="24"/>
          <w:szCs w:val="24"/>
          <w:highlight w:val="none"/>
        </w:rPr>
        <w:instrText xml:space="preserve"> HYPERLINK \l _Toc22277 </w:instrText>
      </w:r>
      <w:r>
        <w:rPr>
          <w:rFonts w:hint="eastAsia" w:ascii="宋体" w:hAnsi="宋体" w:eastAsia="宋体" w:cs="宋体"/>
          <w:caps w:val="0"/>
          <w:smallCaps w:val="0"/>
          <w:color w:val="auto"/>
          <w:spacing w:val="0"/>
          <w:sz w:val="24"/>
          <w:szCs w:val="24"/>
          <w:highlight w:val="none"/>
        </w:rPr>
        <w:fldChar w:fldCharType="separate"/>
      </w:r>
      <w:r>
        <w:rPr>
          <w:rFonts w:hint="eastAsia" w:cs="Times New Roman"/>
          <w:bCs/>
          <w:color w:val="auto"/>
          <w:kern w:val="2"/>
          <w:sz w:val="24"/>
          <w:szCs w:val="24"/>
          <w:highlight w:val="none"/>
          <w:lang w:val="en-US" w:eastAsia="zh-CN" w:bidi="ar-SA"/>
        </w:rPr>
        <w:t>八</w:t>
      </w:r>
      <w:r>
        <w:rPr>
          <w:rFonts w:hint="eastAsia" w:ascii="等线 Light" w:hAnsi="等线 Light" w:eastAsia="宋体" w:cs="Times New Roman"/>
          <w:bCs/>
          <w:color w:val="auto"/>
          <w:kern w:val="2"/>
          <w:sz w:val="24"/>
          <w:szCs w:val="24"/>
          <w:highlight w:val="none"/>
          <w:lang w:val="en-US" w:eastAsia="zh-CN" w:bidi="ar-SA"/>
        </w:rPr>
        <w:t>、拟派项目团队</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_Toc22277 \h </w:instrText>
      </w:r>
      <w:r>
        <w:rPr>
          <w:color w:val="auto"/>
          <w:sz w:val="24"/>
          <w:szCs w:val="24"/>
          <w:highlight w:val="none"/>
        </w:rPr>
        <w:fldChar w:fldCharType="separate"/>
      </w:r>
      <w:r>
        <w:rPr>
          <w:b/>
        </w:rPr>
        <w:t>错误！未定义书签。</w:t>
      </w:r>
      <w:r>
        <w:rPr>
          <w:color w:val="auto"/>
          <w:sz w:val="24"/>
          <w:szCs w:val="24"/>
          <w:highlight w:val="none"/>
        </w:rPr>
        <w:fldChar w:fldCharType="end"/>
      </w:r>
      <w:r>
        <w:rPr>
          <w:rFonts w:hint="eastAsia" w:ascii="宋体" w:hAnsi="宋体" w:eastAsia="宋体" w:cs="宋体"/>
          <w:caps w:val="0"/>
          <w:smallCaps w:val="0"/>
          <w:color w:val="auto"/>
          <w:spacing w:val="0"/>
          <w:sz w:val="24"/>
          <w:szCs w:val="24"/>
          <w:highlight w:val="none"/>
        </w:rPr>
        <w:fldChar w:fldCharType="end"/>
      </w:r>
    </w:p>
    <w:p w14:paraId="49E68693">
      <w:pPr>
        <w:pStyle w:val="28"/>
        <w:keepNext w:val="0"/>
        <w:keepLines w:val="0"/>
        <w:pageBreakBefore w:val="0"/>
        <w:widowControl w:val="0"/>
        <w:tabs>
          <w:tab w:val="right" w:leader="dot" w:pos="8306"/>
        </w:tabs>
        <w:kinsoku/>
        <w:wordWrap/>
        <w:overflowPunct/>
        <w:topLinePunct w:val="0"/>
        <w:autoSpaceDE/>
        <w:autoSpaceDN/>
        <w:bidi w:val="0"/>
        <w:adjustRightInd/>
        <w:snapToGrid/>
        <w:spacing w:line="400" w:lineRule="exact"/>
        <w:jc w:val="both"/>
        <w:textAlignment w:val="auto"/>
        <w:rPr>
          <w:color w:val="auto"/>
          <w:sz w:val="24"/>
          <w:szCs w:val="24"/>
          <w:highlight w:val="none"/>
        </w:rPr>
      </w:pPr>
      <w:r>
        <w:rPr>
          <w:rFonts w:hint="eastAsia" w:ascii="宋体" w:hAnsi="宋体" w:eastAsia="宋体" w:cs="宋体"/>
          <w:caps w:val="0"/>
          <w:smallCaps w:val="0"/>
          <w:color w:val="auto"/>
          <w:spacing w:val="0"/>
          <w:sz w:val="24"/>
          <w:szCs w:val="24"/>
          <w:highlight w:val="none"/>
        </w:rPr>
        <w:fldChar w:fldCharType="begin"/>
      </w:r>
      <w:r>
        <w:rPr>
          <w:rFonts w:hint="eastAsia" w:ascii="宋体" w:hAnsi="宋体" w:eastAsia="宋体" w:cs="宋体"/>
          <w:caps w:val="0"/>
          <w:smallCaps w:val="0"/>
          <w:color w:val="auto"/>
          <w:spacing w:val="0"/>
          <w:sz w:val="24"/>
          <w:szCs w:val="24"/>
          <w:highlight w:val="none"/>
        </w:rPr>
        <w:instrText xml:space="preserve"> HYPERLINK \l _Toc3121 </w:instrText>
      </w:r>
      <w:r>
        <w:rPr>
          <w:rFonts w:hint="eastAsia" w:ascii="宋体" w:hAnsi="宋体" w:eastAsia="宋体" w:cs="宋体"/>
          <w:caps w:val="0"/>
          <w:smallCaps w:val="0"/>
          <w:color w:val="auto"/>
          <w:spacing w:val="0"/>
          <w:sz w:val="24"/>
          <w:szCs w:val="24"/>
          <w:highlight w:val="none"/>
        </w:rPr>
        <w:fldChar w:fldCharType="separate"/>
      </w:r>
      <w:r>
        <w:rPr>
          <w:rFonts w:hint="eastAsia" w:cs="Times New Roman"/>
          <w:bCs/>
          <w:color w:val="auto"/>
          <w:kern w:val="2"/>
          <w:sz w:val="24"/>
          <w:szCs w:val="24"/>
          <w:highlight w:val="none"/>
          <w:lang w:val="en-US" w:eastAsia="zh-CN" w:bidi="ar-SA"/>
        </w:rPr>
        <w:t>九</w:t>
      </w:r>
      <w:r>
        <w:rPr>
          <w:rFonts w:hint="eastAsia" w:ascii="等线 Light" w:hAnsi="等线 Light" w:eastAsia="宋体" w:cs="Times New Roman"/>
          <w:bCs/>
          <w:color w:val="auto"/>
          <w:kern w:val="2"/>
          <w:sz w:val="24"/>
          <w:szCs w:val="24"/>
          <w:highlight w:val="none"/>
          <w:lang w:val="en-US" w:eastAsia="zh-CN" w:bidi="ar-SA"/>
        </w:rPr>
        <w:t>、技术响应偏离表</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_Toc3121 \h </w:instrText>
      </w:r>
      <w:r>
        <w:rPr>
          <w:color w:val="auto"/>
          <w:sz w:val="24"/>
          <w:szCs w:val="24"/>
          <w:highlight w:val="none"/>
        </w:rPr>
        <w:fldChar w:fldCharType="separate"/>
      </w:r>
      <w:r>
        <w:rPr>
          <w:b/>
        </w:rPr>
        <w:t>错误！未定义书签。</w:t>
      </w:r>
      <w:r>
        <w:rPr>
          <w:color w:val="auto"/>
          <w:sz w:val="24"/>
          <w:szCs w:val="24"/>
          <w:highlight w:val="none"/>
        </w:rPr>
        <w:fldChar w:fldCharType="end"/>
      </w:r>
      <w:r>
        <w:rPr>
          <w:rFonts w:hint="eastAsia" w:ascii="宋体" w:hAnsi="宋体" w:eastAsia="宋体" w:cs="宋体"/>
          <w:caps w:val="0"/>
          <w:smallCaps w:val="0"/>
          <w:color w:val="auto"/>
          <w:spacing w:val="0"/>
          <w:sz w:val="24"/>
          <w:szCs w:val="24"/>
          <w:highlight w:val="none"/>
        </w:rPr>
        <w:fldChar w:fldCharType="end"/>
      </w:r>
    </w:p>
    <w:p w14:paraId="6A573E01">
      <w:pPr>
        <w:pStyle w:val="28"/>
        <w:keepNext w:val="0"/>
        <w:keepLines w:val="0"/>
        <w:pageBreakBefore w:val="0"/>
        <w:widowControl w:val="0"/>
        <w:tabs>
          <w:tab w:val="right" w:leader="dot" w:pos="8306"/>
        </w:tabs>
        <w:kinsoku/>
        <w:wordWrap/>
        <w:overflowPunct/>
        <w:topLinePunct w:val="0"/>
        <w:autoSpaceDE/>
        <w:autoSpaceDN/>
        <w:bidi w:val="0"/>
        <w:adjustRightInd/>
        <w:snapToGrid/>
        <w:spacing w:line="400" w:lineRule="exact"/>
        <w:jc w:val="both"/>
        <w:textAlignment w:val="auto"/>
        <w:rPr>
          <w:color w:val="auto"/>
          <w:sz w:val="24"/>
          <w:szCs w:val="24"/>
          <w:highlight w:val="none"/>
        </w:rPr>
      </w:pPr>
      <w:r>
        <w:rPr>
          <w:rFonts w:hint="eastAsia" w:ascii="宋体" w:hAnsi="宋体" w:eastAsia="宋体" w:cs="宋体"/>
          <w:caps w:val="0"/>
          <w:smallCaps w:val="0"/>
          <w:color w:val="auto"/>
          <w:spacing w:val="0"/>
          <w:sz w:val="24"/>
          <w:szCs w:val="24"/>
          <w:highlight w:val="none"/>
        </w:rPr>
        <w:fldChar w:fldCharType="begin"/>
      </w:r>
      <w:r>
        <w:rPr>
          <w:rFonts w:hint="eastAsia" w:ascii="宋体" w:hAnsi="宋体" w:eastAsia="宋体" w:cs="宋体"/>
          <w:caps w:val="0"/>
          <w:smallCaps w:val="0"/>
          <w:color w:val="auto"/>
          <w:spacing w:val="0"/>
          <w:sz w:val="24"/>
          <w:szCs w:val="24"/>
          <w:highlight w:val="none"/>
        </w:rPr>
        <w:instrText xml:space="preserve"> HYPERLINK \l _Toc28036 </w:instrText>
      </w:r>
      <w:r>
        <w:rPr>
          <w:rFonts w:hint="eastAsia" w:ascii="宋体" w:hAnsi="宋体" w:eastAsia="宋体" w:cs="宋体"/>
          <w:caps w:val="0"/>
          <w:smallCaps w:val="0"/>
          <w:color w:val="auto"/>
          <w:spacing w:val="0"/>
          <w:sz w:val="24"/>
          <w:szCs w:val="24"/>
          <w:highlight w:val="none"/>
        </w:rPr>
        <w:fldChar w:fldCharType="separate"/>
      </w:r>
      <w:r>
        <w:rPr>
          <w:rFonts w:hint="eastAsia" w:cs="Times New Roman"/>
          <w:bCs/>
          <w:color w:val="auto"/>
          <w:kern w:val="2"/>
          <w:sz w:val="24"/>
          <w:szCs w:val="24"/>
          <w:highlight w:val="none"/>
          <w:lang w:val="en-US" w:eastAsia="zh-CN" w:bidi="ar-SA"/>
        </w:rPr>
        <w:t>十</w:t>
      </w:r>
      <w:r>
        <w:rPr>
          <w:rFonts w:hint="eastAsia" w:ascii="等线 Light" w:hAnsi="等线 Light" w:eastAsia="宋体" w:cs="Times New Roman"/>
          <w:bCs/>
          <w:color w:val="auto"/>
          <w:kern w:val="2"/>
          <w:sz w:val="24"/>
          <w:szCs w:val="24"/>
          <w:highlight w:val="none"/>
          <w:lang w:val="en-US" w:eastAsia="zh-CN" w:bidi="ar-SA"/>
        </w:rPr>
        <w:t>、技术方案</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_Toc28036 \h </w:instrText>
      </w:r>
      <w:r>
        <w:rPr>
          <w:color w:val="auto"/>
          <w:sz w:val="24"/>
          <w:szCs w:val="24"/>
          <w:highlight w:val="none"/>
        </w:rPr>
        <w:fldChar w:fldCharType="separate"/>
      </w:r>
      <w:r>
        <w:rPr>
          <w:b/>
        </w:rPr>
        <w:t>错误！未定义书签。</w:t>
      </w:r>
      <w:r>
        <w:rPr>
          <w:color w:val="auto"/>
          <w:sz w:val="24"/>
          <w:szCs w:val="24"/>
          <w:highlight w:val="none"/>
        </w:rPr>
        <w:fldChar w:fldCharType="end"/>
      </w:r>
      <w:r>
        <w:rPr>
          <w:rFonts w:hint="eastAsia" w:ascii="宋体" w:hAnsi="宋体" w:eastAsia="宋体" w:cs="宋体"/>
          <w:caps w:val="0"/>
          <w:smallCaps w:val="0"/>
          <w:color w:val="auto"/>
          <w:spacing w:val="0"/>
          <w:sz w:val="24"/>
          <w:szCs w:val="24"/>
          <w:highlight w:val="none"/>
        </w:rPr>
        <w:fldChar w:fldCharType="end"/>
      </w:r>
    </w:p>
    <w:p w14:paraId="4A74909C">
      <w:pPr>
        <w:pStyle w:val="28"/>
        <w:keepNext w:val="0"/>
        <w:keepLines w:val="0"/>
        <w:pageBreakBefore w:val="0"/>
        <w:widowControl w:val="0"/>
        <w:tabs>
          <w:tab w:val="right" w:leader="dot" w:pos="8306"/>
        </w:tabs>
        <w:kinsoku/>
        <w:wordWrap/>
        <w:overflowPunct/>
        <w:topLinePunct w:val="0"/>
        <w:autoSpaceDE/>
        <w:autoSpaceDN/>
        <w:bidi w:val="0"/>
        <w:adjustRightInd/>
        <w:snapToGrid/>
        <w:spacing w:line="400" w:lineRule="exact"/>
        <w:jc w:val="both"/>
        <w:textAlignment w:val="auto"/>
        <w:rPr>
          <w:color w:val="auto"/>
          <w:sz w:val="24"/>
          <w:szCs w:val="24"/>
          <w:highlight w:val="none"/>
        </w:rPr>
      </w:pPr>
      <w:r>
        <w:rPr>
          <w:rFonts w:hint="eastAsia" w:ascii="宋体" w:hAnsi="宋体" w:eastAsia="宋体" w:cs="宋体"/>
          <w:caps w:val="0"/>
          <w:smallCaps w:val="0"/>
          <w:color w:val="auto"/>
          <w:spacing w:val="0"/>
          <w:sz w:val="24"/>
          <w:szCs w:val="24"/>
          <w:highlight w:val="none"/>
        </w:rPr>
        <w:fldChar w:fldCharType="begin"/>
      </w:r>
      <w:r>
        <w:rPr>
          <w:rFonts w:hint="eastAsia" w:ascii="宋体" w:hAnsi="宋体" w:eastAsia="宋体" w:cs="宋体"/>
          <w:caps w:val="0"/>
          <w:smallCaps w:val="0"/>
          <w:color w:val="auto"/>
          <w:spacing w:val="0"/>
          <w:sz w:val="24"/>
          <w:szCs w:val="24"/>
          <w:highlight w:val="none"/>
        </w:rPr>
        <w:instrText xml:space="preserve"> HYPERLINK \l _Toc22006 </w:instrText>
      </w:r>
      <w:r>
        <w:rPr>
          <w:rFonts w:hint="eastAsia" w:ascii="宋体" w:hAnsi="宋体" w:eastAsia="宋体" w:cs="宋体"/>
          <w:caps w:val="0"/>
          <w:smallCaps w:val="0"/>
          <w:color w:val="auto"/>
          <w:spacing w:val="0"/>
          <w:sz w:val="24"/>
          <w:szCs w:val="24"/>
          <w:highlight w:val="none"/>
        </w:rPr>
        <w:fldChar w:fldCharType="separate"/>
      </w:r>
      <w:r>
        <w:rPr>
          <w:rFonts w:hint="eastAsia" w:ascii="等线 Light" w:hAnsi="等线 Light" w:eastAsia="宋体" w:cs="Times New Roman"/>
          <w:bCs/>
          <w:color w:val="auto"/>
          <w:kern w:val="2"/>
          <w:sz w:val="24"/>
          <w:szCs w:val="24"/>
          <w:highlight w:val="none"/>
          <w:lang w:val="en-US" w:eastAsia="zh-CN" w:bidi="ar-SA"/>
        </w:rPr>
        <w:t>十</w:t>
      </w:r>
      <w:r>
        <w:rPr>
          <w:rFonts w:hint="eastAsia" w:cs="Times New Roman"/>
          <w:bCs/>
          <w:color w:val="auto"/>
          <w:kern w:val="2"/>
          <w:sz w:val="24"/>
          <w:szCs w:val="24"/>
          <w:highlight w:val="none"/>
          <w:lang w:val="en-US" w:eastAsia="zh-CN" w:bidi="ar-SA"/>
        </w:rPr>
        <w:t>一</w:t>
      </w:r>
      <w:r>
        <w:rPr>
          <w:rFonts w:hint="eastAsia" w:ascii="等线 Light" w:hAnsi="等线 Light" w:eastAsia="宋体" w:cs="Times New Roman"/>
          <w:bCs/>
          <w:color w:val="auto"/>
          <w:kern w:val="2"/>
          <w:sz w:val="24"/>
          <w:szCs w:val="24"/>
          <w:highlight w:val="none"/>
          <w:lang w:val="en-US" w:eastAsia="zh-CN" w:bidi="ar-SA"/>
        </w:rPr>
        <w:t>、其他文件</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_Toc22006 \h </w:instrText>
      </w:r>
      <w:r>
        <w:rPr>
          <w:color w:val="auto"/>
          <w:sz w:val="24"/>
          <w:szCs w:val="24"/>
          <w:highlight w:val="none"/>
        </w:rPr>
        <w:fldChar w:fldCharType="separate"/>
      </w:r>
      <w:r>
        <w:rPr>
          <w:b/>
        </w:rPr>
        <w:t>错误！未定义书签。</w:t>
      </w:r>
      <w:r>
        <w:rPr>
          <w:color w:val="auto"/>
          <w:sz w:val="24"/>
          <w:szCs w:val="24"/>
          <w:highlight w:val="none"/>
        </w:rPr>
        <w:fldChar w:fldCharType="end"/>
      </w:r>
      <w:r>
        <w:rPr>
          <w:rFonts w:hint="eastAsia" w:ascii="宋体" w:hAnsi="宋体" w:eastAsia="宋体" w:cs="宋体"/>
          <w:caps w:val="0"/>
          <w:smallCaps w:val="0"/>
          <w:color w:val="auto"/>
          <w:spacing w:val="0"/>
          <w:sz w:val="24"/>
          <w:szCs w:val="24"/>
          <w:highlight w:val="none"/>
        </w:rPr>
        <w:fldChar w:fldCharType="end"/>
      </w:r>
    </w:p>
    <w:p w14:paraId="219815C0">
      <w:pPr>
        <w:keepNext w:val="0"/>
        <w:keepLines w:val="0"/>
        <w:pageBreakBefore w:val="0"/>
        <w:widowControl w:val="0"/>
        <w:kinsoku/>
        <w:wordWrap/>
        <w:overflowPunct/>
        <w:topLinePunct w:val="0"/>
        <w:autoSpaceDE/>
        <w:autoSpaceDN/>
        <w:bidi w:val="0"/>
        <w:adjustRightInd/>
        <w:snapToGrid/>
        <w:spacing w:before="0" w:after="0" w:line="400" w:lineRule="exact"/>
        <w:textAlignment w:val="auto"/>
        <w:rPr>
          <w:color w:val="auto"/>
          <w:highlight w:val="none"/>
        </w:rPr>
      </w:pPr>
      <w:r>
        <w:rPr>
          <w:rFonts w:hint="eastAsia" w:ascii="宋体" w:hAnsi="宋体" w:eastAsia="宋体" w:cs="宋体"/>
          <w:caps w:val="0"/>
          <w:smallCaps w:val="0"/>
          <w:color w:val="auto"/>
          <w:spacing w:val="0"/>
          <w:sz w:val="24"/>
          <w:szCs w:val="24"/>
          <w:highlight w:val="none"/>
        </w:rPr>
        <w:fldChar w:fldCharType="end"/>
      </w:r>
    </w:p>
    <w:p w14:paraId="234EA24D">
      <w:pPr>
        <w:pStyle w:val="2"/>
        <w:keepNext/>
        <w:keepLines/>
        <w:pageBreakBefore w:val="0"/>
        <w:widowControl w:val="0"/>
        <w:numPr>
          <w:ilvl w:val="0"/>
          <w:numId w:val="0"/>
        </w:numPr>
        <w:kinsoku/>
        <w:wordWrap/>
        <w:overflowPunct/>
        <w:topLinePunct w:val="0"/>
        <w:autoSpaceDE/>
        <w:autoSpaceDN/>
        <w:bidi w:val="0"/>
        <w:adjustRightInd/>
        <w:snapToGrid/>
        <w:spacing w:before="220" w:after="220" w:line="480" w:lineRule="auto"/>
        <w:ind w:left="420" w:leftChars="0" w:hanging="420" w:firstLineChars="0"/>
        <w:textAlignment w:val="auto"/>
        <w:rPr>
          <w:rFonts w:hint="eastAsia" w:ascii="宋体" w:hAnsi="宋体" w:eastAsia="宋体" w:cs="宋体"/>
          <w:b/>
          <w:bCs/>
          <w:color w:val="auto"/>
          <w:kern w:val="44"/>
          <w:sz w:val="36"/>
          <w:szCs w:val="36"/>
          <w:highlight w:val="none"/>
          <w:lang w:val="en-US" w:eastAsia="zh-CN" w:bidi="ar-SA"/>
        </w:rPr>
        <w:sectPr>
          <w:headerReference r:id="rId7" w:type="default"/>
          <w:footerReference r:id="rId8" w:type="default"/>
          <w:pgSz w:w="11906" w:h="16838"/>
          <w:pgMar w:top="1440" w:right="1800" w:bottom="1440" w:left="1800" w:header="851" w:footer="992" w:gutter="0"/>
          <w:pgBorders>
            <w:top w:val="none" w:sz="0" w:space="0"/>
            <w:left w:val="none" w:sz="0" w:space="0"/>
            <w:bottom w:val="none" w:sz="0" w:space="0"/>
            <w:right w:val="none" w:sz="0" w:space="0"/>
          </w:pgBorders>
          <w:pgNumType w:fmt="numberInDash" w:start="1"/>
          <w:cols w:space="720" w:num="1"/>
          <w:docGrid w:type="lines" w:linePitch="312" w:charSpace="0"/>
        </w:sectPr>
      </w:pPr>
    </w:p>
    <w:p w14:paraId="043A6CAD">
      <w:pPr>
        <w:pStyle w:val="2"/>
        <w:keepNext/>
        <w:keepLines/>
        <w:pageBreakBefore w:val="0"/>
        <w:widowControl w:val="0"/>
        <w:numPr>
          <w:ilvl w:val="0"/>
          <w:numId w:val="0"/>
        </w:numPr>
        <w:kinsoku/>
        <w:wordWrap/>
        <w:overflowPunct/>
        <w:topLinePunct w:val="0"/>
        <w:autoSpaceDE/>
        <w:autoSpaceDN/>
        <w:bidi w:val="0"/>
        <w:adjustRightInd/>
        <w:snapToGrid/>
        <w:spacing w:before="220" w:after="220" w:line="480" w:lineRule="auto"/>
        <w:ind w:left="420" w:leftChars="0" w:hanging="420" w:firstLineChars="0"/>
        <w:textAlignment w:val="auto"/>
        <w:rPr>
          <w:rFonts w:hint="eastAsia" w:ascii="宋体" w:hAnsi="宋体" w:eastAsia="宋体" w:cs="宋体"/>
          <w:color w:val="auto"/>
          <w:sz w:val="36"/>
          <w:szCs w:val="36"/>
          <w:highlight w:val="none"/>
          <w:lang w:val="en-US" w:eastAsia="zh-CN"/>
        </w:rPr>
      </w:pPr>
      <w:bookmarkStart w:id="10" w:name="_Toc11922"/>
      <w:r>
        <w:rPr>
          <w:rFonts w:hint="eastAsia" w:ascii="宋体" w:hAnsi="宋体" w:eastAsia="宋体" w:cs="宋体"/>
          <w:b/>
          <w:bCs/>
          <w:color w:val="auto"/>
          <w:kern w:val="44"/>
          <w:sz w:val="36"/>
          <w:szCs w:val="36"/>
          <w:highlight w:val="none"/>
          <w:lang w:val="en-US" w:eastAsia="zh-CN" w:bidi="ar-SA"/>
        </w:rPr>
        <w:t xml:space="preserve">第一章 </w:t>
      </w:r>
      <w:bookmarkEnd w:id="7"/>
      <w:r>
        <w:rPr>
          <w:rFonts w:hint="eastAsia" w:ascii="宋体" w:hAnsi="宋体" w:eastAsia="宋体" w:cs="宋体"/>
          <w:color w:val="auto"/>
          <w:sz w:val="36"/>
          <w:szCs w:val="36"/>
          <w:highlight w:val="none"/>
          <w:lang w:val="en-US" w:eastAsia="zh-CN"/>
        </w:rPr>
        <w:t>招标公告</w:t>
      </w:r>
      <w:bookmarkEnd w:id="8"/>
      <w:bookmarkEnd w:id="10"/>
    </w:p>
    <w:bookmarkEnd w:id="9"/>
    <w:tbl>
      <w:tblPr>
        <w:tblStyle w:val="78"/>
        <w:tblW w:w="9037" w:type="dxa"/>
        <w:tblInd w:w="-190"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9037"/>
      </w:tblGrid>
      <w:tr w14:paraId="042B5793">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2048" w:hRule="atLeast"/>
        </w:trPr>
        <w:tc>
          <w:tcPr>
            <w:tcW w:w="9037" w:type="dxa"/>
            <w:noWrap w:val="0"/>
            <w:vAlign w:val="top"/>
          </w:tcPr>
          <w:p w14:paraId="7CF60880">
            <w:pPr>
              <w:kinsoku w:val="0"/>
              <w:autoSpaceDE w:val="0"/>
              <w:autoSpaceDN w:val="0"/>
              <w:adjustRightInd w:val="0"/>
              <w:snapToGrid w:val="0"/>
              <w:spacing w:before="239" w:line="222" w:lineRule="auto"/>
              <w:ind w:left="116"/>
              <w:jc w:val="left"/>
              <w:textAlignment w:val="baseline"/>
              <w:rPr>
                <w:rFonts w:hint="eastAsia" w:ascii="宋体" w:hAnsi="宋体" w:eastAsia="宋体" w:cs="宋体"/>
                <w:snapToGrid w:val="0"/>
                <w:color w:val="000000"/>
                <w:kern w:val="0"/>
                <w:sz w:val="28"/>
                <w:szCs w:val="28"/>
              </w:rPr>
            </w:pPr>
            <w:r>
              <w:rPr>
                <w:rFonts w:hint="eastAsia" w:ascii="宋体" w:hAnsi="宋体" w:eastAsia="宋体" w:cs="宋体"/>
                <w:snapToGrid w:val="0"/>
                <w:color w:val="000000"/>
                <w:spacing w:val="-10"/>
                <w:kern w:val="0"/>
                <w:sz w:val="28"/>
                <w:szCs w:val="28"/>
              </w:rPr>
              <w:t>项目概况</w:t>
            </w:r>
          </w:p>
          <w:p w14:paraId="78667F2F">
            <w:pPr>
              <w:kinsoku w:val="0"/>
              <w:autoSpaceDE w:val="0"/>
              <w:autoSpaceDN w:val="0"/>
              <w:adjustRightInd w:val="0"/>
              <w:snapToGrid w:val="0"/>
              <w:spacing w:before="227" w:line="322" w:lineRule="auto"/>
              <w:ind w:left="112" w:right="80" w:firstLine="512"/>
              <w:textAlignment w:val="baseline"/>
              <w:rPr>
                <w:rFonts w:hint="eastAsia" w:ascii="宋体" w:hAnsi="宋体" w:eastAsia="宋体" w:cs="宋体"/>
                <w:snapToGrid w:val="0"/>
                <w:color w:val="000000"/>
                <w:kern w:val="0"/>
                <w:sz w:val="28"/>
                <w:szCs w:val="28"/>
              </w:rPr>
            </w:pPr>
            <w:r>
              <w:rPr>
                <w:rFonts w:hint="eastAsia" w:ascii="宋体" w:hAnsi="宋体" w:cs="宋体"/>
                <w:snapToGrid w:val="0"/>
                <w:color w:val="000000"/>
                <w:spacing w:val="2"/>
                <w:kern w:val="0"/>
                <w:sz w:val="28"/>
                <w:szCs w:val="28"/>
                <w:u w:val="single"/>
                <w:lang w:eastAsia="zh-CN"/>
              </w:rPr>
              <w:t>2026年“石榴花开·青春绽放”全国青少年女子足球民族团结友谊赛</w:t>
            </w:r>
            <w:r>
              <w:rPr>
                <w:rFonts w:hint="eastAsia" w:ascii="宋体" w:hAnsi="宋体" w:eastAsia="宋体" w:cs="宋体"/>
                <w:snapToGrid w:val="0"/>
                <w:color w:val="000000"/>
                <w:spacing w:val="2"/>
                <w:kern w:val="0"/>
                <w:sz w:val="28"/>
                <w:szCs w:val="28"/>
              </w:rPr>
              <w:t>的潜</w:t>
            </w:r>
            <w:r>
              <w:rPr>
                <w:rFonts w:hint="eastAsia" w:ascii="宋体" w:hAnsi="宋体" w:eastAsia="宋体" w:cs="宋体"/>
                <w:snapToGrid w:val="0"/>
                <w:color w:val="000000"/>
                <w:spacing w:val="-13"/>
                <w:kern w:val="0"/>
                <w:sz w:val="28"/>
                <w:szCs w:val="28"/>
              </w:rPr>
              <w:t>在投标人应在政采云平台获取（下载）采购文件，</w:t>
            </w:r>
            <w:r>
              <w:rPr>
                <w:rFonts w:hint="eastAsia" w:ascii="宋体" w:hAnsi="宋体" w:eastAsia="宋体" w:cs="宋体"/>
                <w:snapToGrid w:val="0"/>
                <w:color w:val="000000"/>
                <w:spacing w:val="-13"/>
                <w:kern w:val="0"/>
                <w:sz w:val="28"/>
                <w:szCs w:val="28"/>
                <w:highlight w:val="none"/>
              </w:rPr>
              <w:t>并于2026年</w:t>
            </w:r>
            <w:r>
              <w:rPr>
                <w:rFonts w:hint="eastAsia" w:cs="宋体"/>
                <w:snapToGrid w:val="0"/>
                <w:color w:val="000000"/>
                <w:spacing w:val="-13"/>
                <w:kern w:val="0"/>
                <w:sz w:val="28"/>
                <w:szCs w:val="28"/>
                <w:highlight w:val="none"/>
                <w:lang w:val="en-US" w:eastAsia="zh-CN"/>
              </w:rPr>
              <w:t>7</w:t>
            </w:r>
            <w:r>
              <w:rPr>
                <w:rFonts w:hint="eastAsia" w:ascii="宋体" w:hAnsi="宋体" w:eastAsia="宋体" w:cs="宋体"/>
                <w:snapToGrid w:val="0"/>
                <w:color w:val="000000"/>
                <w:spacing w:val="-13"/>
                <w:kern w:val="0"/>
                <w:sz w:val="28"/>
                <w:szCs w:val="28"/>
                <w:highlight w:val="none"/>
              </w:rPr>
              <w:t>月</w:t>
            </w:r>
            <w:r>
              <w:rPr>
                <w:rFonts w:hint="eastAsia" w:cs="宋体"/>
                <w:snapToGrid w:val="0"/>
                <w:color w:val="000000"/>
                <w:spacing w:val="-13"/>
                <w:kern w:val="0"/>
                <w:sz w:val="28"/>
                <w:szCs w:val="28"/>
                <w:highlight w:val="none"/>
                <w:lang w:val="en-US" w:eastAsia="zh-CN"/>
              </w:rPr>
              <w:t>8</w:t>
            </w:r>
            <w:r>
              <w:rPr>
                <w:rFonts w:hint="eastAsia" w:ascii="宋体" w:hAnsi="宋体" w:eastAsia="宋体" w:cs="宋体"/>
                <w:snapToGrid w:val="0"/>
                <w:color w:val="000000"/>
                <w:spacing w:val="-13"/>
                <w:kern w:val="0"/>
                <w:sz w:val="28"/>
                <w:szCs w:val="28"/>
                <w:highlight w:val="none"/>
              </w:rPr>
              <w:t>日</w:t>
            </w:r>
            <w:r>
              <w:rPr>
                <w:rFonts w:hint="eastAsia" w:ascii="宋体" w:hAnsi="宋体" w:eastAsia="宋体" w:cs="宋体"/>
                <w:snapToGrid w:val="0"/>
                <w:color w:val="000000"/>
                <w:spacing w:val="-13"/>
                <w:kern w:val="0"/>
                <w:sz w:val="28"/>
                <w:szCs w:val="28"/>
                <w:highlight w:val="none"/>
                <w:lang w:val="en-US" w:eastAsia="zh-CN"/>
              </w:rPr>
              <w:t>1</w:t>
            </w:r>
            <w:r>
              <w:rPr>
                <w:rFonts w:hint="eastAsia" w:ascii="宋体" w:hAnsi="宋体" w:cs="宋体"/>
                <w:snapToGrid w:val="0"/>
                <w:color w:val="000000"/>
                <w:spacing w:val="-13"/>
                <w:kern w:val="0"/>
                <w:sz w:val="28"/>
                <w:szCs w:val="28"/>
                <w:highlight w:val="none"/>
                <w:lang w:val="en-US" w:eastAsia="zh-CN"/>
              </w:rPr>
              <w:t>0</w:t>
            </w:r>
            <w:r>
              <w:rPr>
                <w:rFonts w:hint="eastAsia" w:ascii="宋体" w:hAnsi="宋体" w:eastAsia="宋体" w:cs="宋体"/>
                <w:snapToGrid w:val="0"/>
                <w:color w:val="000000"/>
                <w:spacing w:val="-13"/>
                <w:kern w:val="0"/>
                <w:sz w:val="28"/>
                <w:szCs w:val="28"/>
                <w:highlight w:val="none"/>
              </w:rPr>
              <w:t>时</w:t>
            </w:r>
            <w:r>
              <w:rPr>
                <w:rFonts w:hint="eastAsia" w:ascii="宋体" w:hAnsi="宋体" w:cs="宋体"/>
                <w:snapToGrid w:val="0"/>
                <w:color w:val="000000"/>
                <w:spacing w:val="-13"/>
                <w:kern w:val="0"/>
                <w:sz w:val="28"/>
                <w:szCs w:val="28"/>
                <w:highlight w:val="none"/>
                <w:lang w:val="en-US" w:eastAsia="zh-CN"/>
              </w:rPr>
              <w:t>3</w:t>
            </w:r>
            <w:r>
              <w:rPr>
                <w:rFonts w:hint="eastAsia" w:ascii="宋体" w:hAnsi="宋体" w:eastAsia="宋体" w:cs="宋体"/>
                <w:snapToGrid w:val="0"/>
                <w:color w:val="000000"/>
                <w:spacing w:val="-13"/>
                <w:kern w:val="0"/>
                <w:sz w:val="28"/>
                <w:szCs w:val="28"/>
                <w:highlight w:val="none"/>
              </w:rPr>
              <w:t>0</w:t>
            </w:r>
            <w:r>
              <w:rPr>
                <w:rFonts w:hint="eastAsia" w:ascii="宋体" w:hAnsi="宋体" w:eastAsia="宋体" w:cs="宋体"/>
                <w:snapToGrid w:val="0"/>
                <w:color w:val="000000"/>
                <w:spacing w:val="-5"/>
                <w:kern w:val="0"/>
                <w:sz w:val="28"/>
                <w:szCs w:val="28"/>
                <w:highlight w:val="none"/>
              </w:rPr>
              <w:t>分（北京时间）</w:t>
            </w:r>
            <w:r>
              <w:rPr>
                <w:rFonts w:hint="eastAsia" w:ascii="宋体" w:hAnsi="宋体" w:eastAsia="宋体" w:cs="宋体"/>
                <w:snapToGrid w:val="0"/>
                <w:color w:val="000000"/>
                <w:spacing w:val="-5"/>
                <w:kern w:val="0"/>
                <w:sz w:val="28"/>
                <w:szCs w:val="28"/>
              </w:rPr>
              <w:t>前提交投标文件。</w:t>
            </w:r>
          </w:p>
        </w:tc>
      </w:tr>
    </w:tbl>
    <w:p w14:paraId="4B452166">
      <w:pPr>
        <w:widowControl/>
        <w:kinsoku w:val="0"/>
        <w:autoSpaceDE w:val="0"/>
        <w:autoSpaceDN w:val="0"/>
        <w:adjustRightInd w:val="0"/>
        <w:snapToGrid w:val="0"/>
        <w:spacing w:before="211" w:line="222" w:lineRule="auto"/>
        <w:ind w:left="128"/>
        <w:jc w:val="left"/>
        <w:textAlignment w:val="baseline"/>
        <w:outlineLvl w:val="1"/>
        <w:rPr>
          <w:rFonts w:hint="eastAsia" w:ascii="宋体" w:hAnsi="宋体" w:eastAsia="宋体" w:cs="宋体"/>
          <w:snapToGrid w:val="0"/>
          <w:color w:val="000000"/>
          <w:kern w:val="0"/>
          <w:sz w:val="28"/>
          <w:szCs w:val="28"/>
        </w:rPr>
      </w:pPr>
      <w:r>
        <w:rPr>
          <w:rFonts w:hint="eastAsia" w:ascii="宋体" w:hAnsi="宋体" w:eastAsia="宋体" w:cs="宋体"/>
          <w:b/>
          <w:bCs/>
          <w:snapToGrid w:val="0"/>
          <w:color w:val="000000"/>
          <w:spacing w:val="-12"/>
          <w:kern w:val="0"/>
          <w:sz w:val="28"/>
          <w:szCs w:val="28"/>
        </w:rPr>
        <w:t>一、项目基本情况</w:t>
      </w:r>
    </w:p>
    <w:p w14:paraId="4195EEB7">
      <w:pPr>
        <w:widowControl/>
        <w:kinsoku w:val="0"/>
        <w:autoSpaceDE w:val="0"/>
        <w:autoSpaceDN w:val="0"/>
        <w:adjustRightInd w:val="0"/>
        <w:snapToGrid w:val="0"/>
        <w:spacing w:before="231" w:line="30" w:lineRule="atLeast"/>
        <w:ind w:left="600" w:right="93" w:hanging="1"/>
        <w:jc w:val="left"/>
        <w:textAlignment w:val="baseline"/>
        <w:rPr>
          <w:rFonts w:hint="eastAsia" w:ascii="宋体" w:hAnsi="宋体" w:eastAsia="宋体" w:cs="宋体"/>
          <w:snapToGrid w:val="0"/>
          <w:color w:val="000000"/>
          <w:spacing w:val="-3"/>
          <w:kern w:val="0"/>
          <w:sz w:val="28"/>
          <w:szCs w:val="28"/>
          <w:highlight w:val="none"/>
          <w:lang w:val="en-US" w:eastAsia="zh-CN"/>
        </w:rPr>
      </w:pPr>
      <w:r>
        <w:rPr>
          <w:rFonts w:hint="eastAsia" w:ascii="宋体" w:hAnsi="宋体" w:eastAsia="宋体" w:cs="宋体"/>
          <w:snapToGrid w:val="0"/>
          <w:color w:val="000000"/>
          <w:spacing w:val="-3"/>
          <w:kern w:val="0"/>
          <w:sz w:val="28"/>
          <w:szCs w:val="28"/>
          <w:highlight w:val="none"/>
        </w:rPr>
        <w:t>项目编号：</w:t>
      </w:r>
      <w:r>
        <w:rPr>
          <w:rFonts w:hint="eastAsia" w:cs="宋体"/>
          <w:snapToGrid w:val="0"/>
          <w:color w:val="000000"/>
          <w:spacing w:val="-3"/>
          <w:kern w:val="0"/>
          <w:sz w:val="28"/>
          <w:szCs w:val="28"/>
          <w:highlight w:val="none"/>
          <w:lang w:val="en-US" w:eastAsia="zh-CN"/>
        </w:rPr>
        <w:t>XJHZ-2026-06</w:t>
      </w:r>
    </w:p>
    <w:p w14:paraId="75A2EEFE">
      <w:pPr>
        <w:widowControl/>
        <w:kinsoku w:val="0"/>
        <w:autoSpaceDE w:val="0"/>
        <w:autoSpaceDN w:val="0"/>
        <w:adjustRightInd w:val="0"/>
        <w:snapToGrid w:val="0"/>
        <w:spacing w:before="231" w:line="30" w:lineRule="atLeast"/>
        <w:ind w:left="600" w:right="93" w:hanging="1"/>
        <w:jc w:val="left"/>
        <w:textAlignment w:val="baseline"/>
        <w:rPr>
          <w:rFonts w:hint="eastAsia" w:ascii="宋体" w:hAnsi="宋体" w:eastAsia="宋体" w:cs="宋体"/>
          <w:snapToGrid w:val="0"/>
          <w:color w:val="000000"/>
          <w:spacing w:val="-1"/>
          <w:kern w:val="0"/>
          <w:sz w:val="28"/>
          <w:szCs w:val="28"/>
          <w:lang w:eastAsia="zh-CN"/>
        </w:rPr>
      </w:pPr>
      <w:r>
        <w:rPr>
          <w:rFonts w:hint="eastAsia" w:ascii="宋体" w:hAnsi="宋体" w:eastAsia="宋体" w:cs="宋体"/>
          <w:snapToGrid w:val="0"/>
          <w:color w:val="000000"/>
          <w:spacing w:val="-1"/>
          <w:kern w:val="0"/>
          <w:sz w:val="28"/>
          <w:szCs w:val="28"/>
          <w:highlight w:val="none"/>
        </w:rPr>
        <w:t>项目名称：</w:t>
      </w:r>
      <w:r>
        <w:rPr>
          <w:rFonts w:hint="eastAsia" w:ascii="宋体" w:hAnsi="宋体" w:eastAsia="宋体" w:cs="宋体"/>
          <w:snapToGrid w:val="0"/>
          <w:color w:val="000000"/>
          <w:spacing w:val="-1"/>
          <w:kern w:val="0"/>
          <w:sz w:val="28"/>
          <w:szCs w:val="28"/>
          <w:highlight w:val="none"/>
          <w:lang w:eastAsia="zh-CN"/>
        </w:rPr>
        <w:t>2026年“石榴花开</w:t>
      </w:r>
      <w:r>
        <w:rPr>
          <w:rFonts w:hint="eastAsia" w:ascii="宋体" w:hAnsi="宋体" w:eastAsia="宋体" w:cs="宋体"/>
          <w:snapToGrid w:val="0"/>
          <w:color w:val="000000"/>
          <w:spacing w:val="-1"/>
          <w:kern w:val="0"/>
          <w:sz w:val="28"/>
          <w:szCs w:val="28"/>
          <w:lang w:eastAsia="zh-CN"/>
        </w:rPr>
        <w:t>·青春绽放”全国青少年女子足球民族团结友谊赛</w:t>
      </w:r>
    </w:p>
    <w:p w14:paraId="75CB07B6">
      <w:pPr>
        <w:widowControl/>
        <w:kinsoku w:val="0"/>
        <w:autoSpaceDE w:val="0"/>
        <w:autoSpaceDN w:val="0"/>
        <w:adjustRightInd w:val="0"/>
        <w:snapToGrid w:val="0"/>
        <w:spacing w:before="231" w:line="30" w:lineRule="atLeast"/>
        <w:ind w:left="600" w:right="93" w:hanging="1"/>
        <w:jc w:val="left"/>
        <w:textAlignment w:val="baseline"/>
        <w:rPr>
          <w:rFonts w:hint="eastAsia" w:ascii="宋体" w:hAnsi="宋体" w:eastAsia="宋体" w:cs="宋体"/>
          <w:snapToGrid w:val="0"/>
          <w:color w:val="000000"/>
          <w:spacing w:val="-1"/>
          <w:kern w:val="0"/>
          <w:sz w:val="28"/>
          <w:szCs w:val="28"/>
        </w:rPr>
      </w:pPr>
      <w:r>
        <w:rPr>
          <w:rFonts w:hint="eastAsia" w:ascii="宋体" w:hAnsi="宋体" w:eastAsia="宋体" w:cs="宋体"/>
          <w:snapToGrid w:val="0"/>
          <w:color w:val="000000"/>
          <w:spacing w:val="-1"/>
          <w:kern w:val="0"/>
          <w:sz w:val="28"/>
          <w:szCs w:val="28"/>
        </w:rPr>
        <w:t>采购方式：公开招标</w:t>
      </w:r>
    </w:p>
    <w:p w14:paraId="64FCB1A6">
      <w:pPr>
        <w:widowControl/>
        <w:kinsoku w:val="0"/>
        <w:autoSpaceDE w:val="0"/>
        <w:autoSpaceDN w:val="0"/>
        <w:adjustRightInd w:val="0"/>
        <w:snapToGrid w:val="0"/>
        <w:spacing w:before="231" w:line="30" w:lineRule="atLeast"/>
        <w:ind w:left="600" w:right="93" w:hanging="1"/>
        <w:jc w:val="left"/>
        <w:textAlignment w:val="baseline"/>
        <w:rPr>
          <w:rFonts w:hint="eastAsia" w:ascii="宋体" w:hAnsi="宋体" w:eastAsia="宋体" w:cs="宋体"/>
          <w:snapToGrid w:val="0"/>
          <w:color w:val="000000"/>
          <w:spacing w:val="-1"/>
          <w:kern w:val="0"/>
          <w:sz w:val="28"/>
          <w:szCs w:val="28"/>
        </w:rPr>
      </w:pPr>
      <w:r>
        <w:rPr>
          <w:rFonts w:hint="eastAsia" w:ascii="宋体" w:hAnsi="宋体" w:eastAsia="宋体" w:cs="宋体"/>
          <w:snapToGrid w:val="0"/>
          <w:color w:val="000000"/>
          <w:spacing w:val="-1"/>
          <w:kern w:val="0"/>
          <w:sz w:val="28"/>
          <w:szCs w:val="28"/>
        </w:rPr>
        <w:t>预算金额（元）：</w:t>
      </w:r>
      <w:r>
        <w:rPr>
          <w:rFonts w:hint="eastAsia" w:ascii="宋体" w:hAnsi="宋体" w:cs="宋体"/>
          <w:snapToGrid w:val="0"/>
          <w:color w:val="000000"/>
          <w:spacing w:val="-1"/>
          <w:kern w:val="0"/>
          <w:sz w:val="28"/>
          <w:szCs w:val="28"/>
          <w:lang w:val="en-US" w:eastAsia="zh-CN"/>
        </w:rPr>
        <w:t>3700000</w:t>
      </w:r>
      <w:r>
        <w:rPr>
          <w:rFonts w:hint="eastAsia" w:ascii="宋体" w:hAnsi="宋体" w:eastAsia="宋体" w:cs="宋体"/>
          <w:snapToGrid w:val="0"/>
          <w:color w:val="000000"/>
          <w:spacing w:val="-1"/>
          <w:kern w:val="0"/>
          <w:sz w:val="28"/>
          <w:szCs w:val="28"/>
        </w:rPr>
        <w:t>.00</w:t>
      </w:r>
    </w:p>
    <w:p w14:paraId="5C0A9E4F">
      <w:pPr>
        <w:widowControl/>
        <w:kinsoku w:val="0"/>
        <w:autoSpaceDE w:val="0"/>
        <w:autoSpaceDN w:val="0"/>
        <w:adjustRightInd w:val="0"/>
        <w:snapToGrid w:val="0"/>
        <w:spacing w:before="231" w:line="30" w:lineRule="atLeast"/>
        <w:ind w:left="600" w:right="93" w:hanging="1"/>
        <w:jc w:val="left"/>
        <w:textAlignment w:val="baseline"/>
        <w:rPr>
          <w:rFonts w:hint="eastAsia" w:ascii="宋体" w:hAnsi="宋体" w:eastAsia="宋体" w:cs="宋体"/>
          <w:snapToGrid w:val="0"/>
          <w:color w:val="000000"/>
          <w:spacing w:val="-1"/>
          <w:kern w:val="0"/>
          <w:sz w:val="28"/>
          <w:szCs w:val="28"/>
        </w:rPr>
      </w:pPr>
      <w:r>
        <w:rPr>
          <w:rFonts w:hint="eastAsia" w:ascii="宋体" w:hAnsi="宋体" w:eastAsia="宋体" w:cs="宋体"/>
          <w:snapToGrid w:val="0"/>
          <w:color w:val="000000"/>
          <w:spacing w:val="-1"/>
          <w:kern w:val="0"/>
          <w:sz w:val="28"/>
          <w:szCs w:val="28"/>
        </w:rPr>
        <w:t>最高限价（元）：</w:t>
      </w:r>
      <w:r>
        <w:rPr>
          <w:rFonts w:hint="eastAsia" w:ascii="宋体" w:hAnsi="宋体" w:cs="宋体"/>
          <w:snapToGrid w:val="0"/>
          <w:color w:val="000000"/>
          <w:spacing w:val="-1"/>
          <w:kern w:val="0"/>
          <w:sz w:val="28"/>
          <w:szCs w:val="28"/>
          <w:lang w:val="en-US" w:eastAsia="zh-CN"/>
        </w:rPr>
        <w:t>3700000</w:t>
      </w:r>
      <w:r>
        <w:rPr>
          <w:rFonts w:hint="eastAsia" w:ascii="宋体" w:hAnsi="宋体" w:eastAsia="宋体" w:cs="宋体"/>
          <w:snapToGrid w:val="0"/>
          <w:color w:val="000000"/>
          <w:spacing w:val="-1"/>
          <w:kern w:val="0"/>
          <w:sz w:val="28"/>
          <w:szCs w:val="28"/>
        </w:rPr>
        <w:t>.00</w:t>
      </w:r>
    </w:p>
    <w:p w14:paraId="13C0288C">
      <w:pPr>
        <w:widowControl/>
        <w:kinsoku w:val="0"/>
        <w:autoSpaceDE w:val="0"/>
        <w:autoSpaceDN w:val="0"/>
        <w:adjustRightInd w:val="0"/>
        <w:snapToGrid w:val="0"/>
        <w:spacing w:before="212" w:line="221" w:lineRule="auto"/>
        <w:ind w:left="627"/>
        <w:jc w:val="left"/>
        <w:textAlignment w:val="baseline"/>
        <w:rPr>
          <w:rFonts w:hint="default" w:ascii="宋体" w:hAnsi="宋体" w:eastAsia="宋体" w:cs="宋体"/>
          <w:snapToGrid w:val="0"/>
          <w:color w:val="000000"/>
          <w:spacing w:val="-1"/>
          <w:kern w:val="0"/>
          <w:sz w:val="28"/>
          <w:szCs w:val="28"/>
          <w:lang w:val="en-US" w:eastAsia="zh-CN"/>
        </w:rPr>
      </w:pPr>
      <w:r>
        <w:rPr>
          <w:rFonts w:hint="eastAsia" w:ascii="宋体" w:hAnsi="宋体" w:eastAsia="宋体" w:cs="宋体"/>
          <w:snapToGrid w:val="0"/>
          <w:color w:val="000000"/>
          <w:spacing w:val="-1"/>
          <w:kern w:val="0"/>
          <w:sz w:val="28"/>
          <w:szCs w:val="28"/>
        </w:rPr>
        <w:t>采购需求：</w:t>
      </w:r>
      <w:r>
        <w:rPr>
          <w:rFonts w:hint="eastAsia" w:ascii="宋体" w:hAnsi="宋体" w:cs="宋体"/>
          <w:snapToGrid w:val="0"/>
          <w:color w:val="000000"/>
          <w:spacing w:val="-1"/>
          <w:kern w:val="0"/>
          <w:sz w:val="28"/>
          <w:szCs w:val="28"/>
          <w:lang w:val="en-US" w:eastAsia="zh-CN"/>
        </w:rPr>
        <w:t>详见招标文件采购需求</w:t>
      </w:r>
    </w:p>
    <w:p w14:paraId="036658ED">
      <w:pPr>
        <w:widowControl/>
        <w:kinsoku w:val="0"/>
        <w:autoSpaceDE w:val="0"/>
        <w:autoSpaceDN w:val="0"/>
        <w:adjustRightInd w:val="0"/>
        <w:snapToGrid w:val="0"/>
        <w:spacing w:before="212" w:line="221" w:lineRule="auto"/>
        <w:ind w:left="627"/>
        <w:jc w:val="left"/>
        <w:textAlignment w:val="baseline"/>
        <w:rPr>
          <w:rFonts w:hint="eastAsia" w:ascii="宋体" w:hAnsi="宋体" w:eastAsia="宋体" w:cs="宋体"/>
          <w:snapToGrid w:val="0"/>
          <w:color w:val="000000"/>
          <w:spacing w:val="-1"/>
          <w:kern w:val="0"/>
          <w:sz w:val="28"/>
          <w:szCs w:val="28"/>
        </w:rPr>
      </w:pPr>
      <w:r>
        <w:rPr>
          <w:rFonts w:hint="eastAsia" w:ascii="宋体" w:hAnsi="宋体" w:eastAsia="宋体" w:cs="宋体"/>
          <w:snapToGrid w:val="0"/>
          <w:color w:val="000000"/>
          <w:spacing w:val="-1"/>
          <w:kern w:val="0"/>
          <w:sz w:val="28"/>
          <w:szCs w:val="28"/>
        </w:rPr>
        <w:t>数量:1</w:t>
      </w:r>
    </w:p>
    <w:p w14:paraId="75C46BAD">
      <w:pPr>
        <w:widowControl/>
        <w:kinsoku w:val="0"/>
        <w:autoSpaceDE w:val="0"/>
        <w:autoSpaceDN w:val="0"/>
        <w:adjustRightInd w:val="0"/>
        <w:snapToGrid w:val="0"/>
        <w:spacing w:before="212" w:line="221" w:lineRule="auto"/>
        <w:ind w:left="627"/>
        <w:jc w:val="left"/>
        <w:textAlignment w:val="baseline"/>
        <w:rPr>
          <w:rFonts w:hint="eastAsia" w:ascii="宋体" w:hAnsi="宋体" w:eastAsia="宋体" w:cs="宋体"/>
          <w:snapToGrid w:val="0"/>
          <w:color w:val="000000"/>
          <w:spacing w:val="-1"/>
          <w:kern w:val="0"/>
          <w:sz w:val="28"/>
          <w:szCs w:val="28"/>
          <w:lang w:eastAsia="zh-CN"/>
        </w:rPr>
      </w:pPr>
      <w:r>
        <w:rPr>
          <w:rFonts w:hint="eastAsia" w:ascii="宋体" w:hAnsi="宋体" w:eastAsia="宋体" w:cs="宋体"/>
          <w:snapToGrid w:val="0"/>
          <w:color w:val="000000"/>
          <w:spacing w:val="-1"/>
          <w:kern w:val="0"/>
          <w:sz w:val="28"/>
          <w:szCs w:val="28"/>
        </w:rPr>
        <w:t>单位：</w:t>
      </w:r>
      <w:r>
        <w:rPr>
          <w:rFonts w:hint="eastAsia" w:cs="宋体"/>
          <w:snapToGrid w:val="0"/>
          <w:color w:val="000000"/>
          <w:spacing w:val="-1"/>
          <w:kern w:val="0"/>
          <w:sz w:val="28"/>
          <w:szCs w:val="28"/>
          <w:lang w:val="en-US" w:eastAsia="zh-CN"/>
        </w:rPr>
        <w:t>项</w:t>
      </w:r>
    </w:p>
    <w:p w14:paraId="41DCA448">
      <w:pPr>
        <w:pStyle w:val="8"/>
        <w:spacing w:before="0" w:beforeAutospacing="0" w:after="0" w:afterAutospacing="0" w:line="360" w:lineRule="auto"/>
        <w:ind w:firstLine="556" w:firstLineChars="200"/>
        <w:rPr>
          <w:rFonts w:hint="eastAsia" w:ascii="宋体" w:hAnsi="宋体" w:eastAsia="宋体" w:cs="宋体"/>
          <w:snapToGrid w:val="0"/>
          <w:color w:val="000000"/>
          <w:spacing w:val="-1"/>
          <w:kern w:val="0"/>
          <w:sz w:val="28"/>
          <w:szCs w:val="28"/>
        </w:rPr>
      </w:pPr>
      <w:r>
        <w:rPr>
          <w:rFonts w:hint="eastAsia" w:ascii="宋体" w:hAnsi="宋体" w:eastAsia="宋体" w:cs="宋体"/>
          <w:snapToGrid w:val="0"/>
          <w:color w:val="000000"/>
          <w:spacing w:val="-1"/>
          <w:kern w:val="0"/>
          <w:sz w:val="28"/>
          <w:szCs w:val="28"/>
        </w:rPr>
        <w:t>简要规格描述：</w:t>
      </w:r>
      <w:r>
        <w:rPr>
          <w:rFonts w:hint="eastAsia" w:ascii="宋体" w:hAnsi="宋体" w:cs="宋体"/>
          <w:snapToGrid w:val="0"/>
          <w:color w:val="000000"/>
          <w:spacing w:val="-1"/>
          <w:kern w:val="0"/>
          <w:sz w:val="28"/>
          <w:szCs w:val="28"/>
          <w:lang w:val="en-US" w:eastAsia="zh-CN"/>
        </w:rPr>
        <w:t>承办2026年“石榴花开·青春绽放”全国青少年女子足球民族团结友谊赛活动</w:t>
      </w:r>
      <w:r>
        <w:rPr>
          <w:rFonts w:hint="eastAsia" w:ascii="宋体" w:hAnsi="宋体" w:eastAsia="宋体" w:cs="宋体"/>
          <w:sz w:val="28"/>
          <w:szCs w:val="28"/>
          <w:highlight w:val="none"/>
          <w:lang w:val="en-US" w:eastAsia="zh-CN"/>
        </w:rPr>
        <w:t>。</w:t>
      </w:r>
      <w:r>
        <w:rPr>
          <w:rFonts w:hint="eastAsia" w:ascii="宋体" w:hAnsi="宋体" w:eastAsia="宋体" w:cs="宋体"/>
          <w:sz w:val="28"/>
          <w:szCs w:val="28"/>
          <w:highlight w:val="none"/>
          <w:lang w:eastAsia="zh-CN"/>
        </w:rPr>
        <w:t>（</w:t>
      </w:r>
      <w:r>
        <w:rPr>
          <w:rFonts w:hint="eastAsia" w:ascii="宋体" w:hAnsi="宋体" w:eastAsia="宋体" w:cs="宋体"/>
          <w:sz w:val="28"/>
          <w:szCs w:val="28"/>
          <w:highlight w:val="none"/>
          <w:lang w:val="en-US" w:eastAsia="zh-CN"/>
        </w:rPr>
        <w:t>具体详见</w:t>
      </w:r>
      <w:r>
        <w:rPr>
          <w:rFonts w:hint="eastAsia" w:ascii="宋体" w:hAnsi="宋体" w:cs="宋体"/>
          <w:sz w:val="28"/>
          <w:szCs w:val="28"/>
          <w:highlight w:val="none"/>
          <w:lang w:val="en-US" w:eastAsia="zh-CN"/>
        </w:rPr>
        <w:t>招标</w:t>
      </w:r>
      <w:r>
        <w:rPr>
          <w:rFonts w:hint="eastAsia" w:ascii="宋体" w:hAnsi="宋体" w:eastAsia="宋体" w:cs="宋体"/>
          <w:sz w:val="28"/>
          <w:szCs w:val="28"/>
          <w:highlight w:val="none"/>
          <w:lang w:val="en-US" w:eastAsia="zh-CN"/>
        </w:rPr>
        <w:t>文件采购需求</w:t>
      </w:r>
      <w:r>
        <w:rPr>
          <w:rFonts w:hint="eastAsia" w:ascii="宋体" w:hAnsi="宋体" w:eastAsia="宋体" w:cs="宋体"/>
          <w:sz w:val="28"/>
          <w:szCs w:val="28"/>
          <w:highlight w:val="none"/>
          <w:lang w:eastAsia="zh-CN"/>
        </w:rPr>
        <w:t>）。</w:t>
      </w:r>
    </w:p>
    <w:p w14:paraId="6F1FB2BB">
      <w:pPr>
        <w:widowControl/>
        <w:kinsoku w:val="0"/>
        <w:autoSpaceDE w:val="0"/>
        <w:autoSpaceDN w:val="0"/>
        <w:adjustRightInd w:val="0"/>
        <w:snapToGrid w:val="0"/>
        <w:spacing w:line="240" w:lineRule="auto"/>
        <w:ind w:left="0" w:firstLine="516" w:firstLineChars="200"/>
        <w:jc w:val="left"/>
        <w:textAlignment w:val="baseline"/>
        <w:rPr>
          <w:rFonts w:hint="eastAsia" w:ascii="宋体" w:hAnsi="宋体" w:eastAsia="宋体" w:cs="宋体"/>
          <w:snapToGrid w:val="0"/>
          <w:color w:val="000000"/>
          <w:kern w:val="0"/>
          <w:sz w:val="28"/>
          <w:szCs w:val="28"/>
        </w:rPr>
      </w:pPr>
      <w:r>
        <w:rPr>
          <w:rFonts w:hint="eastAsia" w:ascii="宋体" w:hAnsi="宋体" w:eastAsia="宋体" w:cs="宋体"/>
          <w:snapToGrid w:val="0"/>
          <w:color w:val="000000"/>
          <w:spacing w:val="-11"/>
          <w:kern w:val="0"/>
          <w:sz w:val="28"/>
          <w:szCs w:val="28"/>
        </w:rPr>
        <w:t>合同履行期限：</w:t>
      </w:r>
      <w:r>
        <w:rPr>
          <w:rFonts w:hint="eastAsia" w:ascii="宋体" w:hAnsi="宋体" w:eastAsia="宋体" w:cs="宋体"/>
          <w:snapToGrid w:val="0"/>
          <w:color w:val="000000"/>
          <w:spacing w:val="-11"/>
          <w:kern w:val="0"/>
          <w:sz w:val="28"/>
          <w:szCs w:val="28"/>
          <w:lang w:val="en-US" w:eastAsia="zh-CN"/>
        </w:rPr>
        <w:t>合同签订后至项目约定赛事结束</w:t>
      </w:r>
      <w:r>
        <w:rPr>
          <w:rFonts w:hint="eastAsia" w:eastAsia="宋体" w:cs="宋体"/>
          <w:sz w:val="28"/>
          <w:szCs w:val="28"/>
          <w:highlight w:val="none"/>
          <w:lang w:eastAsia="zh-CN"/>
        </w:rPr>
        <w:t>。</w:t>
      </w:r>
    </w:p>
    <w:p w14:paraId="2F0230C8">
      <w:pPr>
        <w:widowControl/>
        <w:kinsoku w:val="0"/>
        <w:autoSpaceDE w:val="0"/>
        <w:autoSpaceDN w:val="0"/>
        <w:adjustRightInd w:val="0"/>
        <w:snapToGrid w:val="0"/>
        <w:spacing w:before="216" w:line="222" w:lineRule="auto"/>
        <w:ind w:left="603"/>
        <w:jc w:val="left"/>
        <w:textAlignment w:val="baseline"/>
        <w:rPr>
          <w:rFonts w:hint="eastAsia" w:ascii="宋体" w:hAnsi="宋体" w:eastAsia="宋体" w:cs="宋体"/>
          <w:snapToGrid w:val="0"/>
          <w:color w:val="000000"/>
          <w:kern w:val="0"/>
          <w:sz w:val="28"/>
          <w:szCs w:val="28"/>
        </w:rPr>
      </w:pPr>
      <w:r>
        <w:rPr>
          <w:rFonts w:hint="eastAsia" w:ascii="宋体" w:hAnsi="宋体" w:eastAsia="宋体" w:cs="宋体"/>
          <w:snapToGrid w:val="0"/>
          <w:color w:val="000000"/>
          <w:spacing w:val="-5"/>
          <w:kern w:val="0"/>
          <w:sz w:val="28"/>
          <w:szCs w:val="28"/>
        </w:rPr>
        <w:t>本项目不接受联合体。</w:t>
      </w:r>
    </w:p>
    <w:p w14:paraId="5F455C7B">
      <w:pPr>
        <w:widowControl/>
        <w:kinsoku w:val="0"/>
        <w:autoSpaceDE w:val="0"/>
        <w:autoSpaceDN w:val="0"/>
        <w:adjustRightInd w:val="0"/>
        <w:snapToGrid w:val="0"/>
        <w:spacing w:before="79" w:line="220" w:lineRule="auto"/>
        <w:ind w:left="134"/>
        <w:jc w:val="left"/>
        <w:textAlignment w:val="baseline"/>
        <w:outlineLvl w:val="1"/>
        <w:rPr>
          <w:rFonts w:hint="eastAsia" w:ascii="宋体" w:hAnsi="宋体" w:eastAsia="宋体" w:cs="宋体"/>
          <w:snapToGrid w:val="0"/>
          <w:color w:val="000000"/>
          <w:kern w:val="0"/>
          <w:sz w:val="28"/>
          <w:szCs w:val="28"/>
        </w:rPr>
      </w:pPr>
      <w:r>
        <w:rPr>
          <w:rFonts w:hint="eastAsia" w:ascii="宋体" w:hAnsi="宋体" w:eastAsia="宋体" w:cs="宋体"/>
          <w:b/>
          <w:bCs/>
          <w:snapToGrid w:val="0"/>
          <w:color w:val="000000"/>
          <w:spacing w:val="-19"/>
          <w:kern w:val="0"/>
          <w:sz w:val="28"/>
          <w:szCs w:val="28"/>
        </w:rPr>
        <w:t>二、申请人的资格要求：</w:t>
      </w:r>
    </w:p>
    <w:p w14:paraId="5DAC3233">
      <w:pPr>
        <w:widowControl/>
        <w:kinsoku w:val="0"/>
        <w:autoSpaceDE w:val="0"/>
        <w:autoSpaceDN w:val="0"/>
        <w:adjustRightInd w:val="0"/>
        <w:snapToGrid w:val="0"/>
        <w:spacing w:before="79" w:line="222" w:lineRule="auto"/>
        <w:ind w:left="622"/>
        <w:jc w:val="left"/>
        <w:textAlignment w:val="baseline"/>
        <w:rPr>
          <w:rFonts w:hint="eastAsia" w:ascii="宋体" w:hAnsi="宋体" w:eastAsia="宋体" w:cs="宋体"/>
          <w:snapToGrid w:val="0"/>
          <w:color w:val="000000"/>
          <w:kern w:val="0"/>
          <w:sz w:val="28"/>
          <w:szCs w:val="28"/>
        </w:rPr>
      </w:pPr>
      <w:r>
        <w:rPr>
          <w:rFonts w:hint="eastAsia" w:ascii="宋体" w:hAnsi="宋体" w:eastAsia="宋体" w:cs="宋体"/>
          <w:snapToGrid w:val="0"/>
          <w:color w:val="000000"/>
          <w:spacing w:val="-3"/>
          <w:kern w:val="0"/>
          <w:sz w:val="28"/>
          <w:szCs w:val="28"/>
        </w:rPr>
        <w:t>1、满足《中华人民共和国政府采购法》第二十二条规定；</w:t>
      </w:r>
    </w:p>
    <w:p w14:paraId="4FCB808D">
      <w:pPr>
        <w:widowControl/>
        <w:kinsoku w:val="0"/>
        <w:autoSpaceDE w:val="0"/>
        <w:autoSpaceDN w:val="0"/>
        <w:adjustRightInd w:val="0"/>
        <w:snapToGrid w:val="0"/>
        <w:spacing w:before="213" w:line="222" w:lineRule="auto"/>
        <w:ind w:left="590"/>
        <w:jc w:val="left"/>
        <w:textAlignment w:val="baseline"/>
        <w:rPr>
          <w:rFonts w:hint="eastAsia" w:ascii="宋体" w:hAnsi="宋体" w:cs="宋体"/>
          <w:snapToGrid w:val="0"/>
          <w:color w:val="000000"/>
          <w:spacing w:val="-3"/>
          <w:kern w:val="0"/>
          <w:sz w:val="28"/>
          <w:szCs w:val="28"/>
          <w:highlight w:val="none"/>
          <w:lang w:val="en-US" w:eastAsia="zh-CN"/>
        </w:rPr>
      </w:pPr>
      <w:r>
        <w:rPr>
          <w:rFonts w:hint="eastAsia" w:ascii="宋体" w:hAnsi="宋体" w:eastAsia="宋体" w:cs="宋体"/>
          <w:snapToGrid w:val="0"/>
          <w:color w:val="000000"/>
          <w:spacing w:val="-3"/>
          <w:kern w:val="0"/>
          <w:sz w:val="28"/>
          <w:szCs w:val="28"/>
        </w:rPr>
        <w:t>2、落实政府采购政策需满足的资格要求：</w:t>
      </w:r>
      <w:r>
        <w:rPr>
          <w:rFonts w:hint="eastAsia" w:ascii="宋体" w:hAnsi="宋体" w:cs="宋体"/>
          <w:snapToGrid w:val="0"/>
          <w:color w:val="000000"/>
          <w:spacing w:val="-3"/>
          <w:kern w:val="0"/>
          <w:sz w:val="28"/>
          <w:szCs w:val="28"/>
          <w:lang w:val="en-US" w:eastAsia="zh-CN"/>
        </w:rPr>
        <w:t>本项目专门面向</w:t>
      </w:r>
      <w:r>
        <w:rPr>
          <w:rFonts w:hint="eastAsia" w:ascii="宋体" w:hAnsi="宋体" w:eastAsia="宋体" w:cs="宋体"/>
          <w:bCs/>
          <w:sz w:val="28"/>
          <w:szCs w:val="28"/>
          <w:highlight w:val="none"/>
          <w:lang w:val="en-US" w:eastAsia="zh-CN"/>
        </w:rPr>
        <w:t>小微</w:t>
      </w:r>
      <w:r>
        <w:rPr>
          <w:rFonts w:hint="eastAsia" w:ascii="宋体" w:hAnsi="宋体" w:cs="宋体"/>
          <w:snapToGrid w:val="0"/>
          <w:color w:val="000000"/>
          <w:spacing w:val="-3"/>
          <w:kern w:val="0"/>
          <w:sz w:val="28"/>
          <w:szCs w:val="28"/>
          <w:highlight w:val="none"/>
          <w:lang w:val="en-US" w:eastAsia="zh-CN"/>
        </w:rPr>
        <w:t>企业预留份额。</w:t>
      </w:r>
    </w:p>
    <w:p w14:paraId="0117C32F">
      <w:pPr>
        <w:widowControl/>
        <w:kinsoku w:val="0"/>
        <w:autoSpaceDE w:val="0"/>
        <w:autoSpaceDN w:val="0"/>
        <w:adjustRightInd w:val="0"/>
        <w:snapToGrid w:val="0"/>
        <w:spacing w:before="213" w:line="222" w:lineRule="auto"/>
        <w:ind w:left="590"/>
        <w:jc w:val="left"/>
        <w:textAlignment w:val="baseline"/>
        <w:rPr>
          <w:rFonts w:hint="eastAsia" w:ascii="宋体" w:hAnsi="宋体" w:cs="宋体"/>
          <w:snapToGrid w:val="0"/>
          <w:color w:val="000000"/>
          <w:spacing w:val="-3"/>
          <w:kern w:val="0"/>
          <w:sz w:val="28"/>
          <w:szCs w:val="28"/>
          <w:lang w:val="en-US" w:eastAsia="zh-CN"/>
        </w:rPr>
      </w:pPr>
      <w:r>
        <w:rPr>
          <w:rFonts w:hint="eastAsia" w:ascii="宋体" w:hAnsi="宋体" w:cs="宋体"/>
          <w:snapToGrid w:val="0"/>
          <w:color w:val="000000"/>
          <w:spacing w:val="-3"/>
          <w:kern w:val="0"/>
          <w:sz w:val="28"/>
          <w:szCs w:val="28"/>
          <w:lang w:val="en-US" w:eastAsia="zh-CN"/>
        </w:rPr>
        <w:t>项目类型：服务类。</w:t>
      </w:r>
    </w:p>
    <w:p w14:paraId="1AA42FDA">
      <w:pPr>
        <w:widowControl/>
        <w:kinsoku w:val="0"/>
        <w:autoSpaceDE w:val="0"/>
        <w:autoSpaceDN w:val="0"/>
        <w:adjustRightInd w:val="0"/>
        <w:snapToGrid w:val="0"/>
        <w:spacing w:before="213" w:line="222" w:lineRule="auto"/>
        <w:ind w:left="590"/>
        <w:jc w:val="left"/>
        <w:textAlignment w:val="baseline"/>
        <w:rPr>
          <w:rFonts w:hint="default" w:ascii="宋体" w:hAnsi="宋体" w:eastAsia="宋体" w:cs="宋体"/>
          <w:snapToGrid w:val="0"/>
          <w:color w:val="000000"/>
          <w:kern w:val="0"/>
          <w:sz w:val="28"/>
          <w:szCs w:val="28"/>
          <w:lang w:val="en-US" w:eastAsia="zh-CN"/>
        </w:rPr>
      </w:pPr>
      <w:r>
        <w:rPr>
          <w:rFonts w:hint="eastAsia" w:ascii="宋体" w:hAnsi="宋体" w:cs="宋体"/>
          <w:snapToGrid w:val="0"/>
          <w:color w:val="000000"/>
          <w:spacing w:val="-3"/>
          <w:kern w:val="0"/>
          <w:sz w:val="28"/>
          <w:szCs w:val="28"/>
          <w:lang w:val="en-US" w:eastAsia="zh-CN"/>
        </w:rPr>
        <w:t xml:space="preserve">标的所属行业：其他未列明行业 </w:t>
      </w:r>
    </w:p>
    <w:p w14:paraId="7ECB14C5">
      <w:pPr>
        <w:widowControl/>
        <w:kinsoku w:val="0"/>
        <w:autoSpaceDE w:val="0"/>
        <w:autoSpaceDN w:val="0"/>
        <w:adjustRightInd w:val="0"/>
        <w:snapToGrid w:val="0"/>
        <w:spacing w:before="226" w:line="263" w:lineRule="auto"/>
        <w:ind w:left="134" w:right="79" w:firstLine="474"/>
        <w:jc w:val="left"/>
        <w:textAlignment w:val="baseline"/>
        <w:rPr>
          <w:rFonts w:hint="eastAsia" w:ascii="宋体" w:hAnsi="宋体" w:eastAsia="宋体" w:cs="宋体"/>
          <w:snapToGrid w:val="0"/>
          <w:color w:val="000000"/>
          <w:kern w:val="0"/>
          <w:sz w:val="28"/>
          <w:szCs w:val="28"/>
        </w:rPr>
      </w:pPr>
      <w:r>
        <w:rPr>
          <w:rFonts w:hint="eastAsia" w:ascii="宋体" w:hAnsi="宋体" w:eastAsia="宋体" w:cs="宋体"/>
          <w:snapToGrid w:val="0"/>
          <w:color w:val="000000"/>
          <w:spacing w:val="-12"/>
          <w:kern w:val="0"/>
          <w:sz w:val="28"/>
          <w:szCs w:val="28"/>
        </w:rPr>
        <w:t>（1）财政部、工业和信息化部关于印发《政府采购促进中小企业发展管理办</w:t>
      </w:r>
      <w:r>
        <w:rPr>
          <w:rFonts w:hint="eastAsia" w:ascii="宋体" w:hAnsi="宋体" w:eastAsia="宋体" w:cs="宋体"/>
          <w:snapToGrid w:val="0"/>
          <w:color w:val="000000"/>
          <w:spacing w:val="-8"/>
          <w:kern w:val="0"/>
          <w:sz w:val="28"/>
          <w:szCs w:val="28"/>
        </w:rPr>
        <w:t>法》的通知（财库〔2020〕46号</w:t>
      </w:r>
      <w:r>
        <w:rPr>
          <w:rFonts w:hint="eastAsia" w:ascii="宋体" w:hAnsi="宋体" w:eastAsia="宋体" w:cs="宋体"/>
          <w:snapToGrid w:val="0"/>
          <w:color w:val="000000"/>
          <w:spacing w:val="5"/>
          <w:kern w:val="0"/>
          <w:sz w:val="28"/>
          <w:szCs w:val="28"/>
        </w:rPr>
        <w:t>）；</w:t>
      </w:r>
    </w:p>
    <w:p w14:paraId="6B1CAE35">
      <w:pPr>
        <w:widowControl/>
        <w:kinsoku w:val="0"/>
        <w:autoSpaceDE w:val="0"/>
        <w:autoSpaceDN w:val="0"/>
        <w:adjustRightInd w:val="0"/>
        <w:snapToGrid w:val="0"/>
        <w:spacing w:before="300" w:line="222" w:lineRule="auto"/>
        <w:ind w:left="612"/>
        <w:jc w:val="left"/>
        <w:textAlignment w:val="baseline"/>
        <w:rPr>
          <w:rFonts w:hint="eastAsia" w:ascii="宋体" w:hAnsi="宋体" w:eastAsia="宋体" w:cs="宋体"/>
          <w:snapToGrid w:val="0"/>
          <w:color w:val="000000"/>
          <w:spacing w:val="-2"/>
          <w:kern w:val="0"/>
          <w:sz w:val="28"/>
          <w:szCs w:val="28"/>
        </w:rPr>
      </w:pPr>
      <w:r>
        <w:rPr>
          <w:rFonts w:hint="eastAsia" w:ascii="宋体" w:hAnsi="宋体" w:eastAsia="宋体" w:cs="宋体"/>
          <w:snapToGrid w:val="0"/>
          <w:color w:val="000000"/>
          <w:spacing w:val="-1"/>
          <w:kern w:val="0"/>
          <w:sz w:val="28"/>
          <w:szCs w:val="28"/>
        </w:rPr>
        <w:t>（2）《财政部、司法部关于政府采购支持监狱企业发展有关问题的通知》</w:t>
      </w:r>
      <w:r>
        <w:rPr>
          <w:rFonts w:hint="eastAsia" w:ascii="宋体" w:hAnsi="宋体" w:eastAsia="宋体" w:cs="宋体"/>
          <w:snapToGrid w:val="0"/>
          <w:color w:val="000000"/>
          <w:spacing w:val="-8"/>
          <w:kern w:val="0"/>
          <w:sz w:val="28"/>
          <w:szCs w:val="28"/>
        </w:rPr>
        <w:t>（财库[2014]68号</w:t>
      </w:r>
      <w:r>
        <w:rPr>
          <w:rFonts w:hint="eastAsia" w:ascii="宋体" w:hAnsi="宋体" w:eastAsia="宋体" w:cs="宋体"/>
          <w:snapToGrid w:val="0"/>
          <w:color w:val="000000"/>
          <w:spacing w:val="-2"/>
          <w:kern w:val="0"/>
          <w:sz w:val="28"/>
          <w:szCs w:val="28"/>
        </w:rPr>
        <w:t>）；</w:t>
      </w:r>
    </w:p>
    <w:p w14:paraId="273042A6">
      <w:pPr>
        <w:widowControl/>
        <w:kinsoku w:val="0"/>
        <w:autoSpaceDE w:val="0"/>
        <w:autoSpaceDN w:val="0"/>
        <w:adjustRightInd w:val="0"/>
        <w:snapToGrid w:val="0"/>
        <w:spacing w:before="221" w:line="222" w:lineRule="auto"/>
        <w:ind w:left="56" w:firstLine="520" w:firstLineChars="200"/>
        <w:jc w:val="left"/>
        <w:textAlignment w:val="baseline"/>
        <w:rPr>
          <w:rFonts w:hint="eastAsia" w:ascii="宋体" w:hAnsi="宋体" w:eastAsia="宋体" w:cs="宋体"/>
          <w:snapToGrid w:val="0"/>
          <w:color w:val="000000"/>
          <w:kern w:val="0"/>
          <w:sz w:val="28"/>
          <w:szCs w:val="28"/>
        </w:rPr>
      </w:pPr>
      <w:r>
        <w:rPr>
          <w:rFonts w:hint="eastAsia" w:ascii="宋体" w:hAnsi="宋体" w:eastAsia="宋体" w:cs="宋体"/>
          <w:snapToGrid w:val="0"/>
          <w:color w:val="000000"/>
          <w:spacing w:val="-10"/>
          <w:kern w:val="0"/>
          <w:sz w:val="28"/>
          <w:szCs w:val="28"/>
        </w:rPr>
        <w:t>（3）《国务院办公厅关于建立政府强制采购节能产品制度的通知》（国发办</w:t>
      </w:r>
      <w:r>
        <w:rPr>
          <w:rFonts w:hint="eastAsia" w:ascii="宋体" w:hAnsi="宋体" w:eastAsia="宋体" w:cs="宋体"/>
          <w:snapToGrid w:val="0"/>
          <w:color w:val="000000"/>
          <w:spacing w:val="-11"/>
          <w:kern w:val="0"/>
          <w:sz w:val="28"/>
          <w:szCs w:val="28"/>
        </w:rPr>
        <w:t>[2007]51号</w:t>
      </w:r>
      <w:r>
        <w:rPr>
          <w:rFonts w:hint="eastAsia" w:ascii="宋体" w:hAnsi="宋体" w:eastAsia="宋体" w:cs="宋体"/>
          <w:snapToGrid w:val="0"/>
          <w:color w:val="000000"/>
          <w:spacing w:val="-5"/>
          <w:kern w:val="0"/>
          <w:sz w:val="28"/>
          <w:szCs w:val="28"/>
        </w:rPr>
        <w:t>）；</w:t>
      </w:r>
    </w:p>
    <w:p w14:paraId="7E1ABF7A">
      <w:pPr>
        <w:widowControl/>
        <w:kinsoku w:val="0"/>
        <w:autoSpaceDE w:val="0"/>
        <w:autoSpaceDN w:val="0"/>
        <w:adjustRightInd w:val="0"/>
        <w:snapToGrid w:val="0"/>
        <w:spacing w:before="317" w:line="263" w:lineRule="auto"/>
        <w:ind w:left="52" w:right="93" w:firstLine="484"/>
        <w:jc w:val="left"/>
        <w:textAlignment w:val="baseline"/>
        <w:rPr>
          <w:rFonts w:hint="eastAsia" w:ascii="宋体" w:hAnsi="宋体" w:eastAsia="宋体" w:cs="宋体"/>
          <w:snapToGrid w:val="0"/>
          <w:color w:val="000000"/>
          <w:kern w:val="0"/>
          <w:sz w:val="28"/>
          <w:szCs w:val="28"/>
        </w:rPr>
      </w:pPr>
      <w:r>
        <w:rPr>
          <w:rFonts w:hint="eastAsia" w:ascii="宋体" w:hAnsi="宋体" w:eastAsia="宋体" w:cs="宋体"/>
          <w:snapToGrid w:val="0"/>
          <w:color w:val="000000"/>
          <w:spacing w:val="-7"/>
          <w:kern w:val="0"/>
          <w:sz w:val="28"/>
          <w:szCs w:val="28"/>
        </w:rPr>
        <w:t>（4）《财政部民政部中国残疾人联合会关于促进残疾</w:t>
      </w:r>
      <w:r>
        <w:rPr>
          <w:rFonts w:hint="eastAsia" w:ascii="宋体" w:hAnsi="宋体" w:eastAsia="宋体" w:cs="宋体"/>
          <w:snapToGrid w:val="0"/>
          <w:color w:val="000000"/>
          <w:spacing w:val="-8"/>
          <w:kern w:val="0"/>
          <w:sz w:val="28"/>
          <w:szCs w:val="28"/>
        </w:rPr>
        <w:t>人就业政府采购政</w:t>
      </w:r>
      <w:r>
        <w:rPr>
          <w:rFonts w:hint="eastAsia" w:ascii="宋体" w:hAnsi="宋体" w:eastAsia="宋体" w:cs="宋体"/>
          <w:snapToGrid w:val="0"/>
          <w:color w:val="000000"/>
          <w:spacing w:val="-6"/>
          <w:kern w:val="0"/>
          <w:sz w:val="28"/>
          <w:szCs w:val="28"/>
        </w:rPr>
        <w:t>策的通知》财库[2017]141号；</w:t>
      </w:r>
    </w:p>
    <w:p w14:paraId="7514B223">
      <w:pPr>
        <w:widowControl/>
        <w:kinsoku w:val="0"/>
        <w:autoSpaceDE w:val="0"/>
        <w:autoSpaceDN w:val="0"/>
        <w:adjustRightInd w:val="0"/>
        <w:snapToGrid w:val="0"/>
        <w:spacing w:before="314" w:line="325" w:lineRule="auto"/>
        <w:ind w:left="46" w:right="2" w:firstLine="490"/>
        <w:jc w:val="left"/>
        <w:textAlignment w:val="baseline"/>
        <w:rPr>
          <w:rFonts w:hint="eastAsia" w:ascii="宋体" w:hAnsi="宋体" w:eastAsia="宋体" w:cs="宋体"/>
          <w:snapToGrid w:val="0"/>
          <w:color w:val="000000"/>
          <w:kern w:val="0"/>
          <w:sz w:val="28"/>
          <w:szCs w:val="28"/>
        </w:rPr>
      </w:pPr>
      <w:r>
        <w:rPr>
          <w:rFonts w:hint="eastAsia" w:ascii="宋体" w:hAnsi="宋体" w:eastAsia="宋体" w:cs="宋体"/>
          <w:snapToGrid w:val="0"/>
          <w:color w:val="000000"/>
          <w:spacing w:val="-8"/>
          <w:kern w:val="0"/>
          <w:sz w:val="28"/>
          <w:szCs w:val="28"/>
        </w:rPr>
        <w:t>（5）《国务院办公厅关于建立政府强制采</w:t>
      </w:r>
      <w:r>
        <w:rPr>
          <w:rFonts w:hint="eastAsia" w:ascii="宋体" w:hAnsi="宋体" w:eastAsia="宋体" w:cs="宋体"/>
          <w:snapToGrid w:val="0"/>
          <w:color w:val="000000"/>
          <w:spacing w:val="-9"/>
          <w:kern w:val="0"/>
          <w:sz w:val="28"/>
          <w:szCs w:val="28"/>
        </w:rPr>
        <w:t>购节能产品制度的通知》（国办发</w:t>
      </w:r>
      <w:r>
        <w:rPr>
          <w:rFonts w:hint="eastAsia" w:ascii="宋体" w:hAnsi="宋体" w:eastAsia="宋体" w:cs="宋体"/>
          <w:snapToGrid w:val="0"/>
          <w:color w:val="000000"/>
          <w:spacing w:val="-3"/>
          <w:kern w:val="0"/>
          <w:sz w:val="28"/>
          <w:szCs w:val="28"/>
        </w:rPr>
        <w:t>〔2007〕51号</w:t>
      </w:r>
      <w:r>
        <w:rPr>
          <w:rFonts w:hint="eastAsia" w:ascii="宋体" w:hAnsi="宋体" w:eastAsia="宋体" w:cs="宋体"/>
          <w:snapToGrid w:val="0"/>
          <w:color w:val="000000"/>
          <w:spacing w:val="10"/>
          <w:kern w:val="0"/>
          <w:sz w:val="28"/>
          <w:szCs w:val="28"/>
        </w:rPr>
        <w:t>），</w:t>
      </w:r>
      <w:r>
        <w:rPr>
          <w:rFonts w:hint="eastAsia" w:ascii="宋体" w:hAnsi="宋体" w:eastAsia="宋体" w:cs="宋体"/>
          <w:snapToGrid w:val="0"/>
          <w:color w:val="000000"/>
          <w:spacing w:val="-3"/>
          <w:kern w:val="0"/>
          <w:sz w:val="28"/>
          <w:szCs w:val="28"/>
        </w:rPr>
        <w:t>投标产品为计算机、打印机、空调、照明产品、电视机、电</w:t>
      </w:r>
      <w:r>
        <w:rPr>
          <w:rFonts w:hint="eastAsia" w:ascii="宋体" w:hAnsi="宋体" w:eastAsia="宋体" w:cs="宋体"/>
          <w:snapToGrid w:val="0"/>
          <w:color w:val="000000"/>
          <w:spacing w:val="-7"/>
          <w:kern w:val="0"/>
          <w:sz w:val="28"/>
          <w:szCs w:val="28"/>
        </w:rPr>
        <w:t>热水器、显示器、便器、水嘴等九大类政府强制采购的产品，必须为国家财政部</w:t>
      </w:r>
      <w:r>
        <w:rPr>
          <w:rFonts w:hint="eastAsia" w:ascii="宋体" w:hAnsi="宋体" w:eastAsia="宋体" w:cs="宋体"/>
          <w:snapToGrid w:val="0"/>
          <w:color w:val="000000"/>
          <w:spacing w:val="-5"/>
          <w:kern w:val="0"/>
          <w:sz w:val="28"/>
          <w:szCs w:val="28"/>
        </w:rPr>
        <w:t>、环境保护部、国家发改委等有关部门发布的《环境标志产品政府采购清单》和</w:t>
      </w:r>
      <w:r>
        <w:rPr>
          <w:rFonts w:hint="eastAsia" w:ascii="宋体" w:hAnsi="宋体" w:eastAsia="宋体" w:cs="宋体"/>
          <w:snapToGrid w:val="0"/>
          <w:color w:val="000000"/>
          <w:spacing w:val="-3"/>
          <w:kern w:val="0"/>
          <w:sz w:val="28"/>
          <w:szCs w:val="28"/>
        </w:rPr>
        <w:t>《节能产品政府采购清单》中的产品；</w:t>
      </w:r>
    </w:p>
    <w:p w14:paraId="5833D032">
      <w:pPr>
        <w:widowControl/>
        <w:kinsoku w:val="0"/>
        <w:autoSpaceDE w:val="0"/>
        <w:autoSpaceDN w:val="0"/>
        <w:adjustRightInd w:val="0"/>
        <w:snapToGrid w:val="0"/>
        <w:spacing w:before="78" w:line="329" w:lineRule="auto"/>
        <w:ind w:left="41" w:right="21" w:firstLine="494"/>
        <w:jc w:val="left"/>
        <w:textAlignment w:val="baseline"/>
        <w:rPr>
          <w:rFonts w:hint="eastAsia" w:ascii="宋体" w:hAnsi="宋体" w:eastAsia="宋体" w:cs="宋体"/>
          <w:snapToGrid w:val="0"/>
          <w:color w:val="000000"/>
          <w:kern w:val="0"/>
          <w:sz w:val="28"/>
          <w:szCs w:val="28"/>
          <w:lang w:eastAsia="en-US"/>
        </w:rPr>
      </w:pPr>
      <w:r>
        <w:rPr>
          <w:rFonts w:hint="eastAsia" w:ascii="宋体" w:hAnsi="宋体" w:eastAsia="宋体" w:cs="宋体"/>
          <w:snapToGrid w:val="0"/>
          <w:color w:val="000000"/>
          <w:spacing w:val="-1"/>
          <w:kern w:val="0"/>
          <w:sz w:val="28"/>
          <w:szCs w:val="28"/>
          <w:lang w:eastAsia="en-US"/>
        </w:rPr>
        <w:t>（6）按照《财政部关于在政府采购活动中查询及使用信用记录有关问题的</w:t>
      </w:r>
      <w:r>
        <w:rPr>
          <w:rFonts w:hint="eastAsia" w:ascii="宋体" w:hAnsi="宋体" w:eastAsia="宋体" w:cs="宋体"/>
          <w:snapToGrid w:val="0"/>
          <w:color w:val="000000"/>
          <w:spacing w:val="-9"/>
          <w:kern w:val="0"/>
          <w:sz w:val="28"/>
          <w:szCs w:val="28"/>
          <w:lang w:eastAsia="en-US"/>
        </w:rPr>
        <w:t>通知》（财库〔2016〕125号）的要求，根据响应文件开启时</w:t>
      </w:r>
      <w:r>
        <w:rPr>
          <w:rFonts w:hint="eastAsia" w:ascii="宋体" w:hAnsi="宋体" w:eastAsia="宋体" w:cs="宋体"/>
          <w:snapToGrid w:val="0"/>
          <w:color w:val="000000"/>
          <w:spacing w:val="-10"/>
          <w:kern w:val="0"/>
          <w:sz w:val="28"/>
          <w:szCs w:val="28"/>
          <w:lang w:eastAsia="en-US"/>
        </w:rPr>
        <w:t>间“信用中国”网站</w:t>
      </w:r>
      <w:r>
        <w:rPr>
          <w:rFonts w:hint="eastAsia" w:ascii="宋体" w:hAnsi="宋体" w:eastAsia="宋体" w:cs="宋体"/>
          <w:snapToGrid w:val="0"/>
          <w:color w:val="000000"/>
          <w:spacing w:val="-5"/>
          <w:kern w:val="0"/>
          <w:sz w:val="28"/>
          <w:szCs w:val="28"/>
          <w:lang w:eastAsia="en-US"/>
        </w:rPr>
        <w:t>（</w:t>
      </w:r>
      <w:r>
        <w:fldChar w:fldCharType="begin"/>
      </w:r>
      <w:r>
        <w:instrText xml:space="preserve"> HYPERLINK "https://www.creditchina.gov.cn" </w:instrText>
      </w:r>
      <w:r>
        <w:fldChar w:fldCharType="separate"/>
      </w:r>
      <w:r>
        <w:rPr>
          <w:rFonts w:hint="eastAsia" w:ascii="宋体" w:hAnsi="宋体" w:eastAsia="宋体" w:cs="宋体"/>
          <w:snapToGrid w:val="0"/>
          <w:color w:val="000000"/>
          <w:spacing w:val="-5"/>
          <w:kern w:val="0"/>
          <w:sz w:val="28"/>
          <w:szCs w:val="28"/>
          <w:lang w:eastAsia="en-US"/>
        </w:rPr>
        <w:t>www.creditchina.gov.cn</w:t>
      </w:r>
      <w:r>
        <w:rPr>
          <w:rFonts w:hint="eastAsia" w:ascii="宋体" w:hAnsi="宋体" w:eastAsia="宋体" w:cs="宋体"/>
          <w:snapToGrid w:val="0"/>
          <w:color w:val="000000"/>
          <w:spacing w:val="-5"/>
          <w:kern w:val="0"/>
          <w:sz w:val="28"/>
          <w:szCs w:val="28"/>
          <w:lang w:eastAsia="en-US"/>
        </w:rPr>
        <w:fldChar w:fldCharType="end"/>
      </w:r>
      <w:r>
        <w:rPr>
          <w:rFonts w:hint="eastAsia" w:ascii="宋体" w:hAnsi="宋体" w:eastAsia="宋体" w:cs="宋体"/>
          <w:snapToGrid w:val="0"/>
          <w:color w:val="000000"/>
          <w:spacing w:val="-5"/>
          <w:kern w:val="0"/>
          <w:sz w:val="28"/>
          <w:szCs w:val="28"/>
          <w:lang w:eastAsia="en-US"/>
        </w:rPr>
        <w:t>）、中国政府采购网（</w:t>
      </w:r>
      <w:r>
        <w:fldChar w:fldCharType="begin"/>
      </w:r>
      <w:r>
        <w:instrText xml:space="preserve"> HYPERLINK "https://www.ccgp.gov.cn" </w:instrText>
      </w:r>
      <w:r>
        <w:fldChar w:fldCharType="separate"/>
      </w:r>
      <w:r>
        <w:rPr>
          <w:rFonts w:hint="eastAsia" w:ascii="宋体" w:hAnsi="宋体" w:eastAsia="宋体" w:cs="宋体"/>
          <w:snapToGrid w:val="0"/>
          <w:color w:val="000000"/>
          <w:spacing w:val="-5"/>
          <w:kern w:val="0"/>
          <w:sz w:val="28"/>
          <w:szCs w:val="28"/>
          <w:lang w:eastAsia="en-US"/>
        </w:rPr>
        <w:t>www.</w:t>
      </w:r>
      <w:r>
        <w:rPr>
          <w:rFonts w:hint="eastAsia" w:ascii="宋体" w:hAnsi="宋体" w:eastAsia="宋体" w:cs="宋体"/>
          <w:snapToGrid w:val="0"/>
          <w:color w:val="000000"/>
          <w:spacing w:val="-6"/>
          <w:kern w:val="0"/>
          <w:sz w:val="28"/>
          <w:szCs w:val="28"/>
          <w:lang w:eastAsia="en-US"/>
        </w:rPr>
        <w:t>ccgp.gov.cn</w:t>
      </w:r>
      <w:r>
        <w:rPr>
          <w:rFonts w:hint="eastAsia" w:ascii="宋体" w:hAnsi="宋体" w:eastAsia="宋体" w:cs="宋体"/>
          <w:snapToGrid w:val="0"/>
          <w:color w:val="000000"/>
          <w:spacing w:val="-6"/>
          <w:kern w:val="0"/>
          <w:sz w:val="28"/>
          <w:szCs w:val="28"/>
          <w:lang w:eastAsia="en-US"/>
        </w:rPr>
        <w:fldChar w:fldCharType="end"/>
      </w:r>
      <w:r>
        <w:rPr>
          <w:rFonts w:hint="eastAsia" w:ascii="宋体" w:hAnsi="宋体" w:eastAsia="宋体" w:cs="宋体"/>
          <w:snapToGrid w:val="0"/>
          <w:color w:val="000000"/>
          <w:spacing w:val="-6"/>
          <w:kern w:val="0"/>
          <w:sz w:val="28"/>
          <w:szCs w:val="28"/>
          <w:lang w:eastAsia="en-US"/>
        </w:rPr>
        <w:t>）的信息，对</w:t>
      </w:r>
      <w:r>
        <w:rPr>
          <w:rFonts w:hint="eastAsia" w:ascii="宋体" w:hAnsi="宋体" w:eastAsia="宋体" w:cs="宋体"/>
          <w:snapToGrid w:val="0"/>
          <w:color w:val="000000"/>
          <w:spacing w:val="-7"/>
          <w:kern w:val="0"/>
          <w:sz w:val="28"/>
          <w:szCs w:val="28"/>
          <w:lang w:eastAsia="en-US"/>
        </w:rPr>
        <w:t>列入失信被执行人、重大税收违法案件当事人名单、政府采购严重违法失信行为记录名单及其他不符合《中华人民共和国政府采购法》第二十二条规定条件的供应商，拒绝参与政府采购活动，同时</w:t>
      </w:r>
      <w:r>
        <w:rPr>
          <w:rFonts w:hint="eastAsia" w:cs="宋体"/>
          <w:snapToGrid w:val="0"/>
          <w:color w:val="000000"/>
          <w:spacing w:val="-7"/>
          <w:kern w:val="0"/>
          <w:sz w:val="28"/>
          <w:szCs w:val="28"/>
          <w:lang w:eastAsia="zh-CN"/>
        </w:rPr>
        <w:t>招标人</w:t>
      </w:r>
      <w:r>
        <w:rPr>
          <w:rFonts w:hint="eastAsia" w:ascii="宋体" w:hAnsi="宋体" w:eastAsia="宋体" w:cs="宋体"/>
          <w:snapToGrid w:val="0"/>
          <w:color w:val="000000"/>
          <w:spacing w:val="-7"/>
          <w:kern w:val="0"/>
          <w:sz w:val="28"/>
          <w:szCs w:val="28"/>
          <w:lang w:eastAsia="en-US"/>
        </w:rPr>
        <w:t>或者</w:t>
      </w:r>
      <w:r>
        <w:rPr>
          <w:rFonts w:hint="eastAsia" w:cs="宋体"/>
          <w:snapToGrid w:val="0"/>
          <w:color w:val="000000"/>
          <w:spacing w:val="-7"/>
          <w:kern w:val="0"/>
          <w:sz w:val="28"/>
          <w:szCs w:val="28"/>
          <w:lang w:eastAsia="zh-CN"/>
        </w:rPr>
        <w:t>招标代理机构</w:t>
      </w:r>
      <w:r>
        <w:rPr>
          <w:rFonts w:hint="eastAsia" w:ascii="宋体" w:hAnsi="宋体" w:eastAsia="宋体" w:cs="宋体"/>
          <w:snapToGrid w:val="0"/>
          <w:color w:val="000000"/>
          <w:spacing w:val="-7"/>
          <w:kern w:val="0"/>
          <w:sz w:val="28"/>
          <w:szCs w:val="28"/>
          <w:lang w:eastAsia="en-US"/>
        </w:rPr>
        <w:t>对信用信息查询记</w:t>
      </w:r>
      <w:r>
        <w:rPr>
          <w:rFonts w:hint="eastAsia" w:ascii="宋体" w:hAnsi="宋体" w:eastAsia="宋体" w:cs="宋体"/>
          <w:snapToGrid w:val="0"/>
          <w:color w:val="000000"/>
          <w:spacing w:val="-5"/>
          <w:kern w:val="0"/>
          <w:sz w:val="28"/>
          <w:szCs w:val="28"/>
          <w:lang w:eastAsia="en-US"/>
        </w:rPr>
        <w:t>录和证据进行打印存档；</w:t>
      </w:r>
    </w:p>
    <w:p w14:paraId="3938AFFE">
      <w:pPr>
        <w:widowControl/>
        <w:kinsoku w:val="0"/>
        <w:autoSpaceDE w:val="0"/>
        <w:autoSpaceDN w:val="0"/>
        <w:adjustRightInd w:val="0"/>
        <w:snapToGrid w:val="0"/>
        <w:spacing w:before="302" w:line="222" w:lineRule="auto"/>
        <w:ind w:left="521"/>
        <w:jc w:val="left"/>
        <w:textAlignment w:val="baseline"/>
        <w:rPr>
          <w:rFonts w:hint="eastAsia" w:ascii="宋体" w:hAnsi="宋体" w:eastAsia="宋体" w:cs="宋体"/>
          <w:snapToGrid w:val="0"/>
          <w:color w:val="000000"/>
          <w:spacing w:val="-7"/>
          <w:kern w:val="0"/>
          <w:sz w:val="28"/>
          <w:szCs w:val="28"/>
          <w:lang w:val="en-US" w:eastAsia="zh-CN"/>
        </w:rPr>
      </w:pPr>
      <w:r>
        <w:rPr>
          <w:rFonts w:hint="eastAsia" w:ascii="宋体" w:hAnsi="宋体" w:eastAsia="宋体" w:cs="宋体"/>
          <w:snapToGrid w:val="0"/>
          <w:color w:val="000000"/>
          <w:spacing w:val="-5"/>
          <w:kern w:val="0"/>
          <w:sz w:val="28"/>
          <w:szCs w:val="28"/>
        </w:rPr>
        <w:t>3、本项目的特定资格要求：</w:t>
      </w:r>
      <w:r>
        <w:rPr>
          <w:rFonts w:hint="eastAsia" w:ascii="宋体" w:hAnsi="宋体" w:eastAsia="宋体" w:cs="宋体"/>
          <w:snapToGrid w:val="0"/>
          <w:color w:val="000000"/>
          <w:spacing w:val="-7"/>
          <w:kern w:val="0"/>
          <w:sz w:val="28"/>
          <w:szCs w:val="28"/>
          <w:lang w:val="en-US" w:eastAsia="zh-CN"/>
        </w:rPr>
        <w:t>无</w:t>
      </w:r>
    </w:p>
    <w:p w14:paraId="6F223C5F">
      <w:pPr>
        <w:widowControl/>
        <w:kinsoku w:val="0"/>
        <w:autoSpaceDE w:val="0"/>
        <w:autoSpaceDN w:val="0"/>
        <w:adjustRightInd w:val="0"/>
        <w:snapToGrid w:val="0"/>
        <w:spacing w:before="302" w:line="222" w:lineRule="auto"/>
        <w:ind w:left="521"/>
        <w:jc w:val="left"/>
        <w:textAlignment w:val="baseline"/>
        <w:rPr>
          <w:rFonts w:hint="eastAsia" w:ascii="宋体" w:hAnsi="宋体" w:eastAsia="宋体" w:cs="宋体"/>
          <w:snapToGrid w:val="0"/>
          <w:color w:val="000000"/>
          <w:kern w:val="0"/>
          <w:sz w:val="28"/>
          <w:szCs w:val="28"/>
        </w:rPr>
      </w:pPr>
      <w:r>
        <w:rPr>
          <w:rFonts w:hint="eastAsia" w:ascii="宋体" w:hAnsi="宋体" w:eastAsia="宋体" w:cs="宋体"/>
          <w:b/>
          <w:bCs/>
          <w:snapToGrid w:val="0"/>
          <w:color w:val="000000"/>
          <w:spacing w:val="-13"/>
          <w:kern w:val="0"/>
          <w:sz w:val="28"/>
          <w:szCs w:val="28"/>
        </w:rPr>
        <w:t>三、获取招标文件</w:t>
      </w:r>
    </w:p>
    <w:p w14:paraId="77D04427">
      <w:pPr>
        <w:widowControl/>
        <w:kinsoku w:val="0"/>
        <w:autoSpaceDE w:val="0"/>
        <w:autoSpaceDN w:val="0"/>
        <w:adjustRightInd w:val="0"/>
        <w:snapToGrid w:val="0"/>
        <w:spacing w:before="313" w:line="233" w:lineRule="auto"/>
        <w:ind w:left="560"/>
        <w:jc w:val="left"/>
        <w:textAlignment w:val="baseline"/>
        <w:rPr>
          <w:rFonts w:hint="eastAsia" w:ascii="宋体" w:hAnsi="宋体" w:eastAsia="宋体" w:cs="宋体"/>
          <w:snapToGrid w:val="0"/>
          <w:color w:val="000000"/>
          <w:kern w:val="0"/>
          <w:sz w:val="28"/>
          <w:szCs w:val="28"/>
          <w:highlight w:val="none"/>
        </w:rPr>
      </w:pPr>
      <w:r>
        <w:rPr>
          <w:rFonts w:hint="eastAsia" w:ascii="宋体" w:hAnsi="宋体" w:eastAsia="宋体" w:cs="宋体"/>
          <w:snapToGrid w:val="0"/>
          <w:color w:val="000000"/>
          <w:spacing w:val="-14"/>
          <w:kern w:val="0"/>
          <w:sz w:val="28"/>
          <w:szCs w:val="28"/>
          <w:highlight w:val="none"/>
        </w:rPr>
        <w:t>时间：2026年</w:t>
      </w:r>
      <w:r>
        <w:rPr>
          <w:rFonts w:hint="eastAsia" w:cs="宋体"/>
          <w:snapToGrid w:val="0"/>
          <w:color w:val="000000"/>
          <w:spacing w:val="-14"/>
          <w:kern w:val="0"/>
          <w:sz w:val="28"/>
          <w:szCs w:val="28"/>
          <w:highlight w:val="none"/>
          <w:lang w:val="en-US" w:eastAsia="zh-CN"/>
        </w:rPr>
        <w:t>6</w:t>
      </w:r>
      <w:r>
        <w:rPr>
          <w:rFonts w:hint="eastAsia" w:ascii="宋体" w:hAnsi="宋体" w:eastAsia="宋体" w:cs="宋体"/>
          <w:snapToGrid w:val="0"/>
          <w:color w:val="000000"/>
          <w:spacing w:val="-14"/>
          <w:kern w:val="0"/>
          <w:sz w:val="28"/>
          <w:szCs w:val="28"/>
          <w:highlight w:val="none"/>
        </w:rPr>
        <w:t>月</w:t>
      </w:r>
      <w:r>
        <w:rPr>
          <w:rFonts w:hint="eastAsia" w:cs="宋体"/>
          <w:snapToGrid w:val="0"/>
          <w:color w:val="000000"/>
          <w:spacing w:val="-14"/>
          <w:kern w:val="0"/>
          <w:sz w:val="28"/>
          <w:szCs w:val="28"/>
          <w:highlight w:val="none"/>
          <w:lang w:val="en-US" w:eastAsia="zh-CN"/>
        </w:rPr>
        <w:t>17</w:t>
      </w:r>
      <w:r>
        <w:rPr>
          <w:rFonts w:hint="eastAsia" w:ascii="宋体" w:hAnsi="宋体" w:eastAsia="宋体" w:cs="宋体"/>
          <w:snapToGrid w:val="0"/>
          <w:color w:val="000000"/>
          <w:spacing w:val="-14"/>
          <w:kern w:val="0"/>
          <w:sz w:val="28"/>
          <w:szCs w:val="28"/>
          <w:highlight w:val="none"/>
        </w:rPr>
        <w:t>日至2026年</w:t>
      </w:r>
      <w:r>
        <w:rPr>
          <w:rFonts w:hint="eastAsia" w:cs="宋体"/>
          <w:snapToGrid w:val="0"/>
          <w:color w:val="000000"/>
          <w:spacing w:val="-14"/>
          <w:kern w:val="0"/>
          <w:sz w:val="28"/>
          <w:szCs w:val="28"/>
          <w:highlight w:val="none"/>
          <w:lang w:val="en-US" w:eastAsia="zh-CN"/>
        </w:rPr>
        <w:t>6</w:t>
      </w:r>
      <w:r>
        <w:rPr>
          <w:rFonts w:hint="eastAsia" w:ascii="宋体" w:hAnsi="宋体" w:eastAsia="宋体" w:cs="宋体"/>
          <w:snapToGrid w:val="0"/>
          <w:color w:val="000000"/>
          <w:spacing w:val="-14"/>
          <w:kern w:val="0"/>
          <w:sz w:val="28"/>
          <w:szCs w:val="28"/>
          <w:highlight w:val="none"/>
        </w:rPr>
        <w:t>月</w:t>
      </w:r>
      <w:r>
        <w:rPr>
          <w:rFonts w:hint="eastAsia" w:cs="宋体"/>
          <w:snapToGrid w:val="0"/>
          <w:color w:val="000000"/>
          <w:spacing w:val="-14"/>
          <w:kern w:val="0"/>
          <w:sz w:val="28"/>
          <w:szCs w:val="28"/>
          <w:highlight w:val="none"/>
          <w:lang w:val="en-US" w:eastAsia="zh-CN"/>
        </w:rPr>
        <w:t>25</w:t>
      </w:r>
      <w:r>
        <w:rPr>
          <w:rFonts w:hint="eastAsia" w:ascii="宋体" w:hAnsi="宋体" w:eastAsia="宋体" w:cs="宋体"/>
          <w:snapToGrid w:val="0"/>
          <w:color w:val="000000"/>
          <w:spacing w:val="-14"/>
          <w:kern w:val="0"/>
          <w:sz w:val="28"/>
          <w:szCs w:val="28"/>
          <w:highlight w:val="none"/>
        </w:rPr>
        <w:t>日，每天上午10:00至14:00，</w:t>
      </w:r>
    </w:p>
    <w:p w14:paraId="3E420EDA">
      <w:pPr>
        <w:widowControl/>
        <w:kinsoku w:val="0"/>
        <w:autoSpaceDE w:val="0"/>
        <w:autoSpaceDN w:val="0"/>
        <w:adjustRightInd w:val="0"/>
        <w:snapToGrid w:val="0"/>
        <w:spacing w:before="218" w:line="220" w:lineRule="auto"/>
        <w:ind w:left="56"/>
        <w:jc w:val="left"/>
        <w:textAlignment w:val="baseline"/>
        <w:rPr>
          <w:rFonts w:hint="eastAsia" w:ascii="宋体" w:hAnsi="宋体" w:eastAsia="宋体" w:cs="宋体"/>
          <w:snapToGrid w:val="0"/>
          <w:color w:val="000000"/>
          <w:kern w:val="0"/>
          <w:sz w:val="28"/>
          <w:szCs w:val="28"/>
          <w:highlight w:val="none"/>
        </w:rPr>
      </w:pPr>
      <w:r>
        <w:rPr>
          <w:rFonts w:hint="eastAsia" w:ascii="宋体" w:hAnsi="宋体" w:eastAsia="宋体" w:cs="宋体"/>
          <w:snapToGrid w:val="0"/>
          <w:color w:val="000000"/>
          <w:spacing w:val="-6"/>
          <w:kern w:val="0"/>
          <w:sz w:val="28"/>
          <w:szCs w:val="28"/>
          <w:highlight w:val="none"/>
        </w:rPr>
        <w:t>下午1</w:t>
      </w:r>
      <w:r>
        <w:rPr>
          <w:rFonts w:hint="eastAsia" w:cs="宋体"/>
          <w:snapToGrid w:val="0"/>
          <w:color w:val="000000"/>
          <w:spacing w:val="-6"/>
          <w:kern w:val="0"/>
          <w:sz w:val="28"/>
          <w:szCs w:val="28"/>
          <w:highlight w:val="none"/>
          <w:lang w:val="en-US" w:eastAsia="zh-CN"/>
        </w:rPr>
        <w:t>6</w:t>
      </w:r>
      <w:r>
        <w:rPr>
          <w:rFonts w:hint="eastAsia" w:ascii="宋体" w:hAnsi="宋体" w:eastAsia="宋体" w:cs="宋体"/>
          <w:snapToGrid w:val="0"/>
          <w:color w:val="000000"/>
          <w:spacing w:val="-6"/>
          <w:kern w:val="0"/>
          <w:sz w:val="28"/>
          <w:szCs w:val="28"/>
          <w:highlight w:val="none"/>
        </w:rPr>
        <w:t>:00至</w:t>
      </w:r>
      <w:r>
        <w:rPr>
          <w:rFonts w:hint="eastAsia" w:cs="宋体"/>
          <w:snapToGrid w:val="0"/>
          <w:color w:val="000000"/>
          <w:spacing w:val="-6"/>
          <w:kern w:val="0"/>
          <w:sz w:val="28"/>
          <w:szCs w:val="28"/>
          <w:highlight w:val="none"/>
          <w:lang w:val="en-US" w:eastAsia="zh-CN"/>
        </w:rPr>
        <w:t>20</w:t>
      </w:r>
      <w:r>
        <w:rPr>
          <w:rFonts w:hint="eastAsia" w:ascii="宋体" w:hAnsi="宋体" w:eastAsia="宋体" w:cs="宋体"/>
          <w:snapToGrid w:val="0"/>
          <w:color w:val="000000"/>
          <w:spacing w:val="-6"/>
          <w:kern w:val="0"/>
          <w:sz w:val="28"/>
          <w:szCs w:val="28"/>
          <w:highlight w:val="none"/>
        </w:rPr>
        <w:t>:</w:t>
      </w:r>
      <w:r>
        <w:rPr>
          <w:rFonts w:hint="eastAsia" w:cs="宋体"/>
          <w:snapToGrid w:val="0"/>
          <w:color w:val="000000"/>
          <w:spacing w:val="-6"/>
          <w:kern w:val="0"/>
          <w:sz w:val="28"/>
          <w:szCs w:val="28"/>
          <w:highlight w:val="none"/>
          <w:lang w:val="en-US" w:eastAsia="zh-CN"/>
        </w:rPr>
        <w:t>0</w:t>
      </w:r>
      <w:r>
        <w:rPr>
          <w:rFonts w:hint="eastAsia" w:ascii="宋体" w:hAnsi="宋体" w:eastAsia="宋体" w:cs="宋体"/>
          <w:snapToGrid w:val="0"/>
          <w:color w:val="000000"/>
          <w:spacing w:val="-6"/>
          <w:kern w:val="0"/>
          <w:sz w:val="28"/>
          <w:szCs w:val="28"/>
          <w:highlight w:val="none"/>
        </w:rPr>
        <w:t>0（北京时间，法定节假日除外）</w:t>
      </w:r>
    </w:p>
    <w:p w14:paraId="07F31485">
      <w:pPr>
        <w:widowControl/>
        <w:kinsoku w:val="0"/>
        <w:autoSpaceDE w:val="0"/>
        <w:autoSpaceDN w:val="0"/>
        <w:adjustRightInd w:val="0"/>
        <w:snapToGrid w:val="0"/>
        <w:spacing w:before="196"/>
        <w:ind w:left="587"/>
        <w:jc w:val="left"/>
        <w:textAlignment w:val="baseline"/>
        <w:rPr>
          <w:rFonts w:hint="eastAsia" w:ascii="宋体" w:hAnsi="宋体" w:eastAsia="宋体" w:cs="宋体"/>
          <w:snapToGrid w:val="0"/>
          <w:color w:val="000000"/>
          <w:kern w:val="0"/>
          <w:sz w:val="28"/>
          <w:szCs w:val="28"/>
          <w:lang w:eastAsia="en-US"/>
        </w:rPr>
      </w:pPr>
      <w:r>
        <w:rPr>
          <w:rFonts w:hint="eastAsia" w:ascii="宋体" w:hAnsi="宋体" w:eastAsia="宋体" w:cs="宋体"/>
          <w:snapToGrid w:val="0"/>
          <w:color w:val="000000"/>
          <w:spacing w:val="-1"/>
          <w:kern w:val="0"/>
          <w:sz w:val="28"/>
          <w:szCs w:val="28"/>
          <w:lang w:eastAsia="en-US"/>
        </w:rPr>
        <w:t>地点：政采云平台（</w:t>
      </w:r>
      <w:r>
        <w:fldChar w:fldCharType="begin"/>
      </w:r>
      <w:r>
        <w:instrText xml:space="preserve"> HYPERLINK "http://www.zcygov.cn/" </w:instrText>
      </w:r>
      <w:r>
        <w:fldChar w:fldCharType="separate"/>
      </w:r>
      <w:r>
        <w:rPr>
          <w:rFonts w:hint="eastAsia" w:ascii="宋体" w:hAnsi="宋体" w:eastAsia="宋体" w:cs="宋体"/>
          <w:snapToGrid w:val="0"/>
          <w:color w:val="000000"/>
          <w:spacing w:val="-1"/>
          <w:kern w:val="0"/>
          <w:sz w:val="28"/>
          <w:szCs w:val="28"/>
          <w:lang w:eastAsia="en-US"/>
        </w:rPr>
        <w:t>http://www.zcygov.cn/</w:t>
      </w:r>
      <w:r>
        <w:rPr>
          <w:rFonts w:hint="eastAsia" w:ascii="宋体" w:hAnsi="宋体" w:eastAsia="宋体" w:cs="宋体"/>
          <w:snapToGrid w:val="0"/>
          <w:color w:val="000000"/>
          <w:spacing w:val="-1"/>
          <w:kern w:val="0"/>
          <w:sz w:val="28"/>
          <w:szCs w:val="28"/>
          <w:lang w:eastAsia="en-US"/>
        </w:rPr>
        <w:fldChar w:fldCharType="end"/>
      </w:r>
      <w:r>
        <w:rPr>
          <w:rFonts w:hint="eastAsia" w:ascii="宋体" w:hAnsi="宋体" w:eastAsia="宋体" w:cs="宋体"/>
          <w:snapToGrid w:val="0"/>
          <w:color w:val="000000"/>
          <w:spacing w:val="-1"/>
          <w:kern w:val="0"/>
          <w:sz w:val="28"/>
          <w:szCs w:val="28"/>
          <w:lang w:eastAsia="en-US"/>
        </w:rPr>
        <w:t>）</w:t>
      </w:r>
    </w:p>
    <w:p w14:paraId="6B7C2475">
      <w:pPr>
        <w:widowControl/>
        <w:kinsoku w:val="0"/>
        <w:autoSpaceDE w:val="0"/>
        <w:autoSpaceDN w:val="0"/>
        <w:adjustRightInd w:val="0"/>
        <w:snapToGrid w:val="0"/>
        <w:spacing w:before="218" w:line="380" w:lineRule="auto"/>
        <w:ind w:left="46" w:right="4" w:firstLine="550"/>
        <w:textAlignment w:val="baseline"/>
        <w:rPr>
          <w:rFonts w:hint="eastAsia" w:ascii="宋体" w:hAnsi="宋体" w:eastAsia="宋体" w:cs="宋体"/>
          <w:snapToGrid w:val="0"/>
          <w:color w:val="000000"/>
          <w:spacing w:val="-8"/>
          <w:kern w:val="0"/>
          <w:sz w:val="28"/>
          <w:szCs w:val="28"/>
          <w:lang w:eastAsia="en-US"/>
        </w:rPr>
      </w:pPr>
      <w:r>
        <w:rPr>
          <w:rFonts w:hint="eastAsia" w:ascii="宋体" w:hAnsi="宋体" w:eastAsia="宋体" w:cs="宋体"/>
          <w:snapToGrid w:val="0"/>
          <w:color w:val="000000"/>
          <w:spacing w:val="1"/>
          <w:kern w:val="0"/>
          <w:sz w:val="28"/>
          <w:szCs w:val="28"/>
          <w:lang w:eastAsia="en-US"/>
        </w:rPr>
        <w:t>方式：供应商登录政采云平台</w:t>
      </w:r>
      <w:r>
        <w:fldChar w:fldCharType="begin"/>
      </w:r>
      <w:r>
        <w:instrText xml:space="preserve"> HYPERLINK "https://www.zcygov.cn/" </w:instrText>
      </w:r>
      <w:r>
        <w:fldChar w:fldCharType="separate"/>
      </w:r>
      <w:r>
        <w:rPr>
          <w:rFonts w:hint="eastAsia" w:ascii="宋体" w:hAnsi="宋体" w:eastAsia="宋体" w:cs="宋体"/>
          <w:snapToGrid w:val="0"/>
          <w:color w:val="000000"/>
          <w:kern w:val="0"/>
          <w:sz w:val="28"/>
          <w:szCs w:val="28"/>
          <w:lang w:eastAsia="en-US"/>
        </w:rPr>
        <w:t>https</w:t>
      </w:r>
      <w:r>
        <w:rPr>
          <w:rFonts w:hint="eastAsia" w:ascii="宋体" w:hAnsi="宋体" w:eastAsia="宋体" w:cs="宋体"/>
          <w:snapToGrid w:val="0"/>
          <w:color w:val="000000"/>
          <w:spacing w:val="1"/>
          <w:kern w:val="0"/>
          <w:sz w:val="28"/>
          <w:szCs w:val="28"/>
          <w:lang w:eastAsia="en-US"/>
        </w:rPr>
        <w:t>://</w:t>
      </w:r>
      <w:r>
        <w:rPr>
          <w:rFonts w:hint="eastAsia" w:ascii="宋体" w:hAnsi="宋体" w:eastAsia="宋体" w:cs="宋体"/>
          <w:snapToGrid w:val="0"/>
          <w:color w:val="000000"/>
          <w:kern w:val="0"/>
          <w:sz w:val="28"/>
          <w:szCs w:val="28"/>
          <w:lang w:eastAsia="en-US"/>
        </w:rPr>
        <w:t>www</w:t>
      </w:r>
      <w:r>
        <w:rPr>
          <w:rFonts w:hint="eastAsia" w:ascii="宋体" w:hAnsi="宋体" w:eastAsia="宋体" w:cs="宋体"/>
          <w:snapToGrid w:val="0"/>
          <w:color w:val="000000"/>
          <w:spacing w:val="1"/>
          <w:kern w:val="0"/>
          <w:sz w:val="28"/>
          <w:szCs w:val="28"/>
          <w:lang w:eastAsia="en-US"/>
        </w:rPr>
        <w:t>.</w:t>
      </w:r>
      <w:r>
        <w:rPr>
          <w:rFonts w:hint="eastAsia" w:ascii="宋体" w:hAnsi="宋体" w:eastAsia="宋体" w:cs="宋体"/>
          <w:snapToGrid w:val="0"/>
          <w:color w:val="000000"/>
          <w:kern w:val="0"/>
          <w:sz w:val="28"/>
          <w:szCs w:val="28"/>
          <w:lang w:eastAsia="en-US"/>
        </w:rPr>
        <w:t>zcygov</w:t>
      </w:r>
      <w:r>
        <w:rPr>
          <w:rFonts w:hint="eastAsia" w:ascii="宋体" w:hAnsi="宋体" w:eastAsia="宋体" w:cs="宋体"/>
          <w:snapToGrid w:val="0"/>
          <w:color w:val="000000"/>
          <w:spacing w:val="1"/>
          <w:kern w:val="0"/>
          <w:sz w:val="28"/>
          <w:szCs w:val="28"/>
          <w:lang w:eastAsia="en-US"/>
        </w:rPr>
        <w:t>.</w:t>
      </w:r>
      <w:r>
        <w:rPr>
          <w:rFonts w:hint="eastAsia" w:ascii="宋体" w:hAnsi="宋体" w:eastAsia="宋体" w:cs="宋体"/>
          <w:snapToGrid w:val="0"/>
          <w:color w:val="000000"/>
          <w:kern w:val="0"/>
          <w:sz w:val="28"/>
          <w:szCs w:val="28"/>
          <w:lang w:eastAsia="en-US"/>
        </w:rPr>
        <w:t>cn</w:t>
      </w:r>
      <w:r>
        <w:rPr>
          <w:rFonts w:hint="eastAsia" w:ascii="宋体" w:hAnsi="宋体" w:eastAsia="宋体" w:cs="宋体"/>
          <w:snapToGrid w:val="0"/>
          <w:color w:val="000000"/>
          <w:spacing w:val="1"/>
          <w:kern w:val="0"/>
          <w:sz w:val="28"/>
          <w:szCs w:val="28"/>
          <w:lang w:eastAsia="en-US"/>
        </w:rPr>
        <w:t>/</w:t>
      </w:r>
      <w:r>
        <w:rPr>
          <w:rFonts w:hint="eastAsia" w:ascii="宋体" w:hAnsi="宋体" w:eastAsia="宋体" w:cs="宋体"/>
          <w:snapToGrid w:val="0"/>
          <w:color w:val="000000"/>
          <w:spacing w:val="1"/>
          <w:kern w:val="0"/>
          <w:sz w:val="28"/>
          <w:szCs w:val="28"/>
          <w:lang w:eastAsia="en-US"/>
        </w:rPr>
        <w:fldChar w:fldCharType="end"/>
      </w:r>
      <w:r>
        <w:rPr>
          <w:rFonts w:hint="eastAsia" w:ascii="宋体" w:hAnsi="宋体" w:eastAsia="宋体" w:cs="宋体"/>
          <w:snapToGrid w:val="0"/>
          <w:color w:val="000000"/>
          <w:spacing w:val="1"/>
          <w:kern w:val="0"/>
          <w:sz w:val="28"/>
          <w:szCs w:val="28"/>
          <w:lang w:eastAsia="en-US"/>
        </w:rPr>
        <w:t>在线申请获取采购</w:t>
      </w:r>
      <w:r>
        <w:rPr>
          <w:rFonts w:hint="eastAsia" w:ascii="宋体" w:hAnsi="宋体" w:eastAsia="宋体" w:cs="宋体"/>
          <w:snapToGrid w:val="0"/>
          <w:color w:val="000000"/>
          <w:spacing w:val="-10"/>
          <w:kern w:val="0"/>
          <w:sz w:val="28"/>
          <w:szCs w:val="28"/>
          <w:lang w:eastAsia="en-US"/>
        </w:rPr>
        <w:t>文件（进入“项目采购”应用，在获取采购文件菜单中选择项目，申请获取采购文</w:t>
      </w:r>
      <w:r>
        <w:rPr>
          <w:rFonts w:hint="eastAsia" w:ascii="宋体" w:hAnsi="宋体" w:eastAsia="宋体" w:cs="宋体"/>
          <w:snapToGrid w:val="0"/>
          <w:color w:val="000000"/>
          <w:spacing w:val="-8"/>
          <w:kern w:val="0"/>
          <w:sz w:val="28"/>
          <w:szCs w:val="28"/>
          <w:lang w:eastAsia="en-US"/>
        </w:rPr>
        <w:t>件）</w:t>
      </w:r>
    </w:p>
    <w:p w14:paraId="164CBBA4">
      <w:pPr>
        <w:pStyle w:val="30"/>
        <w:ind w:firstLine="560" w:firstLineChars="200"/>
        <w:rPr>
          <w:rFonts w:hint="eastAsia" w:ascii="宋体" w:hAnsi="宋体" w:cs="宋体"/>
        </w:rPr>
      </w:pPr>
      <w:r>
        <w:rPr>
          <w:rFonts w:hint="eastAsia" w:ascii="宋体" w:hAnsi="宋体" w:cs="宋体"/>
          <w:sz w:val="28"/>
          <w:szCs w:val="28"/>
        </w:rPr>
        <w:t>售价：0 元</w:t>
      </w:r>
    </w:p>
    <w:p w14:paraId="420062EA">
      <w:pPr>
        <w:widowControl/>
        <w:kinsoku w:val="0"/>
        <w:autoSpaceDE w:val="0"/>
        <w:autoSpaceDN w:val="0"/>
        <w:adjustRightInd w:val="0"/>
        <w:snapToGrid w:val="0"/>
        <w:spacing w:before="1" w:line="222" w:lineRule="auto"/>
        <w:ind w:left="103"/>
        <w:jc w:val="left"/>
        <w:textAlignment w:val="baseline"/>
        <w:rPr>
          <w:rFonts w:hint="eastAsia" w:ascii="宋体" w:hAnsi="宋体" w:eastAsia="宋体" w:cs="宋体"/>
          <w:snapToGrid w:val="0"/>
          <w:color w:val="000000"/>
          <w:kern w:val="0"/>
          <w:sz w:val="28"/>
          <w:szCs w:val="28"/>
        </w:rPr>
      </w:pPr>
      <w:r>
        <w:rPr>
          <w:rFonts w:hint="eastAsia" w:ascii="宋体" w:hAnsi="宋体" w:eastAsia="宋体" w:cs="宋体"/>
          <w:b/>
          <w:bCs/>
          <w:snapToGrid w:val="0"/>
          <w:color w:val="000000"/>
          <w:spacing w:val="-20"/>
          <w:kern w:val="0"/>
          <w:sz w:val="28"/>
          <w:szCs w:val="28"/>
        </w:rPr>
        <w:t>四、投标文件提交</w:t>
      </w:r>
    </w:p>
    <w:p w14:paraId="2E321DE3">
      <w:pPr>
        <w:widowControl/>
        <w:kinsoku w:val="0"/>
        <w:autoSpaceDE w:val="0"/>
        <w:autoSpaceDN w:val="0"/>
        <w:adjustRightInd w:val="0"/>
        <w:snapToGrid w:val="0"/>
        <w:spacing w:before="227" w:line="222" w:lineRule="auto"/>
        <w:ind w:left="55" w:firstLine="512" w:firstLineChars="200"/>
        <w:jc w:val="left"/>
        <w:textAlignment w:val="baseline"/>
        <w:rPr>
          <w:rFonts w:hint="eastAsia" w:ascii="宋体" w:hAnsi="宋体" w:eastAsia="宋体" w:cs="宋体"/>
          <w:snapToGrid w:val="0"/>
          <w:color w:val="000000"/>
          <w:spacing w:val="-12"/>
          <w:kern w:val="0"/>
          <w:sz w:val="28"/>
          <w:szCs w:val="28"/>
          <w:highlight w:val="none"/>
        </w:rPr>
      </w:pPr>
      <w:r>
        <w:rPr>
          <w:rFonts w:hint="eastAsia" w:ascii="宋体" w:hAnsi="宋体" w:eastAsia="宋体" w:cs="宋体"/>
          <w:snapToGrid w:val="0"/>
          <w:color w:val="000000"/>
          <w:spacing w:val="-12"/>
          <w:kern w:val="0"/>
          <w:sz w:val="28"/>
          <w:szCs w:val="28"/>
          <w:highlight w:val="none"/>
        </w:rPr>
        <w:t>截止时间：2026年</w:t>
      </w:r>
      <w:r>
        <w:rPr>
          <w:rFonts w:hint="eastAsia" w:cs="宋体"/>
          <w:snapToGrid w:val="0"/>
          <w:color w:val="000000"/>
          <w:spacing w:val="-12"/>
          <w:kern w:val="0"/>
          <w:sz w:val="28"/>
          <w:szCs w:val="28"/>
          <w:highlight w:val="none"/>
          <w:lang w:val="en-US" w:eastAsia="zh-CN"/>
        </w:rPr>
        <w:t>7</w:t>
      </w:r>
      <w:r>
        <w:rPr>
          <w:rFonts w:hint="eastAsia" w:ascii="宋体" w:hAnsi="宋体" w:eastAsia="宋体" w:cs="宋体"/>
          <w:snapToGrid w:val="0"/>
          <w:color w:val="000000"/>
          <w:spacing w:val="-12"/>
          <w:kern w:val="0"/>
          <w:sz w:val="28"/>
          <w:szCs w:val="28"/>
          <w:highlight w:val="none"/>
        </w:rPr>
        <w:t>月</w:t>
      </w:r>
      <w:r>
        <w:rPr>
          <w:rFonts w:hint="eastAsia" w:cs="宋体"/>
          <w:snapToGrid w:val="0"/>
          <w:color w:val="000000"/>
          <w:spacing w:val="-12"/>
          <w:kern w:val="0"/>
          <w:sz w:val="28"/>
          <w:szCs w:val="28"/>
          <w:highlight w:val="none"/>
          <w:lang w:val="en-US" w:eastAsia="zh-CN"/>
        </w:rPr>
        <w:t>8</w:t>
      </w:r>
      <w:r>
        <w:rPr>
          <w:rFonts w:hint="eastAsia" w:ascii="宋体" w:hAnsi="宋体" w:eastAsia="宋体" w:cs="宋体"/>
          <w:snapToGrid w:val="0"/>
          <w:color w:val="000000"/>
          <w:spacing w:val="-12"/>
          <w:kern w:val="0"/>
          <w:sz w:val="28"/>
          <w:szCs w:val="28"/>
          <w:highlight w:val="none"/>
        </w:rPr>
        <w:t>日上午</w:t>
      </w:r>
      <w:r>
        <w:rPr>
          <w:rFonts w:hint="eastAsia" w:ascii="宋体" w:hAnsi="宋体" w:eastAsia="宋体" w:cs="宋体"/>
          <w:snapToGrid w:val="0"/>
          <w:color w:val="000000"/>
          <w:spacing w:val="-12"/>
          <w:kern w:val="0"/>
          <w:sz w:val="28"/>
          <w:szCs w:val="28"/>
          <w:highlight w:val="none"/>
          <w:lang w:val="en-US" w:eastAsia="zh-CN"/>
        </w:rPr>
        <w:t>1</w:t>
      </w:r>
      <w:r>
        <w:rPr>
          <w:rFonts w:hint="eastAsia" w:ascii="宋体" w:hAnsi="宋体" w:cs="宋体"/>
          <w:snapToGrid w:val="0"/>
          <w:color w:val="000000"/>
          <w:spacing w:val="-12"/>
          <w:kern w:val="0"/>
          <w:sz w:val="28"/>
          <w:szCs w:val="28"/>
          <w:highlight w:val="none"/>
          <w:lang w:val="en-US" w:eastAsia="zh-CN"/>
        </w:rPr>
        <w:t>0</w:t>
      </w:r>
      <w:r>
        <w:rPr>
          <w:rFonts w:hint="eastAsia" w:ascii="宋体" w:hAnsi="宋体" w:eastAsia="宋体" w:cs="宋体"/>
          <w:snapToGrid w:val="0"/>
          <w:color w:val="000000"/>
          <w:spacing w:val="-12"/>
          <w:kern w:val="0"/>
          <w:sz w:val="28"/>
          <w:szCs w:val="28"/>
          <w:highlight w:val="none"/>
        </w:rPr>
        <w:t>：</w:t>
      </w:r>
      <w:r>
        <w:rPr>
          <w:rFonts w:hint="eastAsia" w:ascii="宋体" w:hAnsi="宋体" w:cs="宋体"/>
          <w:snapToGrid w:val="0"/>
          <w:color w:val="000000"/>
          <w:spacing w:val="-12"/>
          <w:kern w:val="0"/>
          <w:sz w:val="28"/>
          <w:szCs w:val="28"/>
          <w:highlight w:val="none"/>
          <w:lang w:val="en-US" w:eastAsia="zh-CN"/>
        </w:rPr>
        <w:t>3</w:t>
      </w:r>
      <w:r>
        <w:rPr>
          <w:rFonts w:hint="eastAsia" w:ascii="宋体" w:hAnsi="宋体" w:eastAsia="宋体" w:cs="宋体"/>
          <w:snapToGrid w:val="0"/>
          <w:color w:val="000000"/>
          <w:spacing w:val="-12"/>
          <w:kern w:val="0"/>
          <w:sz w:val="28"/>
          <w:szCs w:val="28"/>
          <w:highlight w:val="none"/>
        </w:rPr>
        <w:t>0（北京时间）</w:t>
      </w:r>
    </w:p>
    <w:p w14:paraId="1BD2C302">
      <w:pPr>
        <w:widowControl/>
        <w:kinsoku w:val="0"/>
        <w:autoSpaceDE w:val="0"/>
        <w:autoSpaceDN w:val="0"/>
        <w:adjustRightInd w:val="0"/>
        <w:snapToGrid w:val="0"/>
        <w:spacing w:before="227" w:line="222" w:lineRule="auto"/>
        <w:ind w:left="55" w:firstLine="512" w:firstLineChars="200"/>
        <w:jc w:val="left"/>
        <w:textAlignment w:val="baseline"/>
        <w:rPr>
          <w:rFonts w:hint="eastAsia" w:ascii="宋体" w:hAnsi="宋体" w:eastAsia="宋体" w:cs="宋体"/>
          <w:snapToGrid w:val="0"/>
          <w:color w:val="000000"/>
          <w:spacing w:val="-12"/>
          <w:kern w:val="0"/>
          <w:sz w:val="28"/>
          <w:szCs w:val="28"/>
          <w:highlight w:val="none"/>
        </w:rPr>
      </w:pPr>
      <w:r>
        <w:rPr>
          <w:rFonts w:hint="eastAsia" w:ascii="宋体" w:hAnsi="宋体" w:eastAsia="宋体" w:cs="宋体"/>
          <w:snapToGrid w:val="0"/>
          <w:color w:val="000000"/>
          <w:spacing w:val="-12"/>
          <w:kern w:val="0"/>
          <w:sz w:val="28"/>
          <w:szCs w:val="28"/>
          <w:highlight w:val="none"/>
        </w:rPr>
        <w:t>地点：请登录政采云投标客户端投标。</w:t>
      </w:r>
    </w:p>
    <w:p w14:paraId="226BC9F6">
      <w:pPr>
        <w:widowControl/>
        <w:kinsoku w:val="0"/>
        <w:autoSpaceDE w:val="0"/>
        <w:autoSpaceDN w:val="0"/>
        <w:adjustRightInd w:val="0"/>
        <w:snapToGrid w:val="0"/>
        <w:spacing w:before="227" w:line="222" w:lineRule="auto"/>
        <w:ind w:left="55"/>
        <w:jc w:val="left"/>
        <w:textAlignment w:val="baseline"/>
        <w:rPr>
          <w:rFonts w:hint="eastAsia" w:ascii="宋体" w:hAnsi="宋体" w:eastAsia="宋体" w:cs="宋体"/>
          <w:snapToGrid w:val="0"/>
          <w:color w:val="000000"/>
          <w:kern w:val="0"/>
          <w:sz w:val="28"/>
          <w:szCs w:val="28"/>
          <w:highlight w:val="none"/>
        </w:rPr>
      </w:pPr>
      <w:r>
        <w:rPr>
          <w:rFonts w:hint="eastAsia" w:ascii="宋体" w:hAnsi="宋体" w:eastAsia="宋体" w:cs="宋体"/>
          <w:b/>
          <w:bCs/>
          <w:snapToGrid w:val="0"/>
          <w:color w:val="000000"/>
          <w:spacing w:val="-12"/>
          <w:kern w:val="0"/>
          <w:sz w:val="28"/>
          <w:szCs w:val="28"/>
          <w:highlight w:val="none"/>
        </w:rPr>
        <w:t>五、投标文件开启</w:t>
      </w:r>
    </w:p>
    <w:p w14:paraId="25D74F48">
      <w:pPr>
        <w:widowControl/>
        <w:kinsoku w:val="0"/>
        <w:autoSpaceDE w:val="0"/>
        <w:autoSpaceDN w:val="0"/>
        <w:adjustRightInd w:val="0"/>
        <w:snapToGrid w:val="0"/>
        <w:spacing w:before="201" w:line="215" w:lineRule="auto"/>
        <w:ind w:left="527"/>
        <w:jc w:val="left"/>
        <w:textAlignment w:val="baseline"/>
        <w:rPr>
          <w:rFonts w:hint="eastAsia" w:ascii="宋体" w:hAnsi="宋体" w:eastAsia="宋体" w:cs="宋体"/>
          <w:snapToGrid w:val="0"/>
          <w:color w:val="000000"/>
          <w:kern w:val="0"/>
          <w:sz w:val="28"/>
          <w:szCs w:val="28"/>
          <w:highlight w:val="none"/>
        </w:rPr>
      </w:pPr>
      <w:r>
        <w:rPr>
          <w:rFonts w:hint="eastAsia" w:ascii="宋体" w:hAnsi="宋体" w:eastAsia="宋体" w:cs="宋体"/>
          <w:snapToGrid w:val="0"/>
          <w:color w:val="000000"/>
          <w:kern w:val="0"/>
          <w:sz w:val="28"/>
          <w:szCs w:val="28"/>
          <w:highlight w:val="none"/>
        </w:rPr>
        <w:t>时间：</w:t>
      </w:r>
      <w:r>
        <w:rPr>
          <w:rFonts w:hint="eastAsia" w:ascii="宋体" w:hAnsi="宋体" w:eastAsia="宋体" w:cs="宋体"/>
          <w:snapToGrid w:val="0"/>
          <w:color w:val="000000"/>
          <w:spacing w:val="-12"/>
          <w:kern w:val="0"/>
          <w:sz w:val="28"/>
          <w:szCs w:val="28"/>
          <w:highlight w:val="none"/>
        </w:rPr>
        <w:t>2026年</w:t>
      </w:r>
      <w:r>
        <w:rPr>
          <w:rFonts w:hint="eastAsia" w:cs="宋体"/>
          <w:snapToGrid w:val="0"/>
          <w:color w:val="000000"/>
          <w:spacing w:val="-12"/>
          <w:kern w:val="0"/>
          <w:sz w:val="28"/>
          <w:szCs w:val="28"/>
          <w:highlight w:val="none"/>
          <w:lang w:val="en-US" w:eastAsia="zh-CN"/>
        </w:rPr>
        <w:t>7</w:t>
      </w:r>
      <w:r>
        <w:rPr>
          <w:rFonts w:hint="eastAsia" w:ascii="宋体" w:hAnsi="宋体" w:eastAsia="宋体" w:cs="宋体"/>
          <w:snapToGrid w:val="0"/>
          <w:color w:val="000000"/>
          <w:spacing w:val="-12"/>
          <w:kern w:val="0"/>
          <w:sz w:val="28"/>
          <w:szCs w:val="28"/>
          <w:highlight w:val="none"/>
        </w:rPr>
        <w:t>月</w:t>
      </w:r>
      <w:r>
        <w:rPr>
          <w:rFonts w:hint="eastAsia" w:cs="宋体"/>
          <w:snapToGrid w:val="0"/>
          <w:color w:val="000000"/>
          <w:spacing w:val="-12"/>
          <w:kern w:val="0"/>
          <w:sz w:val="28"/>
          <w:szCs w:val="28"/>
          <w:highlight w:val="none"/>
          <w:lang w:val="en-US" w:eastAsia="zh-CN"/>
        </w:rPr>
        <w:t>8</w:t>
      </w:r>
      <w:r>
        <w:rPr>
          <w:rFonts w:hint="eastAsia" w:ascii="宋体" w:hAnsi="宋体" w:eastAsia="宋体" w:cs="宋体"/>
          <w:snapToGrid w:val="0"/>
          <w:color w:val="000000"/>
          <w:spacing w:val="-12"/>
          <w:kern w:val="0"/>
          <w:sz w:val="28"/>
          <w:szCs w:val="28"/>
          <w:highlight w:val="none"/>
        </w:rPr>
        <w:t>日上午</w:t>
      </w:r>
      <w:r>
        <w:rPr>
          <w:rFonts w:hint="eastAsia" w:ascii="宋体" w:hAnsi="宋体" w:eastAsia="宋体" w:cs="宋体"/>
          <w:snapToGrid w:val="0"/>
          <w:color w:val="000000"/>
          <w:spacing w:val="-12"/>
          <w:kern w:val="0"/>
          <w:sz w:val="28"/>
          <w:szCs w:val="28"/>
          <w:highlight w:val="none"/>
          <w:lang w:val="en-US" w:eastAsia="zh-CN"/>
        </w:rPr>
        <w:t>1</w:t>
      </w:r>
      <w:r>
        <w:rPr>
          <w:rFonts w:hint="eastAsia" w:ascii="宋体" w:hAnsi="宋体" w:cs="宋体"/>
          <w:snapToGrid w:val="0"/>
          <w:color w:val="000000"/>
          <w:spacing w:val="-12"/>
          <w:kern w:val="0"/>
          <w:sz w:val="28"/>
          <w:szCs w:val="28"/>
          <w:highlight w:val="none"/>
          <w:lang w:val="en-US" w:eastAsia="zh-CN"/>
        </w:rPr>
        <w:t>0</w:t>
      </w:r>
      <w:r>
        <w:rPr>
          <w:rFonts w:hint="eastAsia" w:ascii="宋体" w:hAnsi="宋体" w:eastAsia="宋体" w:cs="宋体"/>
          <w:snapToGrid w:val="0"/>
          <w:color w:val="000000"/>
          <w:spacing w:val="-12"/>
          <w:kern w:val="0"/>
          <w:sz w:val="28"/>
          <w:szCs w:val="28"/>
          <w:highlight w:val="none"/>
        </w:rPr>
        <w:t>：</w:t>
      </w:r>
      <w:r>
        <w:rPr>
          <w:rFonts w:hint="eastAsia" w:ascii="宋体" w:hAnsi="宋体" w:cs="宋体"/>
          <w:snapToGrid w:val="0"/>
          <w:color w:val="000000"/>
          <w:spacing w:val="-12"/>
          <w:kern w:val="0"/>
          <w:sz w:val="28"/>
          <w:szCs w:val="28"/>
          <w:highlight w:val="none"/>
          <w:lang w:val="en-US" w:eastAsia="zh-CN"/>
        </w:rPr>
        <w:t>3</w:t>
      </w:r>
      <w:r>
        <w:rPr>
          <w:rFonts w:hint="eastAsia" w:ascii="宋体" w:hAnsi="宋体" w:eastAsia="宋体" w:cs="宋体"/>
          <w:snapToGrid w:val="0"/>
          <w:color w:val="000000"/>
          <w:spacing w:val="-12"/>
          <w:kern w:val="0"/>
          <w:sz w:val="28"/>
          <w:szCs w:val="28"/>
          <w:highlight w:val="none"/>
        </w:rPr>
        <w:t>0</w:t>
      </w:r>
      <w:r>
        <w:rPr>
          <w:rFonts w:hint="eastAsia" w:ascii="宋体" w:hAnsi="宋体" w:eastAsia="宋体" w:cs="宋体"/>
          <w:snapToGrid w:val="0"/>
          <w:color w:val="000000"/>
          <w:kern w:val="0"/>
          <w:sz w:val="28"/>
          <w:szCs w:val="28"/>
          <w:highlight w:val="none"/>
        </w:rPr>
        <w:t>（北京时间）</w:t>
      </w:r>
    </w:p>
    <w:p w14:paraId="11DEC761">
      <w:pPr>
        <w:widowControl/>
        <w:kinsoku w:val="0"/>
        <w:autoSpaceDE w:val="0"/>
        <w:autoSpaceDN w:val="0"/>
        <w:adjustRightInd w:val="0"/>
        <w:snapToGrid w:val="0"/>
        <w:spacing w:before="201" w:line="215" w:lineRule="auto"/>
        <w:ind w:left="527"/>
        <w:jc w:val="left"/>
        <w:textAlignment w:val="baseline"/>
        <w:rPr>
          <w:rFonts w:hint="eastAsia" w:ascii="宋体" w:hAnsi="宋体" w:eastAsia="宋体" w:cs="宋体"/>
          <w:snapToGrid w:val="0"/>
          <w:color w:val="000000"/>
          <w:kern w:val="0"/>
          <w:sz w:val="28"/>
          <w:szCs w:val="28"/>
          <w:lang w:eastAsia="en-US"/>
        </w:rPr>
      </w:pPr>
      <w:r>
        <w:rPr>
          <w:rFonts w:hint="eastAsia" w:ascii="宋体" w:hAnsi="宋体" w:eastAsia="宋体" w:cs="宋体"/>
          <w:snapToGrid w:val="0"/>
          <w:color w:val="000000"/>
          <w:kern w:val="0"/>
          <w:sz w:val="28"/>
          <w:szCs w:val="28"/>
          <w:highlight w:val="none"/>
          <w:lang w:eastAsia="en-US"/>
        </w:rPr>
        <w:t>地点：投标人登录政采云平台https://www.zcygov.cn</w:t>
      </w:r>
      <w:r>
        <w:rPr>
          <w:rFonts w:hint="eastAsia" w:ascii="宋体" w:hAnsi="宋体" w:eastAsia="宋体" w:cs="宋体"/>
          <w:snapToGrid w:val="0"/>
          <w:color w:val="000000"/>
          <w:kern w:val="0"/>
          <w:sz w:val="28"/>
          <w:szCs w:val="28"/>
          <w:lang w:eastAsia="en-US"/>
        </w:rPr>
        <w:t>/，进入“项目采购-开标评标-右边选择对应项目点击“进入项目”进入开标大厅。</w:t>
      </w:r>
    </w:p>
    <w:p w14:paraId="2B4CBBE7">
      <w:pPr>
        <w:widowControl/>
        <w:kinsoku w:val="0"/>
        <w:autoSpaceDE w:val="0"/>
        <w:autoSpaceDN w:val="0"/>
        <w:adjustRightInd w:val="0"/>
        <w:snapToGrid w:val="0"/>
        <w:spacing w:before="227" w:line="222" w:lineRule="auto"/>
        <w:ind w:left="55"/>
        <w:jc w:val="left"/>
        <w:textAlignment w:val="baseline"/>
        <w:rPr>
          <w:rFonts w:hint="eastAsia" w:ascii="宋体" w:hAnsi="宋体" w:eastAsia="宋体" w:cs="宋体"/>
          <w:b/>
          <w:bCs/>
          <w:snapToGrid w:val="0"/>
          <w:color w:val="000000"/>
          <w:spacing w:val="-12"/>
          <w:kern w:val="0"/>
          <w:sz w:val="28"/>
          <w:szCs w:val="28"/>
        </w:rPr>
      </w:pPr>
      <w:r>
        <w:rPr>
          <w:rFonts w:hint="eastAsia" w:ascii="宋体" w:hAnsi="宋体" w:eastAsia="宋体" w:cs="宋体"/>
          <w:b/>
          <w:bCs/>
          <w:snapToGrid w:val="0"/>
          <w:color w:val="000000"/>
          <w:spacing w:val="-12"/>
          <w:kern w:val="0"/>
          <w:sz w:val="28"/>
          <w:szCs w:val="28"/>
        </w:rPr>
        <w:t>六、公告期限</w:t>
      </w:r>
    </w:p>
    <w:p w14:paraId="0E41CEE5">
      <w:pPr>
        <w:widowControl/>
        <w:kinsoku w:val="0"/>
        <w:autoSpaceDE w:val="0"/>
        <w:autoSpaceDN w:val="0"/>
        <w:adjustRightInd w:val="0"/>
        <w:snapToGrid w:val="0"/>
        <w:spacing w:before="210" w:line="220" w:lineRule="auto"/>
        <w:ind w:left="617"/>
        <w:jc w:val="left"/>
        <w:textAlignment w:val="baseline"/>
        <w:rPr>
          <w:rFonts w:hint="eastAsia" w:ascii="宋体" w:hAnsi="宋体" w:eastAsia="宋体" w:cs="宋体"/>
          <w:snapToGrid w:val="0"/>
          <w:color w:val="000000"/>
          <w:kern w:val="0"/>
          <w:sz w:val="28"/>
          <w:szCs w:val="28"/>
        </w:rPr>
      </w:pPr>
      <w:r>
        <w:rPr>
          <w:rFonts w:hint="eastAsia" w:ascii="宋体" w:hAnsi="宋体" w:eastAsia="宋体" w:cs="宋体"/>
          <w:snapToGrid w:val="0"/>
          <w:color w:val="000000"/>
          <w:spacing w:val="-9"/>
          <w:kern w:val="0"/>
          <w:sz w:val="28"/>
          <w:szCs w:val="28"/>
        </w:rPr>
        <w:t>自本公告发布之日起5个工作日。</w:t>
      </w:r>
    </w:p>
    <w:p w14:paraId="7935B8A2">
      <w:pPr>
        <w:widowControl/>
        <w:kinsoku w:val="0"/>
        <w:autoSpaceDE w:val="0"/>
        <w:autoSpaceDN w:val="0"/>
        <w:adjustRightInd w:val="0"/>
        <w:snapToGrid w:val="0"/>
        <w:spacing w:before="227" w:line="222" w:lineRule="auto"/>
        <w:ind w:left="55"/>
        <w:jc w:val="left"/>
        <w:textAlignment w:val="baseline"/>
        <w:rPr>
          <w:rFonts w:hint="eastAsia" w:ascii="宋体" w:hAnsi="宋体" w:eastAsia="宋体" w:cs="宋体"/>
          <w:b/>
          <w:bCs/>
          <w:snapToGrid w:val="0"/>
          <w:color w:val="000000"/>
          <w:spacing w:val="-12"/>
          <w:kern w:val="0"/>
          <w:sz w:val="28"/>
          <w:szCs w:val="28"/>
        </w:rPr>
      </w:pPr>
      <w:r>
        <w:rPr>
          <w:rFonts w:hint="eastAsia" w:ascii="宋体" w:hAnsi="宋体" w:eastAsia="宋体" w:cs="宋体"/>
          <w:b/>
          <w:bCs/>
          <w:snapToGrid w:val="0"/>
          <w:color w:val="000000"/>
          <w:spacing w:val="-12"/>
          <w:kern w:val="0"/>
          <w:sz w:val="28"/>
          <w:szCs w:val="28"/>
        </w:rPr>
        <w:t>七、其他补充事宜</w:t>
      </w:r>
    </w:p>
    <w:p w14:paraId="6A0AC3C1">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宋体" w:hAnsi="宋体" w:eastAsia="宋体"/>
          <w:sz w:val="28"/>
          <w:szCs w:val="28"/>
        </w:rPr>
      </w:pPr>
      <w:r>
        <w:rPr>
          <w:rFonts w:hint="eastAsia" w:ascii="宋体" w:hAnsi="宋体" w:eastAsia="宋体"/>
          <w:sz w:val="28"/>
          <w:szCs w:val="28"/>
        </w:rPr>
        <w:t>1、本公告在新疆政府采购网发布。</w:t>
      </w:r>
    </w:p>
    <w:p w14:paraId="2F46195C">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宋体" w:hAnsi="宋体" w:eastAsia="宋体"/>
          <w:sz w:val="28"/>
          <w:szCs w:val="28"/>
        </w:rPr>
      </w:pPr>
      <w:r>
        <w:rPr>
          <w:rFonts w:hint="eastAsia" w:ascii="宋体" w:hAnsi="宋体" w:eastAsia="宋体"/>
          <w:sz w:val="28"/>
          <w:szCs w:val="28"/>
        </w:rPr>
        <w:t>2、请投标单位随时关注本项目的澄清、答疑、变更事项。</w:t>
      </w:r>
    </w:p>
    <w:p w14:paraId="012F788C">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宋体" w:hAnsi="宋体" w:eastAsia="宋体"/>
          <w:sz w:val="28"/>
          <w:szCs w:val="28"/>
        </w:rPr>
      </w:pPr>
      <w:r>
        <w:rPr>
          <w:rFonts w:hint="eastAsia" w:ascii="宋体" w:hAnsi="宋体" w:eastAsia="宋体"/>
          <w:sz w:val="28"/>
          <w:szCs w:val="28"/>
        </w:rPr>
        <w:t>3、本项目实行电子招投标，供应商须登录政采云平台申请获取采购文件，并通过政采云电子投标客户端制作响应文件， 同时自行承担与投标有关的一切费用。</w:t>
      </w:r>
    </w:p>
    <w:p w14:paraId="74D9DADF">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宋体" w:hAnsi="宋体" w:eastAsia="宋体"/>
          <w:sz w:val="28"/>
          <w:szCs w:val="28"/>
        </w:rPr>
      </w:pPr>
      <w:r>
        <w:rPr>
          <w:rFonts w:hint="eastAsia" w:ascii="宋体" w:hAnsi="宋体" w:eastAsia="宋体"/>
          <w:sz w:val="28"/>
          <w:szCs w:val="28"/>
        </w:rPr>
        <w:t>4、各供应商应在开标前确保成为新疆维吾尔自治区政府采购网正式注册入库供应商，并完成CA 数字证书申领。因未注册入库、未办理 CA 数字证书等原因造成无法投标或投标失败等后果由供应商自行承担。</w:t>
      </w:r>
    </w:p>
    <w:p w14:paraId="237F7B70">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宋体" w:hAnsi="宋体" w:eastAsia="宋体"/>
          <w:sz w:val="28"/>
          <w:szCs w:val="28"/>
        </w:rPr>
      </w:pPr>
      <w:r>
        <w:rPr>
          <w:rFonts w:hint="eastAsia" w:ascii="宋体" w:hAnsi="宋体" w:eastAsia="宋体"/>
          <w:sz w:val="28"/>
          <w:szCs w:val="28"/>
        </w:rPr>
        <w:t>5、供应商可前往新疆政府采购网（</w:t>
      </w:r>
      <w:r>
        <w:rPr>
          <w:rFonts w:hint="eastAsia" w:ascii="宋体" w:hAnsi="宋体" w:eastAsia="宋体"/>
          <w:sz w:val="28"/>
          <w:szCs w:val="28"/>
        </w:rPr>
        <w:fldChar w:fldCharType="begin"/>
      </w:r>
      <w:r>
        <w:rPr>
          <w:rFonts w:hint="eastAsia" w:ascii="宋体" w:hAnsi="宋体" w:eastAsia="宋体"/>
          <w:sz w:val="28"/>
          <w:szCs w:val="28"/>
        </w:rPr>
        <w:instrText xml:space="preserve"> HYPERLINK "http://www.ccgp-xinjiang.gov.cn/" </w:instrText>
      </w:r>
      <w:r>
        <w:rPr>
          <w:rFonts w:hint="eastAsia" w:ascii="宋体" w:hAnsi="宋体" w:eastAsia="宋体"/>
          <w:sz w:val="28"/>
          <w:szCs w:val="28"/>
        </w:rPr>
        <w:fldChar w:fldCharType="separate"/>
      </w:r>
      <w:r>
        <w:rPr>
          <w:rFonts w:hint="eastAsia" w:ascii="宋体" w:hAnsi="宋体" w:eastAsia="宋体"/>
          <w:sz w:val="28"/>
          <w:szCs w:val="28"/>
        </w:rPr>
        <w:t>http://www.ccgp-xinjiang.gov.cn/</w:t>
      </w:r>
      <w:r>
        <w:rPr>
          <w:rFonts w:hint="eastAsia" w:ascii="宋体" w:hAnsi="宋体" w:eastAsia="宋体"/>
          <w:sz w:val="28"/>
          <w:szCs w:val="28"/>
        </w:rPr>
        <w:fldChar w:fldCharType="end"/>
      </w:r>
      <w:r>
        <w:rPr>
          <w:rFonts w:hint="eastAsia" w:ascii="宋体" w:hAnsi="宋体" w:eastAsia="宋体"/>
          <w:sz w:val="28"/>
          <w:szCs w:val="28"/>
        </w:rPr>
        <w:t>）下载专区，下载政采云电子投标客户端，安装完成后，可通过账号密码或 CA 登录客户端进行响应文件制作。在使用政采云电子投标客户端时，建议使用WIN7及以上操作系统。如有问题可拨打政采云客户服务热线95763 进行咨询。</w:t>
      </w:r>
    </w:p>
    <w:p w14:paraId="79491DBC">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宋体" w:hAnsi="宋体" w:eastAsia="宋体"/>
          <w:sz w:val="28"/>
          <w:szCs w:val="28"/>
        </w:rPr>
      </w:pPr>
      <w:bookmarkStart w:id="11" w:name="bookmark83"/>
      <w:bookmarkEnd w:id="11"/>
      <w:r>
        <w:rPr>
          <w:rFonts w:hint="eastAsia" w:ascii="宋体" w:hAnsi="宋体" w:eastAsia="宋体"/>
          <w:sz w:val="28"/>
          <w:szCs w:val="28"/>
        </w:rPr>
        <w:t xml:space="preserve">6、本项目采用不见面开标，供应商须在投标截止时间前通过 CA 在政采云平台上传加密的电子响应文件。备注：供应商对不见面开评标系统的技术操作咨询，可通过 </w:t>
      </w:r>
      <w:r>
        <w:rPr>
          <w:rFonts w:hint="eastAsia" w:ascii="宋体" w:hAnsi="宋体" w:eastAsia="宋体"/>
          <w:sz w:val="28"/>
          <w:szCs w:val="28"/>
        </w:rPr>
        <w:fldChar w:fldCharType="begin"/>
      </w:r>
      <w:r>
        <w:rPr>
          <w:rFonts w:hint="eastAsia" w:ascii="宋体" w:hAnsi="宋体" w:eastAsia="宋体"/>
          <w:sz w:val="28"/>
          <w:szCs w:val="28"/>
        </w:rPr>
        <w:instrText xml:space="preserve"> HYPERLINK "https://edu.zcygov.cn/luban/xinjiang-e-biding" </w:instrText>
      </w:r>
      <w:r>
        <w:rPr>
          <w:rFonts w:hint="eastAsia" w:ascii="宋体" w:hAnsi="宋体" w:eastAsia="宋体"/>
          <w:sz w:val="28"/>
          <w:szCs w:val="28"/>
        </w:rPr>
        <w:fldChar w:fldCharType="separate"/>
      </w:r>
      <w:r>
        <w:rPr>
          <w:rFonts w:hint="eastAsia" w:ascii="宋体" w:hAnsi="宋体" w:eastAsia="宋体"/>
          <w:sz w:val="28"/>
          <w:szCs w:val="28"/>
        </w:rPr>
        <w:t>https://edu.zcygov.cn/luban/xinjiang-e-biding</w:t>
      </w:r>
      <w:r>
        <w:rPr>
          <w:rFonts w:hint="eastAsia" w:ascii="宋体" w:hAnsi="宋体" w:eastAsia="宋体"/>
          <w:sz w:val="28"/>
          <w:szCs w:val="28"/>
        </w:rPr>
        <w:fldChar w:fldCharType="end"/>
      </w:r>
      <w:r>
        <w:rPr>
          <w:rFonts w:hint="eastAsia" w:ascii="宋体" w:hAnsi="宋体" w:eastAsia="宋体"/>
          <w:sz w:val="28"/>
          <w:szCs w:val="28"/>
        </w:rPr>
        <w:t xml:space="preserve"> 自助查询，也可在政采云帮助中心常见问题解答和操作流程讲解视频中自助查询， 网址为：</w:t>
      </w:r>
      <w:r>
        <w:rPr>
          <w:rFonts w:hint="eastAsia" w:ascii="宋体" w:hAnsi="宋体" w:eastAsia="宋体"/>
          <w:sz w:val="28"/>
          <w:szCs w:val="28"/>
        </w:rPr>
        <w:fldChar w:fldCharType="begin"/>
      </w:r>
      <w:r>
        <w:rPr>
          <w:rFonts w:hint="eastAsia" w:ascii="宋体" w:hAnsi="宋体" w:eastAsia="宋体"/>
          <w:sz w:val="28"/>
          <w:szCs w:val="28"/>
        </w:rPr>
        <w:instrText xml:space="preserve"> HYPERLINK "https://service.zcygov.cn/" \l "/help" </w:instrText>
      </w:r>
      <w:r>
        <w:rPr>
          <w:rFonts w:hint="eastAsia" w:ascii="宋体" w:hAnsi="宋体" w:eastAsia="宋体"/>
          <w:sz w:val="28"/>
          <w:szCs w:val="28"/>
        </w:rPr>
        <w:fldChar w:fldCharType="separate"/>
      </w:r>
      <w:r>
        <w:rPr>
          <w:rFonts w:hint="eastAsia" w:ascii="宋体" w:hAnsi="宋体" w:eastAsia="宋体"/>
          <w:sz w:val="28"/>
          <w:szCs w:val="28"/>
        </w:rPr>
        <w:t>https://service.zcygov.cn/#/help</w:t>
      </w:r>
      <w:r>
        <w:rPr>
          <w:rFonts w:hint="eastAsia" w:ascii="宋体" w:hAnsi="宋体" w:eastAsia="宋体"/>
          <w:sz w:val="28"/>
          <w:szCs w:val="28"/>
        </w:rPr>
        <w:fldChar w:fldCharType="end"/>
      </w:r>
      <w:r>
        <w:rPr>
          <w:rFonts w:hint="eastAsia" w:ascii="宋体" w:hAnsi="宋体" w:eastAsia="宋体"/>
          <w:sz w:val="28"/>
          <w:szCs w:val="28"/>
        </w:rPr>
        <w:t>，“项目采购”—“操作流程-电子招投标 ”—“政府采购项目电子交易管理操作指南-供应商 ”版面获取操作指南， 同时对自助查询无法解决的问题可通过钉钉群及政采云在线客服获取服务支持。</w:t>
      </w:r>
    </w:p>
    <w:p w14:paraId="10227CDB">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宋体" w:hAnsi="宋体" w:eastAsia="宋体"/>
          <w:sz w:val="28"/>
          <w:szCs w:val="28"/>
        </w:rPr>
      </w:pPr>
      <w:r>
        <w:rPr>
          <w:rFonts w:hint="eastAsia" w:ascii="宋体" w:hAnsi="宋体" w:eastAsia="宋体"/>
          <w:sz w:val="28"/>
          <w:szCs w:val="28"/>
        </w:rPr>
        <w:t>7、供应商在开标前须提前配置好电脑浏览器（建议使用 360 浏览器或谷歌浏览器），开标时请使用制作加密电子响应文件的CA 锁进行解密及报价确认。本项目响应文件解密时间定为30 分钟，如因自身原因导致无法正常解密，后果由供应商自行承担。</w:t>
      </w:r>
    </w:p>
    <w:p w14:paraId="5296B052">
      <w:pPr>
        <w:widowControl/>
        <w:kinsoku w:val="0"/>
        <w:autoSpaceDE w:val="0"/>
        <w:autoSpaceDN w:val="0"/>
        <w:adjustRightInd w:val="0"/>
        <w:snapToGrid w:val="0"/>
        <w:spacing w:line="360" w:lineRule="auto"/>
        <w:ind w:left="45"/>
        <w:jc w:val="left"/>
        <w:textAlignment w:val="baseline"/>
        <w:outlineLvl w:val="1"/>
        <w:rPr>
          <w:rFonts w:hint="eastAsia" w:ascii="宋体" w:hAnsi="宋体" w:eastAsia="宋体" w:cs="宋体"/>
          <w:snapToGrid w:val="0"/>
          <w:color w:val="000000"/>
          <w:spacing w:val="-8"/>
          <w:kern w:val="0"/>
          <w:sz w:val="28"/>
          <w:szCs w:val="28"/>
        </w:rPr>
      </w:pPr>
      <w:r>
        <w:rPr>
          <w:rFonts w:hint="eastAsia" w:ascii="宋体" w:hAnsi="宋体" w:eastAsia="宋体" w:cs="宋体"/>
          <w:snapToGrid w:val="0"/>
          <w:color w:val="000000"/>
          <w:spacing w:val="-8"/>
          <w:kern w:val="0"/>
          <w:sz w:val="28"/>
          <w:szCs w:val="28"/>
        </w:rPr>
        <w:t>特别提示：</w:t>
      </w:r>
    </w:p>
    <w:p w14:paraId="3FCC99E8">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sz w:val="28"/>
          <w:szCs w:val="28"/>
        </w:rPr>
      </w:pPr>
      <w:r>
        <w:rPr>
          <w:rFonts w:hint="eastAsia"/>
          <w:sz w:val="28"/>
          <w:szCs w:val="28"/>
        </w:rPr>
        <w:t>1、采购限额标准以上，200万元以下的货物和服务采购项目、400万元以下的工程采购项目，适宜由中小企业提供的，</w:t>
      </w:r>
      <w:r>
        <w:rPr>
          <w:rFonts w:hint="eastAsia"/>
          <w:sz w:val="28"/>
          <w:szCs w:val="28"/>
          <w:lang w:eastAsia="zh-CN"/>
        </w:rPr>
        <w:t>招标人</w:t>
      </w:r>
      <w:r>
        <w:rPr>
          <w:rFonts w:hint="eastAsia"/>
          <w:sz w:val="28"/>
          <w:szCs w:val="28"/>
        </w:rPr>
        <w:t>应当专门面向中小企业采购。</w:t>
      </w:r>
    </w:p>
    <w:p w14:paraId="18459474">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sz w:val="28"/>
          <w:szCs w:val="28"/>
        </w:rPr>
      </w:pPr>
      <w:r>
        <w:rPr>
          <w:rFonts w:hint="eastAsia"/>
          <w:sz w:val="28"/>
          <w:szCs w:val="28"/>
        </w:rPr>
        <w:t>2、超过200万元的货物和服务采购项目，预留该部分采购项目预算总额的30%以上专门面向中小企业采购，其中预留给小微企业的比例不低于60%。</w:t>
      </w:r>
    </w:p>
    <w:p w14:paraId="37F5F837">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sz w:val="28"/>
          <w:szCs w:val="28"/>
        </w:rPr>
      </w:pPr>
      <w:r>
        <w:rPr>
          <w:rFonts w:hint="eastAsia"/>
          <w:sz w:val="28"/>
          <w:szCs w:val="28"/>
        </w:rPr>
        <w:t>3、超过400万元的工程采购项目中适宜由中小企业提供的，预留该部分采购项目预算总额的40%以上专门面向中小企业采购，其中预留给小微企业的比例不低于60%。</w:t>
      </w:r>
    </w:p>
    <w:p w14:paraId="485922CC">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sz w:val="28"/>
          <w:szCs w:val="28"/>
        </w:rPr>
      </w:pPr>
      <w:r>
        <w:rPr>
          <w:rFonts w:hint="eastAsia"/>
          <w:sz w:val="28"/>
          <w:szCs w:val="28"/>
        </w:rPr>
        <w:t>4、对于未预留份额专门面向中小企业的采购项目，以及预留份额项目中的非预留部分采购包，</w:t>
      </w:r>
      <w:r>
        <w:rPr>
          <w:rFonts w:hint="eastAsia"/>
          <w:sz w:val="28"/>
          <w:szCs w:val="28"/>
          <w:lang w:eastAsia="zh-CN"/>
        </w:rPr>
        <w:t>招标人</w:t>
      </w:r>
      <w:r>
        <w:rPr>
          <w:rFonts w:hint="eastAsia"/>
          <w:sz w:val="28"/>
          <w:szCs w:val="28"/>
        </w:rPr>
        <w:t>、</w:t>
      </w:r>
      <w:r>
        <w:rPr>
          <w:rFonts w:hint="eastAsia"/>
          <w:sz w:val="28"/>
          <w:szCs w:val="28"/>
          <w:lang w:eastAsia="zh-CN"/>
        </w:rPr>
        <w:t>招标代理机构</w:t>
      </w:r>
      <w:r>
        <w:rPr>
          <w:rFonts w:hint="eastAsia"/>
          <w:sz w:val="28"/>
          <w:szCs w:val="28"/>
        </w:rPr>
        <w:t>应当对符合规定的小微企业报价给予10%~20%（工程项目为3%~5%）的扣除，用扣除后的价格参加评审。适用采购响应法的政府采购工程建设项目，采用综合评估法但未采用低价优先法计算价格分的，评审时应当在采用原报价进行评分的基础上增加其价格得分的3%~5%作为其价格分。</w:t>
      </w:r>
    </w:p>
    <w:p w14:paraId="1F94F275">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rPr>
      </w:pPr>
      <w:r>
        <w:rPr>
          <w:rFonts w:hint="eastAsia"/>
          <w:sz w:val="28"/>
          <w:szCs w:val="28"/>
        </w:rPr>
        <w:t>5、接受大中型企业与小微企业组成联合体或者允许大中型企业向一家或者多家小微企业分包的采购项目，对于联合协议或者分包意向协议约定小微企业的合同份额占到合同总金额30%以上的，</w:t>
      </w:r>
      <w:r>
        <w:rPr>
          <w:rFonts w:hint="eastAsia"/>
          <w:sz w:val="28"/>
          <w:szCs w:val="28"/>
          <w:lang w:eastAsia="zh-CN"/>
        </w:rPr>
        <w:t>招标人</w:t>
      </w:r>
      <w:r>
        <w:rPr>
          <w:rFonts w:hint="eastAsia"/>
          <w:sz w:val="28"/>
          <w:szCs w:val="28"/>
        </w:rPr>
        <w:t>、</w:t>
      </w:r>
      <w:r>
        <w:rPr>
          <w:rFonts w:hint="eastAsia"/>
          <w:sz w:val="28"/>
          <w:szCs w:val="28"/>
          <w:lang w:eastAsia="zh-CN"/>
        </w:rPr>
        <w:t>招标代理机构</w:t>
      </w:r>
      <w:r>
        <w:rPr>
          <w:rFonts w:hint="eastAsia"/>
          <w:sz w:val="28"/>
          <w:szCs w:val="28"/>
        </w:rPr>
        <w:t>应当对联合体或者大中型企业的报价给予4%~6%（工程项目为1%~2%）的扣除，用扣除后的价格参加评审。适用采购响应法的政府采购工程建设项目，采用综合评估法但未采用低价优先法计算价格分的，评审时应当在采用原报价进行评分的基础上增加其价格得分的1%~2%作为其价格分。</w:t>
      </w:r>
    </w:p>
    <w:p w14:paraId="035262FF">
      <w:pPr>
        <w:widowControl/>
        <w:kinsoku w:val="0"/>
        <w:autoSpaceDE w:val="0"/>
        <w:autoSpaceDN w:val="0"/>
        <w:adjustRightInd w:val="0"/>
        <w:snapToGrid w:val="0"/>
        <w:spacing w:line="220" w:lineRule="auto"/>
        <w:ind w:left="46"/>
        <w:jc w:val="left"/>
        <w:textAlignment w:val="baseline"/>
        <w:outlineLvl w:val="1"/>
        <w:rPr>
          <w:rFonts w:hint="eastAsia" w:ascii="宋体" w:hAnsi="宋体" w:eastAsia="宋体" w:cs="宋体"/>
          <w:b/>
          <w:bCs/>
          <w:snapToGrid w:val="0"/>
          <w:color w:val="000000"/>
          <w:spacing w:val="-8"/>
          <w:kern w:val="0"/>
          <w:sz w:val="28"/>
          <w:szCs w:val="28"/>
        </w:rPr>
      </w:pPr>
    </w:p>
    <w:p w14:paraId="5591354F">
      <w:pPr>
        <w:widowControl/>
        <w:kinsoku w:val="0"/>
        <w:autoSpaceDE w:val="0"/>
        <w:autoSpaceDN w:val="0"/>
        <w:adjustRightInd w:val="0"/>
        <w:snapToGrid w:val="0"/>
        <w:spacing w:line="220" w:lineRule="auto"/>
        <w:ind w:left="46"/>
        <w:jc w:val="left"/>
        <w:textAlignment w:val="baseline"/>
        <w:outlineLvl w:val="1"/>
        <w:rPr>
          <w:rFonts w:hint="eastAsia" w:ascii="宋体" w:hAnsi="宋体" w:eastAsia="宋体" w:cs="宋体"/>
          <w:b/>
          <w:bCs/>
          <w:snapToGrid w:val="0"/>
          <w:color w:val="000000"/>
          <w:spacing w:val="-8"/>
          <w:kern w:val="0"/>
          <w:sz w:val="28"/>
          <w:szCs w:val="28"/>
        </w:rPr>
      </w:pPr>
    </w:p>
    <w:p w14:paraId="5F19B7EC">
      <w:pPr>
        <w:widowControl/>
        <w:kinsoku w:val="0"/>
        <w:autoSpaceDE w:val="0"/>
        <w:autoSpaceDN w:val="0"/>
        <w:adjustRightInd w:val="0"/>
        <w:snapToGrid w:val="0"/>
        <w:spacing w:line="220" w:lineRule="auto"/>
        <w:ind w:left="46"/>
        <w:jc w:val="left"/>
        <w:textAlignment w:val="baseline"/>
        <w:outlineLvl w:val="1"/>
        <w:rPr>
          <w:rFonts w:hint="eastAsia" w:ascii="宋体" w:hAnsi="宋体" w:eastAsia="宋体" w:cs="宋体"/>
          <w:snapToGrid w:val="0"/>
          <w:color w:val="000000"/>
          <w:kern w:val="0"/>
          <w:sz w:val="28"/>
          <w:szCs w:val="28"/>
        </w:rPr>
      </w:pPr>
      <w:r>
        <w:rPr>
          <w:rFonts w:hint="eastAsia" w:ascii="宋体" w:hAnsi="宋体" w:eastAsia="宋体" w:cs="宋体"/>
          <w:b/>
          <w:bCs/>
          <w:snapToGrid w:val="0"/>
          <w:color w:val="000000"/>
          <w:spacing w:val="-8"/>
          <w:kern w:val="0"/>
          <w:sz w:val="28"/>
          <w:szCs w:val="28"/>
        </w:rPr>
        <w:t>八、对本次招标提出询问，请按以下方式联系。</w:t>
      </w:r>
    </w:p>
    <w:p w14:paraId="42F9155D">
      <w:pPr>
        <w:widowControl/>
        <w:kinsoku w:val="0"/>
        <w:autoSpaceDE w:val="0"/>
        <w:autoSpaceDN w:val="0"/>
        <w:adjustRightInd w:val="0"/>
        <w:snapToGrid w:val="0"/>
        <w:spacing w:before="214" w:line="222" w:lineRule="auto"/>
        <w:ind w:left="546"/>
        <w:jc w:val="left"/>
        <w:textAlignment w:val="baseline"/>
        <w:outlineLvl w:val="2"/>
        <w:rPr>
          <w:rFonts w:hint="eastAsia" w:ascii="宋体" w:hAnsi="宋体" w:eastAsia="宋体" w:cs="宋体"/>
          <w:snapToGrid w:val="0"/>
          <w:color w:val="000000"/>
          <w:kern w:val="0"/>
          <w:sz w:val="28"/>
          <w:szCs w:val="28"/>
        </w:rPr>
      </w:pPr>
      <w:r>
        <w:rPr>
          <w:rFonts w:hint="eastAsia" w:ascii="宋体" w:hAnsi="宋体" w:eastAsia="宋体" w:cs="宋体"/>
          <w:snapToGrid w:val="0"/>
          <w:color w:val="000000"/>
          <w:spacing w:val="-9"/>
          <w:kern w:val="0"/>
          <w:sz w:val="28"/>
          <w:szCs w:val="28"/>
        </w:rPr>
        <w:t>1.</w:t>
      </w:r>
      <w:r>
        <w:rPr>
          <w:rFonts w:hint="eastAsia" w:cs="宋体"/>
          <w:snapToGrid w:val="0"/>
          <w:color w:val="000000"/>
          <w:spacing w:val="-9"/>
          <w:kern w:val="0"/>
          <w:sz w:val="28"/>
          <w:szCs w:val="28"/>
          <w:lang w:eastAsia="zh-CN"/>
        </w:rPr>
        <w:t>招标人</w:t>
      </w:r>
      <w:r>
        <w:rPr>
          <w:rFonts w:hint="eastAsia" w:ascii="宋体" w:hAnsi="宋体" w:eastAsia="宋体" w:cs="宋体"/>
          <w:snapToGrid w:val="0"/>
          <w:color w:val="000000"/>
          <w:spacing w:val="-9"/>
          <w:kern w:val="0"/>
          <w:sz w:val="28"/>
          <w:szCs w:val="28"/>
        </w:rPr>
        <w:t>信息</w:t>
      </w:r>
    </w:p>
    <w:p w14:paraId="6B9D0BF8">
      <w:pPr>
        <w:widowControl/>
        <w:kinsoku w:val="0"/>
        <w:autoSpaceDE w:val="0"/>
        <w:autoSpaceDN w:val="0"/>
        <w:adjustRightInd w:val="0"/>
        <w:snapToGrid w:val="0"/>
        <w:spacing w:before="212" w:line="221" w:lineRule="auto"/>
        <w:ind w:left="527"/>
        <w:jc w:val="left"/>
        <w:textAlignment w:val="baseline"/>
        <w:rPr>
          <w:rFonts w:hint="eastAsia" w:ascii="宋体" w:hAnsi="宋体" w:eastAsia="宋体" w:cs="宋体"/>
          <w:snapToGrid w:val="0"/>
          <w:color w:val="000000"/>
          <w:kern w:val="0"/>
          <w:sz w:val="28"/>
          <w:szCs w:val="28"/>
        </w:rPr>
      </w:pPr>
      <w:r>
        <w:rPr>
          <w:rFonts w:hint="eastAsia" w:ascii="宋体" w:hAnsi="宋体" w:eastAsia="宋体" w:cs="宋体"/>
          <w:snapToGrid w:val="0"/>
          <w:color w:val="000000"/>
          <w:kern w:val="0"/>
          <w:sz w:val="28"/>
          <w:szCs w:val="28"/>
        </w:rPr>
        <w:t>名称：</w:t>
      </w:r>
      <w:r>
        <w:rPr>
          <w:rFonts w:hint="eastAsia" w:ascii="宋体" w:hAnsi="宋体" w:cs="宋体"/>
          <w:snapToGrid w:val="0"/>
          <w:color w:val="000000"/>
          <w:kern w:val="0"/>
          <w:sz w:val="28"/>
          <w:szCs w:val="28"/>
          <w:lang w:eastAsia="zh-CN"/>
        </w:rPr>
        <w:t>新疆维吾尔自治区阿克苏地区妇女联合会</w:t>
      </w:r>
      <w:r>
        <w:rPr>
          <w:rFonts w:hint="eastAsia" w:ascii="宋体" w:hAnsi="宋体" w:eastAsia="宋体" w:cs="宋体"/>
          <w:snapToGrid w:val="0"/>
          <w:color w:val="000000"/>
          <w:kern w:val="0"/>
          <w:sz w:val="28"/>
          <w:szCs w:val="28"/>
          <w:lang w:val="en-US" w:eastAsia="zh-CN"/>
        </w:rPr>
        <w:t xml:space="preserve">      </w:t>
      </w:r>
      <w:r>
        <w:rPr>
          <w:rFonts w:hint="eastAsia" w:ascii="宋体" w:hAnsi="宋体" w:eastAsia="宋体" w:cs="宋体"/>
          <w:snapToGrid w:val="0"/>
          <w:color w:val="000000"/>
          <w:kern w:val="0"/>
          <w:sz w:val="28"/>
          <w:szCs w:val="28"/>
        </w:rPr>
        <w:t xml:space="preserve">                    </w:t>
      </w:r>
      <w:r>
        <w:rPr>
          <w:rFonts w:hint="eastAsia" w:ascii="宋体" w:hAnsi="宋体" w:eastAsia="宋体" w:cs="宋体"/>
          <w:snapToGrid w:val="0"/>
          <w:color w:val="000000"/>
          <w:kern w:val="0"/>
          <w:sz w:val="28"/>
          <w:szCs w:val="28"/>
          <w:lang w:val="en-US" w:eastAsia="zh-CN"/>
        </w:rPr>
        <w:t xml:space="preserve">     </w:t>
      </w:r>
      <w:r>
        <w:rPr>
          <w:rFonts w:hint="eastAsia" w:ascii="宋体" w:hAnsi="宋体" w:eastAsia="宋体" w:cs="宋体"/>
          <w:snapToGrid w:val="0"/>
          <w:color w:val="000000"/>
          <w:kern w:val="0"/>
          <w:sz w:val="28"/>
          <w:szCs w:val="28"/>
        </w:rPr>
        <w:t xml:space="preserve">                    </w:t>
      </w:r>
    </w:p>
    <w:p w14:paraId="603AE04A">
      <w:pPr>
        <w:widowControl/>
        <w:kinsoku w:val="0"/>
        <w:autoSpaceDE w:val="0"/>
        <w:autoSpaceDN w:val="0"/>
        <w:adjustRightInd w:val="0"/>
        <w:snapToGrid w:val="0"/>
        <w:spacing w:before="212" w:line="221" w:lineRule="auto"/>
        <w:ind w:left="527"/>
        <w:jc w:val="left"/>
        <w:textAlignment w:val="baseline"/>
        <w:rPr>
          <w:rFonts w:hint="eastAsia" w:ascii="宋体" w:hAnsi="宋体" w:eastAsia="宋体" w:cs="宋体"/>
          <w:snapToGrid w:val="0"/>
          <w:color w:val="000000"/>
          <w:kern w:val="0"/>
          <w:sz w:val="28"/>
          <w:szCs w:val="28"/>
        </w:rPr>
      </w:pPr>
      <w:r>
        <w:rPr>
          <w:rFonts w:hint="eastAsia" w:ascii="宋体" w:hAnsi="宋体" w:eastAsia="宋体" w:cs="宋体"/>
          <w:snapToGrid w:val="0"/>
          <w:color w:val="000000"/>
          <w:kern w:val="0"/>
          <w:sz w:val="28"/>
          <w:szCs w:val="28"/>
        </w:rPr>
        <w:t>地址：</w:t>
      </w:r>
      <w:r>
        <w:rPr>
          <w:rFonts w:hint="eastAsia" w:ascii="宋体" w:hAnsi="宋体" w:eastAsia="宋体" w:cs="宋体"/>
          <w:sz w:val="28"/>
          <w:szCs w:val="28"/>
          <w:highlight w:val="none"/>
          <w:lang w:val="en-US" w:eastAsia="zh-CN"/>
        </w:rPr>
        <w:t>新疆阿克苏市北大街21号</w:t>
      </w:r>
      <w:r>
        <w:rPr>
          <w:rFonts w:hint="eastAsia" w:ascii="宋体" w:hAnsi="宋体" w:eastAsia="宋体" w:cs="宋体"/>
          <w:snapToGrid w:val="0"/>
          <w:color w:val="000000"/>
          <w:kern w:val="0"/>
          <w:sz w:val="28"/>
          <w:szCs w:val="28"/>
          <w:lang w:eastAsia="zh-CN"/>
        </w:rPr>
        <w:t xml:space="preserve">        </w:t>
      </w:r>
      <w:r>
        <w:rPr>
          <w:rFonts w:hint="eastAsia" w:ascii="宋体" w:hAnsi="宋体" w:eastAsia="宋体" w:cs="宋体"/>
          <w:snapToGrid w:val="0"/>
          <w:color w:val="000000"/>
          <w:kern w:val="0"/>
          <w:sz w:val="28"/>
          <w:szCs w:val="28"/>
        </w:rPr>
        <w:t xml:space="preserve">            </w:t>
      </w:r>
    </w:p>
    <w:p w14:paraId="0D3B44B6">
      <w:pPr>
        <w:widowControl/>
        <w:kinsoku w:val="0"/>
        <w:autoSpaceDE w:val="0"/>
        <w:autoSpaceDN w:val="0"/>
        <w:adjustRightInd w:val="0"/>
        <w:snapToGrid w:val="0"/>
        <w:spacing w:before="212" w:line="221" w:lineRule="auto"/>
        <w:ind w:left="527"/>
        <w:jc w:val="left"/>
        <w:textAlignment w:val="baseline"/>
        <w:rPr>
          <w:rFonts w:hint="default" w:ascii="宋体" w:hAnsi="宋体" w:cs="宋体"/>
          <w:snapToGrid w:val="0"/>
          <w:color w:val="000000"/>
          <w:kern w:val="0"/>
          <w:sz w:val="28"/>
          <w:szCs w:val="28"/>
          <w:highlight w:val="none"/>
          <w:lang w:val="en-US" w:eastAsia="zh-CN"/>
        </w:rPr>
      </w:pPr>
      <w:r>
        <w:rPr>
          <w:rFonts w:hint="eastAsia" w:ascii="宋体" w:hAnsi="宋体" w:eastAsia="宋体" w:cs="宋体"/>
          <w:snapToGrid w:val="0"/>
          <w:color w:val="000000"/>
          <w:kern w:val="0"/>
          <w:sz w:val="28"/>
          <w:szCs w:val="28"/>
          <w:highlight w:val="none"/>
        </w:rPr>
        <w:t>联系方式：</w:t>
      </w:r>
      <w:r>
        <w:rPr>
          <w:rFonts w:hint="eastAsia" w:ascii="宋体" w:hAnsi="宋体" w:cs="宋体"/>
          <w:snapToGrid w:val="0"/>
          <w:color w:val="000000"/>
          <w:kern w:val="0"/>
          <w:sz w:val="28"/>
          <w:szCs w:val="28"/>
          <w:highlight w:val="none"/>
          <w:lang w:val="en-US" w:eastAsia="zh-CN"/>
        </w:rPr>
        <w:t>19999710701</w:t>
      </w:r>
    </w:p>
    <w:p w14:paraId="3942EC35">
      <w:pPr>
        <w:widowControl/>
        <w:kinsoku w:val="0"/>
        <w:autoSpaceDE w:val="0"/>
        <w:autoSpaceDN w:val="0"/>
        <w:adjustRightInd w:val="0"/>
        <w:snapToGrid w:val="0"/>
        <w:spacing w:before="212" w:line="221" w:lineRule="auto"/>
        <w:ind w:left="527"/>
        <w:jc w:val="left"/>
        <w:textAlignment w:val="baseline"/>
        <w:rPr>
          <w:rFonts w:hint="eastAsia" w:ascii="宋体" w:hAnsi="宋体" w:cs="宋体"/>
          <w:snapToGrid w:val="0"/>
          <w:color w:val="000000"/>
          <w:kern w:val="0"/>
          <w:sz w:val="28"/>
          <w:szCs w:val="28"/>
          <w:highlight w:val="yellow"/>
          <w:lang w:val="en-US" w:eastAsia="zh-CN"/>
        </w:rPr>
      </w:pPr>
    </w:p>
    <w:p w14:paraId="7AC3ED06">
      <w:pPr>
        <w:widowControl/>
        <w:kinsoku w:val="0"/>
        <w:autoSpaceDE w:val="0"/>
        <w:autoSpaceDN w:val="0"/>
        <w:adjustRightInd w:val="0"/>
        <w:snapToGrid w:val="0"/>
        <w:spacing w:before="206" w:line="222" w:lineRule="auto"/>
        <w:ind w:left="517"/>
        <w:jc w:val="left"/>
        <w:textAlignment w:val="baseline"/>
        <w:outlineLvl w:val="2"/>
        <w:rPr>
          <w:rFonts w:hint="eastAsia" w:ascii="宋体" w:hAnsi="宋体" w:eastAsia="宋体" w:cs="宋体"/>
          <w:snapToGrid w:val="0"/>
          <w:color w:val="000000"/>
          <w:kern w:val="0"/>
          <w:sz w:val="28"/>
          <w:szCs w:val="28"/>
        </w:rPr>
      </w:pPr>
      <w:r>
        <w:rPr>
          <w:rFonts w:hint="eastAsia" w:ascii="宋体" w:hAnsi="宋体" w:eastAsia="宋体" w:cs="宋体"/>
          <w:snapToGrid w:val="0"/>
          <w:color w:val="000000"/>
          <w:spacing w:val="-5"/>
          <w:kern w:val="0"/>
          <w:sz w:val="28"/>
          <w:szCs w:val="28"/>
        </w:rPr>
        <w:t>2.</w:t>
      </w:r>
      <w:r>
        <w:rPr>
          <w:rFonts w:hint="eastAsia" w:cs="宋体"/>
          <w:snapToGrid w:val="0"/>
          <w:color w:val="000000"/>
          <w:spacing w:val="-5"/>
          <w:kern w:val="0"/>
          <w:sz w:val="28"/>
          <w:szCs w:val="28"/>
          <w:lang w:eastAsia="zh-CN"/>
        </w:rPr>
        <w:t>招标代理机构</w:t>
      </w:r>
      <w:r>
        <w:rPr>
          <w:rFonts w:hint="eastAsia" w:ascii="宋体" w:hAnsi="宋体" w:eastAsia="宋体" w:cs="宋体"/>
          <w:snapToGrid w:val="0"/>
          <w:color w:val="000000"/>
          <w:spacing w:val="-5"/>
          <w:kern w:val="0"/>
          <w:sz w:val="28"/>
          <w:szCs w:val="28"/>
        </w:rPr>
        <w:t>信息</w:t>
      </w:r>
    </w:p>
    <w:p w14:paraId="7DF39CFB">
      <w:pPr>
        <w:widowControl/>
        <w:kinsoku w:val="0"/>
        <w:autoSpaceDE w:val="0"/>
        <w:autoSpaceDN w:val="0"/>
        <w:adjustRightInd w:val="0"/>
        <w:snapToGrid w:val="0"/>
        <w:spacing w:before="214" w:line="222" w:lineRule="auto"/>
        <w:ind w:left="546"/>
        <w:jc w:val="left"/>
        <w:textAlignment w:val="baseline"/>
        <w:outlineLvl w:val="2"/>
        <w:rPr>
          <w:rFonts w:hint="default" w:ascii="宋体" w:hAnsi="宋体" w:eastAsia="宋体" w:cs="宋体"/>
          <w:snapToGrid w:val="0"/>
          <w:color w:val="000000"/>
          <w:spacing w:val="-9"/>
          <w:kern w:val="0"/>
          <w:sz w:val="28"/>
          <w:szCs w:val="28"/>
        </w:rPr>
      </w:pPr>
      <w:r>
        <w:rPr>
          <w:rFonts w:hint="default" w:ascii="宋体" w:hAnsi="宋体" w:eastAsia="宋体" w:cs="宋体"/>
          <w:snapToGrid w:val="0"/>
          <w:color w:val="000000"/>
          <w:spacing w:val="-9"/>
          <w:kern w:val="0"/>
          <w:sz w:val="28"/>
          <w:szCs w:val="28"/>
        </w:rPr>
        <w:t>名称：</w:t>
      </w:r>
      <w:r>
        <w:rPr>
          <w:rFonts w:hint="eastAsia" w:ascii="宋体" w:hAnsi="宋体" w:eastAsia="宋体" w:cs="宋体"/>
          <w:snapToGrid w:val="0"/>
          <w:color w:val="000000"/>
          <w:spacing w:val="-9"/>
          <w:kern w:val="0"/>
          <w:sz w:val="28"/>
          <w:szCs w:val="28"/>
          <w:lang w:eastAsia="zh-CN"/>
        </w:rPr>
        <w:t>新疆弘智项目管理有限公司</w:t>
      </w:r>
      <w:r>
        <w:rPr>
          <w:rFonts w:hint="default" w:ascii="宋体" w:hAnsi="宋体" w:eastAsia="宋体" w:cs="宋体"/>
          <w:snapToGrid w:val="0"/>
          <w:color w:val="000000"/>
          <w:spacing w:val="-9"/>
          <w:kern w:val="0"/>
          <w:sz w:val="28"/>
          <w:szCs w:val="28"/>
        </w:rPr>
        <w:t xml:space="preserve">                                  </w:t>
      </w:r>
    </w:p>
    <w:p w14:paraId="708DA05A">
      <w:pPr>
        <w:widowControl/>
        <w:kinsoku w:val="0"/>
        <w:autoSpaceDE w:val="0"/>
        <w:autoSpaceDN w:val="0"/>
        <w:adjustRightInd w:val="0"/>
        <w:snapToGrid w:val="0"/>
        <w:spacing w:before="214" w:line="222" w:lineRule="auto"/>
        <w:ind w:left="546"/>
        <w:jc w:val="left"/>
        <w:textAlignment w:val="baseline"/>
        <w:outlineLvl w:val="2"/>
        <w:rPr>
          <w:rFonts w:hint="default" w:ascii="宋体" w:hAnsi="宋体" w:eastAsia="宋体" w:cs="宋体"/>
          <w:snapToGrid w:val="0"/>
          <w:color w:val="000000"/>
          <w:spacing w:val="-9"/>
          <w:kern w:val="0"/>
          <w:sz w:val="28"/>
          <w:szCs w:val="28"/>
        </w:rPr>
      </w:pPr>
      <w:r>
        <w:rPr>
          <w:rFonts w:hint="default" w:ascii="宋体" w:hAnsi="宋体" w:eastAsia="宋体" w:cs="宋体"/>
          <w:snapToGrid w:val="0"/>
          <w:color w:val="000000"/>
          <w:spacing w:val="-9"/>
          <w:kern w:val="0"/>
          <w:sz w:val="28"/>
          <w:szCs w:val="28"/>
        </w:rPr>
        <w:t>地址：新</w:t>
      </w:r>
      <w:r>
        <w:rPr>
          <w:rFonts w:hint="eastAsia" w:ascii="宋体" w:hAnsi="宋体" w:eastAsia="宋体" w:cs="宋体"/>
          <w:snapToGrid w:val="0"/>
          <w:color w:val="000000"/>
          <w:spacing w:val="-9"/>
          <w:kern w:val="0"/>
          <w:sz w:val="28"/>
          <w:szCs w:val="28"/>
          <w:lang w:eastAsia="zh-CN"/>
        </w:rPr>
        <w:t>疆阿克苏市云顶花园</w:t>
      </w:r>
      <w:r>
        <w:rPr>
          <w:rFonts w:hint="default" w:ascii="宋体" w:hAnsi="宋体" w:eastAsia="宋体" w:cs="宋体"/>
          <w:snapToGrid w:val="0"/>
          <w:color w:val="000000"/>
          <w:spacing w:val="-9"/>
          <w:kern w:val="0"/>
          <w:sz w:val="28"/>
          <w:szCs w:val="28"/>
        </w:rPr>
        <w:t xml:space="preserve">                                 </w:t>
      </w:r>
    </w:p>
    <w:p w14:paraId="50AC4768">
      <w:pPr>
        <w:widowControl/>
        <w:kinsoku w:val="0"/>
        <w:autoSpaceDE w:val="0"/>
        <w:autoSpaceDN w:val="0"/>
        <w:adjustRightInd w:val="0"/>
        <w:snapToGrid w:val="0"/>
        <w:spacing w:before="214" w:line="222" w:lineRule="auto"/>
        <w:ind w:left="546"/>
        <w:jc w:val="left"/>
        <w:textAlignment w:val="baseline"/>
        <w:outlineLvl w:val="2"/>
        <w:rPr>
          <w:rFonts w:hint="default" w:ascii="宋体" w:hAnsi="宋体" w:eastAsia="宋体" w:cs="宋体"/>
          <w:snapToGrid w:val="0"/>
          <w:color w:val="000000"/>
          <w:spacing w:val="-9"/>
          <w:kern w:val="0"/>
          <w:sz w:val="28"/>
          <w:szCs w:val="28"/>
        </w:rPr>
      </w:pPr>
      <w:r>
        <w:rPr>
          <w:rFonts w:hint="default" w:ascii="宋体" w:hAnsi="宋体" w:eastAsia="宋体" w:cs="宋体"/>
          <w:snapToGrid w:val="0"/>
          <w:color w:val="000000"/>
          <w:spacing w:val="-9"/>
          <w:kern w:val="0"/>
          <w:sz w:val="28"/>
          <w:szCs w:val="28"/>
        </w:rPr>
        <w:t>联系</w:t>
      </w:r>
      <w:r>
        <w:rPr>
          <w:rFonts w:hint="eastAsia" w:cs="宋体"/>
          <w:snapToGrid w:val="0"/>
          <w:color w:val="000000"/>
          <w:spacing w:val="-9"/>
          <w:kern w:val="0"/>
          <w:sz w:val="28"/>
          <w:szCs w:val="28"/>
          <w:lang w:val="en-US" w:eastAsia="zh-CN"/>
        </w:rPr>
        <w:t>人及</w:t>
      </w:r>
      <w:r>
        <w:rPr>
          <w:rFonts w:hint="default" w:ascii="宋体" w:hAnsi="宋体" w:eastAsia="宋体" w:cs="宋体"/>
          <w:snapToGrid w:val="0"/>
          <w:color w:val="000000"/>
          <w:spacing w:val="-9"/>
          <w:kern w:val="0"/>
          <w:sz w:val="28"/>
          <w:szCs w:val="28"/>
        </w:rPr>
        <w:t>方式：</w:t>
      </w:r>
      <w:r>
        <w:rPr>
          <w:rFonts w:hint="eastAsia" w:cs="宋体"/>
          <w:snapToGrid w:val="0"/>
          <w:color w:val="000000"/>
          <w:spacing w:val="-9"/>
          <w:kern w:val="0"/>
          <w:sz w:val="28"/>
          <w:szCs w:val="28"/>
          <w:lang w:val="en-US" w:eastAsia="zh-CN"/>
        </w:rPr>
        <w:t>马元元、</w:t>
      </w:r>
      <w:r>
        <w:rPr>
          <w:rFonts w:hint="eastAsia" w:ascii="宋体" w:hAnsi="宋体" w:eastAsia="宋体" w:cs="宋体"/>
          <w:snapToGrid w:val="0"/>
          <w:color w:val="000000"/>
          <w:spacing w:val="-9"/>
          <w:kern w:val="0"/>
          <w:sz w:val="28"/>
          <w:szCs w:val="28"/>
          <w:lang w:eastAsia="zh-CN"/>
        </w:rPr>
        <w:t>13031264289</w:t>
      </w:r>
      <w:r>
        <w:rPr>
          <w:rFonts w:hint="default" w:ascii="宋体" w:hAnsi="宋体" w:eastAsia="宋体" w:cs="宋体"/>
          <w:snapToGrid w:val="0"/>
          <w:color w:val="000000"/>
          <w:spacing w:val="-9"/>
          <w:kern w:val="0"/>
          <w:sz w:val="28"/>
          <w:szCs w:val="28"/>
        </w:rPr>
        <w:t xml:space="preserve">                               </w:t>
      </w:r>
    </w:p>
    <w:p w14:paraId="6B6F3261">
      <w:pPr>
        <w:bidi w:val="0"/>
        <w:rPr>
          <w:rFonts w:hint="eastAsia"/>
          <w:lang w:val="en-US" w:eastAsia="zh-CN"/>
        </w:rPr>
      </w:pPr>
    </w:p>
    <w:p w14:paraId="3E7E7623">
      <w:pPr>
        <w:pageBreakBefore w:val="0"/>
        <w:widowControl w:val="0"/>
        <w:kinsoku/>
        <w:overflowPunct/>
        <w:topLinePunct w:val="0"/>
        <w:autoSpaceDE/>
        <w:autoSpaceDN/>
        <w:bidi w:val="0"/>
        <w:adjustRightInd/>
        <w:snapToGrid/>
        <w:spacing w:line="360" w:lineRule="auto"/>
        <w:textAlignment w:val="auto"/>
        <w:rPr>
          <w:rFonts w:hint="eastAsia" w:ascii="宋体" w:hAnsi="宋体" w:eastAsia="宋体" w:cs="宋体"/>
          <w:color w:val="auto"/>
          <w:sz w:val="24"/>
          <w:highlight w:val="none"/>
        </w:rPr>
        <w:sectPr>
          <w:footerReference r:id="rId9" w:type="default"/>
          <w:pgSz w:w="11906" w:h="16838"/>
          <w:pgMar w:top="1440" w:right="1800" w:bottom="1440" w:left="1800" w:header="851" w:footer="992" w:gutter="0"/>
          <w:pgBorders>
            <w:top w:val="none" w:sz="0" w:space="0"/>
            <w:left w:val="none" w:sz="0" w:space="0"/>
            <w:bottom w:val="none" w:sz="0" w:space="0"/>
            <w:right w:val="none" w:sz="0" w:space="0"/>
          </w:pgBorders>
          <w:pgNumType w:fmt="numberInDash" w:start="1"/>
          <w:cols w:space="720" w:num="1"/>
          <w:docGrid w:type="lines" w:linePitch="312" w:charSpace="0"/>
        </w:sectPr>
      </w:pPr>
    </w:p>
    <w:p w14:paraId="173C85C5">
      <w:pPr>
        <w:pStyle w:val="2"/>
        <w:keepNext/>
        <w:keepLines/>
        <w:pageBreakBefore w:val="0"/>
        <w:widowControl w:val="0"/>
        <w:numPr>
          <w:ilvl w:val="0"/>
          <w:numId w:val="0"/>
        </w:numPr>
        <w:kinsoku/>
        <w:wordWrap/>
        <w:overflowPunct/>
        <w:topLinePunct w:val="0"/>
        <w:autoSpaceDE/>
        <w:autoSpaceDN/>
        <w:bidi w:val="0"/>
        <w:adjustRightInd/>
        <w:snapToGrid/>
        <w:spacing w:before="220" w:after="220" w:line="360" w:lineRule="auto"/>
        <w:ind w:left="420" w:leftChars="0" w:hanging="420" w:firstLineChars="0"/>
        <w:textAlignment w:val="auto"/>
        <w:rPr>
          <w:rFonts w:hint="eastAsia" w:ascii="宋体" w:hAnsi="宋体" w:eastAsia="宋体" w:cs="宋体"/>
          <w:b/>
          <w:bCs/>
          <w:color w:val="auto"/>
          <w:kern w:val="44"/>
          <w:sz w:val="36"/>
          <w:szCs w:val="36"/>
          <w:highlight w:val="none"/>
          <w:lang w:val="en-US" w:eastAsia="zh-CN" w:bidi="ar-SA"/>
        </w:rPr>
      </w:pPr>
      <w:bookmarkStart w:id="12" w:name="_Toc26793"/>
      <w:bookmarkStart w:id="13" w:name="_Toc32500"/>
      <w:bookmarkStart w:id="14" w:name="_Toc155185867"/>
      <w:r>
        <w:rPr>
          <w:rFonts w:hint="eastAsia" w:ascii="宋体" w:hAnsi="宋体" w:eastAsia="宋体" w:cs="宋体"/>
          <w:b/>
          <w:bCs/>
          <w:color w:val="auto"/>
          <w:kern w:val="44"/>
          <w:sz w:val="36"/>
          <w:szCs w:val="36"/>
          <w:highlight w:val="none"/>
          <w:lang w:val="en-US" w:eastAsia="zh-CN" w:bidi="ar-SA"/>
        </w:rPr>
        <w:t>第二章 投标人须知</w:t>
      </w:r>
      <w:bookmarkEnd w:id="12"/>
      <w:bookmarkEnd w:id="13"/>
      <w:bookmarkEnd w:id="14"/>
    </w:p>
    <w:p w14:paraId="7AC7BBAD">
      <w:pPr>
        <w:pStyle w:val="3"/>
        <w:keepNext/>
        <w:keepLines/>
        <w:pageBreakBefore w:val="0"/>
        <w:widowControl w:val="0"/>
        <w:numPr>
          <w:ilvl w:val="0"/>
          <w:numId w:val="0"/>
        </w:numPr>
        <w:kinsoku/>
        <w:wordWrap/>
        <w:overflowPunct/>
        <w:topLinePunct w:val="0"/>
        <w:autoSpaceDE/>
        <w:autoSpaceDN/>
        <w:bidi w:val="0"/>
        <w:adjustRightInd/>
        <w:snapToGrid/>
        <w:spacing w:before="80" w:after="80" w:line="360" w:lineRule="auto"/>
        <w:ind w:left="420" w:leftChars="0" w:hanging="420" w:firstLineChars="0"/>
        <w:textAlignment w:val="auto"/>
        <w:rPr>
          <w:rFonts w:hint="eastAsia" w:ascii="等线 Light" w:hAnsi="等线 Light" w:eastAsia="宋体" w:cs="Times New Roman"/>
          <w:b/>
          <w:bCs/>
          <w:color w:val="auto"/>
          <w:kern w:val="2"/>
          <w:sz w:val="28"/>
          <w:szCs w:val="28"/>
          <w:highlight w:val="none"/>
          <w:lang w:val="en-US" w:eastAsia="zh-CN" w:bidi="ar-SA"/>
        </w:rPr>
      </w:pPr>
      <w:bookmarkStart w:id="15" w:name="_Toc1168"/>
      <w:bookmarkStart w:id="16" w:name="_Toc2970"/>
      <w:bookmarkStart w:id="17" w:name="_Toc155185868"/>
      <w:r>
        <w:rPr>
          <w:rFonts w:hint="eastAsia" w:ascii="等线 Light" w:hAnsi="等线 Light" w:eastAsia="宋体" w:cs="Times New Roman"/>
          <w:b/>
          <w:bCs/>
          <w:color w:val="auto"/>
          <w:kern w:val="2"/>
          <w:sz w:val="28"/>
          <w:szCs w:val="28"/>
          <w:highlight w:val="none"/>
          <w:lang w:val="en-US" w:eastAsia="zh-CN" w:bidi="ar-SA"/>
        </w:rPr>
        <w:t>一、投标人须知前附表</w:t>
      </w:r>
      <w:bookmarkEnd w:id="15"/>
      <w:bookmarkEnd w:id="16"/>
      <w:bookmarkEnd w:id="17"/>
    </w:p>
    <w:p w14:paraId="4D7DCFDD">
      <w:pPr>
        <w:pStyle w:val="50"/>
        <w:keepNext w:val="0"/>
        <w:keepLines w:val="0"/>
        <w:pageBreakBefore w:val="0"/>
        <w:widowControl w:val="0"/>
        <w:kinsoku/>
        <w:overflowPunct/>
        <w:topLinePunct w:val="0"/>
        <w:autoSpaceDE/>
        <w:autoSpaceDN/>
        <w:bidi w:val="0"/>
        <w:adjustRightInd/>
        <w:snapToGrid/>
        <w:textAlignment w:val="auto"/>
        <w:rPr>
          <w:rFonts w:hint="default" w:eastAsia="宋体"/>
          <w:color w:val="auto"/>
          <w:highlight w:val="none"/>
          <w:lang w:val="en-US" w:eastAsia="zh-CN"/>
        </w:rPr>
      </w:pPr>
      <w:r>
        <w:rPr>
          <w:rFonts w:hint="eastAsia"/>
          <w:color w:val="auto"/>
          <w:sz w:val="24"/>
          <w:szCs w:val="24"/>
          <w:highlight w:val="none"/>
        </w:rPr>
        <w:t>投标人应仔细阅读本招标文件的第二章“投标人须知”，下面所列资料是对“投标人须知”的具体补充和说明</w:t>
      </w:r>
      <w:r>
        <w:rPr>
          <w:rFonts w:hint="eastAsia"/>
          <w:color w:val="auto"/>
          <w:sz w:val="24"/>
          <w:szCs w:val="24"/>
          <w:highlight w:val="none"/>
          <w:lang w:eastAsia="zh-CN"/>
        </w:rPr>
        <w:t>，</w:t>
      </w:r>
      <w:r>
        <w:rPr>
          <w:rFonts w:hint="eastAsia"/>
          <w:color w:val="auto"/>
          <w:sz w:val="24"/>
          <w:szCs w:val="24"/>
          <w:highlight w:val="none"/>
        </w:rPr>
        <w:t>如有矛盾，应以本表为准。</w:t>
      </w:r>
      <w:r>
        <w:rPr>
          <w:rFonts w:hint="eastAsia"/>
          <w:color w:val="auto"/>
          <w:sz w:val="24"/>
          <w:szCs w:val="24"/>
          <w:highlight w:val="none"/>
          <w:lang w:val="en-US" w:eastAsia="zh-CN"/>
        </w:rPr>
        <w:t>标记“</w:t>
      </w:r>
      <w:r>
        <w:rPr>
          <w:rFonts w:hint="eastAsia" w:ascii="宋体" w:hAnsi="宋体" w:eastAsia="宋体"/>
          <w:color w:val="auto"/>
          <w:sz w:val="24"/>
          <w:szCs w:val="24"/>
          <w:highlight w:val="none"/>
          <w:lang w:val="en-US" w:eastAsia="zh-CN"/>
        </w:rPr>
        <w:t>☑”的选项意为适用于本项目，标记“□”的选项意为不适用于本项目</w:t>
      </w:r>
      <w:r>
        <w:rPr>
          <w:rFonts w:hint="eastAsia" w:ascii="宋体" w:hAnsi="宋体" w:eastAsia="宋体"/>
          <w:color w:val="auto"/>
          <w:highlight w:val="none"/>
          <w:lang w:val="en-US" w:eastAsia="zh-CN"/>
        </w:rPr>
        <w:t>。</w:t>
      </w:r>
    </w:p>
    <w:tbl>
      <w:tblPr>
        <w:tblStyle w:val="33"/>
        <w:tblW w:w="10035" w:type="dxa"/>
        <w:tblInd w:w="-466"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714"/>
        <w:gridCol w:w="2176"/>
        <w:gridCol w:w="7145"/>
      </w:tblGrid>
      <w:tr w14:paraId="7CDF9DC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trPr>
        <w:tc>
          <w:tcPr>
            <w:tcW w:w="714" w:type="dxa"/>
            <w:noWrap w:val="0"/>
            <w:vAlign w:val="center"/>
          </w:tcPr>
          <w:p w14:paraId="550FA4A0">
            <w:pPr>
              <w:spacing w:beforeLines="0" w:afterLines="0" w:line="360" w:lineRule="auto"/>
              <w:jc w:val="center"/>
              <w:rPr>
                <w:rFonts w:hint="eastAsia" w:ascii="宋体" w:hAnsi="宋体" w:eastAsia="宋体" w:cs="宋体"/>
                <w:sz w:val="24"/>
                <w:szCs w:val="24"/>
                <w:highlight w:val="none"/>
              </w:rPr>
            </w:pPr>
            <w:r>
              <w:rPr>
                <w:rFonts w:hint="eastAsia" w:ascii="宋体" w:hAnsi="宋体" w:eastAsia="宋体" w:cs="宋体"/>
                <w:b/>
                <w:bCs/>
                <w:sz w:val="24"/>
                <w:szCs w:val="24"/>
                <w:highlight w:val="none"/>
              </w:rPr>
              <w:t>序号</w:t>
            </w:r>
          </w:p>
        </w:tc>
        <w:tc>
          <w:tcPr>
            <w:tcW w:w="2176" w:type="dxa"/>
            <w:noWrap w:val="0"/>
            <w:vAlign w:val="center"/>
          </w:tcPr>
          <w:p w14:paraId="7FC826EE">
            <w:pPr>
              <w:spacing w:beforeLines="0" w:afterLines="0" w:line="360" w:lineRule="auto"/>
              <w:ind w:left="-48" w:leftChars="-23" w:firstLine="50"/>
              <w:jc w:val="center"/>
              <w:rPr>
                <w:rFonts w:hint="eastAsia" w:ascii="宋体" w:hAnsi="宋体" w:eastAsia="宋体" w:cs="宋体"/>
                <w:b/>
                <w:sz w:val="24"/>
                <w:szCs w:val="24"/>
                <w:highlight w:val="none"/>
                <w:lang w:eastAsia="zh-CN"/>
              </w:rPr>
            </w:pPr>
            <w:r>
              <w:rPr>
                <w:rFonts w:hint="eastAsia" w:ascii="宋体" w:hAnsi="宋体" w:eastAsia="宋体" w:cs="宋体"/>
                <w:b/>
                <w:sz w:val="24"/>
                <w:szCs w:val="24"/>
                <w:highlight w:val="none"/>
                <w:lang w:eastAsia="zh-CN"/>
              </w:rPr>
              <w:t>事项</w:t>
            </w:r>
          </w:p>
        </w:tc>
        <w:tc>
          <w:tcPr>
            <w:tcW w:w="7145" w:type="dxa"/>
            <w:noWrap w:val="0"/>
            <w:vAlign w:val="center"/>
          </w:tcPr>
          <w:p w14:paraId="3F01D7D2">
            <w:pPr>
              <w:spacing w:beforeLines="0" w:afterLines="0" w:line="360" w:lineRule="auto"/>
              <w:ind w:left="-48" w:leftChars="-23" w:firstLine="50"/>
              <w:jc w:val="center"/>
              <w:rPr>
                <w:rFonts w:hint="eastAsia" w:ascii="宋体" w:hAnsi="宋体" w:eastAsia="宋体" w:cs="宋体"/>
                <w:b/>
                <w:sz w:val="24"/>
                <w:szCs w:val="24"/>
                <w:highlight w:val="none"/>
              </w:rPr>
            </w:pPr>
            <w:r>
              <w:rPr>
                <w:rFonts w:hint="eastAsia" w:ascii="宋体" w:hAnsi="宋体" w:eastAsia="宋体" w:cs="宋体"/>
                <w:b/>
                <w:sz w:val="24"/>
                <w:szCs w:val="24"/>
                <w:highlight w:val="none"/>
                <w:lang w:eastAsia="zh-CN"/>
              </w:rPr>
              <w:t>说明和要求</w:t>
            </w:r>
          </w:p>
        </w:tc>
      </w:tr>
      <w:tr w14:paraId="42F26B0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805" w:hRule="atLeast"/>
        </w:trPr>
        <w:tc>
          <w:tcPr>
            <w:tcW w:w="714" w:type="dxa"/>
            <w:noWrap w:val="0"/>
            <w:vAlign w:val="center"/>
          </w:tcPr>
          <w:p w14:paraId="2624C2CB">
            <w:pPr>
              <w:spacing w:beforeLines="0" w:afterLines="0" w:line="36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1</w:t>
            </w:r>
          </w:p>
        </w:tc>
        <w:tc>
          <w:tcPr>
            <w:tcW w:w="2176" w:type="dxa"/>
            <w:noWrap w:val="0"/>
            <w:vAlign w:val="center"/>
          </w:tcPr>
          <w:p w14:paraId="5CBD8D27">
            <w:pPr>
              <w:widowControl/>
              <w:spacing w:beforeLines="0" w:afterLines="0" w:line="360" w:lineRule="auto"/>
              <w:jc w:val="center"/>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核心产品</w:t>
            </w:r>
          </w:p>
          <w:p w14:paraId="02669AB3">
            <w:pPr>
              <w:widowControl/>
              <w:spacing w:beforeLines="0" w:afterLines="0" w:line="360" w:lineRule="auto"/>
              <w:jc w:val="center"/>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（适用货物）</w:t>
            </w:r>
          </w:p>
        </w:tc>
        <w:tc>
          <w:tcPr>
            <w:tcW w:w="7145" w:type="dxa"/>
            <w:noWrap w:val="0"/>
            <w:vAlign w:val="center"/>
          </w:tcPr>
          <w:p w14:paraId="3190295D">
            <w:pPr>
              <w:widowControl/>
              <w:spacing w:beforeLines="0" w:afterLines="0" w:line="36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lang w:eastAsia="zh-CN"/>
              </w:rPr>
              <w:t>是否属于单一产品采购项目：</w:t>
            </w:r>
            <w:r>
              <w:rPr>
                <w:rFonts w:hint="eastAsia" w:ascii="宋体" w:hAnsi="宋体" w:eastAsia="宋体" w:cs="宋体"/>
                <w:sz w:val="24"/>
                <w:szCs w:val="24"/>
                <w:highlight w:val="none"/>
              </w:rPr>
              <w:sym w:font="Wingdings 2" w:char="00A3"/>
            </w:r>
            <w:r>
              <w:rPr>
                <w:rFonts w:hint="eastAsia" w:ascii="宋体" w:hAnsi="宋体" w:eastAsia="宋体" w:cs="宋体"/>
                <w:sz w:val="24"/>
                <w:szCs w:val="24"/>
                <w:highlight w:val="none"/>
              </w:rPr>
              <w:t>是</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rPr>
              <w:sym w:font="Wingdings 2" w:char="0052"/>
            </w:r>
            <w:r>
              <w:rPr>
                <w:rFonts w:hint="eastAsia" w:ascii="宋体" w:hAnsi="宋体" w:eastAsia="宋体" w:cs="宋体"/>
                <w:sz w:val="24"/>
                <w:szCs w:val="24"/>
                <w:highlight w:val="none"/>
              </w:rPr>
              <w:t>否</w:t>
            </w:r>
          </w:p>
          <w:p w14:paraId="740DA3A9">
            <w:pPr>
              <w:widowControl/>
              <w:spacing w:beforeLines="0" w:afterLines="0" w:line="360" w:lineRule="auto"/>
              <w:jc w:val="left"/>
              <w:rPr>
                <w:rFonts w:hint="eastAsia" w:ascii="宋体" w:hAnsi="宋体" w:eastAsia="宋体" w:cs="宋体"/>
                <w:sz w:val="24"/>
                <w:szCs w:val="24"/>
                <w:highlight w:val="none"/>
              </w:rPr>
            </w:pPr>
          </w:p>
        </w:tc>
      </w:tr>
      <w:tr w14:paraId="28D4698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805" w:hRule="atLeast"/>
        </w:trPr>
        <w:tc>
          <w:tcPr>
            <w:tcW w:w="714" w:type="dxa"/>
            <w:noWrap w:val="0"/>
            <w:vAlign w:val="center"/>
          </w:tcPr>
          <w:p w14:paraId="39B5671B">
            <w:pPr>
              <w:spacing w:beforeLines="0" w:afterLines="0" w:line="36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2</w:t>
            </w:r>
          </w:p>
        </w:tc>
        <w:tc>
          <w:tcPr>
            <w:tcW w:w="2176" w:type="dxa"/>
            <w:noWrap w:val="0"/>
            <w:vAlign w:val="center"/>
          </w:tcPr>
          <w:p w14:paraId="4E1D1892">
            <w:pPr>
              <w:spacing w:beforeLines="0" w:afterLines="0" w:line="360" w:lineRule="auto"/>
              <w:jc w:val="center"/>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进口产品</w:t>
            </w:r>
          </w:p>
          <w:p w14:paraId="6774E28F">
            <w:pPr>
              <w:spacing w:beforeLines="0" w:afterLines="0" w:line="360" w:lineRule="auto"/>
              <w:jc w:val="center"/>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（适用货物）</w:t>
            </w:r>
          </w:p>
        </w:tc>
        <w:tc>
          <w:tcPr>
            <w:tcW w:w="7145" w:type="dxa"/>
            <w:noWrap w:val="0"/>
            <w:vAlign w:val="center"/>
          </w:tcPr>
          <w:p w14:paraId="23927F8E">
            <w:pPr>
              <w:spacing w:beforeLines="0" w:afterLines="0"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lang w:eastAsia="zh-CN"/>
              </w:rPr>
              <w:t>是否允许采购进口产品：</w:t>
            </w:r>
            <w:r>
              <w:rPr>
                <w:rFonts w:hint="eastAsia" w:ascii="宋体" w:hAnsi="宋体" w:eastAsia="宋体" w:cs="宋体"/>
                <w:sz w:val="24"/>
                <w:szCs w:val="24"/>
                <w:highlight w:val="none"/>
              </w:rPr>
              <w:sym w:font="Wingdings 2" w:char="00A3"/>
            </w:r>
            <w:r>
              <w:rPr>
                <w:rFonts w:hint="eastAsia" w:ascii="宋体" w:hAnsi="宋体" w:eastAsia="宋体" w:cs="宋体"/>
                <w:sz w:val="24"/>
                <w:szCs w:val="24"/>
                <w:highlight w:val="none"/>
              </w:rPr>
              <w:t>是</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rPr>
              <w:sym w:font="Wingdings 2" w:char="0052"/>
            </w:r>
            <w:r>
              <w:rPr>
                <w:rFonts w:hint="eastAsia" w:ascii="宋体" w:hAnsi="宋体" w:eastAsia="宋体" w:cs="宋体"/>
                <w:sz w:val="24"/>
                <w:szCs w:val="24"/>
                <w:highlight w:val="none"/>
              </w:rPr>
              <w:t>否</w:t>
            </w:r>
          </w:p>
          <w:p w14:paraId="1B041DC0">
            <w:pPr>
              <w:spacing w:beforeLines="0" w:afterLines="0" w:line="360" w:lineRule="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（若选择“是”，需明确允许采购进口产品的具体标的）其中允许采购进口产品的采购标的：</w:t>
            </w:r>
          </w:p>
          <w:p w14:paraId="49548BB6">
            <w:pPr>
              <w:spacing w:beforeLines="0" w:afterLines="0"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lang w:eastAsia="zh-CN"/>
              </w:rPr>
              <w:t>（其他采购标的不允许采购进口产品）</w:t>
            </w:r>
          </w:p>
        </w:tc>
      </w:tr>
      <w:tr w14:paraId="71EA578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trPr>
        <w:tc>
          <w:tcPr>
            <w:tcW w:w="714" w:type="dxa"/>
            <w:noWrap w:val="0"/>
            <w:vAlign w:val="center"/>
          </w:tcPr>
          <w:p w14:paraId="7680D34F">
            <w:pPr>
              <w:spacing w:beforeLines="0" w:afterLines="0" w:line="36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3</w:t>
            </w:r>
          </w:p>
        </w:tc>
        <w:tc>
          <w:tcPr>
            <w:tcW w:w="2176" w:type="dxa"/>
            <w:noWrap w:val="0"/>
            <w:vAlign w:val="center"/>
          </w:tcPr>
          <w:p w14:paraId="283BABAD">
            <w:pPr>
              <w:spacing w:beforeLines="0" w:afterLines="0" w:line="360" w:lineRule="auto"/>
              <w:jc w:val="center"/>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科研仪器设备（适用货物）</w:t>
            </w:r>
          </w:p>
        </w:tc>
        <w:tc>
          <w:tcPr>
            <w:tcW w:w="7145" w:type="dxa"/>
            <w:noWrap w:val="0"/>
            <w:vAlign w:val="center"/>
          </w:tcPr>
          <w:p w14:paraId="062ED5D7">
            <w:pPr>
              <w:spacing w:beforeLines="0" w:afterLines="0"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lang w:eastAsia="zh-CN"/>
              </w:rPr>
              <w:t>是否属于科研仪器设备采购项目：</w:t>
            </w:r>
            <w:r>
              <w:rPr>
                <w:rFonts w:hint="eastAsia" w:ascii="宋体" w:hAnsi="宋体" w:eastAsia="宋体" w:cs="宋体"/>
                <w:sz w:val="24"/>
                <w:szCs w:val="24"/>
                <w:highlight w:val="none"/>
                <w:lang w:eastAsia="zh-CN"/>
              </w:rPr>
              <w:sym w:font="Wingdings 2" w:char="00A3"/>
            </w:r>
            <w:r>
              <w:rPr>
                <w:rFonts w:hint="eastAsia" w:ascii="宋体" w:hAnsi="宋体" w:eastAsia="宋体" w:cs="宋体"/>
                <w:sz w:val="24"/>
                <w:szCs w:val="24"/>
                <w:highlight w:val="none"/>
                <w:lang w:eastAsia="zh-CN"/>
              </w:rPr>
              <w:t>是</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lang w:eastAsia="zh-CN"/>
              </w:rPr>
              <w:sym w:font="Wingdings 2" w:char="0052"/>
            </w:r>
            <w:r>
              <w:rPr>
                <w:rFonts w:hint="eastAsia" w:ascii="宋体" w:hAnsi="宋体" w:eastAsia="宋体" w:cs="宋体"/>
                <w:sz w:val="24"/>
                <w:szCs w:val="24"/>
                <w:highlight w:val="none"/>
                <w:lang w:eastAsia="zh-CN"/>
              </w:rPr>
              <w:t>否</w:t>
            </w:r>
          </w:p>
        </w:tc>
      </w:tr>
      <w:tr w14:paraId="3868C9C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trPr>
        <w:tc>
          <w:tcPr>
            <w:tcW w:w="714" w:type="dxa"/>
            <w:noWrap w:val="0"/>
            <w:vAlign w:val="center"/>
          </w:tcPr>
          <w:p w14:paraId="4C12E69F">
            <w:pPr>
              <w:spacing w:beforeLines="0" w:afterLines="0" w:line="36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4</w:t>
            </w:r>
          </w:p>
        </w:tc>
        <w:tc>
          <w:tcPr>
            <w:tcW w:w="2176" w:type="dxa"/>
            <w:noWrap w:val="0"/>
            <w:vAlign w:val="center"/>
          </w:tcPr>
          <w:p w14:paraId="5944719F">
            <w:pPr>
              <w:widowControl/>
              <w:spacing w:beforeLines="0" w:afterLines="0" w:line="360" w:lineRule="auto"/>
              <w:ind w:left="280" w:hanging="240" w:hangingChars="100"/>
              <w:jc w:val="center"/>
              <w:rPr>
                <w:rStyle w:val="36"/>
                <w:rFonts w:hint="eastAsia" w:ascii="宋体" w:hAnsi="宋体" w:eastAsia="宋体" w:cs="宋体"/>
                <w:b w:val="0"/>
                <w:sz w:val="24"/>
                <w:szCs w:val="24"/>
                <w:highlight w:val="none"/>
                <w:lang w:eastAsia="zh-CN"/>
              </w:rPr>
            </w:pPr>
            <w:r>
              <w:rPr>
                <w:rStyle w:val="36"/>
                <w:rFonts w:hint="eastAsia" w:ascii="宋体" w:hAnsi="宋体" w:eastAsia="宋体" w:cs="宋体"/>
                <w:b w:val="0"/>
                <w:sz w:val="24"/>
                <w:szCs w:val="24"/>
                <w:highlight w:val="none"/>
                <w:lang w:eastAsia="zh-CN"/>
              </w:rPr>
              <w:t>现场考察</w:t>
            </w:r>
          </w:p>
        </w:tc>
        <w:tc>
          <w:tcPr>
            <w:tcW w:w="7145" w:type="dxa"/>
            <w:noWrap w:val="0"/>
            <w:vAlign w:val="center"/>
          </w:tcPr>
          <w:p w14:paraId="008E90E9">
            <w:pPr>
              <w:widowControl/>
              <w:spacing w:beforeLines="0" w:afterLines="0" w:line="360" w:lineRule="auto"/>
              <w:ind w:firstLine="0" w:firstLineChars="0"/>
              <w:jc w:val="left"/>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是否组织现场考察：</w:t>
            </w:r>
            <w:r>
              <w:rPr>
                <w:rFonts w:hint="eastAsia" w:ascii="宋体" w:hAnsi="宋体" w:eastAsia="宋体" w:cs="宋体"/>
                <w:sz w:val="24"/>
                <w:szCs w:val="24"/>
                <w:highlight w:val="none"/>
                <w:lang w:eastAsia="zh-CN"/>
              </w:rPr>
              <w:sym w:font="Wingdings 2" w:char="00A3"/>
            </w:r>
            <w:r>
              <w:rPr>
                <w:rFonts w:hint="eastAsia" w:ascii="宋体" w:hAnsi="宋体" w:eastAsia="宋体" w:cs="宋体"/>
                <w:sz w:val="24"/>
                <w:szCs w:val="24"/>
                <w:highlight w:val="none"/>
                <w:lang w:eastAsia="zh-CN"/>
              </w:rPr>
              <w:t>是</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lang w:eastAsia="zh-CN"/>
              </w:rPr>
              <w:sym w:font="Wingdings 2" w:char="0052"/>
            </w:r>
            <w:r>
              <w:rPr>
                <w:rFonts w:hint="eastAsia" w:ascii="宋体" w:hAnsi="宋体" w:eastAsia="宋体" w:cs="宋体"/>
                <w:sz w:val="24"/>
                <w:szCs w:val="24"/>
                <w:highlight w:val="none"/>
                <w:lang w:eastAsia="zh-CN"/>
              </w:rPr>
              <w:t>否</w:t>
            </w:r>
          </w:p>
          <w:p w14:paraId="177783F2">
            <w:pPr>
              <w:widowControl/>
              <w:spacing w:beforeLines="0" w:afterLines="0" w:line="360" w:lineRule="auto"/>
              <w:ind w:left="0" w:firstLine="0" w:firstLineChars="0"/>
              <w:jc w:val="left"/>
              <w:rPr>
                <w:rFonts w:hint="eastAsia" w:ascii="宋体" w:hAnsi="宋体" w:eastAsia="宋体" w:cs="宋体"/>
                <w:sz w:val="24"/>
                <w:szCs w:val="24"/>
                <w:highlight w:val="none"/>
              </w:rPr>
            </w:pPr>
            <w:r>
              <w:rPr>
                <w:rFonts w:hint="eastAsia" w:ascii="宋体" w:hAnsi="宋体" w:eastAsia="宋体" w:cs="宋体"/>
                <w:sz w:val="24"/>
                <w:szCs w:val="24"/>
                <w:highlight w:val="none"/>
                <w:lang w:eastAsia="zh-CN"/>
              </w:rPr>
              <w:t>（若选择“是”）</w:t>
            </w:r>
            <w:r>
              <w:rPr>
                <w:rStyle w:val="36"/>
                <w:rFonts w:hint="eastAsia" w:ascii="宋体" w:hAnsi="宋体" w:eastAsia="宋体" w:cs="宋体"/>
                <w:b w:val="0"/>
                <w:sz w:val="24"/>
                <w:szCs w:val="24"/>
                <w:highlight w:val="none"/>
                <w:u w:val="none"/>
                <w:lang w:val="en-US" w:eastAsia="zh-CN"/>
              </w:rPr>
              <w:t xml:space="preserve">     </w:t>
            </w:r>
          </w:p>
        </w:tc>
      </w:tr>
      <w:tr w14:paraId="2BE76D6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06" w:hRule="atLeast"/>
        </w:trPr>
        <w:tc>
          <w:tcPr>
            <w:tcW w:w="714" w:type="dxa"/>
            <w:noWrap w:val="0"/>
            <w:vAlign w:val="center"/>
          </w:tcPr>
          <w:p w14:paraId="20F26098">
            <w:pPr>
              <w:spacing w:beforeLines="0" w:afterLines="0" w:line="36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5</w:t>
            </w:r>
          </w:p>
        </w:tc>
        <w:tc>
          <w:tcPr>
            <w:tcW w:w="2176" w:type="dxa"/>
            <w:noWrap w:val="0"/>
            <w:vAlign w:val="center"/>
          </w:tcPr>
          <w:p w14:paraId="0362C6EE">
            <w:pPr>
              <w:spacing w:beforeLines="0" w:afterLines="0" w:line="360" w:lineRule="auto"/>
              <w:jc w:val="center"/>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开标前答疑会</w:t>
            </w:r>
          </w:p>
        </w:tc>
        <w:tc>
          <w:tcPr>
            <w:tcW w:w="7145" w:type="dxa"/>
            <w:noWrap w:val="0"/>
            <w:vAlign w:val="center"/>
          </w:tcPr>
          <w:p w14:paraId="4B3D44CA">
            <w:pPr>
              <w:widowControl/>
              <w:spacing w:beforeLines="0" w:afterLines="0" w:line="360" w:lineRule="auto"/>
              <w:jc w:val="left"/>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是否召开开标前答疑会：</w:t>
            </w:r>
            <w:r>
              <w:rPr>
                <w:rFonts w:hint="eastAsia" w:ascii="宋体" w:hAnsi="宋体" w:eastAsia="宋体" w:cs="宋体"/>
                <w:sz w:val="24"/>
                <w:szCs w:val="24"/>
                <w:highlight w:val="none"/>
                <w:lang w:eastAsia="zh-CN"/>
              </w:rPr>
              <w:sym w:font="Wingdings 2" w:char="00A3"/>
            </w:r>
            <w:r>
              <w:rPr>
                <w:rFonts w:hint="eastAsia" w:ascii="宋体" w:hAnsi="宋体" w:eastAsia="宋体" w:cs="宋体"/>
                <w:sz w:val="24"/>
                <w:szCs w:val="24"/>
                <w:highlight w:val="none"/>
                <w:lang w:eastAsia="zh-CN"/>
              </w:rPr>
              <w:t>是</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lang w:eastAsia="zh-CN"/>
              </w:rPr>
              <w:sym w:font="Wingdings 2" w:char="0052"/>
            </w:r>
            <w:r>
              <w:rPr>
                <w:rFonts w:hint="eastAsia" w:ascii="宋体" w:hAnsi="宋体" w:eastAsia="宋体" w:cs="宋体"/>
                <w:sz w:val="24"/>
                <w:szCs w:val="24"/>
                <w:highlight w:val="none"/>
                <w:lang w:eastAsia="zh-CN"/>
              </w:rPr>
              <w:t>否</w:t>
            </w:r>
          </w:p>
          <w:p w14:paraId="281CBA53">
            <w:pPr>
              <w:widowControl/>
              <w:spacing w:beforeLines="0" w:afterLines="0" w:line="360" w:lineRule="auto"/>
              <w:ind w:firstLine="0" w:firstLineChars="0"/>
              <w:jc w:val="left"/>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（若选择“是”）</w:t>
            </w:r>
          </w:p>
          <w:p w14:paraId="08BF2A9C">
            <w:pPr>
              <w:spacing w:beforeLines="0" w:afterLines="0"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相关要求：</w:t>
            </w:r>
            <w:r>
              <w:rPr>
                <w:rStyle w:val="36"/>
                <w:rFonts w:hint="eastAsia" w:ascii="宋体" w:hAnsi="宋体" w:eastAsia="宋体" w:cs="宋体"/>
                <w:b w:val="0"/>
                <w:sz w:val="24"/>
                <w:szCs w:val="24"/>
                <w:highlight w:val="none"/>
                <w:u w:val="none"/>
                <w:lang w:val="en-US" w:eastAsia="zh-CN"/>
              </w:rPr>
              <w:t xml:space="preserve"> </w:t>
            </w:r>
          </w:p>
        </w:tc>
      </w:tr>
      <w:tr w14:paraId="19B97DA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042" w:hRule="atLeast"/>
        </w:trPr>
        <w:tc>
          <w:tcPr>
            <w:tcW w:w="714" w:type="dxa"/>
            <w:noWrap w:val="0"/>
            <w:vAlign w:val="center"/>
          </w:tcPr>
          <w:p w14:paraId="0D38AB17">
            <w:pPr>
              <w:spacing w:beforeLines="0" w:afterLines="0" w:line="36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lang w:eastAsia="zh-CN"/>
              </w:rPr>
              <w:t>6</w:t>
            </w:r>
          </w:p>
        </w:tc>
        <w:tc>
          <w:tcPr>
            <w:tcW w:w="2176" w:type="dxa"/>
            <w:noWrap w:val="0"/>
            <w:vAlign w:val="center"/>
          </w:tcPr>
          <w:p w14:paraId="4D570378">
            <w:pPr>
              <w:spacing w:beforeLines="0" w:afterLines="0" w:line="360" w:lineRule="auto"/>
              <w:jc w:val="center"/>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样品</w:t>
            </w:r>
          </w:p>
          <w:p w14:paraId="2552BC74">
            <w:pPr>
              <w:spacing w:beforeLines="0" w:afterLines="0" w:line="360" w:lineRule="auto"/>
              <w:jc w:val="center"/>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（适用货物）</w:t>
            </w:r>
          </w:p>
        </w:tc>
        <w:tc>
          <w:tcPr>
            <w:tcW w:w="7145" w:type="dxa"/>
            <w:noWrap w:val="0"/>
            <w:vAlign w:val="center"/>
          </w:tcPr>
          <w:p w14:paraId="76242BC4">
            <w:pPr>
              <w:widowControl/>
              <w:spacing w:beforeLines="0" w:afterLines="0" w:line="360" w:lineRule="auto"/>
              <w:ind w:firstLine="0" w:firstLineChars="0"/>
              <w:jc w:val="left"/>
              <w:rPr>
                <w:rFonts w:hint="eastAsia" w:ascii="宋体" w:hAnsi="宋体" w:eastAsia="宋体" w:cs="宋体"/>
                <w:sz w:val="24"/>
                <w:szCs w:val="24"/>
                <w:highlight w:val="none"/>
              </w:rPr>
            </w:pPr>
            <w:r>
              <w:rPr>
                <w:rFonts w:hint="eastAsia" w:ascii="宋体" w:hAnsi="宋体" w:eastAsia="宋体" w:cs="宋体"/>
                <w:sz w:val="24"/>
                <w:szCs w:val="24"/>
                <w:highlight w:val="none"/>
                <w:lang w:eastAsia="zh-CN"/>
              </w:rPr>
              <w:t>是否需要提交样品：</w:t>
            </w:r>
            <w:r>
              <w:rPr>
                <w:rFonts w:hint="eastAsia" w:ascii="宋体" w:hAnsi="宋体" w:eastAsia="宋体" w:cs="宋体"/>
                <w:sz w:val="24"/>
                <w:szCs w:val="24"/>
                <w:highlight w:val="none"/>
                <w:lang w:eastAsia="zh-CN"/>
              </w:rPr>
              <w:sym w:font="Wingdings 2" w:char="00A3"/>
            </w:r>
            <w:r>
              <w:rPr>
                <w:rFonts w:hint="eastAsia" w:ascii="宋体" w:hAnsi="宋体" w:eastAsia="宋体" w:cs="宋体"/>
                <w:sz w:val="24"/>
                <w:szCs w:val="24"/>
                <w:highlight w:val="none"/>
                <w:lang w:eastAsia="zh-CN"/>
              </w:rPr>
              <w:t>是</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lang w:eastAsia="zh-CN"/>
              </w:rPr>
              <w:sym w:font="Wingdings 2" w:char="0052"/>
            </w:r>
            <w:r>
              <w:rPr>
                <w:rFonts w:hint="eastAsia" w:ascii="宋体" w:hAnsi="宋体" w:eastAsia="宋体" w:cs="宋体"/>
                <w:sz w:val="24"/>
                <w:szCs w:val="24"/>
                <w:highlight w:val="none"/>
                <w:lang w:eastAsia="zh-CN"/>
              </w:rPr>
              <w:t>否</w:t>
            </w:r>
          </w:p>
        </w:tc>
      </w:tr>
      <w:tr w14:paraId="55F3FEF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744" w:hRule="atLeast"/>
        </w:trPr>
        <w:tc>
          <w:tcPr>
            <w:tcW w:w="714" w:type="dxa"/>
            <w:vMerge w:val="restart"/>
            <w:noWrap w:val="0"/>
            <w:vAlign w:val="center"/>
          </w:tcPr>
          <w:p w14:paraId="77E17632">
            <w:pPr>
              <w:spacing w:beforeLines="0" w:afterLines="0" w:line="36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lang w:eastAsia="zh-CN"/>
              </w:rPr>
              <w:t>7</w:t>
            </w:r>
          </w:p>
        </w:tc>
        <w:tc>
          <w:tcPr>
            <w:tcW w:w="2176" w:type="dxa"/>
            <w:noWrap w:val="0"/>
            <w:vAlign w:val="center"/>
          </w:tcPr>
          <w:p w14:paraId="481EB33E">
            <w:pPr>
              <w:spacing w:beforeLines="0" w:afterLines="0" w:line="360" w:lineRule="auto"/>
              <w:jc w:val="center"/>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报价方式</w:t>
            </w:r>
          </w:p>
        </w:tc>
        <w:tc>
          <w:tcPr>
            <w:tcW w:w="7145" w:type="dxa"/>
            <w:noWrap w:val="0"/>
            <w:vAlign w:val="center"/>
          </w:tcPr>
          <w:p w14:paraId="30C8CD3A">
            <w:pPr>
              <w:spacing w:beforeLines="0" w:afterLines="0"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sym w:font="Wingdings 2" w:char="0052"/>
            </w:r>
            <w:r>
              <w:rPr>
                <w:rFonts w:hint="eastAsia" w:ascii="宋体" w:hAnsi="宋体" w:eastAsia="宋体" w:cs="宋体"/>
                <w:sz w:val="24"/>
                <w:szCs w:val="24"/>
                <w:highlight w:val="none"/>
              </w:rPr>
              <w:t xml:space="preserve">总价  </w:t>
            </w:r>
            <w:r>
              <w:rPr>
                <w:rFonts w:hint="eastAsia" w:ascii="宋体" w:hAnsi="宋体" w:eastAsia="宋体" w:cs="宋体"/>
                <w:sz w:val="24"/>
                <w:szCs w:val="24"/>
                <w:highlight w:val="none"/>
              </w:rPr>
              <w:sym w:font="Wingdings 2" w:char="00A3"/>
            </w:r>
            <w:r>
              <w:rPr>
                <w:rFonts w:hint="eastAsia" w:ascii="宋体" w:hAnsi="宋体" w:eastAsia="宋体" w:cs="宋体"/>
                <w:sz w:val="24"/>
                <w:szCs w:val="24"/>
                <w:highlight w:val="none"/>
              </w:rPr>
              <w:t xml:space="preserve">单价  </w:t>
            </w:r>
            <w:r>
              <w:rPr>
                <w:rFonts w:hint="eastAsia" w:ascii="宋体" w:hAnsi="宋体" w:eastAsia="宋体" w:cs="宋体"/>
                <w:sz w:val="24"/>
                <w:szCs w:val="24"/>
                <w:highlight w:val="none"/>
              </w:rPr>
              <w:sym w:font="Wingdings 2" w:char="00A3"/>
            </w:r>
            <w:r>
              <w:rPr>
                <w:rFonts w:hint="eastAsia" w:ascii="宋体" w:hAnsi="宋体" w:eastAsia="宋体" w:cs="宋体"/>
                <w:sz w:val="24"/>
                <w:szCs w:val="24"/>
                <w:highlight w:val="none"/>
              </w:rPr>
              <w:t xml:space="preserve">费率  </w:t>
            </w:r>
            <w:r>
              <w:rPr>
                <w:rFonts w:hint="eastAsia" w:ascii="宋体" w:hAnsi="宋体" w:eastAsia="宋体" w:cs="宋体"/>
                <w:sz w:val="24"/>
                <w:szCs w:val="24"/>
                <w:highlight w:val="none"/>
              </w:rPr>
              <w:sym w:font="Wingdings 2" w:char="00A3"/>
            </w:r>
            <w:r>
              <w:rPr>
                <w:rFonts w:hint="eastAsia" w:ascii="宋体" w:hAnsi="宋体" w:eastAsia="宋体" w:cs="宋体"/>
                <w:sz w:val="24"/>
                <w:szCs w:val="24"/>
                <w:highlight w:val="none"/>
              </w:rPr>
              <w:t>折扣</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lang w:eastAsia="zh-CN"/>
              </w:rPr>
              <w:sym w:font="Wingdings 2" w:char="00A3"/>
            </w:r>
            <w:r>
              <w:rPr>
                <w:rFonts w:hint="eastAsia" w:ascii="宋体" w:hAnsi="宋体" w:eastAsia="宋体" w:cs="宋体"/>
                <w:sz w:val="24"/>
                <w:szCs w:val="24"/>
                <w:highlight w:val="none"/>
                <w:lang w:val="en-US" w:eastAsia="zh-CN"/>
              </w:rPr>
              <w:t>优惠率</w:t>
            </w:r>
          </w:p>
        </w:tc>
      </w:tr>
      <w:tr w14:paraId="01B5F7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087" w:hRule="atLeast"/>
        </w:trPr>
        <w:tc>
          <w:tcPr>
            <w:tcW w:w="714" w:type="dxa"/>
            <w:vMerge w:val="continue"/>
            <w:noWrap w:val="0"/>
            <w:vAlign w:val="center"/>
          </w:tcPr>
          <w:p w14:paraId="7C1C3369">
            <w:pPr>
              <w:spacing w:beforeLines="0" w:afterLines="0" w:line="360" w:lineRule="auto"/>
              <w:jc w:val="center"/>
              <w:rPr>
                <w:rFonts w:hint="eastAsia" w:ascii="宋体" w:hAnsi="宋体" w:eastAsia="宋体" w:cs="宋体"/>
                <w:sz w:val="24"/>
                <w:szCs w:val="24"/>
                <w:highlight w:val="none"/>
                <w:lang w:eastAsia="zh-CN"/>
              </w:rPr>
            </w:pPr>
          </w:p>
        </w:tc>
        <w:tc>
          <w:tcPr>
            <w:tcW w:w="2176" w:type="dxa"/>
            <w:noWrap w:val="0"/>
            <w:vAlign w:val="center"/>
          </w:tcPr>
          <w:p w14:paraId="47DB6B33">
            <w:pPr>
              <w:spacing w:beforeLines="0" w:afterLines="0" w:line="360" w:lineRule="auto"/>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最高限价</w:t>
            </w:r>
          </w:p>
        </w:tc>
        <w:tc>
          <w:tcPr>
            <w:tcW w:w="7145" w:type="dxa"/>
            <w:noWrap w:val="0"/>
            <w:vAlign w:val="center"/>
          </w:tcPr>
          <w:p w14:paraId="4373A6A3">
            <w:pPr>
              <w:spacing w:beforeLines="0" w:afterLines="0"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本次采购总预算：</w:t>
            </w:r>
            <w:r>
              <w:rPr>
                <w:rFonts w:hint="eastAsia" w:ascii="宋体" w:hAnsi="宋体" w:eastAsia="宋体" w:cs="宋体"/>
                <w:sz w:val="24"/>
                <w:szCs w:val="24"/>
                <w:highlight w:val="none"/>
                <w:u w:val="single"/>
                <w:lang w:val="en-US" w:eastAsia="zh-CN"/>
              </w:rPr>
              <w:t xml:space="preserve"> 3700000.00</w:t>
            </w:r>
            <w:r>
              <w:rPr>
                <w:rFonts w:hint="eastAsia" w:ascii="宋体" w:hAnsi="宋体" w:eastAsia="宋体" w:cs="宋体"/>
                <w:sz w:val="24"/>
                <w:szCs w:val="24"/>
                <w:highlight w:val="none"/>
              </w:rPr>
              <w:t>元。最高限价：</w:t>
            </w:r>
            <w:r>
              <w:rPr>
                <w:rFonts w:hint="eastAsia" w:ascii="宋体" w:hAnsi="宋体" w:eastAsia="宋体" w:cs="宋体"/>
                <w:snapToGrid w:val="0"/>
                <w:color w:val="000000"/>
                <w:spacing w:val="-1"/>
                <w:kern w:val="0"/>
                <w:sz w:val="24"/>
                <w:szCs w:val="24"/>
                <w:u w:val="single"/>
                <w:lang w:val="en-US" w:eastAsia="zh-CN"/>
              </w:rPr>
              <w:t>3700000</w:t>
            </w:r>
            <w:r>
              <w:rPr>
                <w:rFonts w:hint="eastAsia" w:ascii="宋体" w:hAnsi="宋体" w:eastAsia="宋体" w:cs="宋体"/>
                <w:snapToGrid w:val="0"/>
                <w:color w:val="000000"/>
                <w:spacing w:val="-1"/>
                <w:kern w:val="0"/>
                <w:sz w:val="24"/>
                <w:szCs w:val="24"/>
                <w:u w:val="single"/>
              </w:rPr>
              <w:t>.00</w:t>
            </w:r>
            <w:r>
              <w:rPr>
                <w:rFonts w:hint="eastAsia" w:ascii="宋体" w:hAnsi="宋体" w:eastAsia="宋体" w:cs="宋体"/>
                <w:sz w:val="24"/>
                <w:szCs w:val="24"/>
                <w:highlight w:val="none"/>
              </w:rPr>
              <w:t>元。各供应商的报价一览表超出此范围将作废标处理。</w:t>
            </w:r>
          </w:p>
        </w:tc>
      </w:tr>
      <w:tr w14:paraId="1EACF1E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8" w:hRule="atLeast"/>
        </w:trPr>
        <w:tc>
          <w:tcPr>
            <w:tcW w:w="714" w:type="dxa"/>
            <w:vMerge w:val="continue"/>
            <w:noWrap w:val="0"/>
            <w:vAlign w:val="center"/>
          </w:tcPr>
          <w:p w14:paraId="77E2C84D">
            <w:pPr>
              <w:spacing w:beforeLines="0" w:afterLines="0" w:line="360" w:lineRule="auto"/>
              <w:jc w:val="center"/>
              <w:rPr>
                <w:rFonts w:hint="eastAsia" w:ascii="宋体" w:hAnsi="宋体" w:eastAsia="宋体" w:cs="宋体"/>
                <w:sz w:val="24"/>
                <w:szCs w:val="24"/>
                <w:highlight w:val="none"/>
                <w:lang w:eastAsia="zh-CN"/>
              </w:rPr>
            </w:pPr>
          </w:p>
        </w:tc>
        <w:tc>
          <w:tcPr>
            <w:tcW w:w="2176" w:type="dxa"/>
            <w:noWrap w:val="0"/>
            <w:vAlign w:val="center"/>
          </w:tcPr>
          <w:p w14:paraId="5C04DBA9">
            <w:pPr>
              <w:spacing w:beforeLines="0" w:afterLines="0" w:line="360" w:lineRule="auto"/>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低价不正当竞争预防措施</w:t>
            </w:r>
          </w:p>
        </w:tc>
        <w:tc>
          <w:tcPr>
            <w:tcW w:w="7145" w:type="dxa"/>
            <w:noWrap w:val="0"/>
            <w:vAlign w:val="center"/>
          </w:tcPr>
          <w:p w14:paraId="7B69A451">
            <w:pPr>
              <w:spacing w:beforeLines="0" w:afterLines="0" w:line="360" w:lineRule="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低价不正当竞争预防措施(实质性要求):</w:t>
            </w:r>
          </w:p>
          <w:p w14:paraId="58BAB077">
            <w:pPr>
              <w:spacing w:beforeLines="0" w:afterLines="0" w:line="360" w:lineRule="auto"/>
              <w:rPr>
                <w:rFonts w:hint="eastAsia" w:ascii="宋体" w:hAnsi="宋体" w:eastAsia="宋体" w:cs="宋体"/>
                <w:sz w:val="24"/>
                <w:szCs w:val="24"/>
                <w:highlight w:val="none"/>
                <w:lang w:val="en-US" w:eastAsia="en-US"/>
              </w:rPr>
            </w:pPr>
            <w:r>
              <w:rPr>
                <w:rFonts w:hint="eastAsia" w:ascii="宋体" w:hAnsi="宋体" w:eastAsia="宋体" w:cs="宋体"/>
                <w:sz w:val="24"/>
                <w:szCs w:val="24"/>
                <w:highlight w:val="none"/>
                <w:lang w:val="en-US" w:eastAsia="en-US"/>
              </w:rPr>
              <w:t>（一）政府采购评审中出现下列情形之一的，评审委员会应当启动异常低价投标（响应）审查程序：</w:t>
            </w:r>
          </w:p>
          <w:p w14:paraId="6F23BA75">
            <w:pPr>
              <w:spacing w:beforeLines="0" w:afterLines="0" w:line="360" w:lineRule="auto"/>
              <w:rPr>
                <w:rFonts w:hint="eastAsia" w:ascii="宋体" w:hAnsi="宋体" w:eastAsia="宋体" w:cs="宋体"/>
                <w:sz w:val="24"/>
                <w:szCs w:val="24"/>
                <w:highlight w:val="none"/>
                <w:lang w:val="en-US" w:eastAsia="en-US"/>
              </w:rPr>
            </w:pPr>
            <w:r>
              <w:rPr>
                <w:rFonts w:hint="eastAsia" w:ascii="宋体" w:hAnsi="宋体" w:eastAsia="宋体" w:cs="宋体"/>
                <w:sz w:val="24"/>
                <w:szCs w:val="24"/>
                <w:highlight w:val="none"/>
                <w:lang w:val="en-US" w:eastAsia="en-US"/>
              </w:rPr>
              <w:t>1.投标（响应）报价低于全部通过符合性审查供应商投标（响应）报价平均值50%的，即投标（响应）报价&lt;全部通过符合性审查供应商投标（响应）报价平均值×50%；</w:t>
            </w:r>
          </w:p>
          <w:p w14:paraId="1BFF97A4">
            <w:pPr>
              <w:spacing w:beforeLines="0" w:afterLines="0" w:line="360" w:lineRule="auto"/>
              <w:rPr>
                <w:rFonts w:hint="eastAsia" w:ascii="宋体" w:hAnsi="宋体" w:eastAsia="宋体" w:cs="宋体"/>
                <w:sz w:val="24"/>
                <w:szCs w:val="24"/>
                <w:highlight w:val="none"/>
                <w:lang w:val="en-US" w:eastAsia="en-US"/>
              </w:rPr>
            </w:pPr>
            <w:r>
              <w:rPr>
                <w:rFonts w:hint="eastAsia" w:ascii="宋体" w:hAnsi="宋体" w:eastAsia="宋体" w:cs="宋体"/>
                <w:sz w:val="24"/>
                <w:szCs w:val="24"/>
                <w:highlight w:val="none"/>
                <w:lang w:val="en-US" w:eastAsia="en-US"/>
              </w:rPr>
              <w:t>2.投标（响应）报价低于通过符合性审查的次低报价供应商投标（响应）报价50%的，即投标（响应）报价&lt;通过符合性审查的次低报价供应商投标（响应）报价×50%；</w:t>
            </w:r>
          </w:p>
          <w:p w14:paraId="1C748B97">
            <w:pPr>
              <w:spacing w:beforeLines="0" w:afterLines="0" w:line="360" w:lineRule="auto"/>
              <w:rPr>
                <w:rFonts w:hint="eastAsia" w:ascii="宋体" w:hAnsi="宋体" w:eastAsia="宋体" w:cs="宋体"/>
                <w:sz w:val="24"/>
                <w:szCs w:val="24"/>
                <w:highlight w:val="none"/>
                <w:lang w:val="en-US" w:eastAsia="en-US"/>
              </w:rPr>
            </w:pPr>
            <w:r>
              <w:rPr>
                <w:rFonts w:hint="eastAsia" w:ascii="宋体" w:hAnsi="宋体" w:eastAsia="宋体" w:cs="宋体"/>
                <w:sz w:val="24"/>
                <w:szCs w:val="24"/>
                <w:highlight w:val="none"/>
                <w:lang w:val="en-US" w:eastAsia="en-US"/>
              </w:rPr>
              <w:t>3.投标（响应）报价低于采购项目最高限价45%的，即投标（响应）报价&lt;采购项目最高限价×</w:t>
            </w:r>
            <w:r>
              <w:rPr>
                <w:rFonts w:hint="eastAsia" w:cs="宋体"/>
                <w:sz w:val="24"/>
                <w:szCs w:val="24"/>
                <w:highlight w:val="none"/>
                <w:lang w:val="en-US" w:eastAsia="zh-CN"/>
              </w:rPr>
              <w:t>45</w:t>
            </w:r>
            <w:r>
              <w:rPr>
                <w:rFonts w:hint="eastAsia" w:ascii="宋体" w:hAnsi="宋体" w:eastAsia="宋体" w:cs="宋体"/>
                <w:sz w:val="24"/>
                <w:szCs w:val="24"/>
                <w:highlight w:val="none"/>
                <w:lang w:val="en-US" w:eastAsia="en-US"/>
              </w:rPr>
              <w:t>%；</w:t>
            </w:r>
          </w:p>
          <w:p w14:paraId="2C056A23">
            <w:pPr>
              <w:spacing w:beforeLines="0" w:afterLines="0" w:line="360" w:lineRule="auto"/>
              <w:rPr>
                <w:rFonts w:hint="eastAsia" w:ascii="宋体" w:hAnsi="宋体" w:eastAsia="宋体" w:cs="宋体"/>
                <w:sz w:val="24"/>
                <w:szCs w:val="24"/>
                <w:highlight w:val="none"/>
                <w:lang w:val="en-US" w:eastAsia="en-US"/>
              </w:rPr>
            </w:pPr>
            <w:r>
              <w:rPr>
                <w:rFonts w:hint="eastAsia" w:ascii="宋体" w:hAnsi="宋体" w:eastAsia="宋体" w:cs="宋体"/>
                <w:sz w:val="24"/>
                <w:szCs w:val="24"/>
                <w:highlight w:val="none"/>
                <w:lang w:val="en-US" w:eastAsia="en-US"/>
              </w:rPr>
              <w:t>4.评审委员会基于专业判断，认为供应商报价过低，有可能影响产品质量或者不能诚信履约的其他情形。</w:t>
            </w:r>
          </w:p>
          <w:p w14:paraId="60F0254C">
            <w:pPr>
              <w:spacing w:beforeLines="0" w:afterLines="0" w:line="360" w:lineRule="auto"/>
              <w:rPr>
                <w:rFonts w:hint="eastAsia" w:ascii="宋体" w:hAnsi="宋体" w:eastAsia="宋体" w:cs="宋体"/>
                <w:sz w:val="24"/>
                <w:szCs w:val="24"/>
                <w:highlight w:val="none"/>
                <w:lang w:val="en-US" w:eastAsia="en-US"/>
              </w:rPr>
            </w:pPr>
            <w:r>
              <w:rPr>
                <w:rFonts w:hint="eastAsia" w:cs="宋体"/>
                <w:sz w:val="24"/>
                <w:szCs w:val="24"/>
                <w:highlight w:val="none"/>
                <w:lang w:val="en-US" w:eastAsia="zh-CN"/>
              </w:rPr>
              <w:t>招标人</w:t>
            </w:r>
            <w:r>
              <w:rPr>
                <w:rFonts w:hint="eastAsia" w:ascii="宋体" w:hAnsi="宋体" w:eastAsia="宋体" w:cs="宋体"/>
                <w:sz w:val="24"/>
                <w:szCs w:val="24"/>
                <w:highlight w:val="none"/>
                <w:lang w:val="en-US" w:eastAsia="en-US"/>
              </w:rPr>
              <w:t>可以结合具体项目实际情况，提高上述第1项至第3项中启动异常低价投标（响应）审查的数值标准，但是最高不得超过</w:t>
            </w:r>
            <w:r>
              <w:rPr>
                <w:rFonts w:hint="eastAsia" w:ascii="宋体" w:hAnsi="宋体" w:eastAsia="宋体" w:cs="宋体"/>
                <w:sz w:val="24"/>
                <w:szCs w:val="24"/>
                <w:highlight w:val="none"/>
                <w:lang w:val="en-US" w:eastAsia="zh-CN"/>
              </w:rPr>
              <w:t>50</w:t>
            </w:r>
            <w:r>
              <w:rPr>
                <w:rFonts w:hint="eastAsia" w:ascii="宋体" w:hAnsi="宋体" w:eastAsia="宋体" w:cs="宋体"/>
                <w:sz w:val="24"/>
                <w:szCs w:val="24"/>
                <w:highlight w:val="none"/>
                <w:lang w:val="en-US" w:eastAsia="en-US"/>
              </w:rPr>
              <w:t>%。</w:t>
            </w:r>
          </w:p>
          <w:p w14:paraId="2712AE15">
            <w:pPr>
              <w:spacing w:beforeLines="0" w:afterLines="0" w:line="360" w:lineRule="auto"/>
              <w:rPr>
                <w:rFonts w:hint="eastAsia" w:ascii="宋体" w:hAnsi="宋体" w:eastAsia="宋体" w:cs="宋体"/>
                <w:sz w:val="24"/>
                <w:szCs w:val="24"/>
                <w:highlight w:val="none"/>
                <w:lang w:val="en-US" w:eastAsia="en-US"/>
              </w:rPr>
            </w:pPr>
            <w:r>
              <w:rPr>
                <w:rFonts w:hint="eastAsia" w:ascii="宋体" w:hAnsi="宋体" w:eastAsia="宋体" w:cs="宋体"/>
                <w:sz w:val="24"/>
                <w:szCs w:val="24"/>
                <w:highlight w:val="none"/>
                <w:lang w:val="en-US" w:eastAsia="en-US"/>
              </w:rPr>
              <w:t>相关法律法规对供应商报价有规定的，从其规定。</w:t>
            </w:r>
          </w:p>
          <w:p w14:paraId="340809D5">
            <w:pPr>
              <w:spacing w:beforeLines="0" w:afterLines="0" w:line="360" w:lineRule="auto"/>
              <w:rPr>
                <w:rFonts w:hint="eastAsia" w:ascii="宋体" w:hAnsi="宋体" w:eastAsia="宋体" w:cs="宋体"/>
                <w:sz w:val="24"/>
                <w:szCs w:val="24"/>
                <w:highlight w:val="none"/>
                <w:lang w:val="en-US" w:eastAsia="en-US"/>
              </w:rPr>
            </w:pPr>
            <w:r>
              <w:rPr>
                <w:rFonts w:hint="eastAsia" w:ascii="宋体" w:hAnsi="宋体" w:eastAsia="宋体" w:cs="宋体"/>
                <w:sz w:val="24"/>
                <w:szCs w:val="24"/>
                <w:highlight w:val="none"/>
                <w:lang w:val="en-US" w:eastAsia="en-US"/>
              </w:rPr>
              <w:t>（二）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6C2D8810">
            <w:pPr>
              <w:spacing w:beforeLines="0" w:afterLines="0" w:line="360" w:lineRule="auto"/>
              <w:rPr>
                <w:rFonts w:hint="eastAsia" w:ascii="宋体" w:hAnsi="宋体" w:eastAsia="宋体" w:cs="宋体"/>
                <w:sz w:val="24"/>
                <w:szCs w:val="24"/>
                <w:highlight w:val="none"/>
                <w:lang w:val="en-US" w:eastAsia="en-US"/>
              </w:rPr>
            </w:pPr>
            <w:r>
              <w:rPr>
                <w:rFonts w:hint="eastAsia" w:ascii="宋体" w:hAnsi="宋体" w:eastAsia="宋体" w:cs="宋体"/>
                <w:sz w:val="24"/>
                <w:szCs w:val="24"/>
                <w:highlight w:val="none"/>
                <w:lang w:val="en-US" w:eastAsia="en-US"/>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6116A70B">
            <w:pPr>
              <w:spacing w:beforeLines="0" w:afterLines="0" w:line="360" w:lineRule="auto"/>
              <w:rPr>
                <w:rFonts w:hint="eastAsia" w:ascii="宋体" w:hAnsi="宋体" w:eastAsia="宋体" w:cs="宋体"/>
                <w:sz w:val="24"/>
                <w:szCs w:val="24"/>
                <w:highlight w:val="none"/>
                <w:lang w:val="en-US" w:eastAsia="en-US"/>
              </w:rPr>
            </w:pPr>
            <w:r>
              <w:rPr>
                <w:rFonts w:hint="eastAsia" w:cs="宋体"/>
                <w:sz w:val="24"/>
                <w:szCs w:val="24"/>
                <w:highlight w:val="none"/>
                <w:lang w:val="en-US" w:eastAsia="zh-CN"/>
              </w:rPr>
              <w:t>招标人</w:t>
            </w:r>
            <w:r>
              <w:rPr>
                <w:rFonts w:hint="eastAsia" w:ascii="宋体" w:hAnsi="宋体" w:eastAsia="宋体" w:cs="宋体"/>
                <w:sz w:val="24"/>
                <w:szCs w:val="24"/>
                <w:highlight w:val="none"/>
                <w:lang w:val="en-US" w:eastAsia="en-US"/>
              </w:rPr>
              <w:t>、</w:t>
            </w:r>
            <w:r>
              <w:rPr>
                <w:rFonts w:hint="eastAsia" w:cs="宋体"/>
                <w:sz w:val="24"/>
                <w:szCs w:val="24"/>
                <w:highlight w:val="none"/>
                <w:lang w:val="en-US" w:eastAsia="zh-CN"/>
              </w:rPr>
              <w:t>招标代理机构</w:t>
            </w:r>
            <w:r>
              <w:rPr>
                <w:rFonts w:hint="eastAsia" w:ascii="宋体" w:hAnsi="宋体" w:eastAsia="宋体" w:cs="宋体"/>
                <w:sz w:val="24"/>
                <w:szCs w:val="24"/>
                <w:highlight w:val="none"/>
                <w:lang w:val="en-US" w:eastAsia="en-US"/>
              </w:rPr>
              <w:t>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3200C6DC">
            <w:pPr>
              <w:spacing w:beforeLines="0" w:afterLines="0" w:line="360" w:lineRule="auto"/>
              <w:ind w:firstLine="480" w:firstLineChars="200"/>
              <w:rPr>
                <w:rFonts w:hint="eastAsia" w:ascii="宋体" w:hAnsi="宋体" w:eastAsia="宋体" w:cs="宋体"/>
                <w:sz w:val="24"/>
                <w:szCs w:val="24"/>
                <w:highlight w:val="yellow"/>
              </w:rPr>
            </w:pPr>
            <w:r>
              <w:rPr>
                <w:rFonts w:hint="eastAsia" w:ascii="宋体" w:hAnsi="宋体" w:eastAsia="宋体" w:cs="宋体"/>
                <w:sz w:val="24"/>
                <w:szCs w:val="24"/>
                <w:highlight w:val="none"/>
                <w:lang w:val="en-US" w:eastAsia="en-US"/>
              </w:rPr>
              <w:t>异常低价投标（响应）审查的启动原因、审查意见和审查结果应当在评审报告中记录，并随供应商提供的相关书面说明及证明材料，以及评审委员会有关互联网浏览、查询历史一并归档。</w:t>
            </w:r>
            <w:r>
              <w:rPr>
                <w:rFonts w:hint="eastAsia" w:ascii="宋体" w:hAnsi="宋体" w:eastAsia="宋体" w:cs="宋体"/>
                <w:sz w:val="24"/>
                <w:szCs w:val="24"/>
                <w:highlight w:val="none"/>
              </w:rPr>
              <w:t xml:space="preserve"> </w:t>
            </w:r>
          </w:p>
        </w:tc>
      </w:tr>
      <w:tr w14:paraId="231918F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99" w:hRule="atLeast"/>
        </w:trPr>
        <w:tc>
          <w:tcPr>
            <w:tcW w:w="714" w:type="dxa"/>
            <w:noWrap w:val="0"/>
            <w:vAlign w:val="center"/>
          </w:tcPr>
          <w:p w14:paraId="285756E1">
            <w:pPr>
              <w:spacing w:beforeLines="0" w:afterLines="0" w:line="36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lang w:eastAsia="zh-CN"/>
              </w:rPr>
              <w:t>8</w:t>
            </w:r>
          </w:p>
        </w:tc>
        <w:tc>
          <w:tcPr>
            <w:tcW w:w="2176" w:type="dxa"/>
            <w:noWrap w:val="0"/>
            <w:vAlign w:val="center"/>
          </w:tcPr>
          <w:p w14:paraId="4FB42A04">
            <w:pPr>
              <w:spacing w:beforeLines="0" w:afterLines="0" w:line="360" w:lineRule="auto"/>
              <w:jc w:val="center"/>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投标保证金</w:t>
            </w:r>
          </w:p>
        </w:tc>
        <w:tc>
          <w:tcPr>
            <w:tcW w:w="7145" w:type="dxa"/>
            <w:noWrap w:val="0"/>
            <w:vAlign w:val="center"/>
          </w:tcPr>
          <w:p w14:paraId="790A6A81">
            <w:pPr>
              <w:spacing w:beforeLines="0" w:afterLines="0"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lang w:eastAsia="zh-CN"/>
              </w:rPr>
              <w:t>是否需要缴纳保证金：</w:t>
            </w:r>
            <w:r>
              <w:rPr>
                <w:rFonts w:hint="eastAsia" w:ascii="宋体" w:hAnsi="宋体" w:eastAsia="宋体" w:cs="宋体"/>
                <w:sz w:val="24"/>
                <w:szCs w:val="24"/>
                <w:highlight w:val="none"/>
                <w:lang w:eastAsia="zh-CN"/>
              </w:rPr>
              <w:sym w:font="Wingdings 2" w:char="00A3"/>
            </w:r>
            <w:r>
              <w:rPr>
                <w:rFonts w:hint="eastAsia" w:ascii="宋体" w:hAnsi="宋体" w:eastAsia="宋体" w:cs="宋体"/>
                <w:sz w:val="24"/>
                <w:szCs w:val="24"/>
                <w:highlight w:val="none"/>
                <w:lang w:eastAsia="zh-CN"/>
              </w:rPr>
              <w:t>是</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lang w:eastAsia="zh-CN"/>
              </w:rPr>
              <w:sym w:font="Wingdings 2" w:char="0052"/>
            </w:r>
            <w:r>
              <w:rPr>
                <w:rFonts w:hint="eastAsia" w:ascii="宋体" w:hAnsi="宋体" w:eastAsia="宋体" w:cs="宋体"/>
                <w:sz w:val="24"/>
                <w:szCs w:val="24"/>
                <w:highlight w:val="none"/>
                <w:lang w:eastAsia="zh-CN"/>
              </w:rPr>
              <w:t>否</w:t>
            </w:r>
          </w:p>
        </w:tc>
      </w:tr>
      <w:tr w14:paraId="1DCD142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700" w:hRule="atLeast"/>
        </w:trPr>
        <w:tc>
          <w:tcPr>
            <w:tcW w:w="714" w:type="dxa"/>
            <w:noWrap w:val="0"/>
            <w:vAlign w:val="center"/>
          </w:tcPr>
          <w:p w14:paraId="4A92BEEC">
            <w:pPr>
              <w:spacing w:beforeLines="0" w:afterLines="0" w:line="36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lang w:eastAsia="zh-CN"/>
              </w:rPr>
              <w:t>9</w:t>
            </w:r>
          </w:p>
        </w:tc>
        <w:tc>
          <w:tcPr>
            <w:tcW w:w="2176" w:type="dxa"/>
            <w:noWrap w:val="0"/>
            <w:vAlign w:val="center"/>
          </w:tcPr>
          <w:p w14:paraId="112DB648">
            <w:pPr>
              <w:spacing w:beforeLines="0" w:afterLines="0" w:line="360" w:lineRule="auto"/>
              <w:jc w:val="center"/>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投标有效期</w:t>
            </w:r>
          </w:p>
        </w:tc>
        <w:tc>
          <w:tcPr>
            <w:tcW w:w="7145" w:type="dxa"/>
            <w:noWrap w:val="0"/>
            <w:vAlign w:val="center"/>
          </w:tcPr>
          <w:p w14:paraId="489EA62A">
            <w:pPr>
              <w:spacing w:beforeLines="0" w:afterLines="0"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lang w:eastAsia="zh-CN"/>
              </w:rPr>
              <w:t>自</w:t>
            </w:r>
            <w:r>
              <w:rPr>
                <w:rFonts w:hint="eastAsia" w:ascii="宋体" w:hAnsi="宋体" w:eastAsia="宋体" w:cs="宋体"/>
                <w:sz w:val="24"/>
                <w:szCs w:val="24"/>
                <w:highlight w:val="none"/>
              </w:rPr>
              <w:t>提交投标文件</w:t>
            </w:r>
            <w:r>
              <w:rPr>
                <w:rFonts w:hint="eastAsia" w:ascii="宋体" w:hAnsi="宋体" w:eastAsia="宋体" w:cs="宋体"/>
                <w:sz w:val="24"/>
                <w:szCs w:val="24"/>
                <w:highlight w:val="none"/>
                <w:lang w:eastAsia="zh-CN"/>
              </w:rPr>
              <w:t>的</w:t>
            </w:r>
            <w:r>
              <w:rPr>
                <w:rFonts w:hint="eastAsia" w:ascii="宋体" w:hAnsi="宋体" w:eastAsia="宋体" w:cs="宋体"/>
                <w:sz w:val="24"/>
                <w:szCs w:val="24"/>
                <w:highlight w:val="none"/>
              </w:rPr>
              <w:t>截止之日起</w:t>
            </w:r>
            <w:r>
              <w:rPr>
                <w:rFonts w:hint="eastAsia" w:ascii="宋体" w:hAnsi="宋体" w:eastAsia="宋体" w:cs="宋体"/>
                <w:sz w:val="24"/>
                <w:szCs w:val="24"/>
                <w:highlight w:val="none"/>
                <w:lang w:eastAsia="zh-CN"/>
              </w:rPr>
              <w:t>不少于</w:t>
            </w:r>
            <w:r>
              <w:rPr>
                <w:rFonts w:hint="eastAsia" w:ascii="宋体" w:hAnsi="宋体" w:eastAsia="宋体" w:cs="宋体"/>
                <w:sz w:val="24"/>
                <w:szCs w:val="24"/>
                <w:highlight w:val="none"/>
                <w:u w:val="single"/>
                <w:lang w:val="en-US" w:eastAsia="zh-CN"/>
              </w:rPr>
              <w:t>90个</w:t>
            </w:r>
            <w:r>
              <w:rPr>
                <w:rFonts w:hint="eastAsia" w:cs="宋体"/>
                <w:sz w:val="24"/>
                <w:szCs w:val="24"/>
                <w:highlight w:val="none"/>
                <w:lang w:val="en-US" w:eastAsia="zh-CN"/>
              </w:rPr>
              <w:t>日历日</w:t>
            </w:r>
            <w:r>
              <w:rPr>
                <w:rFonts w:hint="eastAsia" w:ascii="宋体" w:hAnsi="宋体" w:eastAsia="宋体" w:cs="宋体"/>
                <w:sz w:val="24"/>
                <w:szCs w:val="24"/>
                <w:highlight w:val="none"/>
                <w:lang w:eastAsia="zh-CN"/>
              </w:rPr>
              <w:t>。</w:t>
            </w:r>
          </w:p>
        </w:tc>
      </w:tr>
      <w:tr w14:paraId="06DB951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049" w:hRule="atLeast"/>
        </w:trPr>
        <w:tc>
          <w:tcPr>
            <w:tcW w:w="714" w:type="dxa"/>
            <w:noWrap w:val="0"/>
            <w:vAlign w:val="center"/>
          </w:tcPr>
          <w:p w14:paraId="33D13792">
            <w:pPr>
              <w:spacing w:beforeLines="0" w:afterLines="0" w:line="360" w:lineRule="auto"/>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10</w:t>
            </w:r>
          </w:p>
        </w:tc>
        <w:tc>
          <w:tcPr>
            <w:tcW w:w="2176" w:type="dxa"/>
            <w:noWrap w:val="0"/>
            <w:vAlign w:val="center"/>
          </w:tcPr>
          <w:p w14:paraId="32106D96">
            <w:pPr>
              <w:spacing w:beforeLines="0" w:afterLines="0" w:line="360" w:lineRule="auto"/>
              <w:jc w:val="center"/>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资格审查</w:t>
            </w:r>
          </w:p>
        </w:tc>
        <w:tc>
          <w:tcPr>
            <w:tcW w:w="7145" w:type="dxa"/>
            <w:noWrap w:val="0"/>
            <w:vAlign w:val="center"/>
          </w:tcPr>
          <w:p w14:paraId="65A3D48B">
            <w:pPr>
              <w:spacing w:beforeLines="0" w:afterLines="0"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sym w:font="Wingdings 2" w:char="00A3"/>
            </w:r>
            <w:r>
              <w:rPr>
                <w:rFonts w:hint="eastAsia" w:cs="宋体"/>
                <w:sz w:val="24"/>
                <w:szCs w:val="24"/>
                <w:highlight w:val="none"/>
                <w:lang w:val="en-US" w:eastAsia="zh-CN"/>
              </w:rPr>
              <w:t>招标人</w:t>
            </w:r>
            <w:r>
              <w:rPr>
                <w:rFonts w:hint="eastAsia" w:ascii="宋体" w:hAnsi="宋体" w:eastAsia="宋体" w:cs="宋体"/>
                <w:sz w:val="24"/>
                <w:szCs w:val="24"/>
                <w:highlight w:val="none"/>
                <w:lang w:eastAsia="zh-CN"/>
              </w:rPr>
              <w:t>审查</w:t>
            </w:r>
            <w:r>
              <w:rPr>
                <w:rFonts w:hint="eastAsia" w:ascii="宋体" w:hAnsi="宋体" w:eastAsia="宋体" w:cs="宋体"/>
                <w:sz w:val="24"/>
                <w:szCs w:val="24"/>
                <w:highlight w:val="none"/>
              </w:rPr>
              <w:t xml:space="preserve">  </w:t>
            </w:r>
          </w:p>
          <w:p w14:paraId="56B37634">
            <w:pPr>
              <w:spacing w:beforeLines="0" w:afterLines="0" w:line="360" w:lineRule="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sym w:font="Wingdings 2" w:char="00A3"/>
            </w:r>
            <w:r>
              <w:rPr>
                <w:rFonts w:hint="eastAsia" w:cs="宋体"/>
                <w:sz w:val="24"/>
                <w:szCs w:val="24"/>
                <w:highlight w:val="none"/>
                <w:lang w:val="en-US" w:eastAsia="zh-CN"/>
              </w:rPr>
              <w:t>招标人</w:t>
            </w:r>
            <w:r>
              <w:rPr>
                <w:rFonts w:hint="eastAsia" w:ascii="宋体" w:hAnsi="宋体" w:eastAsia="宋体" w:cs="宋体"/>
                <w:sz w:val="24"/>
                <w:szCs w:val="24"/>
                <w:highlight w:val="none"/>
                <w:lang w:eastAsia="zh-CN"/>
              </w:rPr>
              <w:t>和</w:t>
            </w:r>
            <w:r>
              <w:rPr>
                <w:rFonts w:hint="eastAsia" w:cs="宋体"/>
                <w:sz w:val="24"/>
                <w:szCs w:val="24"/>
                <w:highlight w:val="none"/>
                <w:lang w:eastAsia="zh-CN"/>
              </w:rPr>
              <w:t>招标代理机构</w:t>
            </w:r>
            <w:r>
              <w:rPr>
                <w:rFonts w:hint="eastAsia" w:ascii="宋体" w:hAnsi="宋体" w:eastAsia="宋体" w:cs="宋体"/>
                <w:sz w:val="24"/>
                <w:szCs w:val="24"/>
                <w:highlight w:val="none"/>
                <w:lang w:eastAsia="zh-CN"/>
              </w:rPr>
              <w:t>共同审查</w:t>
            </w:r>
          </w:p>
          <w:p w14:paraId="386F6BCF">
            <w:pPr>
              <w:spacing w:beforeLines="0" w:afterLines="0" w:line="360" w:lineRule="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sym w:font="Wingdings 2" w:char="0052"/>
            </w:r>
            <w:r>
              <w:rPr>
                <w:rFonts w:hint="eastAsia" w:cs="宋体"/>
                <w:sz w:val="24"/>
                <w:szCs w:val="24"/>
                <w:highlight w:val="none"/>
                <w:lang w:val="en-US" w:eastAsia="zh-CN"/>
              </w:rPr>
              <w:t>招标人</w:t>
            </w:r>
            <w:r>
              <w:rPr>
                <w:rFonts w:hint="eastAsia" w:ascii="宋体" w:hAnsi="宋体" w:eastAsia="宋体" w:cs="宋体"/>
                <w:sz w:val="24"/>
                <w:szCs w:val="24"/>
                <w:highlight w:val="none"/>
                <w:lang w:eastAsia="zh-CN"/>
              </w:rPr>
              <w:t>委托</w:t>
            </w:r>
            <w:r>
              <w:rPr>
                <w:rFonts w:hint="eastAsia" w:cs="宋体"/>
                <w:sz w:val="24"/>
                <w:szCs w:val="24"/>
                <w:highlight w:val="none"/>
                <w:lang w:eastAsia="zh-CN"/>
              </w:rPr>
              <w:t>招标代理机构</w:t>
            </w:r>
            <w:r>
              <w:rPr>
                <w:rFonts w:hint="eastAsia" w:ascii="宋体" w:hAnsi="宋体" w:eastAsia="宋体" w:cs="宋体"/>
                <w:sz w:val="24"/>
                <w:szCs w:val="24"/>
                <w:highlight w:val="none"/>
                <w:lang w:eastAsia="zh-CN"/>
              </w:rPr>
              <w:t>审查</w:t>
            </w:r>
          </w:p>
        </w:tc>
      </w:tr>
      <w:tr w14:paraId="31BA72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01" w:hRule="atLeast"/>
        </w:trPr>
        <w:tc>
          <w:tcPr>
            <w:tcW w:w="714" w:type="dxa"/>
            <w:noWrap w:val="0"/>
            <w:vAlign w:val="center"/>
          </w:tcPr>
          <w:p w14:paraId="26900437">
            <w:pPr>
              <w:spacing w:beforeLines="0" w:afterLines="0" w:line="360" w:lineRule="auto"/>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11</w:t>
            </w:r>
          </w:p>
        </w:tc>
        <w:tc>
          <w:tcPr>
            <w:tcW w:w="2176" w:type="dxa"/>
            <w:noWrap w:val="0"/>
            <w:vAlign w:val="center"/>
          </w:tcPr>
          <w:p w14:paraId="1B27E83E">
            <w:pPr>
              <w:spacing w:beforeLines="0" w:afterLines="0" w:line="360" w:lineRule="auto"/>
              <w:jc w:val="center"/>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评标方法</w:t>
            </w:r>
            <w:r>
              <w:rPr>
                <w:rFonts w:hint="eastAsia" w:ascii="宋体" w:hAnsi="宋体" w:eastAsia="宋体" w:cs="宋体"/>
                <w:sz w:val="24"/>
                <w:szCs w:val="24"/>
                <w:highlight w:val="none"/>
                <w:lang w:val="en-US" w:eastAsia="zh-CN"/>
              </w:rPr>
              <w:t>及</w:t>
            </w:r>
            <w:r>
              <w:rPr>
                <w:rFonts w:hint="eastAsia" w:ascii="宋体" w:hAnsi="宋体" w:eastAsia="宋体" w:cs="宋体"/>
                <w:sz w:val="24"/>
                <w:szCs w:val="24"/>
                <w:highlight w:val="none"/>
                <w:lang w:eastAsia="en-US"/>
              </w:rPr>
              <w:t>评标委员会的组建</w:t>
            </w:r>
          </w:p>
        </w:tc>
        <w:tc>
          <w:tcPr>
            <w:tcW w:w="7145" w:type="dxa"/>
            <w:noWrap w:val="0"/>
            <w:vAlign w:val="center"/>
          </w:tcPr>
          <w:p w14:paraId="6B059809">
            <w:pPr>
              <w:spacing w:beforeLines="0" w:afterLines="0" w:line="360" w:lineRule="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评标方法：</w:t>
            </w:r>
            <w:r>
              <w:rPr>
                <w:rFonts w:hint="eastAsia" w:ascii="宋体" w:hAnsi="宋体" w:eastAsia="宋体" w:cs="宋体"/>
                <w:sz w:val="24"/>
                <w:szCs w:val="24"/>
                <w:highlight w:val="none"/>
              </w:rPr>
              <w:sym w:font="Wingdings 2" w:char="0052"/>
            </w:r>
            <w:r>
              <w:rPr>
                <w:rFonts w:hint="eastAsia" w:ascii="宋体" w:hAnsi="宋体" w:eastAsia="宋体" w:cs="宋体"/>
                <w:sz w:val="24"/>
                <w:szCs w:val="24"/>
                <w:highlight w:val="none"/>
                <w:lang w:eastAsia="zh-CN"/>
              </w:rPr>
              <w:t>综合评分法</w:t>
            </w:r>
            <w:r>
              <w:rPr>
                <w:rFonts w:hint="eastAsia" w:ascii="宋体" w:hAnsi="宋体" w:eastAsia="宋体" w:cs="宋体"/>
                <w:sz w:val="24"/>
                <w:szCs w:val="24"/>
                <w:highlight w:val="none"/>
              </w:rPr>
              <w:t xml:space="preserve">  </w:t>
            </w:r>
            <w:r>
              <w:rPr>
                <w:rFonts w:hint="eastAsia" w:ascii="宋体" w:hAnsi="宋体" w:eastAsia="宋体" w:cs="宋体"/>
                <w:sz w:val="24"/>
                <w:szCs w:val="24"/>
                <w:highlight w:val="none"/>
              </w:rPr>
              <w:sym w:font="Wingdings 2" w:char="00A3"/>
            </w:r>
            <w:r>
              <w:rPr>
                <w:rFonts w:hint="eastAsia" w:ascii="宋体" w:hAnsi="宋体" w:eastAsia="宋体" w:cs="宋体"/>
                <w:sz w:val="24"/>
                <w:szCs w:val="24"/>
                <w:highlight w:val="none"/>
                <w:lang w:eastAsia="zh-CN"/>
              </w:rPr>
              <w:t>最低评标价法</w:t>
            </w:r>
          </w:p>
          <w:p w14:paraId="049D60E7">
            <w:pPr>
              <w:spacing w:beforeLines="0" w:afterLines="0" w:line="360" w:lineRule="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评标委员会构成：由</w:t>
            </w:r>
            <w:r>
              <w:rPr>
                <w:rFonts w:hint="eastAsia" w:cs="宋体"/>
                <w:sz w:val="24"/>
                <w:szCs w:val="24"/>
                <w:highlight w:val="none"/>
                <w:lang w:val="en-US" w:eastAsia="zh-CN"/>
              </w:rPr>
              <w:t>招标人</w:t>
            </w:r>
            <w:r>
              <w:rPr>
                <w:rFonts w:hint="eastAsia" w:ascii="宋体" w:hAnsi="宋体" w:eastAsia="宋体" w:cs="宋体"/>
                <w:sz w:val="24"/>
                <w:szCs w:val="24"/>
                <w:highlight w:val="none"/>
                <w:lang w:eastAsia="zh-CN"/>
              </w:rPr>
              <w:t>的代表1人和有关专家4人，共5人组成。</w:t>
            </w:r>
          </w:p>
          <w:p w14:paraId="4B7EBC61">
            <w:pPr>
              <w:spacing w:beforeLines="0" w:afterLines="0" w:line="360" w:lineRule="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评标专家确定方式：</w:t>
            </w:r>
            <w:r>
              <w:rPr>
                <w:rFonts w:hint="eastAsia" w:cs="宋体"/>
                <w:sz w:val="24"/>
                <w:szCs w:val="24"/>
                <w:highlight w:val="none"/>
                <w:lang w:eastAsia="zh-CN"/>
              </w:rPr>
              <w:t>招标人</w:t>
            </w:r>
            <w:r>
              <w:rPr>
                <w:rFonts w:hint="eastAsia" w:ascii="宋体" w:hAnsi="宋体" w:eastAsia="宋体" w:cs="宋体"/>
                <w:sz w:val="24"/>
                <w:szCs w:val="24"/>
                <w:highlight w:val="none"/>
                <w:lang w:eastAsia="zh-CN"/>
              </w:rPr>
              <w:t>的代表由采购单位委派，有关专家从政府采购评审专家库中随机抽取。</w:t>
            </w:r>
          </w:p>
        </w:tc>
      </w:tr>
      <w:tr w14:paraId="1CF8963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574" w:hRule="atLeast"/>
        </w:trPr>
        <w:tc>
          <w:tcPr>
            <w:tcW w:w="714" w:type="dxa"/>
            <w:noWrap w:val="0"/>
            <w:vAlign w:val="center"/>
          </w:tcPr>
          <w:p w14:paraId="23012940">
            <w:pPr>
              <w:spacing w:beforeLines="0" w:afterLines="0" w:line="36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12</w:t>
            </w:r>
          </w:p>
        </w:tc>
        <w:tc>
          <w:tcPr>
            <w:tcW w:w="2176" w:type="dxa"/>
            <w:noWrap w:val="0"/>
            <w:vAlign w:val="center"/>
          </w:tcPr>
          <w:p w14:paraId="6541F547">
            <w:pPr>
              <w:spacing w:beforeLines="0" w:afterLines="0" w:line="360" w:lineRule="auto"/>
              <w:jc w:val="center"/>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确定中标人</w:t>
            </w:r>
          </w:p>
        </w:tc>
        <w:tc>
          <w:tcPr>
            <w:tcW w:w="7145" w:type="dxa"/>
            <w:noWrap w:val="0"/>
            <w:vAlign w:val="center"/>
          </w:tcPr>
          <w:p w14:paraId="47B15081">
            <w:pPr>
              <w:widowControl/>
              <w:spacing w:beforeLines="0" w:afterLines="0" w:line="360" w:lineRule="auto"/>
              <w:jc w:val="left"/>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是否委托评标委员会直接确定中标人：</w:t>
            </w:r>
            <w:r>
              <w:rPr>
                <w:rFonts w:hint="eastAsia" w:ascii="宋体" w:hAnsi="宋体" w:eastAsia="宋体" w:cs="宋体"/>
                <w:sz w:val="24"/>
                <w:szCs w:val="24"/>
                <w:highlight w:val="none"/>
                <w:lang w:eastAsia="zh-CN"/>
              </w:rPr>
              <w:sym w:font="Wingdings 2" w:char="00A3"/>
            </w:r>
            <w:r>
              <w:rPr>
                <w:rFonts w:hint="eastAsia" w:ascii="宋体" w:hAnsi="宋体" w:eastAsia="宋体" w:cs="宋体"/>
                <w:sz w:val="24"/>
                <w:szCs w:val="24"/>
                <w:highlight w:val="none"/>
                <w:lang w:eastAsia="zh-CN"/>
              </w:rPr>
              <w:t>是</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lang w:eastAsia="zh-CN"/>
              </w:rPr>
              <w:sym w:font="Wingdings 2" w:char="0052"/>
            </w:r>
            <w:r>
              <w:rPr>
                <w:rFonts w:hint="eastAsia" w:ascii="宋体" w:hAnsi="宋体" w:eastAsia="宋体" w:cs="宋体"/>
                <w:sz w:val="24"/>
                <w:szCs w:val="24"/>
                <w:highlight w:val="none"/>
                <w:lang w:eastAsia="zh-CN"/>
              </w:rPr>
              <w:t>否</w:t>
            </w:r>
            <w:r>
              <w:rPr>
                <w:rFonts w:hint="eastAsia" w:cs="宋体"/>
                <w:sz w:val="24"/>
                <w:szCs w:val="24"/>
                <w:highlight w:val="none"/>
                <w:lang w:eastAsia="zh-CN"/>
              </w:rPr>
              <w:t>，</w:t>
            </w:r>
            <w:r>
              <w:rPr>
                <w:rFonts w:hint="eastAsia" w:ascii="宋体" w:hAnsi="宋体" w:eastAsia="宋体" w:cs="宋体"/>
                <w:sz w:val="24"/>
                <w:szCs w:val="24"/>
                <w:highlight w:val="none"/>
                <w:lang w:eastAsia="zh-CN"/>
              </w:rPr>
              <w:t>推荐的</w:t>
            </w:r>
            <w:r>
              <w:rPr>
                <w:rFonts w:hint="eastAsia" w:ascii="宋体" w:hAnsi="宋体" w:eastAsia="宋体" w:cs="宋体"/>
                <w:sz w:val="24"/>
                <w:szCs w:val="24"/>
                <w:highlight w:val="none"/>
                <w:lang w:val="en-US" w:eastAsia="zh-CN"/>
              </w:rPr>
              <w:t>中标</w:t>
            </w:r>
            <w:r>
              <w:rPr>
                <w:rFonts w:hint="eastAsia" w:ascii="宋体" w:hAnsi="宋体" w:eastAsia="宋体" w:cs="宋体"/>
                <w:sz w:val="24"/>
                <w:szCs w:val="24"/>
                <w:highlight w:val="none"/>
                <w:lang w:eastAsia="zh-CN"/>
              </w:rPr>
              <w:t>候选</w:t>
            </w:r>
            <w:r>
              <w:rPr>
                <w:rFonts w:hint="eastAsia" w:ascii="宋体" w:hAnsi="宋体" w:eastAsia="宋体" w:cs="宋体"/>
                <w:sz w:val="24"/>
                <w:szCs w:val="24"/>
                <w:highlight w:val="none"/>
                <w:lang w:val="en-US" w:eastAsia="zh-CN"/>
              </w:rPr>
              <w:t>单位</w:t>
            </w:r>
            <w:r>
              <w:rPr>
                <w:rFonts w:hint="eastAsia" w:ascii="宋体" w:hAnsi="宋体" w:eastAsia="宋体" w:cs="宋体"/>
                <w:sz w:val="24"/>
                <w:szCs w:val="24"/>
                <w:highlight w:val="none"/>
                <w:lang w:eastAsia="zh-CN"/>
              </w:rPr>
              <w:t>个数：</w:t>
            </w:r>
            <w:r>
              <w:rPr>
                <w:rFonts w:hint="eastAsia" w:ascii="宋体" w:hAnsi="宋体" w:eastAsia="宋体" w:cs="宋体"/>
                <w:sz w:val="24"/>
                <w:szCs w:val="24"/>
                <w:highlight w:val="none"/>
                <w:u w:val="single"/>
                <w:lang w:eastAsia="zh-CN"/>
              </w:rPr>
              <w:t xml:space="preserve"> </w:t>
            </w:r>
            <w:r>
              <w:rPr>
                <w:rFonts w:hint="eastAsia" w:ascii="宋体" w:hAnsi="宋体" w:eastAsia="宋体" w:cs="宋体"/>
                <w:sz w:val="24"/>
                <w:szCs w:val="24"/>
                <w:highlight w:val="none"/>
                <w:u w:val="single"/>
                <w:lang w:val="en-US" w:eastAsia="zh-CN"/>
              </w:rPr>
              <w:t>3</w:t>
            </w:r>
            <w:r>
              <w:rPr>
                <w:rFonts w:hint="eastAsia" w:ascii="宋体" w:hAnsi="宋体" w:eastAsia="宋体" w:cs="宋体"/>
                <w:sz w:val="24"/>
                <w:szCs w:val="24"/>
                <w:highlight w:val="none"/>
                <w:u w:val="single"/>
                <w:lang w:eastAsia="zh-CN"/>
              </w:rPr>
              <w:t xml:space="preserve"> </w:t>
            </w:r>
            <w:r>
              <w:rPr>
                <w:rFonts w:hint="eastAsia" w:ascii="宋体" w:hAnsi="宋体" w:eastAsia="宋体" w:cs="宋体"/>
                <w:sz w:val="24"/>
                <w:szCs w:val="24"/>
                <w:highlight w:val="none"/>
                <w:lang w:eastAsia="zh-CN"/>
              </w:rPr>
              <w:t xml:space="preserve">  </w:t>
            </w:r>
          </w:p>
          <w:p w14:paraId="0FE4108F">
            <w:pPr>
              <w:spacing w:beforeLines="0" w:afterLines="0" w:line="360" w:lineRule="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中标候选人并列的，由</w:t>
            </w:r>
            <w:r>
              <w:rPr>
                <w:rFonts w:hint="eastAsia" w:ascii="宋体" w:hAnsi="宋体" w:eastAsia="宋体" w:cs="宋体"/>
                <w:sz w:val="24"/>
                <w:szCs w:val="24"/>
                <w:highlight w:val="none"/>
                <w:lang w:eastAsia="zh-CN"/>
              </w:rPr>
              <w:sym w:font="Wingdings 2" w:char="00A3"/>
            </w:r>
            <w:r>
              <w:rPr>
                <w:rFonts w:hint="eastAsia" w:cs="宋体"/>
                <w:sz w:val="24"/>
                <w:szCs w:val="24"/>
                <w:highlight w:val="none"/>
                <w:lang w:eastAsia="zh-CN"/>
              </w:rPr>
              <w:t>招标人</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lang w:eastAsia="zh-CN"/>
              </w:rPr>
              <w:sym w:font="Wingdings 2" w:char="0052"/>
            </w:r>
            <w:r>
              <w:rPr>
                <w:rFonts w:hint="eastAsia" w:cs="宋体"/>
                <w:sz w:val="24"/>
                <w:szCs w:val="24"/>
                <w:highlight w:val="none"/>
                <w:lang w:eastAsia="zh-CN"/>
              </w:rPr>
              <w:t>招标人</w:t>
            </w:r>
            <w:r>
              <w:rPr>
                <w:rFonts w:hint="eastAsia" w:ascii="宋体" w:hAnsi="宋体" w:eastAsia="宋体" w:cs="宋体"/>
                <w:sz w:val="24"/>
                <w:szCs w:val="24"/>
                <w:highlight w:val="none"/>
                <w:lang w:eastAsia="zh-CN"/>
              </w:rPr>
              <w:t>委托评标委员会，按照以下方式确定中标人：</w:t>
            </w:r>
          </w:p>
          <w:p w14:paraId="020942AA">
            <w:pPr>
              <w:spacing w:beforeLines="0" w:afterLines="0" w:line="360" w:lineRule="auto"/>
              <w:rPr>
                <w:rFonts w:hint="eastAsia" w:ascii="宋体" w:hAnsi="宋体" w:eastAsia="宋体" w:cs="宋体"/>
                <w:sz w:val="24"/>
                <w:szCs w:val="24"/>
                <w:highlight w:val="none"/>
                <w:u w:val="single"/>
                <w:lang w:val="en-US" w:eastAsia="zh-CN"/>
              </w:rPr>
            </w:pPr>
            <w:r>
              <w:rPr>
                <w:rFonts w:hint="eastAsia" w:ascii="宋体" w:hAnsi="宋体" w:eastAsia="宋体" w:cs="宋体"/>
                <w:sz w:val="24"/>
                <w:szCs w:val="24"/>
                <w:highlight w:val="none"/>
                <w:lang w:eastAsia="zh-CN"/>
              </w:rPr>
              <w:sym w:font="Wingdings 2" w:char="0052"/>
            </w:r>
            <w:r>
              <w:rPr>
                <w:rFonts w:hint="eastAsia" w:ascii="宋体" w:hAnsi="宋体" w:eastAsia="宋体" w:cs="宋体"/>
                <w:sz w:val="24"/>
                <w:szCs w:val="24"/>
                <w:highlight w:val="none"/>
                <w:u w:val="single"/>
                <w:lang w:val="en-US" w:eastAsia="zh-CN"/>
              </w:rPr>
              <w:t>得分相同的，按投标报价由低到高顺序排列。得分且投标报价相同的并列。投标文件满足招标文件全部实质性要求，且按照评审因素的量化指标评审得分最高的投标人为排名第一的中标候选人。</w:t>
            </w:r>
          </w:p>
          <w:p w14:paraId="57C766D0">
            <w:pPr>
              <w:spacing w:beforeLines="0" w:afterLines="0"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lang w:eastAsia="zh-CN"/>
              </w:rPr>
              <w:sym w:font="Wingdings 2" w:char="00A3"/>
            </w:r>
            <w:r>
              <w:rPr>
                <w:rFonts w:hint="eastAsia" w:ascii="宋体" w:hAnsi="宋体" w:eastAsia="宋体" w:cs="宋体"/>
                <w:sz w:val="24"/>
                <w:szCs w:val="24"/>
                <w:highlight w:val="none"/>
                <w:lang w:eastAsia="zh-CN"/>
              </w:rPr>
              <w:t>随机抽取确定中标人。</w:t>
            </w:r>
          </w:p>
        </w:tc>
      </w:tr>
      <w:tr w14:paraId="2D5BE8D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94" w:hRule="atLeast"/>
        </w:trPr>
        <w:tc>
          <w:tcPr>
            <w:tcW w:w="714" w:type="dxa"/>
            <w:noWrap w:val="0"/>
            <w:vAlign w:val="center"/>
          </w:tcPr>
          <w:p w14:paraId="1451F107">
            <w:pPr>
              <w:spacing w:beforeLines="0" w:afterLines="0" w:line="36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1</w:t>
            </w:r>
            <w:r>
              <w:rPr>
                <w:rFonts w:hint="eastAsia" w:ascii="宋体" w:hAnsi="宋体" w:eastAsia="宋体" w:cs="宋体"/>
                <w:sz w:val="24"/>
                <w:szCs w:val="24"/>
                <w:highlight w:val="none"/>
                <w:lang w:eastAsia="zh-CN"/>
              </w:rPr>
              <w:t>3</w:t>
            </w:r>
          </w:p>
        </w:tc>
        <w:tc>
          <w:tcPr>
            <w:tcW w:w="2176" w:type="dxa"/>
            <w:noWrap w:val="0"/>
            <w:vAlign w:val="center"/>
          </w:tcPr>
          <w:p w14:paraId="0E90EF52">
            <w:pPr>
              <w:spacing w:beforeLines="0" w:afterLines="0" w:line="360" w:lineRule="auto"/>
              <w:jc w:val="center"/>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分包</w:t>
            </w:r>
          </w:p>
        </w:tc>
        <w:tc>
          <w:tcPr>
            <w:tcW w:w="7145" w:type="dxa"/>
            <w:noWrap w:val="0"/>
            <w:vAlign w:val="center"/>
          </w:tcPr>
          <w:p w14:paraId="26BC2DCB">
            <w:pPr>
              <w:spacing w:beforeLines="0" w:afterLines="0" w:line="360" w:lineRule="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本项目的非主体、非关键性工作是否允许分包：</w:t>
            </w:r>
          </w:p>
          <w:p w14:paraId="7D8A4A83">
            <w:pPr>
              <w:spacing w:beforeLines="0" w:afterLines="0" w:line="360" w:lineRule="auto"/>
              <w:ind w:firstLine="480" w:firstLineChars="200"/>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sym w:font="Wingdings 2" w:char="00A3"/>
            </w:r>
            <w:r>
              <w:rPr>
                <w:rFonts w:hint="eastAsia" w:ascii="宋体" w:hAnsi="宋体" w:eastAsia="宋体" w:cs="宋体"/>
                <w:sz w:val="24"/>
                <w:szCs w:val="24"/>
                <w:highlight w:val="none"/>
                <w:lang w:eastAsia="zh-CN"/>
              </w:rPr>
              <w:t>是</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lang w:eastAsia="zh-CN"/>
              </w:rPr>
              <w:sym w:font="Wingdings 2" w:char="0052"/>
            </w:r>
            <w:r>
              <w:rPr>
                <w:rFonts w:hint="eastAsia" w:ascii="宋体" w:hAnsi="宋体" w:eastAsia="宋体" w:cs="宋体"/>
                <w:sz w:val="24"/>
                <w:szCs w:val="24"/>
                <w:highlight w:val="none"/>
                <w:lang w:eastAsia="zh-CN"/>
              </w:rPr>
              <w:t>否</w:t>
            </w:r>
          </w:p>
          <w:p w14:paraId="51CE9F50">
            <w:pPr>
              <w:spacing w:beforeLines="0" w:afterLines="0" w:line="360" w:lineRule="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（如选择“是”）分包具体要求：</w:t>
            </w:r>
          </w:p>
          <w:p w14:paraId="03FA22A9">
            <w:pPr>
              <w:spacing w:beforeLines="0" w:afterLines="0" w:line="360" w:lineRule="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1</w:t>
            </w:r>
            <w:r>
              <w:rPr>
                <w:rFonts w:hint="eastAsia" w:ascii="宋体" w:hAnsi="宋体" w:eastAsia="宋体" w:cs="宋体"/>
                <w:sz w:val="24"/>
                <w:szCs w:val="24"/>
                <w:highlight w:val="none"/>
                <w:lang w:eastAsia="zh-CN"/>
              </w:rPr>
              <w:t>）可以分包履行的具体内容：</w:t>
            </w:r>
          </w:p>
          <w:p w14:paraId="2C425423">
            <w:pPr>
              <w:spacing w:beforeLines="0" w:afterLines="0" w:line="360" w:lineRule="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2</w:t>
            </w:r>
            <w:r>
              <w:rPr>
                <w:rFonts w:hint="eastAsia" w:ascii="宋体" w:hAnsi="宋体" w:eastAsia="宋体" w:cs="宋体"/>
                <w:sz w:val="24"/>
                <w:szCs w:val="24"/>
                <w:highlight w:val="none"/>
                <w:lang w:eastAsia="zh-CN"/>
              </w:rPr>
              <w:t>）允许分包的金额或者比例：</w:t>
            </w:r>
          </w:p>
          <w:p w14:paraId="1C5261FF">
            <w:pPr>
              <w:spacing w:beforeLines="0" w:afterLines="0" w:line="360" w:lineRule="auto"/>
              <w:rPr>
                <w:rFonts w:hint="eastAsia" w:ascii="宋体" w:hAnsi="宋体" w:eastAsia="宋体" w:cs="宋体"/>
                <w:sz w:val="24"/>
                <w:szCs w:val="24"/>
                <w:highlight w:val="none"/>
                <w:u w:val="single"/>
              </w:rPr>
            </w:pP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3</w:t>
            </w:r>
            <w:r>
              <w:rPr>
                <w:rFonts w:hint="eastAsia" w:ascii="宋体" w:hAnsi="宋体" w:eastAsia="宋体" w:cs="宋体"/>
                <w:sz w:val="24"/>
                <w:szCs w:val="24"/>
                <w:highlight w:val="none"/>
                <w:lang w:eastAsia="zh-CN"/>
              </w:rPr>
              <w:t>）其他要求（如有）：</w:t>
            </w:r>
          </w:p>
        </w:tc>
      </w:tr>
      <w:tr w14:paraId="490C68F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84" w:hRule="atLeast"/>
        </w:trPr>
        <w:tc>
          <w:tcPr>
            <w:tcW w:w="714" w:type="dxa"/>
            <w:noWrap w:val="0"/>
            <w:vAlign w:val="center"/>
          </w:tcPr>
          <w:p w14:paraId="2C4954B5">
            <w:pPr>
              <w:spacing w:beforeLines="0" w:afterLines="0" w:line="36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1</w:t>
            </w:r>
            <w:r>
              <w:rPr>
                <w:rFonts w:hint="eastAsia" w:ascii="宋体" w:hAnsi="宋体" w:eastAsia="宋体" w:cs="宋体"/>
                <w:sz w:val="24"/>
                <w:szCs w:val="24"/>
                <w:highlight w:val="none"/>
                <w:lang w:eastAsia="zh-CN"/>
              </w:rPr>
              <w:t>4</w:t>
            </w:r>
          </w:p>
        </w:tc>
        <w:tc>
          <w:tcPr>
            <w:tcW w:w="2176" w:type="dxa"/>
            <w:noWrap w:val="0"/>
            <w:vAlign w:val="center"/>
          </w:tcPr>
          <w:p w14:paraId="22DF1F1E">
            <w:pPr>
              <w:widowControl/>
              <w:spacing w:beforeLines="0" w:afterLines="0" w:line="360" w:lineRule="auto"/>
              <w:jc w:val="center"/>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询问</w:t>
            </w:r>
          </w:p>
        </w:tc>
        <w:tc>
          <w:tcPr>
            <w:tcW w:w="7145" w:type="dxa"/>
            <w:noWrap w:val="0"/>
            <w:vAlign w:val="center"/>
          </w:tcPr>
          <w:p w14:paraId="1952D39B">
            <w:pPr>
              <w:widowControl/>
              <w:spacing w:beforeLines="0" w:afterLines="0" w:line="360" w:lineRule="auto"/>
              <w:jc w:val="left"/>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询问送达形式：投标人对政府采购活动事项有疑问的，可依法提出询问，并按《投标人须知资料表》载明的形式送达</w:t>
            </w:r>
            <w:r>
              <w:rPr>
                <w:rFonts w:hint="eastAsia" w:cs="宋体"/>
                <w:sz w:val="24"/>
                <w:szCs w:val="24"/>
                <w:highlight w:val="none"/>
                <w:lang w:eastAsia="zh-CN"/>
              </w:rPr>
              <w:t>招标人</w:t>
            </w:r>
            <w:r>
              <w:rPr>
                <w:rFonts w:hint="eastAsia" w:ascii="宋体" w:hAnsi="宋体" w:eastAsia="宋体" w:cs="宋体"/>
                <w:sz w:val="24"/>
                <w:szCs w:val="24"/>
                <w:highlight w:val="none"/>
                <w:lang w:eastAsia="zh-CN"/>
              </w:rPr>
              <w:t>或</w:t>
            </w:r>
            <w:r>
              <w:rPr>
                <w:rFonts w:hint="eastAsia" w:cs="宋体"/>
                <w:sz w:val="24"/>
                <w:szCs w:val="24"/>
                <w:highlight w:val="none"/>
                <w:lang w:eastAsia="zh-CN"/>
              </w:rPr>
              <w:t>招标代理机构</w:t>
            </w:r>
            <w:r>
              <w:rPr>
                <w:rFonts w:hint="eastAsia" w:ascii="宋体" w:hAnsi="宋体" w:eastAsia="宋体" w:cs="宋体"/>
                <w:sz w:val="24"/>
                <w:szCs w:val="24"/>
                <w:highlight w:val="none"/>
                <w:lang w:eastAsia="zh-CN"/>
              </w:rPr>
              <w:t>。</w:t>
            </w:r>
          </w:p>
          <w:p w14:paraId="5F66CD57">
            <w:pPr>
              <w:widowControl/>
              <w:spacing w:beforeLines="0" w:afterLines="0" w:line="360" w:lineRule="auto"/>
              <w:jc w:val="left"/>
              <w:rPr>
                <w:rFonts w:hint="eastAsia" w:ascii="宋体" w:hAnsi="宋体" w:eastAsia="宋体" w:cs="宋体"/>
                <w:sz w:val="24"/>
                <w:szCs w:val="24"/>
                <w:highlight w:val="none"/>
                <w:lang w:eastAsia="zh-CN"/>
              </w:rPr>
            </w:pPr>
            <w:r>
              <w:rPr>
                <w:rFonts w:hint="eastAsia" w:cs="宋体"/>
                <w:sz w:val="24"/>
                <w:szCs w:val="24"/>
                <w:highlight w:val="none"/>
                <w:lang w:eastAsia="zh-CN"/>
              </w:rPr>
              <w:t>招标人</w:t>
            </w:r>
            <w:r>
              <w:rPr>
                <w:rFonts w:hint="eastAsia" w:ascii="宋体" w:hAnsi="宋体" w:eastAsia="宋体" w:cs="宋体"/>
                <w:sz w:val="24"/>
                <w:szCs w:val="24"/>
                <w:highlight w:val="none"/>
                <w:lang w:eastAsia="zh-CN"/>
              </w:rPr>
              <w:t>或</w:t>
            </w:r>
            <w:r>
              <w:rPr>
                <w:rFonts w:hint="eastAsia" w:cs="宋体"/>
                <w:sz w:val="24"/>
                <w:szCs w:val="24"/>
                <w:highlight w:val="none"/>
                <w:lang w:eastAsia="zh-CN"/>
              </w:rPr>
              <w:t>招标代理机构</w:t>
            </w:r>
            <w:r>
              <w:rPr>
                <w:rFonts w:hint="eastAsia" w:ascii="宋体" w:hAnsi="宋体" w:eastAsia="宋体" w:cs="宋体"/>
                <w:sz w:val="24"/>
                <w:szCs w:val="24"/>
                <w:highlight w:val="none"/>
                <w:lang w:eastAsia="zh-CN"/>
              </w:rPr>
              <w:t>对供应商依法提出的询问，在3个工作日内作出答复，但答复的内容不得涉及商业秘密。</w:t>
            </w:r>
          </w:p>
          <w:p w14:paraId="42FBD739">
            <w:pPr>
              <w:widowControl/>
              <w:spacing w:beforeLines="0" w:afterLines="0" w:line="360" w:lineRule="auto"/>
              <w:jc w:val="left"/>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询问联系部门及人员：新疆弘智项目管理有限公司</w:t>
            </w:r>
          </w:p>
          <w:p w14:paraId="60B1DF11">
            <w:pPr>
              <w:widowControl/>
              <w:spacing w:beforeLines="0" w:afterLines="0" w:line="360" w:lineRule="auto"/>
              <w:jc w:val="left"/>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询问联系电话：13031264289</w:t>
            </w:r>
          </w:p>
          <w:p w14:paraId="482D1D2C">
            <w:pPr>
              <w:widowControl/>
              <w:spacing w:beforeLines="0" w:afterLines="0" w:line="360" w:lineRule="auto"/>
              <w:jc w:val="left"/>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询问联系地址：新疆阿克苏市云顶花园</w:t>
            </w:r>
          </w:p>
          <w:p w14:paraId="4AE26419">
            <w:pPr>
              <w:widowControl/>
              <w:spacing w:beforeLines="0" w:afterLines="0" w:line="360" w:lineRule="auto"/>
              <w:jc w:val="left"/>
              <w:rPr>
                <w:rFonts w:hint="default" w:ascii="宋体" w:hAnsi="宋体" w:eastAsia="宋体" w:cs="宋体"/>
                <w:sz w:val="24"/>
                <w:szCs w:val="24"/>
                <w:highlight w:val="none"/>
                <w:lang w:val="en-US" w:eastAsia="zh-CN"/>
              </w:rPr>
            </w:pPr>
            <w:r>
              <w:rPr>
                <w:rFonts w:hint="eastAsia" w:cs="宋体"/>
                <w:sz w:val="24"/>
                <w:szCs w:val="24"/>
                <w:highlight w:val="none"/>
                <w:lang w:val="en-US" w:eastAsia="zh-CN"/>
              </w:rPr>
              <w:t>询问</w:t>
            </w:r>
            <w:r>
              <w:rPr>
                <w:rFonts w:hint="eastAsia" w:ascii="宋体" w:hAnsi="宋体" w:eastAsia="宋体" w:cs="宋体"/>
                <w:sz w:val="24"/>
                <w:szCs w:val="24"/>
                <w:highlight w:val="none"/>
                <w:lang w:eastAsia="zh-CN"/>
              </w:rPr>
              <w:t>联系</w:t>
            </w:r>
            <w:r>
              <w:rPr>
                <w:rFonts w:hint="eastAsia" w:cs="宋体"/>
                <w:sz w:val="24"/>
                <w:szCs w:val="24"/>
                <w:highlight w:val="none"/>
                <w:lang w:val="en-US" w:eastAsia="zh-CN"/>
              </w:rPr>
              <w:t>时间：10:00-14:00、16:00-20:00（工作日期间）</w:t>
            </w:r>
          </w:p>
        </w:tc>
      </w:tr>
      <w:tr w14:paraId="056E55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15" w:hRule="atLeast"/>
        </w:trPr>
        <w:tc>
          <w:tcPr>
            <w:tcW w:w="714" w:type="dxa"/>
            <w:noWrap w:val="0"/>
            <w:vAlign w:val="center"/>
          </w:tcPr>
          <w:p w14:paraId="757B636A">
            <w:pPr>
              <w:spacing w:beforeLines="0" w:afterLines="0" w:line="360" w:lineRule="auto"/>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15</w:t>
            </w:r>
          </w:p>
        </w:tc>
        <w:tc>
          <w:tcPr>
            <w:tcW w:w="2176" w:type="dxa"/>
            <w:noWrap w:val="0"/>
            <w:vAlign w:val="center"/>
          </w:tcPr>
          <w:p w14:paraId="74C97A20">
            <w:pPr>
              <w:spacing w:beforeLines="0" w:afterLines="0" w:line="360" w:lineRule="auto"/>
              <w:jc w:val="center"/>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质疑</w:t>
            </w:r>
          </w:p>
        </w:tc>
        <w:tc>
          <w:tcPr>
            <w:tcW w:w="7145" w:type="dxa"/>
            <w:noWrap w:val="0"/>
            <w:vAlign w:val="center"/>
          </w:tcPr>
          <w:p w14:paraId="491EE462">
            <w:pPr>
              <w:widowControl/>
              <w:spacing w:beforeLines="0" w:afterLines="0" w:line="360" w:lineRule="auto"/>
              <w:jc w:val="left"/>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是否要求投标人</w:t>
            </w:r>
            <w:r>
              <w:rPr>
                <w:rFonts w:hint="eastAsia" w:ascii="宋体" w:hAnsi="宋体" w:eastAsia="宋体" w:cs="宋体"/>
                <w:b/>
                <w:bCs/>
                <w:sz w:val="24"/>
                <w:szCs w:val="24"/>
                <w:highlight w:val="none"/>
                <w:lang w:eastAsia="zh-CN"/>
              </w:rPr>
              <w:t>在法定质疑期内一次性提出针对同一采购程序环节</w:t>
            </w:r>
            <w:r>
              <w:rPr>
                <w:rFonts w:hint="eastAsia" w:ascii="宋体" w:hAnsi="宋体" w:eastAsia="宋体" w:cs="宋体"/>
                <w:sz w:val="24"/>
                <w:szCs w:val="24"/>
                <w:highlight w:val="none"/>
                <w:lang w:eastAsia="zh-CN"/>
              </w:rPr>
              <w:t>的质疑：</w:t>
            </w:r>
            <w:r>
              <w:rPr>
                <w:rFonts w:hint="eastAsia" w:ascii="宋体" w:hAnsi="宋体" w:eastAsia="宋体" w:cs="宋体"/>
                <w:sz w:val="24"/>
                <w:szCs w:val="24"/>
                <w:highlight w:val="none"/>
                <w:lang w:eastAsia="zh-CN"/>
              </w:rPr>
              <w:sym w:font="Wingdings 2" w:char="0052"/>
            </w:r>
            <w:r>
              <w:rPr>
                <w:rFonts w:hint="eastAsia" w:ascii="宋体" w:hAnsi="宋体" w:eastAsia="宋体" w:cs="宋体"/>
                <w:sz w:val="24"/>
                <w:szCs w:val="24"/>
                <w:highlight w:val="none"/>
                <w:lang w:eastAsia="zh-CN"/>
              </w:rPr>
              <w:t>是</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lang w:eastAsia="zh-CN"/>
              </w:rPr>
              <w:sym w:font="Wingdings 2" w:char="00A3"/>
            </w:r>
            <w:r>
              <w:rPr>
                <w:rFonts w:hint="eastAsia" w:ascii="宋体" w:hAnsi="宋体" w:eastAsia="宋体" w:cs="宋体"/>
                <w:sz w:val="24"/>
                <w:szCs w:val="24"/>
                <w:highlight w:val="none"/>
                <w:lang w:eastAsia="zh-CN"/>
              </w:rPr>
              <w:t>否</w:t>
            </w:r>
          </w:p>
          <w:p w14:paraId="56CAA439">
            <w:pPr>
              <w:widowControl/>
              <w:spacing w:beforeLines="0" w:afterLines="0" w:line="360" w:lineRule="auto"/>
              <w:jc w:val="left"/>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1、供应商认为采购文件、采购过程、中标或者成交结果使自己的权益受到损害的，可以在知道或者应知其权益受到损害之日起7个工作日内，以书面形式向</w:t>
            </w:r>
            <w:r>
              <w:rPr>
                <w:rFonts w:hint="eastAsia" w:cs="宋体"/>
                <w:sz w:val="24"/>
                <w:szCs w:val="24"/>
                <w:highlight w:val="none"/>
                <w:lang w:eastAsia="zh-CN"/>
              </w:rPr>
              <w:t>招标人</w:t>
            </w:r>
            <w:r>
              <w:rPr>
                <w:rFonts w:hint="eastAsia" w:ascii="宋体" w:hAnsi="宋体" w:eastAsia="宋体" w:cs="宋体"/>
                <w:sz w:val="24"/>
                <w:szCs w:val="24"/>
                <w:highlight w:val="none"/>
                <w:lang w:eastAsia="zh-CN"/>
              </w:rPr>
              <w:t>、</w:t>
            </w:r>
            <w:r>
              <w:rPr>
                <w:rFonts w:hint="eastAsia" w:cs="宋体"/>
                <w:sz w:val="24"/>
                <w:szCs w:val="24"/>
                <w:highlight w:val="none"/>
                <w:lang w:eastAsia="zh-CN"/>
              </w:rPr>
              <w:t>招标代理机构</w:t>
            </w:r>
            <w:r>
              <w:rPr>
                <w:rFonts w:hint="eastAsia" w:ascii="宋体" w:hAnsi="宋体" w:eastAsia="宋体" w:cs="宋体"/>
                <w:sz w:val="24"/>
                <w:szCs w:val="24"/>
                <w:highlight w:val="none"/>
                <w:lang w:eastAsia="zh-CN"/>
              </w:rPr>
              <w:t>提出质疑。</w:t>
            </w:r>
          </w:p>
          <w:p w14:paraId="23E87E56">
            <w:pPr>
              <w:widowControl/>
              <w:spacing w:beforeLines="0" w:afterLines="0" w:line="360" w:lineRule="auto"/>
              <w:jc w:val="left"/>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2、提出质疑的供应商（以下简称质疑供应商）应当是参与所质疑项目采购活动的供应商。</w:t>
            </w:r>
          </w:p>
          <w:p w14:paraId="386A1374">
            <w:pPr>
              <w:widowControl/>
              <w:spacing w:beforeLines="0" w:afterLines="0" w:line="360" w:lineRule="auto"/>
              <w:jc w:val="left"/>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3、对采购文件提出质疑的，应当在获取采购文件或者采购文件公告期限届满之日起7个工作日内提出。</w:t>
            </w:r>
          </w:p>
          <w:p w14:paraId="18D3F1C4">
            <w:pPr>
              <w:widowControl/>
              <w:spacing w:beforeLines="0" w:afterLines="0" w:line="360" w:lineRule="auto"/>
              <w:jc w:val="left"/>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4、供应商提出质疑应当提交质疑函和必要的证明材料。质疑函应当包括下列内容：</w:t>
            </w:r>
          </w:p>
          <w:p w14:paraId="60507A27">
            <w:pPr>
              <w:widowControl/>
              <w:spacing w:beforeLines="0" w:afterLines="0" w:line="360" w:lineRule="auto"/>
              <w:jc w:val="left"/>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　　（一）供应商的姓名或者名称、地址、邮编、联系人及联系电话；</w:t>
            </w:r>
          </w:p>
          <w:p w14:paraId="43432AED">
            <w:pPr>
              <w:widowControl/>
              <w:spacing w:beforeLines="0" w:afterLines="0" w:line="360" w:lineRule="auto"/>
              <w:jc w:val="left"/>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　　（二）质疑项目的名称、编号；</w:t>
            </w:r>
          </w:p>
          <w:p w14:paraId="1CF323E0">
            <w:pPr>
              <w:widowControl/>
              <w:spacing w:beforeLines="0" w:afterLines="0" w:line="360" w:lineRule="auto"/>
              <w:jc w:val="left"/>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　　（三）具体、明确的质疑事项和与质疑事项相关的请求；</w:t>
            </w:r>
          </w:p>
          <w:p w14:paraId="232574B3">
            <w:pPr>
              <w:widowControl/>
              <w:spacing w:beforeLines="0" w:afterLines="0" w:line="360" w:lineRule="auto"/>
              <w:jc w:val="left"/>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　　（四）事实依据；</w:t>
            </w:r>
          </w:p>
          <w:p w14:paraId="75ED7256">
            <w:pPr>
              <w:widowControl/>
              <w:spacing w:beforeLines="0" w:afterLines="0" w:line="360" w:lineRule="auto"/>
              <w:jc w:val="left"/>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　　（五）必要的法律依据；</w:t>
            </w:r>
          </w:p>
          <w:p w14:paraId="1A767724">
            <w:pPr>
              <w:widowControl/>
              <w:spacing w:beforeLines="0" w:afterLines="0" w:line="360" w:lineRule="auto"/>
              <w:jc w:val="left"/>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　　（六）提出质疑的日期。</w:t>
            </w:r>
          </w:p>
          <w:p w14:paraId="648AF0C5">
            <w:pPr>
              <w:widowControl/>
              <w:spacing w:beforeLines="0" w:afterLines="0" w:line="360" w:lineRule="auto"/>
              <w:ind w:firstLine="480" w:firstLineChars="200"/>
              <w:jc w:val="left"/>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供应商为自然人的，应当由本人签字；供应商为法人或者其他组织的，应当由法定代表人、主要负责人，或者其授权代表签字或者盖章，并加盖公章。</w:t>
            </w:r>
          </w:p>
          <w:p w14:paraId="0414F94A">
            <w:pPr>
              <w:widowControl/>
              <w:spacing w:beforeLines="0" w:afterLines="0" w:line="360" w:lineRule="auto"/>
              <w:ind w:firstLine="480" w:firstLineChars="200"/>
              <w:jc w:val="left"/>
              <w:rPr>
                <w:rFonts w:hint="eastAsia" w:ascii="宋体" w:hAnsi="宋体" w:eastAsia="宋体" w:cs="宋体"/>
                <w:sz w:val="24"/>
                <w:szCs w:val="24"/>
                <w:highlight w:val="none"/>
                <w:lang w:eastAsia="zh-CN"/>
              </w:rPr>
            </w:pPr>
            <w:r>
              <w:rPr>
                <w:rFonts w:hint="eastAsia" w:cs="宋体"/>
                <w:sz w:val="24"/>
                <w:szCs w:val="24"/>
                <w:highlight w:val="none"/>
                <w:lang w:eastAsia="zh-CN"/>
              </w:rPr>
              <w:t>招标人</w:t>
            </w:r>
            <w:r>
              <w:rPr>
                <w:rFonts w:hint="eastAsia" w:ascii="宋体" w:hAnsi="宋体" w:eastAsia="宋体" w:cs="宋体"/>
                <w:sz w:val="24"/>
                <w:szCs w:val="24"/>
                <w:highlight w:val="none"/>
                <w:lang w:eastAsia="zh-CN"/>
              </w:rPr>
              <w:t>、</w:t>
            </w:r>
            <w:r>
              <w:rPr>
                <w:rFonts w:hint="eastAsia" w:cs="宋体"/>
                <w:sz w:val="24"/>
                <w:szCs w:val="24"/>
                <w:highlight w:val="none"/>
                <w:lang w:eastAsia="zh-CN"/>
              </w:rPr>
              <w:t>招标代理机构</w:t>
            </w:r>
            <w:r>
              <w:rPr>
                <w:rFonts w:hint="eastAsia" w:ascii="宋体" w:hAnsi="宋体" w:eastAsia="宋体" w:cs="宋体"/>
                <w:sz w:val="24"/>
                <w:szCs w:val="24"/>
                <w:highlight w:val="none"/>
                <w:lang w:eastAsia="zh-CN"/>
              </w:rPr>
              <w:t>应当在收到质疑函后7个工作日内作出答复，并以书面形式通知质疑供应商和其他有关供应商。</w:t>
            </w:r>
          </w:p>
          <w:p w14:paraId="065802EA">
            <w:pPr>
              <w:widowControl/>
              <w:spacing w:beforeLines="0" w:afterLines="0" w:line="360" w:lineRule="auto"/>
              <w:jc w:val="left"/>
              <w:rPr>
                <w:rFonts w:hint="eastAsia" w:ascii="宋体" w:hAnsi="宋体" w:eastAsia="宋体" w:cs="宋体"/>
                <w:sz w:val="24"/>
                <w:szCs w:val="24"/>
                <w:lang w:eastAsia="zh-CN"/>
              </w:rPr>
            </w:pPr>
            <w:r>
              <w:rPr>
                <w:rFonts w:hint="eastAsia" w:ascii="宋体" w:hAnsi="宋体" w:eastAsia="宋体" w:cs="宋体"/>
                <w:sz w:val="24"/>
                <w:szCs w:val="24"/>
                <w:highlight w:val="none"/>
                <w:lang w:eastAsia="zh-CN"/>
              </w:rPr>
              <w:t>5、接受质疑函的方式：书面形式递交（书面形式包括：纸质版或电子邮件等方式）。</w:t>
            </w:r>
          </w:p>
        </w:tc>
      </w:tr>
      <w:tr w14:paraId="7D1D7D7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15" w:hRule="atLeast"/>
        </w:trPr>
        <w:tc>
          <w:tcPr>
            <w:tcW w:w="714" w:type="dxa"/>
            <w:noWrap w:val="0"/>
            <w:vAlign w:val="center"/>
          </w:tcPr>
          <w:p w14:paraId="01396239">
            <w:pPr>
              <w:spacing w:beforeLines="0" w:afterLines="0" w:line="36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1</w:t>
            </w:r>
            <w:r>
              <w:rPr>
                <w:rFonts w:hint="eastAsia" w:ascii="宋体" w:hAnsi="宋体" w:eastAsia="宋体" w:cs="宋体"/>
                <w:sz w:val="24"/>
                <w:szCs w:val="24"/>
                <w:highlight w:val="none"/>
                <w:lang w:eastAsia="zh-CN"/>
              </w:rPr>
              <w:t>6</w:t>
            </w:r>
          </w:p>
        </w:tc>
        <w:tc>
          <w:tcPr>
            <w:tcW w:w="2176" w:type="dxa"/>
            <w:noWrap w:val="0"/>
            <w:vAlign w:val="center"/>
          </w:tcPr>
          <w:p w14:paraId="059F557A">
            <w:pPr>
              <w:spacing w:beforeLines="0" w:afterLines="0" w:line="360" w:lineRule="auto"/>
              <w:jc w:val="center"/>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代理费用</w:t>
            </w:r>
          </w:p>
        </w:tc>
        <w:tc>
          <w:tcPr>
            <w:tcW w:w="7145" w:type="dxa"/>
            <w:noWrap w:val="0"/>
            <w:vAlign w:val="center"/>
          </w:tcPr>
          <w:p w14:paraId="49F0AAAC">
            <w:pPr>
              <w:widowControl/>
              <w:spacing w:beforeLines="0" w:afterLines="0" w:line="360" w:lineRule="auto"/>
              <w:jc w:val="left"/>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是否收取代理费用：</w:t>
            </w:r>
            <w:r>
              <w:rPr>
                <w:rFonts w:hint="eastAsia" w:ascii="宋体" w:hAnsi="宋体" w:eastAsia="宋体" w:cs="宋体"/>
                <w:sz w:val="24"/>
                <w:szCs w:val="24"/>
                <w:highlight w:val="none"/>
                <w:lang w:eastAsia="zh-CN"/>
              </w:rPr>
              <w:sym w:font="Wingdings 2" w:char="0052"/>
            </w:r>
            <w:r>
              <w:rPr>
                <w:rFonts w:hint="eastAsia" w:ascii="宋体" w:hAnsi="宋体" w:eastAsia="宋体" w:cs="宋体"/>
                <w:sz w:val="24"/>
                <w:szCs w:val="24"/>
                <w:highlight w:val="none"/>
                <w:lang w:eastAsia="zh-CN"/>
              </w:rPr>
              <w:t>是</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lang w:eastAsia="zh-CN"/>
              </w:rPr>
              <w:sym w:font="Wingdings 2" w:char="00A3"/>
            </w:r>
            <w:r>
              <w:rPr>
                <w:rFonts w:hint="eastAsia" w:ascii="宋体" w:hAnsi="宋体" w:eastAsia="宋体" w:cs="宋体"/>
                <w:sz w:val="24"/>
                <w:szCs w:val="24"/>
                <w:highlight w:val="none"/>
                <w:lang w:eastAsia="zh-CN"/>
              </w:rPr>
              <w:t>否</w:t>
            </w:r>
          </w:p>
          <w:p w14:paraId="299B71EA">
            <w:pPr>
              <w:widowControl/>
              <w:spacing w:beforeLines="0" w:afterLines="0" w:line="360" w:lineRule="auto"/>
              <w:jc w:val="left"/>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（如选择“是”）代理费用收费对象：</w:t>
            </w:r>
            <w:r>
              <w:rPr>
                <w:rFonts w:hint="eastAsia" w:ascii="宋体" w:hAnsi="宋体" w:eastAsia="宋体" w:cs="宋体"/>
                <w:sz w:val="24"/>
                <w:szCs w:val="24"/>
                <w:highlight w:val="none"/>
                <w:lang w:eastAsia="zh-CN"/>
              </w:rPr>
              <w:sym w:font="Wingdings 2" w:char="00A3"/>
            </w:r>
            <w:r>
              <w:rPr>
                <w:rFonts w:hint="eastAsia" w:ascii="宋体" w:hAnsi="宋体" w:eastAsia="宋体" w:cs="宋体"/>
                <w:sz w:val="24"/>
                <w:szCs w:val="24"/>
                <w:highlight w:val="none"/>
                <w:lang w:eastAsia="zh-CN"/>
              </w:rPr>
              <w:t>招标人</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lang w:eastAsia="zh-CN"/>
              </w:rPr>
              <w:sym w:font="Wingdings 2" w:char="0052"/>
            </w:r>
            <w:r>
              <w:rPr>
                <w:rFonts w:hint="eastAsia" w:ascii="宋体" w:hAnsi="宋体" w:eastAsia="宋体" w:cs="宋体"/>
                <w:sz w:val="24"/>
                <w:szCs w:val="24"/>
                <w:highlight w:val="none"/>
                <w:lang w:eastAsia="zh-CN"/>
              </w:rPr>
              <w:t>中标人</w:t>
            </w:r>
          </w:p>
          <w:p w14:paraId="1F034344">
            <w:pPr>
              <w:widowControl/>
              <w:spacing w:beforeLines="0" w:afterLines="0" w:line="360" w:lineRule="auto"/>
              <w:jc w:val="left"/>
              <w:rPr>
                <w:rFonts w:hint="eastAsia" w:ascii="宋体" w:hAnsi="宋体" w:eastAsia="宋体" w:cs="宋体"/>
                <w:color w:val="auto"/>
                <w:spacing w:val="5"/>
                <w:sz w:val="24"/>
                <w:szCs w:val="24"/>
                <w:lang w:val="en-US" w:eastAsia="zh-CN"/>
              </w:rPr>
            </w:pPr>
            <w:r>
              <w:rPr>
                <w:rFonts w:hint="eastAsia" w:ascii="宋体" w:hAnsi="宋体" w:eastAsia="宋体" w:cs="宋体"/>
                <w:sz w:val="24"/>
                <w:szCs w:val="24"/>
                <w:highlight w:val="none"/>
                <w:lang w:eastAsia="zh-CN"/>
              </w:rPr>
              <w:t>收取标准：参照原国家计委《招标代理服务收费管理暂行办法》（计加盖[2002]1980号）、国家发展改革委办公厅《关于招标代理服务收费有关问题的通知》（发改办价格[2003]857号）和国家发展改革委《关于降低部分建设项目收费标准规范收费行为等有关问题的通知》（发改价格[2011]534号）规定，以中标金额为基准计算收取。中标金额在5亿元以上的代理服务费实行收费上限。</w:t>
            </w:r>
          </w:p>
        </w:tc>
      </w:tr>
      <w:tr w14:paraId="2963119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70" w:hRule="atLeast"/>
        </w:trPr>
        <w:tc>
          <w:tcPr>
            <w:tcW w:w="714" w:type="dxa"/>
            <w:noWrap w:val="0"/>
            <w:vAlign w:val="center"/>
          </w:tcPr>
          <w:p w14:paraId="51D6B76A">
            <w:pPr>
              <w:spacing w:beforeLines="0" w:afterLines="0" w:line="36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1</w:t>
            </w:r>
            <w:r>
              <w:rPr>
                <w:rFonts w:hint="eastAsia" w:ascii="宋体" w:hAnsi="宋体" w:eastAsia="宋体" w:cs="宋体"/>
                <w:sz w:val="24"/>
                <w:szCs w:val="24"/>
                <w:highlight w:val="none"/>
                <w:lang w:eastAsia="zh-CN"/>
              </w:rPr>
              <w:t>7</w:t>
            </w:r>
          </w:p>
        </w:tc>
        <w:tc>
          <w:tcPr>
            <w:tcW w:w="2176" w:type="dxa"/>
            <w:noWrap w:val="0"/>
            <w:vAlign w:val="center"/>
          </w:tcPr>
          <w:p w14:paraId="328ACAEB">
            <w:pPr>
              <w:spacing w:beforeLines="0" w:afterLines="0" w:line="360" w:lineRule="auto"/>
              <w:jc w:val="center"/>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履约保证金</w:t>
            </w:r>
          </w:p>
        </w:tc>
        <w:tc>
          <w:tcPr>
            <w:tcW w:w="7145" w:type="dxa"/>
            <w:noWrap w:val="0"/>
            <w:vAlign w:val="center"/>
          </w:tcPr>
          <w:p w14:paraId="6013E3B9">
            <w:pPr>
              <w:spacing w:beforeLines="0" w:afterLines="0" w:line="360" w:lineRule="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eastAsia="zh-CN"/>
              </w:rPr>
              <w:t>是否需要缴纳履约保证金：</w:t>
            </w:r>
            <w:r>
              <w:rPr>
                <w:rFonts w:hint="eastAsia" w:ascii="宋体" w:hAnsi="宋体" w:eastAsia="宋体" w:cs="宋体"/>
                <w:sz w:val="24"/>
                <w:szCs w:val="24"/>
                <w:highlight w:val="none"/>
                <w:lang w:eastAsia="zh-CN"/>
              </w:rPr>
              <w:sym w:font="Wingdings 2" w:char="00A3"/>
            </w:r>
            <w:r>
              <w:rPr>
                <w:rFonts w:hint="eastAsia" w:ascii="宋体" w:hAnsi="宋体" w:eastAsia="宋体" w:cs="宋体"/>
                <w:sz w:val="24"/>
                <w:szCs w:val="24"/>
                <w:highlight w:val="none"/>
                <w:lang w:eastAsia="zh-CN"/>
              </w:rPr>
              <w:t>是</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lang w:eastAsia="zh-CN"/>
              </w:rPr>
              <w:sym w:font="Wingdings 2" w:char="0052"/>
            </w:r>
            <w:r>
              <w:rPr>
                <w:rFonts w:hint="eastAsia" w:ascii="宋体" w:hAnsi="宋体" w:eastAsia="宋体" w:cs="宋体"/>
                <w:sz w:val="24"/>
                <w:szCs w:val="24"/>
                <w:highlight w:val="none"/>
                <w:lang w:eastAsia="zh-CN"/>
              </w:rPr>
              <w:t>否</w:t>
            </w:r>
          </w:p>
        </w:tc>
      </w:tr>
      <w:tr w14:paraId="3D46AA9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0" w:hRule="atLeast"/>
        </w:trPr>
        <w:tc>
          <w:tcPr>
            <w:tcW w:w="714" w:type="dxa"/>
            <w:noWrap w:val="0"/>
            <w:vAlign w:val="center"/>
          </w:tcPr>
          <w:p w14:paraId="33877DD6">
            <w:pPr>
              <w:spacing w:beforeLines="0" w:afterLines="0" w:line="36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lang w:eastAsia="zh-CN"/>
              </w:rPr>
              <w:t>1</w:t>
            </w:r>
            <w:r>
              <w:rPr>
                <w:rFonts w:hint="eastAsia" w:ascii="宋体" w:hAnsi="宋体" w:eastAsia="宋体" w:cs="宋体"/>
                <w:sz w:val="24"/>
                <w:szCs w:val="24"/>
                <w:highlight w:val="none"/>
                <w:lang w:val="en-US" w:eastAsia="zh-CN"/>
              </w:rPr>
              <w:t>8</w:t>
            </w:r>
          </w:p>
        </w:tc>
        <w:tc>
          <w:tcPr>
            <w:tcW w:w="2176" w:type="dxa"/>
            <w:noWrap w:val="0"/>
            <w:vAlign w:val="center"/>
          </w:tcPr>
          <w:p w14:paraId="7184D4C2">
            <w:pPr>
              <w:spacing w:beforeLines="0" w:afterLines="0" w:line="360" w:lineRule="auto"/>
              <w:jc w:val="center"/>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投标文件</w:t>
            </w:r>
          </w:p>
          <w:p w14:paraId="42708857">
            <w:pPr>
              <w:spacing w:beforeLines="0" w:afterLines="0" w:line="360" w:lineRule="auto"/>
              <w:jc w:val="center"/>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上传</w:t>
            </w:r>
          </w:p>
        </w:tc>
        <w:tc>
          <w:tcPr>
            <w:tcW w:w="7145" w:type="dxa"/>
            <w:noWrap w:val="0"/>
            <w:vAlign w:val="center"/>
          </w:tcPr>
          <w:p w14:paraId="594E2E0B">
            <w:pPr>
              <w:spacing w:beforeLines="0" w:afterLines="0"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lang w:eastAsia="zh-CN"/>
              </w:rPr>
              <w:t>使用政府采购云平台投标文件制作工具，制作完成需将加密投标文件在投标截止时间前上传至政采云平台对应位置。</w:t>
            </w:r>
          </w:p>
        </w:tc>
      </w:tr>
      <w:tr w14:paraId="725331D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0" w:hRule="atLeast"/>
        </w:trPr>
        <w:tc>
          <w:tcPr>
            <w:tcW w:w="714" w:type="dxa"/>
            <w:noWrap w:val="0"/>
            <w:vAlign w:val="center"/>
          </w:tcPr>
          <w:p w14:paraId="60CD4BBD">
            <w:pPr>
              <w:spacing w:beforeLines="0" w:afterLines="0" w:line="360" w:lineRule="auto"/>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19</w:t>
            </w:r>
          </w:p>
        </w:tc>
        <w:tc>
          <w:tcPr>
            <w:tcW w:w="2176" w:type="dxa"/>
            <w:noWrap w:val="0"/>
            <w:vAlign w:val="center"/>
          </w:tcPr>
          <w:p w14:paraId="55C76D15">
            <w:pPr>
              <w:spacing w:beforeLines="0" w:afterLines="0" w:line="360" w:lineRule="auto"/>
              <w:jc w:val="center"/>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投标文件</w:t>
            </w:r>
          </w:p>
          <w:p w14:paraId="5CD94100">
            <w:pPr>
              <w:spacing w:beforeLines="0" w:afterLines="0" w:line="360" w:lineRule="auto"/>
              <w:jc w:val="center"/>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递交地点</w:t>
            </w:r>
          </w:p>
        </w:tc>
        <w:tc>
          <w:tcPr>
            <w:tcW w:w="7145" w:type="dxa"/>
            <w:noWrap w:val="0"/>
            <w:vAlign w:val="center"/>
          </w:tcPr>
          <w:p w14:paraId="5B3E3214">
            <w:pPr>
              <w:spacing w:beforeLines="0" w:afterLines="0" w:line="360" w:lineRule="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1、本项目采用不见面开标，投标文件上传：政采云平台</w:t>
            </w:r>
          </w:p>
          <w:p w14:paraId="775FEB1D">
            <w:pPr>
              <w:spacing w:beforeLines="0" w:afterLines="0" w:line="360" w:lineRule="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2、地址：政采云平台</w:t>
            </w:r>
          </w:p>
          <w:p w14:paraId="5832B787">
            <w:pPr>
              <w:spacing w:beforeLines="0" w:afterLines="0" w:line="360" w:lineRule="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注：</w:t>
            </w:r>
          </w:p>
          <w:p w14:paraId="060C3060">
            <w:pPr>
              <w:spacing w:beforeLines="0" w:afterLines="0" w:line="360" w:lineRule="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（1）与加密标书同时生成的备份标书，在出现异常情况进行异常处理时使用。比如当加密标书无法正常解密时，可以在开启标书信息前，通过异常处理上传备份标书。</w:t>
            </w:r>
          </w:p>
          <w:p w14:paraId="78B44996">
            <w:pPr>
              <w:spacing w:beforeLines="0" w:afterLines="0" w:line="360" w:lineRule="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（2）平台会校验标书一致性及标书身份识别，切勿手动修改标书。</w:t>
            </w:r>
          </w:p>
          <w:p w14:paraId="2513B5C1">
            <w:pPr>
              <w:spacing w:beforeLines="0" w:afterLines="0" w:line="360" w:lineRule="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（3）供应商生成的后缀格式为.bfbs的备份标书是无法查看的，主要是为了在开标解密时异常处理使用。</w:t>
            </w:r>
          </w:p>
          <w:p w14:paraId="46BFF77B">
            <w:pPr>
              <w:spacing w:beforeLines="0" w:afterLines="0" w:line="360" w:lineRule="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（4）凡因个人原因无法正常解密投标文件（且没提供备份文件至</w:t>
            </w:r>
            <w:r>
              <w:rPr>
                <w:rFonts w:hint="eastAsia" w:cs="宋体"/>
                <w:sz w:val="24"/>
                <w:szCs w:val="24"/>
                <w:highlight w:val="none"/>
                <w:lang w:eastAsia="zh-CN"/>
              </w:rPr>
              <w:t>招标代理机构</w:t>
            </w:r>
            <w:r>
              <w:rPr>
                <w:rFonts w:hint="eastAsia" w:ascii="宋体" w:hAnsi="宋体" w:eastAsia="宋体" w:cs="宋体"/>
                <w:sz w:val="24"/>
                <w:szCs w:val="24"/>
                <w:highlight w:val="none"/>
                <w:lang w:eastAsia="zh-CN"/>
              </w:rPr>
              <w:t>），致使供应商无法参与评标，供应商自行承担后果。</w:t>
            </w:r>
          </w:p>
          <w:p w14:paraId="21492833">
            <w:pPr>
              <w:spacing w:beforeLines="0" w:afterLines="0" w:line="360" w:lineRule="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电报、电话、传真、电子邮件等形式的投标概不接受。</w:t>
            </w:r>
          </w:p>
        </w:tc>
      </w:tr>
      <w:tr w14:paraId="73942EF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0" w:hRule="atLeast"/>
        </w:trPr>
        <w:tc>
          <w:tcPr>
            <w:tcW w:w="714" w:type="dxa"/>
            <w:noWrap w:val="0"/>
            <w:vAlign w:val="center"/>
          </w:tcPr>
          <w:p w14:paraId="53EA5367">
            <w:pPr>
              <w:spacing w:beforeLines="0" w:afterLines="0" w:line="360" w:lineRule="auto"/>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备注</w:t>
            </w:r>
          </w:p>
        </w:tc>
        <w:tc>
          <w:tcPr>
            <w:tcW w:w="9321" w:type="dxa"/>
            <w:gridSpan w:val="2"/>
            <w:noWrap w:val="0"/>
            <w:vAlign w:val="center"/>
          </w:tcPr>
          <w:p w14:paraId="1199CBA0">
            <w:pPr>
              <w:spacing w:beforeLines="0" w:afterLines="0" w:line="360" w:lineRule="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1、请投标单位提前自学线上开标流程；投标截止时间当天，线上开标环节，投标文件解密时长30分钟，投标供应商请自备笔记本电脑及CA锁进行投标文件解密以及操作投标事项，请投标人提前调试好在线参标电脑各项配置。</w:t>
            </w:r>
          </w:p>
          <w:p w14:paraId="18EC0DCE">
            <w:pPr>
              <w:spacing w:beforeLines="0" w:afterLines="0" w:line="360" w:lineRule="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2、招标文件中采购清单、技术需求等如有偏差，如有疑义请澄清中及时提出；否则视为充分理解招标文件各项要求。</w:t>
            </w:r>
          </w:p>
          <w:p w14:paraId="3BDB3D41">
            <w:pPr>
              <w:spacing w:beforeLines="0" w:afterLines="0" w:line="360" w:lineRule="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3、本次采用政府采购云平台线上招标、投标，请各潜在投标人及时办理CA锁和学习政府采购云平台线上投标相关知识。请在政府采购云平台登录后，进行下载招标文件。请各投标人获取招标文件后及时关注云平台答疑文件获取栏目。具体相关事宜见政府采购云平台。本项目采用资格后审，请投标人仔细阅读招标文件和各项要求，制作文件及相关资料过程中，若因投标人资格条件不符、提供资料不全等原因导致投标文件予以退还，责任自负。</w:t>
            </w:r>
          </w:p>
          <w:p w14:paraId="1631FA47">
            <w:pPr>
              <w:spacing w:beforeLines="0" w:afterLines="0" w:line="360" w:lineRule="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4、投标文件中有弄虚作假的内容，其投标文件作废。</w:t>
            </w:r>
          </w:p>
          <w:p w14:paraId="6CFBDB3B">
            <w:pPr>
              <w:spacing w:beforeLines="0" w:afterLines="0" w:line="360" w:lineRule="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5、招标文件中如有内容冲突的地方，以投标</w:t>
            </w:r>
            <w:r>
              <w:rPr>
                <w:rFonts w:hint="eastAsia" w:ascii="宋体" w:hAnsi="宋体" w:eastAsia="宋体" w:cs="宋体"/>
                <w:sz w:val="24"/>
                <w:szCs w:val="24"/>
                <w:highlight w:val="none"/>
                <w:lang w:val="en-US" w:eastAsia="zh-CN"/>
              </w:rPr>
              <w:t>人</w:t>
            </w:r>
            <w:r>
              <w:rPr>
                <w:rFonts w:hint="eastAsia" w:ascii="宋体" w:hAnsi="宋体" w:eastAsia="宋体" w:cs="宋体"/>
                <w:sz w:val="24"/>
                <w:szCs w:val="24"/>
                <w:highlight w:val="none"/>
                <w:lang w:eastAsia="zh-CN"/>
              </w:rPr>
              <w:t>须知要求为准。</w:t>
            </w:r>
          </w:p>
          <w:p w14:paraId="2F119EE7">
            <w:pPr>
              <w:spacing w:beforeLines="0" w:afterLines="0" w:line="360" w:lineRule="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6</w:t>
            </w:r>
            <w:r>
              <w:rPr>
                <w:rFonts w:hint="eastAsia" w:ascii="宋体" w:hAnsi="宋体" w:eastAsia="宋体" w:cs="宋体"/>
                <w:sz w:val="24"/>
                <w:szCs w:val="24"/>
                <w:highlight w:val="none"/>
                <w:lang w:eastAsia="zh-CN"/>
              </w:rPr>
              <w:t>、供应商有下列</w:t>
            </w:r>
            <w:r>
              <w:rPr>
                <w:rFonts w:hint="eastAsia" w:ascii="宋体" w:hAnsi="宋体" w:eastAsia="宋体" w:cs="宋体"/>
                <w:sz w:val="24"/>
                <w:szCs w:val="24"/>
                <w:highlight w:val="none"/>
                <w:lang w:val="en-US" w:eastAsia="zh-CN"/>
              </w:rPr>
              <w:t>情形之一的，中标、成交无效：</w:t>
            </w:r>
          </w:p>
          <w:p w14:paraId="4DF0649C">
            <w:pPr>
              <w:spacing w:beforeLines="0" w:afterLines="0" w:line="360" w:lineRule="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（一）提供虚假材料谋取中标、成交的；</w:t>
            </w:r>
          </w:p>
          <w:p w14:paraId="785B89F9">
            <w:pPr>
              <w:spacing w:beforeLines="0" w:afterLines="0" w:line="360" w:lineRule="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（二）采取不正当手段诋毁、排挤其他供应商的；</w:t>
            </w:r>
          </w:p>
          <w:p w14:paraId="0503AFA4">
            <w:pPr>
              <w:spacing w:beforeLines="0" w:afterLines="0" w:line="360" w:lineRule="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（三）与</w:t>
            </w:r>
            <w:r>
              <w:rPr>
                <w:rFonts w:hint="eastAsia" w:cs="宋体"/>
                <w:sz w:val="24"/>
                <w:szCs w:val="24"/>
                <w:highlight w:val="none"/>
                <w:lang w:val="en-US" w:eastAsia="zh-CN"/>
              </w:rPr>
              <w:t>招标人</w:t>
            </w:r>
            <w:r>
              <w:rPr>
                <w:rFonts w:hint="eastAsia" w:ascii="宋体" w:hAnsi="宋体" w:eastAsia="宋体" w:cs="宋体"/>
                <w:sz w:val="24"/>
                <w:szCs w:val="24"/>
                <w:highlight w:val="none"/>
                <w:lang w:val="en-US" w:eastAsia="zh-CN"/>
              </w:rPr>
              <w:t>、其他供应商或者</w:t>
            </w:r>
            <w:r>
              <w:rPr>
                <w:rFonts w:hint="eastAsia" w:cs="宋体"/>
                <w:sz w:val="24"/>
                <w:szCs w:val="24"/>
                <w:highlight w:val="none"/>
                <w:lang w:val="en-US" w:eastAsia="zh-CN"/>
              </w:rPr>
              <w:t>招标代理机构</w:t>
            </w:r>
            <w:r>
              <w:rPr>
                <w:rFonts w:hint="eastAsia" w:ascii="宋体" w:hAnsi="宋体" w:eastAsia="宋体" w:cs="宋体"/>
                <w:sz w:val="24"/>
                <w:szCs w:val="24"/>
                <w:highlight w:val="none"/>
                <w:lang w:val="en-US" w:eastAsia="zh-CN"/>
              </w:rPr>
              <w:t>恶意串通的；</w:t>
            </w:r>
          </w:p>
          <w:p w14:paraId="6C37E222">
            <w:pPr>
              <w:spacing w:beforeLines="0" w:afterLines="0" w:line="360" w:lineRule="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（四）向</w:t>
            </w:r>
            <w:r>
              <w:rPr>
                <w:rFonts w:hint="eastAsia" w:cs="宋体"/>
                <w:sz w:val="24"/>
                <w:szCs w:val="24"/>
                <w:highlight w:val="none"/>
                <w:lang w:val="en-US" w:eastAsia="zh-CN"/>
              </w:rPr>
              <w:t>招标人</w:t>
            </w:r>
            <w:r>
              <w:rPr>
                <w:rFonts w:hint="eastAsia" w:ascii="宋体" w:hAnsi="宋体" w:eastAsia="宋体" w:cs="宋体"/>
                <w:sz w:val="24"/>
                <w:szCs w:val="24"/>
                <w:highlight w:val="none"/>
                <w:lang w:val="en-US" w:eastAsia="zh-CN"/>
              </w:rPr>
              <w:t>、</w:t>
            </w:r>
            <w:r>
              <w:rPr>
                <w:rFonts w:hint="eastAsia" w:cs="宋体"/>
                <w:sz w:val="24"/>
                <w:szCs w:val="24"/>
                <w:highlight w:val="none"/>
                <w:lang w:val="en-US" w:eastAsia="zh-CN"/>
              </w:rPr>
              <w:t>招标代理机构</w:t>
            </w:r>
            <w:r>
              <w:rPr>
                <w:rFonts w:hint="eastAsia" w:ascii="宋体" w:hAnsi="宋体" w:eastAsia="宋体" w:cs="宋体"/>
                <w:sz w:val="24"/>
                <w:szCs w:val="24"/>
                <w:highlight w:val="none"/>
                <w:lang w:val="en-US" w:eastAsia="zh-CN"/>
              </w:rPr>
              <w:t>行贿或者提供其他不正当利益的；</w:t>
            </w:r>
          </w:p>
          <w:p w14:paraId="04A90FA2">
            <w:pPr>
              <w:spacing w:beforeLines="0" w:afterLines="0" w:line="360" w:lineRule="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（五）在招标采购过程中与</w:t>
            </w:r>
            <w:r>
              <w:rPr>
                <w:rFonts w:hint="eastAsia" w:cs="宋体"/>
                <w:sz w:val="24"/>
                <w:szCs w:val="24"/>
                <w:highlight w:val="none"/>
                <w:lang w:val="en-US" w:eastAsia="zh-CN"/>
              </w:rPr>
              <w:t>招标人</w:t>
            </w:r>
            <w:r>
              <w:rPr>
                <w:rFonts w:hint="eastAsia" w:ascii="宋体" w:hAnsi="宋体" w:eastAsia="宋体" w:cs="宋体"/>
                <w:sz w:val="24"/>
                <w:szCs w:val="24"/>
                <w:highlight w:val="none"/>
                <w:lang w:val="en-US" w:eastAsia="zh-CN"/>
              </w:rPr>
              <w:t>进行协商谈判的；</w:t>
            </w:r>
          </w:p>
          <w:p w14:paraId="67907965">
            <w:pPr>
              <w:spacing w:beforeLines="0" w:afterLines="0" w:line="360" w:lineRule="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（六）拒绝有关部门监督检查或者提供虚假情况的。</w:t>
            </w:r>
          </w:p>
          <w:p w14:paraId="51EB2B7E">
            <w:pPr>
              <w:spacing w:beforeLines="0" w:afterLines="0" w:line="360" w:lineRule="auto"/>
              <w:rPr>
                <w:rFonts w:hint="eastAsia" w:ascii="宋体" w:hAnsi="宋体" w:eastAsia="宋体" w:cs="宋体"/>
                <w:sz w:val="24"/>
                <w:szCs w:val="24"/>
                <w:highlight w:val="none"/>
                <w:lang w:eastAsia="zh-CN"/>
              </w:rPr>
            </w:pPr>
            <w:r>
              <w:rPr>
                <w:rFonts w:hint="eastAsia" w:cs="宋体"/>
                <w:sz w:val="24"/>
                <w:szCs w:val="24"/>
                <w:highlight w:val="none"/>
                <w:lang w:val="en-US" w:eastAsia="zh-CN"/>
              </w:rPr>
              <w:t>招标人</w:t>
            </w:r>
            <w:r>
              <w:rPr>
                <w:rFonts w:hint="eastAsia" w:ascii="宋体" w:hAnsi="宋体" w:eastAsia="宋体" w:cs="宋体"/>
                <w:sz w:val="24"/>
                <w:szCs w:val="24"/>
                <w:highlight w:val="none"/>
                <w:lang w:val="en-US" w:eastAsia="zh-CN"/>
              </w:rPr>
              <w:t>可以按照评审报告推荐的中标或者成交候选人名单排序，确定下一候选人为中标或者成交供应商，也可以重新开展政府采购活动。</w:t>
            </w:r>
          </w:p>
        </w:tc>
      </w:tr>
      <w:tr w14:paraId="2A895CF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0" w:hRule="atLeast"/>
        </w:trPr>
        <w:tc>
          <w:tcPr>
            <w:tcW w:w="714" w:type="dxa"/>
            <w:noWrap w:val="0"/>
            <w:vAlign w:val="center"/>
          </w:tcPr>
          <w:p w14:paraId="08C34036">
            <w:pPr>
              <w:spacing w:beforeLines="0" w:afterLines="0" w:line="360" w:lineRule="auto"/>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备注</w:t>
            </w:r>
          </w:p>
        </w:tc>
        <w:tc>
          <w:tcPr>
            <w:tcW w:w="9321" w:type="dxa"/>
            <w:gridSpan w:val="2"/>
            <w:noWrap w:val="0"/>
            <w:vAlign w:val="center"/>
          </w:tcPr>
          <w:p w14:paraId="1895B414">
            <w:pPr>
              <w:spacing w:beforeLines="0" w:afterLines="0" w:line="360" w:lineRule="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若招标文件中内容不一致的以投标人须知前附表为准。</w:t>
            </w:r>
          </w:p>
        </w:tc>
      </w:tr>
    </w:tbl>
    <w:p w14:paraId="3353B94C">
      <w:pPr>
        <w:rPr>
          <w:rFonts w:hint="eastAsia" w:ascii="等线 Light" w:hAnsi="等线 Light" w:eastAsia="宋体" w:cs="Times New Roman"/>
          <w:b/>
          <w:bCs/>
          <w:color w:val="auto"/>
          <w:kern w:val="2"/>
          <w:sz w:val="28"/>
          <w:szCs w:val="28"/>
          <w:highlight w:val="none"/>
          <w:lang w:val="en-US" w:eastAsia="zh-CN" w:bidi="ar-SA"/>
        </w:rPr>
      </w:pPr>
      <w:r>
        <w:rPr>
          <w:color w:val="auto"/>
          <w:highlight w:val="none"/>
        </w:rPr>
        <w:br w:type="page"/>
      </w:r>
      <w:bookmarkStart w:id="18" w:name="_Toc9440"/>
      <w:bookmarkStart w:id="19" w:name="_Toc27559"/>
      <w:bookmarkStart w:id="20" w:name="_Toc155185869"/>
      <w:r>
        <w:rPr>
          <w:rFonts w:hint="eastAsia" w:ascii="等线 Light" w:hAnsi="等线 Light" w:eastAsia="宋体" w:cs="Times New Roman"/>
          <w:b/>
          <w:bCs/>
          <w:color w:val="auto"/>
          <w:kern w:val="2"/>
          <w:sz w:val="28"/>
          <w:szCs w:val="28"/>
          <w:highlight w:val="none"/>
          <w:lang w:val="en-US" w:eastAsia="zh-CN" w:bidi="ar-SA"/>
        </w:rPr>
        <w:t>二、投标人须知</w:t>
      </w:r>
      <w:bookmarkEnd w:id="18"/>
      <w:bookmarkEnd w:id="19"/>
      <w:bookmarkEnd w:id="20"/>
    </w:p>
    <w:p w14:paraId="30F51A06">
      <w:pPr>
        <w:pStyle w:val="4"/>
        <w:keepNext w:val="0"/>
        <w:keepLines w:val="0"/>
        <w:pageBreakBefore w:val="0"/>
        <w:widowControl w:val="0"/>
        <w:numPr>
          <w:ilvl w:val="0"/>
          <w:numId w:val="0"/>
        </w:numPr>
        <w:kinsoku/>
        <w:wordWrap/>
        <w:overflowPunct/>
        <w:topLinePunct w:val="0"/>
        <w:autoSpaceDE/>
        <w:autoSpaceDN/>
        <w:bidi w:val="0"/>
        <w:adjustRightInd/>
        <w:snapToGrid/>
        <w:spacing w:before="120" w:after="120" w:line="240" w:lineRule="auto"/>
        <w:ind w:left="420" w:leftChars="0" w:hanging="420" w:firstLineChars="0"/>
        <w:jc w:val="both"/>
        <w:textAlignment w:val="auto"/>
        <w:rPr>
          <w:rFonts w:hint="eastAsia" w:ascii="宋体" w:hAnsi="宋体" w:eastAsia="宋体" w:cs="宋体"/>
          <w:b/>
          <w:bCs/>
          <w:color w:val="auto"/>
          <w:kern w:val="2"/>
          <w:sz w:val="24"/>
          <w:szCs w:val="24"/>
          <w:highlight w:val="none"/>
          <w:lang w:val="en-US" w:eastAsia="zh-CN" w:bidi="ar-SA"/>
        </w:rPr>
      </w:pPr>
      <w:bookmarkStart w:id="21" w:name="_Toc163492822"/>
      <w:bookmarkStart w:id="22" w:name="_Toc155185870"/>
      <w:bookmarkStart w:id="23" w:name="_Toc22384"/>
      <w:r>
        <w:rPr>
          <w:rFonts w:hint="eastAsia" w:ascii="宋体" w:hAnsi="宋体" w:eastAsia="宋体" w:cs="宋体"/>
          <w:b/>
          <w:bCs/>
          <w:color w:val="auto"/>
          <w:kern w:val="2"/>
          <w:sz w:val="24"/>
          <w:szCs w:val="24"/>
          <w:highlight w:val="none"/>
          <w:lang w:val="en-US" w:eastAsia="zh-CN" w:bidi="ar-SA"/>
        </w:rPr>
        <w:t>（一）总则</w:t>
      </w:r>
      <w:bookmarkEnd w:id="21"/>
      <w:bookmarkEnd w:id="22"/>
      <w:bookmarkEnd w:id="23"/>
    </w:p>
    <w:p w14:paraId="393D1C23">
      <w:pPr>
        <w:pStyle w:val="5"/>
        <w:keepNext w:val="0"/>
        <w:keepLines w:val="0"/>
        <w:pageBreakBefore w:val="0"/>
        <w:widowControl w:val="0"/>
        <w:numPr>
          <w:ilvl w:val="0"/>
          <w:numId w:val="0"/>
        </w:numPr>
        <w:kinsoku/>
        <w:wordWrap/>
        <w:overflowPunct/>
        <w:topLinePunct w:val="0"/>
        <w:autoSpaceDE/>
        <w:autoSpaceDN/>
        <w:bidi w:val="0"/>
        <w:adjustRightInd/>
        <w:snapToGrid/>
        <w:spacing w:before="80" w:after="80" w:line="240" w:lineRule="auto"/>
        <w:ind w:left="420" w:leftChars="0" w:hanging="420" w:firstLineChars="0"/>
        <w:jc w:val="both"/>
        <w:textAlignment w:val="auto"/>
        <w:rPr>
          <w:rFonts w:hint="eastAsia" w:ascii="宋体" w:hAnsi="宋体" w:eastAsia="宋体" w:cs="宋体"/>
          <w:b/>
          <w:bCs/>
          <w:color w:val="auto"/>
          <w:kern w:val="2"/>
          <w:sz w:val="24"/>
          <w:szCs w:val="24"/>
          <w:highlight w:val="none"/>
          <w:lang w:val="en-US" w:eastAsia="zh-CN" w:bidi="ar-SA"/>
        </w:rPr>
      </w:pPr>
      <w:bookmarkStart w:id="24" w:name="_Toc30340"/>
      <w:bookmarkStart w:id="25" w:name="_Toc109900050"/>
      <w:bookmarkStart w:id="26" w:name="_Toc155095689"/>
      <w:bookmarkStart w:id="27" w:name="_Toc109897532"/>
      <w:bookmarkStart w:id="28" w:name="_Toc163492823"/>
      <w:bookmarkStart w:id="29" w:name="_Toc109899631"/>
      <w:bookmarkStart w:id="30" w:name="_Toc31233"/>
      <w:bookmarkStart w:id="31" w:name="_Toc109900469"/>
      <w:r>
        <w:rPr>
          <w:rFonts w:hint="eastAsia" w:ascii="宋体" w:hAnsi="宋体" w:eastAsia="宋体" w:cs="宋体"/>
          <w:b/>
          <w:bCs/>
          <w:color w:val="auto"/>
          <w:kern w:val="2"/>
          <w:sz w:val="24"/>
          <w:szCs w:val="24"/>
          <w:highlight w:val="none"/>
          <w:lang w:val="en-US" w:eastAsia="zh-CN" w:bidi="ar-SA"/>
        </w:rPr>
        <w:t>1.适用范围</w:t>
      </w:r>
      <w:bookmarkEnd w:id="24"/>
      <w:bookmarkEnd w:id="25"/>
      <w:bookmarkEnd w:id="26"/>
      <w:bookmarkEnd w:id="27"/>
      <w:bookmarkEnd w:id="28"/>
      <w:bookmarkEnd w:id="29"/>
      <w:bookmarkEnd w:id="30"/>
      <w:bookmarkEnd w:id="31"/>
    </w:p>
    <w:p w14:paraId="353BCDE6">
      <w:pPr>
        <w:pStyle w:val="50"/>
        <w:keepNext w:val="0"/>
        <w:keepLines w:val="0"/>
        <w:pageBreakBefore w:val="0"/>
        <w:widowControl w:val="0"/>
        <w:kinsoku/>
        <w:overflowPunct/>
        <w:topLinePunct w:val="0"/>
        <w:autoSpaceDE/>
        <w:autoSpaceDN/>
        <w:bidi w:val="0"/>
        <w:adjustRightInd/>
        <w:jc w:val="both"/>
        <w:textAlignment w:val="auto"/>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1.1本招标文件仅适用于本项目的采购活动。</w:t>
      </w:r>
    </w:p>
    <w:p w14:paraId="412B3F27">
      <w:pPr>
        <w:pStyle w:val="5"/>
        <w:keepNext w:val="0"/>
        <w:keepLines w:val="0"/>
        <w:pageBreakBefore w:val="0"/>
        <w:widowControl w:val="0"/>
        <w:numPr>
          <w:ilvl w:val="0"/>
          <w:numId w:val="0"/>
        </w:numPr>
        <w:kinsoku/>
        <w:wordWrap/>
        <w:overflowPunct/>
        <w:topLinePunct w:val="0"/>
        <w:autoSpaceDE/>
        <w:autoSpaceDN/>
        <w:bidi w:val="0"/>
        <w:adjustRightInd/>
        <w:snapToGrid/>
        <w:spacing w:before="80" w:after="80" w:line="240" w:lineRule="auto"/>
        <w:ind w:left="420" w:leftChars="0" w:hanging="420" w:firstLineChars="0"/>
        <w:jc w:val="both"/>
        <w:textAlignment w:val="auto"/>
        <w:rPr>
          <w:rFonts w:hint="eastAsia" w:ascii="宋体" w:hAnsi="宋体" w:eastAsia="宋体" w:cs="宋体"/>
          <w:b/>
          <w:bCs/>
          <w:color w:val="auto"/>
          <w:kern w:val="2"/>
          <w:sz w:val="24"/>
          <w:szCs w:val="24"/>
          <w:highlight w:val="none"/>
          <w:lang w:val="en-US" w:eastAsia="zh-CN" w:bidi="ar-SA"/>
        </w:rPr>
      </w:pPr>
      <w:bookmarkStart w:id="32" w:name="_Toc163492824"/>
      <w:bookmarkStart w:id="33" w:name="_Toc7979"/>
      <w:r>
        <w:rPr>
          <w:rFonts w:hint="eastAsia" w:ascii="宋体" w:hAnsi="宋体" w:eastAsia="宋体" w:cs="宋体"/>
          <w:b/>
          <w:bCs/>
          <w:color w:val="auto"/>
          <w:kern w:val="2"/>
          <w:sz w:val="24"/>
          <w:szCs w:val="24"/>
          <w:highlight w:val="none"/>
          <w:lang w:val="en-US" w:eastAsia="zh-CN" w:bidi="ar-SA"/>
        </w:rPr>
        <w:t>2.基本定义</w:t>
      </w:r>
      <w:bookmarkEnd w:id="32"/>
      <w:bookmarkEnd w:id="33"/>
    </w:p>
    <w:p w14:paraId="72DA8E38">
      <w:pPr>
        <w:pStyle w:val="50"/>
        <w:keepNext w:val="0"/>
        <w:keepLines w:val="0"/>
        <w:pageBreakBefore w:val="0"/>
        <w:widowControl w:val="0"/>
        <w:kinsoku/>
        <w:overflowPunct/>
        <w:topLinePunct w:val="0"/>
        <w:autoSpaceDE/>
        <w:autoSpaceDN/>
        <w:bidi w:val="0"/>
        <w:adjustRightInd/>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2.1根据《中华人民共和国政府采购法》及其实施条例等有关法律、法规和规章的规定，制定本招标文件。</w:t>
      </w:r>
    </w:p>
    <w:p w14:paraId="21B20CC7">
      <w:pPr>
        <w:keepNext w:val="0"/>
        <w:keepLines w:val="0"/>
        <w:pageBreakBefore w:val="0"/>
        <w:widowControl w:val="0"/>
        <w:suppressLineNumbers w:val="0"/>
        <w:kinsoku/>
        <w:overflowPunct/>
        <w:topLinePunct w:val="0"/>
        <w:autoSpaceDE/>
        <w:autoSpaceDN/>
        <w:bidi w:val="0"/>
        <w:adjustRightInd/>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w:t>
      </w:r>
      <w:r>
        <w:rPr>
          <w:rFonts w:hint="eastAsia" w:cs="宋体"/>
          <w:color w:val="auto"/>
          <w:sz w:val="24"/>
          <w:szCs w:val="24"/>
          <w:highlight w:val="none"/>
          <w:lang w:eastAsia="zh-CN"/>
        </w:rPr>
        <w:t>招标人</w:t>
      </w:r>
      <w:r>
        <w:rPr>
          <w:rFonts w:hint="eastAsia" w:ascii="宋体" w:hAnsi="宋体" w:eastAsia="宋体" w:cs="宋体"/>
          <w:color w:val="auto"/>
          <w:sz w:val="24"/>
          <w:szCs w:val="24"/>
          <w:highlight w:val="none"/>
        </w:rPr>
        <w:t>：</w:t>
      </w:r>
      <w:r>
        <w:rPr>
          <w:rFonts w:hint="eastAsia" w:ascii="宋体" w:hAnsi="宋体" w:eastAsia="宋体" w:cs="宋体"/>
          <w:color w:val="auto"/>
          <w:kern w:val="0"/>
          <w:sz w:val="24"/>
          <w:szCs w:val="24"/>
          <w:highlight w:val="none"/>
          <w:lang w:val="en-US" w:eastAsia="zh-CN" w:bidi="ar"/>
        </w:rPr>
        <w:t>指依法进行政府采购的国家机关、事业单位、团体组织</w:t>
      </w:r>
      <w:r>
        <w:rPr>
          <w:rFonts w:hint="eastAsia" w:ascii="宋体" w:hAnsi="宋体" w:eastAsia="宋体" w:cs="宋体"/>
          <w:color w:val="auto"/>
          <w:sz w:val="24"/>
          <w:szCs w:val="24"/>
          <w:highlight w:val="none"/>
        </w:rPr>
        <w:t>。</w:t>
      </w:r>
    </w:p>
    <w:p w14:paraId="15A13EAE">
      <w:pPr>
        <w:keepNext w:val="0"/>
        <w:keepLines w:val="0"/>
        <w:pageBreakBefore w:val="0"/>
        <w:widowControl w:val="0"/>
        <w:suppressLineNumbers w:val="0"/>
        <w:kinsoku/>
        <w:overflowPunct/>
        <w:topLinePunct w:val="0"/>
        <w:autoSpaceDE/>
        <w:autoSpaceDN/>
        <w:bidi w:val="0"/>
        <w:adjustRightInd/>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2.3</w:t>
      </w:r>
      <w:r>
        <w:rPr>
          <w:rFonts w:hint="eastAsia" w:cs="宋体"/>
          <w:color w:val="auto"/>
          <w:sz w:val="24"/>
          <w:szCs w:val="24"/>
          <w:highlight w:val="none"/>
          <w:lang w:eastAsia="zh-CN"/>
        </w:rPr>
        <w:t>招标代理机构</w:t>
      </w:r>
      <w:r>
        <w:rPr>
          <w:rFonts w:hint="eastAsia" w:ascii="宋体" w:hAnsi="宋体" w:eastAsia="宋体" w:cs="宋体"/>
          <w:color w:val="auto"/>
          <w:sz w:val="24"/>
          <w:szCs w:val="24"/>
          <w:highlight w:val="none"/>
        </w:rPr>
        <w:t>：</w:t>
      </w:r>
      <w:r>
        <w:rPr>
          <w:rFonts w:hint="eastAsia" w:ascii="宋体" w:hAnsi="宋体" w:eastAsia="宋体" w:cs="宋体"/>
          <w:color w:val="auto"/>
          <w:kern w:val="0"/>
          <w:sz w:val="24"/>
          <w:szCs w:val="24"/>
          <w:highlight w:val="none"/>
          <w:lang w:val="en-US" w:eastAsia="zh-CN" w:bidi="ar"/>
        </w:rPr>
        <w:t>指依法进行政府采购的国家机关、事业单位、团体组织</w:t>
      </w:r>
      <w:r>
        <w:rPr>
          <w:rFonts w:hint="eastAsia" w:ascii="宋体" w:hAnsi="宋体" w:eastAsia="宋体" w:cs="宋体"/>
          <w:color w:val="auto"/>
          <w:sz w:val="24"/>
          <w:szCs w:val="24"/>
          <w:highlight w:val="none"/>
          <w:lang w:val="en-US" w:eastAsia="zh-CN"/>
        </w:rPr>
        <w:t>委托的</w:t>
      </w:r>
      <w:r>
        <w:rPr>
          <w:rFonts w:hint="eastAsia" w:cs="宋体"/>
          <w:color w:val="auto"/>
          <w:sz w:val="24"/>
          <w:szCs w:val="24"/>
          <w:highlight w:val="none"/>
          <w:lang w:val="en-US" w:eastAsia="zh-CN"/>
        </w:rPr>
        <w:t>招标代理机构</w:t>
      </w:r>
      <w:r>
        <w:rPr>
          <w:rFonts w:hint="eastAsia" w:ascii="宋体" w:hAnsi="宋体" w:eastAsia="宋体" w:cs="宋体"/>
          <w:color w:val="auto"/>
          <w:sz w:val="24"/>
          <w:szCs w:val="24"/>
          <w:highlight w:val="none"/>
        </w:rPr>
        <w:t>。</w:t>
      </w:r>
    </w:p>
    <w:p w14:paraId="43BECD25">
      <w:pPr>
        <w:pStyle w:val="50"/>
        <w:keepNext w:val="0"/>
        <w:keepLines w:val="0"/>
        <w:pageBreakBefore w:val="0"/>
        <w:widowControl w:val="0"/>
        <w:kinsoku/>
        <w:overflowPunct/>
        <w:topLinePunct w:val="0"/>
        <w:autoSpaceDE/>
        <w:autoSpaceDN/>
        <w:bidi w:val="0"/>
        <w:adjustRightInd/>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2.4政府采购监督管理部门：各级人民政府财政部门是负责政府采购监督管理的部门，依法履行对政府采购活动的监督管理职责。各级人民政府其他有关部门依法履行与政府采购活动有关的监督管理职责。</w:t>
      </w:r>
    </w:p>
    <w:p w14:paraId="2A140B9A">
      <w:pPr>
        <w:pStyle w:val="50"/>
        <w:keepNext w:val="0"/>
        <w:keepLines w:val="0"/>
        <w:pageBreakBefore w:val="0"/>
        <w:widowControl w:val="0"/>
        <w:kinsoku/>
        <w:overflowPunct/>
        <w:topLinePunct w:val="0"/>
        <w:autoSpaceDE/>
        <w:autoSpaceDN/>
        <w:bidi w:val="0"/>
        <w:adjustRightInd/>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2.5 服务包含的内容见</w:t>
      </w:r>
      <w:r>
        <w:rPr>
          <w:rFonts w:hint="eastAsia" w:ascii="宋体" w:hAnsi="宋体" w:eastAsia="宋体" w:cs="宋体"/>
          <w:color w:val="auto"/>
          <w:sz w:val="24"/>
          <w:szCs w:val="24"/>
          <w:highlight w:val="none"/>
        </w:rPr>
        <w:t>“投标人须知前附表”</w:t>
      </w:r>
      <w:r>
        <w:rPr>
          <w:rFonts w:hint="eastAsia" w:ascii="宋体" w:hAnsi="宋体" w:eastAsia="宋体" w:cs="宋体"/>
          <w:color w:val="auto"/>
          <w:sz w:val="24"/>
          <w:szCs w:val="24"/>
          <w:highlight w:val="none"/>
          <w:lang w:val="en-US" w:eastAsia="zh-CN"/>
        </w:rPr>
        <w:t>。</w:t>
      </w:r>
    </w:p>
    <w:p w14:paraId="5039DE54">
      <w:pPr>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iCs/>
          <w:color w:val="auto"/>
          <w:sz w:val="24"/>
          <w:szCs w:val="24"/>
          <w:highlight w:val="none"/>
          <w:shd w:val="clear" w:color="auto" w:fill="FFFFFF"/>
        </w:rPr>
        <w:t>2.6投标人（也称“供应商”、“申请人”）：指向</w:t>
      </w:r>
      <w:r>
        <w:rPr>
          <w:rFonts w:hint="eastAsia" w:cs="宋体"/>
          <w:iCs/>
          <w:color w:val="auto"/>
          <w:sz w:val="24"/>
          <w:szCs w:val="24"/>
          <w:highlight w:val="none"/>
          <w:shd w:val="clear" w:color="auto" w:fill="FFFFFF"/>
          <w:lang w:eastAsia="zh-CN"/>
        </w:rPr>
        <w:t>招标人</w:t>
      </w:r>
      <w:r>
        <w:rPr>
          <w:rFonts w:hint="eastAsia" w:ascii="宋体" w:hAnsi="宋体" w:eastAsia="宋体" w:cs="宋体"/>
          <w:iCs/>
          <w:color w:val="auto"/>
          <w:sz w:val="24"/>
          <w:szCs w:val="24"/>
          <w:highlight w:val="none"/>
          <w:shd w:val="clear" w:color="auto" w:fill="FFFFFF"/>
        </w:rPr>
        <w:t>提供货物、工程或者服务的法人、其他组织或者自然人。</w:t>
      </w:r>
      <w:r>
        <w:rPr>
          <w:rFonts w:hint="eastAsia" w:ascii="宋体" w:hAnsi="宋体" w:eastAsia="宋体" w:cs="宋体"/>
          <w:color w:val="auto"/>
          <w:sz w:val="24"/>
          <w:szCs w:val="24"/>
          <w:highlight w:val="none"/>
        </w:rPr>
        <w:t>分支机构不得参加政府采购活动，但银行、保险、石油石化、电力、电信等</w:t>
      </w:r>
      <w:r>
        <w:rPr>
          <w:rFonts w:hint="eastAsia" w:ascii="宋体" w:hAnsi="宋体" w:eastAsia="宋体" w:cs="宋体"/>
          <w:color w:val="auto"/>
          <w:sz w:val="24"/>
          <w:szCs w:val="24"/>
          <w:highlight w:val="none"/>
          <w:lang w:val="en-US" w:eastAsia="zh-CN"/>
        </w:rPr>
        <w:t>有</w:t>
      </w:r>
      <w:r>
        <w:rPr>
          <w:rFonts w:hint="eastAsia" w:ascii="宋体" w:hAnsi="宋体" w:eastAsia="宋体" w:cs="宋体"/>
          <w:color w:val="auto"/>
          <w:sz w:val="24"/>
          <w:szCs w:val="24"/>
          <w:highlight w:val="none"/>
        </w:rPr>
        <w:t>行业特殊</w:t>
      </w:r>
      <w:r>
        <w:rPr>
          <w:rFonts w:hint="eastAsia" w:ascii="宋体" w:hAnsi="宋体" w:eastAsia="宋体" w:cs="宋体"/>
          <w:color w:val="auto"/>
          <w:sz w:val="24"/>
          <w:szCs w:val="24"/>
          <w:highlight w:val="none"/>
          <w:lang w:val="en-US" w:eastAsia="zh-CN"/>
        </w:rPr>
        <w:t>情况的</w:t>
      </w:r>
      <w:r>
        <w:rPr>
          <w:rFonts w:hint="eastAsia" w:ascii="宋体" w:hAnsi="宋体" w:eastAsia="宋体" w:cs="宋体"/>
          <w:color w:val="auto"/>
          <w:sz w:val="24"/>
          <w:szCs w:val="24"/>
          <w:highlight w:val="none"/>
        </w:rPr>
        <w:t>除外。本项目的投标人须满足以下条件：</w:t>
      </w:r>
    </w:p>
    <w:p w14:paraId="22B46FD0">
      <w:pPr>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2.6.1具备《中华人民共和国政府采购法》第二十二条规定的条件，遵守本项目</w:t>
      </w:r>
      <w:r>
        <w:rPr>
          <w:rFonts w:hint="eastAsia" w:cs="宋体"/>
          <w:color w:val="auto"/>
          <w:sz w:val="24"/>
          <w:szCs w:val="24"/>
          <w:highlight w:val="none"/>
          <w:lang w:eastAsia="zh-CN"/>
        </w:rPr>
        <w:t>招标人</w:t>
      </w:r>
      <w:r>
        <w:rPr>
          <w:rFonts w:hint="eastAsia" w:ascii="宋体" w:hAnsi="宋体" w:eastAsia="宋体" w:cs="宋体"/>
          <w:color w:val="auto"/>
          <w:sz w:val="24"/>
          <w:szCs w:val="24"/>
          <w:highlight w:val="none"/>
        </w:rPr>
        <w:t>本级和上级财政部门政府采购的有关规定。</w:t>
      </w:r>
    </w:p>
    <w:p w14:paraId="2D1E889E">
      <w:pPr>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2.6.2以招标公告中发布的方式依法获得了本项目的招标文件。</w:t>
      </w:r>
    </w:p>
    <w:p w14:paraId="55AC398C">
      <w:pPr>
        <w:ind w:firstLine="480" w:firstLineChars="200"/>
        <w:jc w:val="both"/>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2.6.3符合本招标文件规定并参加投标的供应商。</w:t>
      </w:r>
    </w:p>
    <w:p w14:paraId="1632436C">
      <w:pPr>
        <w:pStyle w:val="50"/>
        <w:keepNext w:val="0"/>
        <w:keepLines w:val="0"/>
        <w:pageBreakBefore w:val="0"/>
        <w:widowControl w:val="0"/>
        <w:kinsoku/>
        <w:overflowPunct/>
        <w:topLinePunct w:val="0"/>
        <w:autoSpaceDE/>
        <w:autoSpaceDN/>
        <w:bidi w:val="0"/>
        <w:adjustRightInd/>
        <w:ind w:left="0" w:leftChars="0"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2.7</w:t>
      </w:r>
      <w:r>
        <w:rPr>
          <w:rFonts w:hint="eastAsia" w:ascii="宋体" w:hAnsi="宋体" w:eastAsia="宋体" w:cs="宋体"/>
          <w:iCs/>
          <w:color w:val="auto"/>
          <w:sz w:val="24"/>
          <w:szCs w:val="24"/>
          <w:highlight w:val="none"/>
          <w:shd w:val="clear" w:color="auto" w:fill="FFFFFF"/>
        </w:rPr>
        <w:t>潜在投标人、潜在供应商</w:t>
      </w:r>
      <w:r>
        <w:rPr>
          <w:rFonts w:hint="eastAsia" w:ascii="宋体" w:hAnsi="宋体" w:eastAsia="宋体" w:cs="宋体"/>
          <w:iCs/>
          <w:color w:val="auto"/>
          <w:sz w:val="24"/>
          <w:szCs w:val="24"/>
          <w:highlight w:val="none"/>
          <w:shd w:val="clear" w:color="auto" w:fill="FFFFFF"/>
          <w:lang w:eastAsia="zh-CN"/>
        </w:rPr>
        <w:t>：</w:t>
      </w:r>
      <w:r>
        <w:rPr>
          <w:rFonts w:hint="eastAsia" w:ascii="宋体" w:hAnsi="宋体" w:eastAsia="宋体" w:cs="宋体"/>
          <w:iCs/>
          <w:color w:val="auto"/>
          <w:sz w:val="24"/>
          <w:szCs w:val="24"/>
          <w:highlight w:val="none"/>
          <w:shd w:val="clear" w:color="auto" w:fill="FFFFFF"/>
          <w:lang w:val="en-US" w:eastAsia="zh-CN"/>
        </w:rPr>
        <w:t>指</w:t>
      </w:r>
      <w:r>
        <w:rPr>
          <w:rFonts w:hint="eastAsia" w:ascii="宋体" w:hAnsi="宋体" w:eastAsia="宋体" w:cs="宋体"/>
          <w:color w:val="auto"/>
          <w:sz w:val="24"/>
          <w:szCs w:val="24"/>
          <w:highlight w:val="none"/>
          <w:lang w:val="en-US" w:eastAsia="zh-CN"/>
        </w:rPr>
        <w:t>符合本招标文件规定的供应商</w:t>
      </w:r>
      <w:r>
        <w:rPr>
          <w:rFonts w:hint="eastAsia" w:ascii="宋体" w:hAnsi="宋体" w:eastAsia="宋体" w:cs="宋体"/>
          <w:color w:val="auto"/>
          <w:sz w:val="24"/>
          <w:szCs w:val="24"/>
          <w:highlight w:val="none"/>
        </w:rPr>
        <w:t>。</w:t>
      </w:r>
    </w:p>
    <w:p w14:paraId="04BD6B0D">
      <w:pPr>
        <w:pStyle w:val="5"/>
        <w:keepNext w:val="0"/>
        <w:keepLines w:val="0"/>
        <w:pageBreakBefore w:val="0"/>
        <w:widowControl w:val="0"/>
        <w:numPr>
          <w:ilvl w:val="0"/>
          <w:numId w:val="0"/>
        </w:numPr>
        <w:kinsoku/>
        <w:wordWrap/>
        <w:overflowPunct/>
        <w:topLinePunct w:val="0"/>
        <w:autoSpaceDE/>
        <w:autoSpaceDN/>
        <w:bidi w:val="0"/>
        <w:adjustRightInd/>
        <w:snapToGrid/>
        <w:spacing w:before="80" w:after="80" w:line="240" w:lineRule="auto"/>
        <w:ind w:left="420" w:leftChars="0" w:hanging="420" w:firstLineChars="0"/>
        <w:jc w:val="both"/>
        <w:textAlignment w:val="auto"/>
        <w:rPr>
          <w:rFonts w:hint="eastAsia" w:ascii="宋体" w:hAnsi="宋体" w:eastAsia="宋体" w:cs="宋体"/>
          <w:b/>
          <w:bCs/>
          <w:color w:val="auto"/>
          <w:kern w:val="2"/>
          <w:sz w:val="24"/>
          <w:szCs w:val="24"/>
          <w:highlight w:val="none"/>
          <w:lang w:val="en-US" w:eastAsia="zh-CN" w:bidi="ar-SA"/>
        </w:rPr>
      </w:pPr>
      <w:bookmarkStart w:id="34" w:name="_Toc140132758"/>
      <w:bookmarkStart w:id="35" w:name="_Toc163492825"/>
      <w:bookmarkStart w:id="36" w:name="_Toc21761"/>
      <w:r>
        <w:rPr>
          <w:rFonts w:hint="eastAsia" w:ascii="宋体" w:hAnsi="宋体" w:eastAsia="宋体" w:cs="宋体"/>
          <w:b/>
          <w:bCs/>
          <w:color w:val="auto"/>
          <w:kern w:val="2"/>
          <w:sz w:val="24"/>
          <w:szCs w:val="24"/>
          <w:highlight w:val="none"/>
          <w:lang w:val="en-US" w:eastAsia="zh-CN" w:bidi="ar-SA"/>
        </w:rPr>
        <w:t>3.资金来源</w:t>
      </w:r>
      <w:bookmarkEnd w:id="34"/>
      <w:bookmarkEnd w:id="35"/>
      <w:bookmarkEnd w:id="36"/>
    </w:p>
    <w:p w14:paraId="5A00AE7B">
      <w:pPr>
        <w:pStyle w:val="50"/>
        <w:keepNext w:val="0"/>
        <w:keepLines w:val="0"/>
        <w:pageBreakBefore w:val="0"/>
        <w:widowControl w:val="0"/>
        <w:kinsoku/>
        <w:overflowPunct/>
        <w:topLinePunct w:val="0"/>
        <w:autoSpaceDE/>
        <w:autoSpaceDN/>
        <w:bidi w:val="0"/>
        <w:adjustRightInd/>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3.1资金来源：</w:t>
      </w:r>
      <w:r>
        <w:rPr>
          <w:rFonts w:hint="eastAsia" w:ascii="宋体" w:hAnsi="宋体" w:eastAsia="宋体" w:cs="宋体"/>
          <w:color w:val="auto"/>
          <w:sz w:val="24"/>
          <w:szCs w:val="24"/>
          <w:highlight w:val="none"/>
          <w:lang w:val="en-US" w:eastAsia="zh-CN"/>
        </w:rPr>
        <w:t>为财政性资金即</w:t>
      </w:r>
      <w:r>
        <w:rPr>
          <w:rFonts w:hint="eastAsia" w:ascii="宋体" w:hAnsi="宋体" w:eastAsia="宋体" w:cs="宋体"/>
          <w:color w:val="auto"/>
          <w:sz w:val="24"/>
          <w:szCs w:val="24"/>
          <w:highlight w:val="none"/>
        </w:rPr>
        <w:t>纳入预算管理的资金</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以财政性资金作为还款来源的借贷资金，视同财政性资金。财政性资金与非财政性资金无法分割采购的，统一适用《中华人民共和国政府采购法》及其实施条例。</w:t>
      </w:r>
    </w:p>
    <w:p w14:paraId="7BE3E04D">
      <w:pPr>
        <w:pStyle w:val="5"/>
        <w:keepNext w:val="0"/>
        <w:keepLines w:val="0"/>
        <w:pageBreakBefore w:val="0"/>
        <w:widowControl w:val="0"/>
        <w:numPr>
          <w:ilvl w:val="0"/>
          <w:numId w:val="0"/>
        </w:numPr>
        <w:kinsoku/>
        <w:wordWrap/>
        <w:overflowPunct/>
        <w:topLinePunct w:val="0"/>
        <w:autoSpaceDE/>
        <w:autoSpaceDN/>
        <w:bidi w:val="0"/>
        <w:adjustRightInd/>
        <w:snapToGrid/>
        <w:spacing w:before="80" w:after="80" w:line="240" w:lineRule="auto"/>
        <w:ind w:left="420" w:leftChars="0" w:hanging="420" w:firstLineChars="0"/>
        <w:jc w:val="both"/>
        <w:textAlignment w:val="auto"/>
        <w:rPr>
          <w:rFonts w:hint="eastAsia" w:ascii="宋体" w:hAnsi="宋体" w:eastAsia="宋体" w:cs="宋体"/>
          <w:b/>
          <w:bCs/>
          <w:color w:val="auto"/>
          <w:kern w:val="2"/>
          <w:sz w:val="24"/>
          <w:szCs w:val="24"/>
          <w:highlight w:val="none"/>
          <w:lang w:val="en-US" w:eastAsia="zh-CN" w:bidi="ar-SA"/>
        </w:rPr>
      </w:pPr>
      <w:bookmarkStart w:id="37" w:name="_Toc8143"/>
      <w:bookmarkStart w:id="38" w:name="_Toc140132760"/>
      <w:bookmarkStart w:id="39" w:name="_Toc163492826"/>
      <w:r>
        <w:rPr>
          <w:rFonts w:hint="eastAsia" w:ascii="宋体" w:hAnsi="宋体" w:eastAsia="宋体" w:cs="宋体"/>
          <w:b/>
          <w:bCs/>
          <w:color w:val="auto"/>
          <w:kern w:val="2"/>
          <w:sz w:val="24"/>
          <w:szCs w:val="24"/>
          <w:highlight w:val="none"/>
          <w:lang w:val="en-US" w:eastAsia="zh-CN" w:bidi="ar-SA"/>
        </w:rPr>
        <w:t>4.投标人资格要求</w:t>
      </w:r>
      <w:bookmarkEnd w:id="37"/>
      <w:bookmarkEnd w:id="38"/>
      <w:bookmarkEnd w:id="39"/>
    </w:p>
    <w:p w14:paraId="5577192C">
      <w:pPr>
        <w:pStyle w:val="50"/>
        <w:keepNext w:val="0"/>
        <w:keepLines w:val="0"/>
        <w:pageBreakBefore w:val="0"/>
        <w:widowControl w:val="0"/>
        <w:kinsoku/>
        <w:overflowPunct/>
        <w:topLinePunct w:val="0"/>
        <w:autoSpaceDE/>
        <w:autoSpaceDN/>
        <w:bidi w:val="0"/>
        <w:adjustRightInd/>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4.1投标人资格要求：见“</w:t>
      </w:r>
      <w:r>
        <w:rPr>
          <w:rFonts w:hint="eastAsia" w:ascii="宋体" w:hAnsi="宋体" w:eastAsia="宋体" w:cs="宋体"/>
          <w:color w:val="auto"/>
          <w:sz w:val="24"/>
          <w:szCs w:val="24"/>
          <w:highlight w:val="none"/>
          <w:lang w:val="en-US" w:eastAsia="zh-CN"/>
        </w:rPr>
        <w:t>第一章 招标公告</w:t>
      </w:r>
      <w:r>
        <w:rPr>
          <w:rFonts w:hint="eastAsia" w:ascii="宋体" w:hAnsi="宋体" w:eastAsia="宋体" w:cs="宋体"/>
          <w:color w:val="auto"/>
          <w:sz w:val="24"/>
          <w:szCs w:val="24"/>
          <w:highlight w:val="none"/>
        </w:rPr>
        <w:t>”；</w:t>
      </w:r>
    </w:p>
    <w:p w14:paraId="09A6E438">
      <w:pPr>
        <w:pStyle w:val="50"/>
        <w:keepNext w:val="0"/>
        <w:keepLines w:val="0"/>
        <w:pageBreakBefore w:val="0"/>
        <w:widowControl w:val="0"/>
        <w:kinsoku/>
        <w:overflowPunct/>
        <w:topLinePunct w:val="0"/>
        <w:autoSpaceDE/>
        <w:autoSpaceDN/>
        <w:bidi w:val="0"/>
        <w:adjustRightInd/>
        <w:jc w:val="both"/>
        <w:textAlignment w:val="auto"/>
        <w:rPr>
          <w:rFonts w:hint="eastAsia"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lang w:val="zh-CN" w:eastAsia="zh-CN"/>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val="zh-CN" w:eastAsia="zh-CN"/>
        </w:rPr>
        <w:t>“</w:t>
      </w:r>
      <w:r>
        <w:rPr>
          <w:rFonts w:hint="eastAsia" w:ascii="宋体" w:hAnsi="宋体" w:eastAsia="宋体" w:cs="宋体"/>
          <w:color w:val="auto"/>
          <w:sz w:val="24"/>
          <w:szCs w:val="24"/>
          <w:highlight w:val="none"/>
          <w:lang w:val="en-US" w:eastAsia="zh-CN"/>
        </w:rPr>
        <w:t>第一章 招标公告</w:t>
      </w:r>
      <w:r>
        <w:rPr>
          <w:rFonts w:hint="eastAsia" w:ascii="宋体" w:hAnsi="宋体" w:eastAsia="宋体" w:cs="宋体"/>
          <w:color w:val="auto"/>
          <w:sz w:val="24"/>
          <w:szCs w:val="24"/>
          <w:highlight w:val="none"/>
          <w:lang w:val="zh-CN" w:eastAsia="zh-CN"/>
        </w:rPr>
        <w:t>”规定接受联合体投标的，还应遵守以下规定：</w:t>
      </w:r>
    </w:p>
    <w:p w14:paraId="6E254AB8">
      <w:pPr>
        <w:pStyle w:val="50"/>
        <w:keepNext w:val="0"/>
        <w:keepLines w:val="0"/>
        <w:pageBreakBefore w:val="0"/>
        <w:widowControl w:val="0"/>
        <w:kinsoku/>
        <w:overflowPunct/>
        <w:topLinePunct w:val="0"/>
        <w:autoSpaceDE/>
        <w:autoSpaceDN/>
        <w:bidi w:val="0"/>
        <w:adjustRightInd/>
        <w:jc w:val="both"/>
        <w:textAlignment w:val="auto"/>
        <w:rPr>
          <w:rFonts w:hint="eastAsia" w:ascii="宋体" w:hAnsi="宋体" w:eastAsia="宋体" w:cs="宋体"/>
          <w:iCs/>
          <w:color w:val="auto"/>
          <w:kern w:val="2"/>
          <w:sz w:val="24"/>
          <w:szCs w:val="24"/>
          <w:highlight w:val="none"/>
          <w:shd w:val="clear" w:color="auto" w:fill="FFFFFF"/>
          <w:lang w:val="zh-CN" w:eastAsia="zh-CN" w:bidi="ar-SA"/>
        </w:rPr>
      </w:pP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lang w:val="zh-CN" w:eastAsia="zh-CN"/>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val="zh-CN" w:eastAsia="zh-CN"/>
        </w:rPr>
        <w:t>1两个以上的自然人、法人或者其他组织可以组成一个联合体，以一个</w:t>
      </w:r>
      <w:r>
        <w:rPr>
          <w:rFonts w:hint="eastAsia" w:ascii="宋体" w:hAnsi="宋体" w:eastAsia="宋体" w:cs="宋体"/>
          <w:color w:val="auto"/>
          <w:sz w:val="24"/>
          <w:szCs w:val="24"/>
          <w:highlight w:val="none"/>
          <w:lang w:val="en-US" w:eastAsia="zh-CN"/>
        </w:rPr>
        <w:t>投标人</w:t>
      </w:r>
      <w:r>
        <w:rPr>
          <w:rFonts w:hint="eastAsia" w:ascii="宋体" w:hAnsi="宋体" w:eastAsia="宋体" w:cs="宋体"/>
          <w:color w:val="auto"/>
          <w:sz w:val="24"/>
          <w:szCs w:val="24"/>
          <w:highlight w:val="none"/>
          <w:lang w:val="zh-CN" w:eastAsia="zh-CN"/>
        </w:rPr>
        <w:t>的身份共同参加政府采购。</w:t>
      </w:r>
      <w:r>
        <w:rPr>
          <w:rFonts w:hint="eastAsia" w:ascii="宋体" w:hAnsi="宋体" w:eastAsia="宋体" w:cs="宋体"/>
          <w:iCs/>
          <w:color w:val="auto"/>
          <w:kern w:val="2"/>
          <w:sz w:val="24"/>
          <w:szCs w:val="24"/>
          <w:highlight w:val="none"/>
          <w:shd w:val="clear" w:color="auto" w:fill="FFFFFF"/>
          <w:lang w:val="zh-CN" w:eastAsia="zh-CN" w:bidi="ar-SA"/>
        </w:rPr>
        <w:t>以联合体形式进行政府采购的，参加联合体的供应商均应当具备《</w:t>
      </w:r>
      <w:r>
        <w:rPr>
          <w:rFonts w:hint="eastAsia" w:ascii="宋体" w:hAnsi="宋体" w:eastAsia="宋体" w:cs="宋体"/>
          <w:color w:val="auto"/>
          <w:sz w:val="24"/>
          <w:szCs w:val="24"/>
          <w:highlight w:val="none"/>
        </w:rPr>
        <w:t>中华人民共和国政府采购法</w:t>
      </w:r>
      <w:r>
        <w:rPr>
          <w:rFonts w:hint="eastAsia" w:ascii="宋体" w:hAnsi="宋体" w:eastAsia="宋体" w:cs="宋体"/>
          <w:iCs/>
          <w:color w:val="auto"/>
          <w:kern w:val="2"/>
          <w:sz w:val="24"/>
          <w:szCs w:val="24"/>
          <w:highlight w:val="none"/>
          <w:shd w:val="clear" w:color="auto" w:fill="FFFFFF"/>
          <w:lang w:val="zh-CN" w:eastAsia="zh-CN" w:bidi="ar-SA"/>
        </w:rPr>
        <w:t>》第二十二条规定的条件。</w:t>
      </w:r>
    </w:p>
    <w:p w14:paraId="299073B3">
      <w:pPr>
        <w:pStyle w:val="50"/>
        <w:keepNext w:val="0"/>
        <w:keepLines w:val="0"/>
        <w:pageBreakBefore w:val="0"/>
        <w:widowControl w:val="0"/>
        <w:kinsoku/>
        <w:overflowPunct/>
        <w:topLinePunct w:val="0"/>
        <w:autoSpaceDE/>
        <w:autoSpaceDN/>
        <w:bidi w:val="0"/>
        <w:adjustRightInd/>
        <w:jc w:val="both"/>
        <w:textAlignment w:val="auto"/>
        <w:rPr>
          <w:rFonts w:hint="eastAsia" w:ascii="宋体" w:hAnsi="宋体" w:eastAsia="宋体" w:cs="宋体"/>
          <w:iCs/>
          <w:color w:val="auto"/>
          <w:kern w:val="2"/>
          <w:sz w:val="24"/>
          <w:szCs w:val="24"/>
          <w:highlight w:val="none"/>
          <w:shd w:val="clear" w:color="auto" w:fill="FFFFFF"/>
          <w:lang w:val="zh-CN" w:eastAsia="zh-CN" w:bidi="ar-SA"/>
        </w:rPr>
      </w:pPr>
      <w:r>
        <w:rPr>
          <w:rFonts w:hint="eastAsia" w:ascii="宋体" w:hAnsi="宋体" w:eastAsia="宋体" w:cs="宋体"/>
          <w:iCs/>
          <w:color w:val="auto"/>
          <w:kern w:val="2"/>
          <w:sz w:val="24"/>
          <w:szCs w:val="24"/>
          <w:highlight w:val="none"/>
          <w:shd w:val="clear" w:color="auto" w:fill="FFFFFF"/>
          <w:lang w:val="en-US" w:eastAsia="zh-CN" w:bidi="ar-SA"/>
        </w:rPr>
        <w:t>4</w:t>
      </w:r>
      <w:r>
        <w:rPr>
          <w:rFonts w:hint="eastAsia" w:ascii="宋体" w:hAnsi="宋体" w:eastAsia="宋体" w:cs="宋体"/>
          <w:iCs/>
          <w:color w:val="auto"/>
          <w:kern w:val="2"/>
          <w:sz w:val="24"/>
          <w:szCs w:val="24"/>
          <w:highlight w:val="none"/>
          <w:shd w:val="clear" w:color="auto" w:fill="FFFFFF"/>
          <w:lang w:val="zh-CN" w:eastAsia="zh-CN" w:bidi="ar-SA"/>
        </w:rPr>
        <w:t>.</w:t>
      </w:r>
      <w:r>
        <w:rPr>
          <w:rFonts w:hint="eastAsia" w:ascii="宋体" w:hAnsi="宋体" w:eastAsia="宋体" w:cs="宋体"/>
          <w:iCs/>
          <w:color w:val="auto"/>
          <w:kern w:val="2"/>
          <w:sz w:val="24"/>
          <w:szCs w:val="24"/>
          <w:highlight w:val="none"/>
          <w:shd w:val="clear" w:color="auto" w:fill="FFFFFF"/>
          <w:lang w:val="en-US" w:eastAsia="zh-CN" w:bidi="ar-SA"/>
        </w:rPr>
        <w:t>2.2</w:t>
      </w:r>
      <w:r>
        <w:rPr>
          <w:rFonts w:hint="eastAsia" w:ascii="宋体" w:hAnsi="宋体" w:eastAsia="宋体" w:cs="宋体"/>
          <w:iCs/>
          <w:color w:val="auto"/>
          <w:kern w:val="2"/>
          <w:sz w:val="24"/>
          <w:szCs w:val="24"/>
          <w:highlight w:val="none"/>
          <w:shd w:val="clear" w:color="auto" w:fill="FFFFFF"/>
          <w:lang w:val="zh-CN" w:eastAsia="zh-CN" w:bidi="ar-SA"/>
        </w:rPr>
        <w:t>联合体各方应按招标文件提供的格式签订联合</w:t>
      </w:r>
      <w:r>
        <w:rPr>
          <w:rFonts w:hint="eastAsia" w:ascii="宋体" w:hAnsi="宋体" w:eastAsia="宋体" w:cs="宋体"/>
          <w:iCs/>
          <w:color w:val="auto"/>
          <w:kern w:val="2"/>
          <w:sz w:val="24"/>
          <w:szCs w:val="24"/>
          <w:highlight w:val="none"/>
          <w:shd w:val="clear" w:color="auto" w:fill="FFFFFF"/>
          <w:lang w:val="en-US" w:eastAsia="zh-CN" w:bidi="ar-SA"/>
        </w:rPr>
        <w:t>体</w:t>
      </w:r>
      <w:r>
        <w:rPr>
          <w:rFonts w:hint="eastAsia" w:ascii="宋体" w:hAnsi="宋体" w:eastAsia="宋体" w:cs="宋体"/>
          <w:iCs/>
          <w:color w:val="auto"/>
          <w:kern w:val="2"/>
          <w:sz w:val="24"/>
          <w:szCs w:val="24"/>
          <w:highlight w:val="none"/>
          <w:shd w:val="clear" w:color="auto" w:fill="FFFFFF"/>
          <w:lang w:val="zh-CN" w:eastAsia="zh-CN" w:bidi="ar-SA"/>
        </w:rPr>
        <w:t>协议</w:t>
      </w:r>
      <w:r>
        <w:rPr>
          <w:rFonts w:hint="eastAsia" w:ascii="宋体" w:hAnsi="宋体" w:eastAsia="宋体" w:cs="宋体"/>
          <w:iCs/>
          <w:color w:val="auto"/>
          <w:kern w:val="2"/>
          <w:sz w:val="24"/>
          <w:szCs w:val="24"/>
          <w:highlight w:val="none"/>
          <w:shd w:val="clear" w:color="auto" w:fill="FFFFFF"/>
          <w:lang w:val="en-US" w:eastAsia="zh-CN" w:bidi="ar-SA"/>
        </w:rPr>
        <w:t>书</w:t>
      </w:r>
      <w:r>
        <w:rPr>
          <w:rFonts w:hint="eastAsia" w:ascii="宋体" w:hAnsi="宋体" w:eastAsia="宋体" w:cs="宋体"/>
          <w:iCs/>
          <w:color w:val="auto"/>
          <w:kern w:val="2"/>
          <w:sz w:val="24"/>
          <w:szCs w:val="24"/>
          <w:highlight w:val="none"/>
          <w:shd w:val="clear" w:color="auto" w:fill="FFFFFF"/>
          <w:lang w:val="zh-CN" w:eastAsia="zh-CN" w:bidi="ar-SA"/>
        </w:rPr>
        <w:t>，明确约定联合体各方承担的工作和相应的责任，并将联合</w:t>
      </w:r>
      <w:r>
        <w:rPr>
          <w:rFonts w:hint="eastAsia" w:ascii="宋体" w:hAnsi="宋体" w:eastAsia="宋体" w:cs="宋体"/>
          <w:iCs/>
          <w:color w:val="auto"/>
          <w:kern w:val="2"/>
          <w:sz w:val="24"/>
          <w:szCs w:val="24"/>
          <w:highlight w:val="none"/>
          <w:shd w:val="clear" w:color="auto" w:fill="FFFFFF"/>
          <w:lang w:val="en-US" w:eastAsia="zh-CN" w:bidi="ar-SA"/>
        </w:rPr>
        <w:t>体</w:t>
      </w:r>
      <w:r>
        <w:rPr>
          <w:rFonts w:hint="eastAsia" w:ascii="宋体" w:hAnsi="宋体" w:eastAsia="宋体" w:cs="宋体"/>
          <w:iCs/>
          <w:color w:val="auto"/>
          <w:kern w:val="2"/>
          <w:sz w:val="24"/>
          <w:szCs w:val="24"/>
          <w:highlight w:val="none"/>
          <w:shd w:val="clear" w:color="auto" w:fill="FFFFFF"/>
          <w:lang w:val="zh-CN" w:eastAsia="zh-CN" w:bidi="ar-SA"/>
        </w:rPr>
        <w:t>协议</w:t>
      </w:r>
      <w:r>
        <w:rPr>
          <w:rFonts w:hint="eastAsia" w:ascii="宋体" w:hAnsi="宋体" w:eastAsia="宋体" w:cs="宋体"/>
          <w:iCs/>
          <w:color w:val="auto"/>
          <w:kern w:val="2"/>
          <w:sz w:val="24"/>
          <w:szCs w:val="24"/>
          <w:highlight w:val="none"/>
          <w:shd w:val="clear" w:color="auto" w:fill="FFFFFF"/>
          <w:lang w:val="en-US" w:eastAsia="zh-CN" w:bidi="ar-SA"/>
        </w:rPr>
        <w:t>书</w:t>
      </w:r>
      <w:r>
        <w:rPr>
          <w:rFonts w:hint="eastAsia" w:ascii="宋体" w:hAnsi="宋体" w:eastAsia="宋体" w:cs="宋体"/>
          <w:iCs/>
          <w:color w:val="auto"/>
          <w:kern w:val="2"/>
          <w:sz w:val="24"/>
          <w:szCs w:val="24"/>
          <w:highlight w:val="none"/>
          <w:shd w:val="clear" w:color="auto" w:fill="FFFFFF"/>
          <w:lang w:val="zh-CN" w:eastAsia="zh-CN" w:bidi="ar-SA"/>
        </w:rPr>
        <w:t>作为投标文件的一部分提交，该协议书对联合</w:t>
      </w:r>
      <w:r>
        <w:rPr>
          <w:rFonts w:hint="eastAsia" w:ascii="宋体" w:hAnsi="宋体" w:eastAsia="宋体" w:cs="宋体"/>
          <w:iCs/>
          <w:color w:val="auto"/>
          <w:kern w:val="2"/>
          <w:sz w:val="24"/>
          <w:szCs w:val="24"/>
          <w:highlight w:val="none"/>
          <w:shd w:val="clear" w:color="auto" w:fill="FFFFFF"/>
          <w:lang w:val="en-US" w:eastAsia="zh-CN" w:bidi="ar-SA"/>
        </w:rPr>
        <w:t>体所有成员</w:t>
      </w:r>
      <w:r>
        <w:rPr>
          <w:rFonts w:hint="eastAsia" w:ascii="宋体" w:hAnsi="宋体" w:eastAsia="宋体" w:cs="宋体"/>
          <w:iCs/>
          <w:color w:val="auto"/>
          <w:kern w:val="2"/>
          <w:sz w:val="24"/>
          <w:szCs w:val="24"/>
          <w:highlight w:val="none"/>
          <w:shd w:val="clear" w:color="auto" w:fill="FFFFFF"/>
          <w:lang w:val="zh-CN" w:eastAsia="zh-CN" w:bidi="ar-SA"/>
        </w:rPr>
        <w:t>均具有法律约束力。</w:t>
      </w:r>
    </w:p>
    <w:p w14:paraId="143AE155">
      <w:pPr>
        <w:pStyle w:val="50"/>
        <w:keepNext w:val="0"/>
        <w:keepLines w:val="0"/>
        <w:pageBreakBefore w:val="0"/>
        <w:widowControl w:val="0"/>
        <w:kinsoku/>
        <w:overflowPunct/>
        <w:topLinePunct w:val="0"/>
        <w:autoSpaceDE/>
        <w:autoSpaceDN/>
        <w:bidi w:val="0"/>
        <w:adjustRightInd/>
        <w:jc w:val="both"/>
        <w:textAlignment w:val="auto"/>
        <w:rPr>
          <w:rFonts w:hint="eastAsia" w:ascii="宋体" w:hAnsi="宋体" w:eastAsia="宋体" w:cs="宋体"/>
          <w:iCs/>
          <w:color w:val="auto"/>
          <w:kern w:val="2"/>
          <w:sz w:val="24"/>
          <w:szCs w:val="24"/>
          <w:highlight w:val="none"/>
          <w:shd w:val="clear" w:color="auto" w:fill="FFFFFF"/>
          <w:lang w:val="zh-CN" w:eastAsia="zh-CN" w:bidi="ar-SA"/>
        </w:rPr>
      </w:pPr>
      <w:r>
        <w:rPr>
          <w:rFonts w:hint="eastAsia" w:ascii="宋体" w:hAnsi="宋体" w:eastAsia="宋体" w:cs="宋体"/>
          <w:iCs/>
          <w:color w:val="auto"/>
          <w:kern w:val="2"/>
          <w:sz w:val="24"/>
          <w:szCs w:val="24"/>
          <w:highlight w:val="none"/>
          <w:shd w:val="clear" w:color="auto" w:fill="FFFFFF"/>
          <w:lang w:val="en-US" w:eastAsia="zh-CN" w:bidi="ar-SA"/>
        </w:rPr>
        <w:t>4.2.3</w:t>
      </w:r>
      <w:r>
        <w:rPr>
          <w:rFonts w:hint="eastAsia" w:ascii="宋体" w:hAnsi="宋体" w:eastAsia="宋体" w:cs="宋体"/>
          <w:iCs/>
          <w:color w:val="auto"/>
          <w:kern w:val="2"/>
          <w:sz w:val="24"/>
          <w:szCs w:val="24"/>
          <w:highlight w:val="none"/>
          <w:shd w:val="clear" w:color="auto" w:fill="FFFFFF"/>
          <w:lang w:val="zh-CN" w:eastAsia="zh-CN" w:bidi="ar-SA"/>
        </w:rPr>
        <w:t>联合体中有同类资质的供应商按照联合体分工承担相同工作的，应当按照资质等级较低的供应商确定资质等级。</w:t>
      </w:r>
    </w:p>
    <w:p w14:paraId="58B577CB">
      <w:pPr>
        <w:pStyle w:val="50"/>
        <w:keepNext w:val="0"/>
        <w:keepLines w:val="0"/>
        <w:pageBreakBefore w:val="0"/>
        <w:widowControl w:val="0"/>
        <w:kinsoku/>
        <w:overflowPunct/>
        <w:topLinePunct w:val="0"/>
        <w:autoSpaceDE/>
        <w:autoSpaceDN/>
        <w:bidi w:val="0"/>
        <w:adjustRightInd/>
        <w:jc w:val="both"/>
        <w:textAlignment w:val="auto"/>
        <w:rPr>
          <w:rFonts w:hint="eastAsia" w:ascii="宋体" w:hAnsi="宋体" w:eastAsia="宋体" w:cs="宋体"/>
          <w:iCs/>
          <w:color w:val="auto"/>
          <w:kern w:val="2"/>
          <w:sz w:val="24"/>
          <w:szCs w:val="24"/>
          <w:highlight w:val="none"/>
          <w:shd w:val="clear" w:color="auto" w:fill="FFFFFF"/>
          <w:lang w:val="zh-CN" w:eastAsia="zh-CN" w:bidi="ar-SA"/>
        </w:rPr>
      </w:pPr>
      <w:r>
        <w:rPr>
          <w:rFonts w:hint="eastAsia" w:ascii="宋体" w:hAnsi="宋体" w:eastAsia="宋体" w:cs="宋体"/>
          <w:iCs/>
          <w:color w:val="auto"/>
          <w:kern w:val="2"/>
          <w:sz w:val="24"/>
          <w:szCs w:val="24"/>
          <w:highlight w:val="none"/>
          <w:shd w:val="clear" w:color="auto" w:fill="FFFFFF"/>
          <w:lang w:val="en-US" w:eastAsia="zh-CN" w:bidi="ar-SA"/>
        </w:rPr>
        <w:t>4.2</w:t>
      </w:r>
      <w:r>
        <w:rPr>
          <w:rFonts w:hint="eastAsia" w:ascii="宋体" w:hAnsi="宋体" w:eastAsia="宋体" w:cs="宋体"/>
          <w:iCs/>
          <w:color w:val="auto"/>
          <w:kern w:val="2"/>
          <w:sz w:val="24"/>
          <w:szCs w:val="24"/>
          <w:highlight w:val="none"/>
          <w:shd w:val="clear" w:color="auto" w:fill="FFFFFF"/>
          <w:lang w:val="zh-CN" w:eastAsia="zh-CN" w:bidi="ar-SA"/>
        </w:rPr>
        <w:t>.</w:t>
      </w:r>
      <w:r>
        <w:rPr>
          <w:rFonts w:hint="eastAsia" w:ascii="宋体" w:hAnsi="宋体" w:eastAsia="宋体" w:cs="宋体"/>
          <w:iCs/>
          <w:color w:val="auto"/>
          <w:kern w:val="2"/>
          <w:sz w:val="24"/>
          <w:szCs w:val="24"/>
          <w:highlight w:val="none"/>
          <w:shd w:val="clear" w:color="auto" w:fill="FFFFFF"/>
          <w:lang w:val="en-US" w:eastAsia="zh-CN" w:bidi="ar-SA"/>
        </w:rPr>
        <w:t>4</w:t>
      </w:r>
      <w:r>
        <w:rPr>
          <w:rFonts w:hint="eastAsia" w:ascii="宋体" w:hAnsi="宋体" w:eastAsia="宋体" w:cs="宋体"/>
          <w:iCs/>
          <w:color w:val="auto"/>
          <w:kern w:val="2"/>
          <w:sz w:val="24"/>
          <w:szCs w:val="24"/>
          <w:highlight w:val="none"/>
          <w:shd w:val="clear" w:color="auto" w:fill="FFFFFF"/>
          <w:lang w:val="zh-CN" w:eastAsia="zh-CN" w:bidi="ar-SA"/>
        </w:rPr>
        <w:t>以联合体形式参加政府采购活动的，联合体各方不得再单独参加或者与其他供应商另外组成联合体参加</w:t>
      </w:r>
      <w:r>
        <w:rPr>
          <w:rFonts w:hint="eastAsia" w:ascii="宋体" w:hAnsi="宋体" w:eastAsia="宋体" w:cs="宋体"/>
          <w:iCs/>
          <w:color w:val="auto"/>
          <w:kern w:val="2"/>
          <w:sz w:val="24"/>
          <w:szCs w:val="24"/>
          <w:highlight w:val="none"/>
          <w:shd w:val="clear" w:color="auto" w:fill="FFFFFF"/>
          <w:lang w:val="en-US" w:eastAsia="zh-CN" w:bidi="ar-SA"/>
        </w:rPr>
        <w:t>同一合同项下的</w:t>
      </w:r>
      <w:r>
        <w:rPr>
          <w:rFonts w:hint="eastAsia" w:ascii="宋体" w:hAnsi="宋体" w:eastAsia="宋体" w:cs="宋体"/>
          <w:iCs/>
          <w:color w:val="auto"/>
          <w:kern w:val="2"/>
          <w:sz w:val="24"/>
          <w:szCs w:val="24"/>
          <w:highlight w:val="none"/>
          <w:shd w:val="clear" w:color="auto" w:fill="FFFFFF"/>
          <w:lang w:val="zh-CN" w:eastAsia="zh-CN" w:bidi="ar-SA"/>
        </w:rPr>
        <w:t>投标，否则相关投标将被认定为</w:t>
      </w:r>
      <w:r>
        <w:rPr>
          <w:rFonts w:hint="eastAsia" w:ascii="宋体" w:hAnsi="宋体" w:eastAsia="宋体" w:cs="宋体"/>
          <w:b/>
          <w:bCs/>
          <w:iCs/>
          <w:color w:val="auto"/>
          <w:kern w:val="2"/>
          <w:sz w:val="24"/>
          <w:szCs w:val="24"/>
          <w:highlight w:val="none"/>
          <w:shd w:val="clear" w:color="auto" w:fill="FFFFFF"/>
          <w:lang w:val="zh-CN" w:eastAsia="zh-CN" w:bidi="ar-SA"/>
        </w:rPr>
        <w:t>投标无效</w:t>
      </w:r>
      <w:r>
        <w:rPr>
          <w:rFonts w:hint="eastAsia" w:ascii="宋体" w:hAnsi="宋体" w:eastAsia="宋体" w:cs="宋体"/>
          <w:iCs/>
          <w:color w:val="auto"/>
          <w:kern w:val="2"/>
          <w:sz w:val="24"/>
          <w:szCs w:val="24"/>
          <w:highlight w:val="none"/>
          <w:shd w:val="clear" w:color="auto" w:fill="FFFFFF"/>
          <w:lang w:val="zh-CN" w:eastAsia="zh-CN" w:bidi="ar-SA"/>
        </w:rPr>
        <w:t>。</w:t>
      </w:r>
    </w:p>
    <w:p w14:paraId="4CED21A3">
      <w:pPr>
        <w:pStyle w:val="50"/>
        <w:keepNext w:val="0"/>
        <w:keepLines w:val="0"/>
        <w:pageBreakBefore w:val="0"/>
        <w:widowControl w:val="0"/>
        <w:kinsoku/>
        <w:overflowPunct/>
        <w:topLinePunct w:val="0"/>
        <w:autoSpaceDE/>
        <w:autoSpaceDN/>
        <w:bidi w:val="0"/>
        <w:adjustRightInd/>
        <w:jc w:val="both"/>
        <w:textAlignment w:val="auto"/>
        <w:rPr>
          <w:rFonts w:hint="eastAsia" w:ascii="宋体" w:hAnsi="宋体" w:eastAsia="宋体" w:cs="宋体"/>
          <w:iCs/>
          <w:color w:val="auto"/>
          <w:kern w:val="2"/>
          <w:sz w:val="24"/>
          <w:szCs w:val="24"/>
          <w:highlight w:val="none"/>
          <w:shd w:val="clear" w:color="auto" w:fill="FFFFFF"/>
          <w:lang w:val="zh-CN" w:eastAsia="zh-CN" w:bidi="ar-SA"/>
        </w:rPr>
      </w:pPr>
      <w:r>
        <w:rPr>
          <w:rFonts w:hint="eastAsia" w:ascii="宋体" w:hAnsi="宋体" w:eastAsia="宋体" w:cs="宋体"/>
          <w:iCs/>
          <w:color w:val="auto"/>
          <w:kern w:val="2"/>
          <w:sz w:val="24"/>
          <w:szCs w:val="24"/>
          <w:highlight w:val="none"/>
          <w:shd w:val="clear" w:color="auto" w:fill="FFFFFF"/>
          <w:lang w:val="en-US" w:eastAsia="zh-CN" w:bidi="ar-SA"/>
        </w:rPr>
        <w:t>4.2</w:t>
      </w:r>
      <w:r>
        <w:rPr>
          <w:rFonts w:hint="eastAsia" w:ascii="宋体" w:hAnsi="宋体" w:eastAsia="宋体" w:cs="宋体"/>
          <w:iCs/>
          <w:color w:val="auto"/>
          <w:kern w:val="2"/>
          <w:sz w:val="24"/>
          <w:szCs w:val="24"/>
          <w:highlight w:val="none"/>
          <w:shd w:val="clear" w:color="auto" w:fill="FFFFFF"/>
          <w:lang w:val="zh-CN" w:eastAsia="zh-CN" w:bidi="ar-SA"/>
        </w:rPr>
        <w:t>.5大中型企业、其他自然人、法人或者非法人组织与小型、微型企业组成联合体共同参加投标</w:t>
      </w:r>
      <w:r>
        <w:rPr>
          <w:rFonts w:hint="eastAsia" w:ascii="宋体" w:hAnsi="宋体" w:eastAsia="宋体" w:cs="宋体"/>
          <w:iCs/>
          <w:color w:val="auto"/>
          <w:kern w:val="2"/>
          <w:sz w:val="24"/>
          <w:szCs w:val="24"/>
          <w:highlight w:val="none"/>
          <w:shd w:val="clear" w:color="auto" w:fill="FFFFFF"/>
          <w:lang w:val="en-US" w:eastAsia="zh-CN" w:bidi="ar-SA"/>
        </w:rPr>
        <w:t>的</w:t>
      </w:r>
      <w:r>
        <w:rPr>
          <w:rFonts w:hint="eastAsia" w:ascii="宋体" w:hAnsi="宋体" w:eastAsia="宋体" w:cs="宋体"/>
          <w:iCs/>
          <w:color w:val="auto"/>
          <w:kern w:val="2"/>
          <w:sz w:val="24"/>
          <w:szCs w:val="24"/>
          <w:highlight w:val="none"/>
          <w:shd w:val="clear" w:color="auto" w:fill="FFFFFF"/>
          <w:lang w:val="zh-CN" w:eastAsia="zh-CN" w:bidi="ar-SA"/>
        </w:rPr>
        <w:t>，联合</w:t>
      </w:r>
      <w:r>
        <w:rPr>
          <w:rFonts w:hint="eastAsia" w:ascii="宋体" w:hAnsi="宋体" w:eastAsia="宋体" w:cs="宋体"/>
          <w:iCs/>
          <w:color w:val="auto"/>
          <w:kern w:val="2"/>
          <w:sz w:val="24"/>
          <w:szCs w:val="24"/>
          <w:highlight w:val="none"/>
          <w:shd w:val="clear" w:color="auto" w:fill="FFFFFF"/>
          <w:lang w:val="en-US" w:eastAsia="zh-CN" w:bidi="ar-SA"/>
        </w:rPr>
        <w:t>体</w:t>
      </w:r>
      <w:r>
        <w:rPr>
          <w:rFonts w:hint="eastAsia" w:ascii="宋体" w:hAnsi="宋体" w:eastAsia="宋体" w:cs="宋体"/>
          <w:iCs/>
          <w:color w:val="auto"/>
          <w:kern w:val="2"/>
          <w:sz w:val="24"/>
          <w:szCs w:val="24"/>
          <w:highlight w:val="none"/>
          <w:shd w:val="clear" w:color="auto" w:fill="FFFFFF"/>
          <w:lang w:val="zh-CN" w:eastAsia="zh-CN" w:bidi="ar-SA"/>
        </w:rPr>
        <w:t>协议</w:t>
      </w:r>
      <w:r>
        <w:rPr>
          <w:rFonts w:hint="eastAsia" w:ascii="宋体" w:hAnsi="宋体" w:eastAsia="宋体" w:cs="宋体"/>
          <w:iCs/>
          <w:color w:val="auto"/>
          <w:kern w:val="2"/>
          <w:sz w:val="24"/>
          <w:szCs w:val="24"/>
          <w:highlight w:val="none"/>
          <w:shd w:val="clear" w:color="auto" w:fill="FFFFFF"/>
          <w:lang w:val="en-US" w:eastAsia="zh-CN" w:bidi="ar-SA"/>
        </w:rPr>
        <w:t>书</w:t>
      </w:r>
      <w:r>
        <w:rPr>
          <w:rFonts w:hint="eastAsia" w:ascii="宋体" w:hAnsi="宋体" w:eastAsia="宋体" w:cs="宋体"/>
          <w:iCs/>
          <w:color w:val="auto"/>
          <w:kern w:val="2"/>
          <w:sz w:val="24"/>
          <w:szCs w:val="24"/>
          <w:highlight w:val="none"/>
          <w:shd w:val="clear" w:color="auto" w:fill="FFFFFF"/>
          <w:lang w:val="zh-CN" w:eastAsia="zh-CN" w:bidi="ar-SA"/>
        </w:rPr>
        <w:t>中应写明小型、微型企业的合同金额占到联合</w:t>
      </w:r>
      <w:r>
        <w:rPr>
          <w:rFonts w:hint="eastAsia" w:ascii="宋体" w:hAnsi="宋体" w:eastAsia="宋体" w:cs="宋体"/>
          <w:iCs/>
          <w:color w:val="auto"/>
          <w:kern w:val="2"/>
          <w:sz w:val="24"/>
          <w:szCs w:val="24"/>
          <w:highlight w:val="none"/>
          <w:shd w:val="clear" w:color="auto" w:fill="FFFFFF"/>
          <w:lang w:val="en-US" w:eastAsia="zh-CN" w:bidi="ar-SA"/>
        </w:rPr>
        <w:t>体</w:t>
      </w:r>
      <w:r>
        <w:rPr>
          <w:rFonts w:hint="eastAsia" w:ascii="宋体" w:hAnsi="宋体" w:eastAsia="宋体" w:cs="宋体"/>
          <w:iCs/>
          <w:color w:val="auto"/>
          <w:kern w:val="2"/>
          <w:sz w:val="24"/>
          <w:szCs w:val="24"/>
          <w:highlight w:val="none"/>
          <w:shd w:val="clear" w:color="auto" w:fill="FFFFFF"/>
          <w:lang w:val="zh-CN" w:eastAsia="zh-CN" w:bidi="ar-SA"/>
        </w:rPr>
        <w:t>投标</w:t>
      </w:r>
      <w:r>
        <w:rPr>
          <w:rFonts w:hint="eastAsia" w:ascii="宋体" w:hAnsi="宋体" w:eastAsia="宋体" w:cs="宋体"/>
          <w:iCs/>
          <w:color w:val="auto"/>
          <w:kern w:val="2"/>
          <w:sz w:val="24"/>
          <w:szCs w:val="24"/>
          <w:highlight w:val="none"/>
          <w:shd w:val="clear" w:color="auto" w:fill="FFFFFF"/>
          <w:lang w:val="en-US" w:eastAsia="zh-CN" w:bidi="ar-SA"/>
        </w:rPr>
        <w:t>合同</w:t>
      </w:r>
      <w:r>
        <w:rPr>
          <w:rFonts w:hint="eastAsia" w:ascii="宋体" w:hAnsi="宋体" w:eastAsia="宋体" w:cs="宋体"/>
          <w:iCs/>
          <w:color w:val="auto"/>
          <w:kern w:val="2"/>
          <w:sz w:val="24"/>
          <w:szCs w:val="24"/>
          <w:highlight w:val="none"/>
          <w:shd w:val="clear" w:color="auto" w:fill="FFFFFF"/>
          <w:lang w:val="zh-CN" w:eastAsia="zh-CN" w:bidi="ar-SA"/>
        </w:rPr>
        <w:t>总金额的比例。</w:t>
      </w:r>
    </w:p>
    <w:p w14:paraId="0A1E31FA">
      <w:pPr>
        <w:pStyle w:val="50"/>
        <w:keepNext w:val="0"/>
        <w:keepLines w:val="0"/>
        <w:pageBreakBefore w:val="0"/>
        <w:widowControl w:val="0"/>
        <w:kinsoku/>
        <w:overflowPunct/>
        <w:topLinePunct w:val="0"/>
        <w:autoSpaceDE/>
        <w:autoSpaceDN/>
        <w:bidi w:val="0"/>
        <w:adjustRightInd/>
        <w:jc w:val="both"/>
        <w:textAlignment w:val="auto"/>
        <w:rPr>
          <w:rFonts w:hint="eastAsia" w:ascii="宋体" w:hAnsi="宋体" w:eastAsia="宋体" w:cs="宋体"/>
          <w:iCs/>
          <w:color w:val="auto"/>
          <w:kern w:val="2"/>
          <w:sz w:val="24"/>
          <w:szCs w:val="24"/>
          <w:highlight w:val="none"/>
          <w:shd w:val="clear" w:color="auto" w:fill="FFFFFF"/>
          <w:lang w:val="zh-CN" w:eastAsia="zh-CN" w:bidi="ar-SA"/>
        </w:rPr>
      </w:pPr>
      <w:r>
        <w:rPr>
          <w:rFonts w:hint="eastAsia" w:ascii="宋体" w:hAnsi="宋体" w:eastAsia="宋体" w:cs="宋体"/>
          <w:iCs/>
          <w:color w:val="auto"/>
          <w:kern w:val="2"/>
          <w:sz w:val="24"/>
          <w:szCs w:val="24"/>
          <w:highlight w:val="none"/>
          <w:shd w:val="clear" w:color="auto" w:fill="FFFFFF"/>
          <w:lang w:val="zh-CN" w:eastAsia="zh-CN" w:bidi="ar-SA"/>
        </w:rPr>
        <w:t>4.2</w:t>
      </w:r>
      <w:r>
        <w:rPr>
          <w:rFonts w:hint="eastAsia" w:ascii="宋体" w:hAnsi="宋体" w:eastAsia="宋体" w:cs="宋体"/>
          <w:iCs/>
          <w:color w:val="auto"/>
          <w:kern w:val="2"/>
          <w:sz w:val="24"/>
          <w:szCs w:val="24"/>
          <w:highlight w:val="none"/>
          <w:shd w:val="clear" w:color="auto" w:fill="FFFFFF"/>
          <w:lang w:val="en-US" w:eastAsia="zh-CN" w:bidi="ar-SA"/>
        </w:rPr>
        <w:t>.6</w:t>
      </w:r>
      <w:r>
        <w:rPr>
          <w:rFonts w:hint="eastAsia" w:ascii="宋体" w:hAnsi="宋体" w:eastAsia="宋体" w:cs="宋体"/>
          <w:iCs/>
          <w:color w:val="auto"/>
          <w:kern w:val="2"/>
          <w:sz w:val="24"/>
          <w:szCs w:val="24"/>
          <w:highlight w:val="none"/>
          <w:shd w:val="clear" w:color="auto" w:fill="FFFFFF"/>
          <w:lang w:val="zh-CN" w:eastAsia="zh-CN" w:bidi="ar-SA"/>
        </w:rPr>
        <w:t>联合体中标</w:t>
      </w:r>
      <w:r>
        <w:rPr>
          <w:rFonts w:hint="eastAsia" w:ascii="宋体" w:hAnsi="宋体" w:eastAsia="宋体" w:cs="宋体"/>
          <w:iCs/>
          <w:color w:val="auto"/>
          <w:kern w:val="2"/>
          <w:sz w:val="24"/>
          <w:szCs w:val="24"/>
          <w:highlight w:val="none"/>
          <w:shd w:val="clear" w:color="auto" w:fill="FFFFFF"/>
          <w:lang w:val="en-US" w:eastAsia="zh-CN" w:bidi="ar-SA"/>
        </w:rPr>
        <w:t>的</w:t>
      </w:r>
      <w:r>
        <w:rPr>
          <w:rFonts w:hint="eastAsia" w:ascii="宋体" w:hAnsi="宋体" w:eastAsia="宋体" w:cs="宋体"/>
          <w:iCs/>
          <w:color w:val="auto"/>
          <w:kern w:val="2"/>
          <w:sz w:val="24"/>
          <w:szCs w:val="24"/>
          <w:highlight w:val="none"/>
          <w:shd w:val="clear" w:color="auto" w:fill="FFFFFF"/>
          <w:lang w:val="zh-CN" w:eastAsia="zh-CN" w:bidi="ar-SA"/>
        </w:rPr>
        <w:t>，</w:t>
      </w:r>
      <w:r>
        <w:rPr>
          <w:rFonts w:hint="eastAsia" w:ascii="宋体" w:hAnsi="宋体" w:eastAsia="宋体" w:cs="宋体"/>
          <w:iCs/>
          <w:color w:val="auto"/>
          <w:kern w:val="2"/>
          <w:sz w:val="24"/>
          <w:szCs w:val="24"/>
          <w:highlight w:val="none"/>
          <w:shd w:val="clear" w:color="auto" w:fill="FFFFFF"/>
          <w:lang w:val="en-US" w:eastAsia="zh-CN" w:bidi="ar-SA"/>
        </w:rPr>
        <w:t>采购</w:t>
      </w:r>
      <w:r>
        <w:rPr>
          <w:rFonts w:hint="eastAsia" w:ascii="宋体" w:hAnsi="宋体" w:eastAsia="宋体" w:cs="宋体"/>
          <w:iCs/>
          <w:color w:val="auto"/>
          <w:kern w:val="2"/>
          <w:sz w:val="24"/>
          <w:szCs w:val="24"/>
          <w:highlight w:val="none"/>
          <w:shd w:val="clear" w:color="auto" w:fill="FFFFFF"/>
          <w:lang w:val="zh-CN" w:eastAsia="zh-CN" w:bidi="ar-SA"/>
        </w:rPr>
        <w:t>合同应由</w:t>
      </w:r>
      <w:r>
        <w:rPr>
          <w:rFonts w:hint="eastAsia" w:ascii="宋体" w:hAnsi="宋体" w:eastAsia="宋体" w:cs="宋体"/>
          <w:iCs/>
          <w:color w:val="auto"/>
          <w:kern w:val="2"/>
          <w:sz w:val="24"/>
          <w:szCs w:val="24"/>
          <w:highlight w:val="none"/>
          <w:shd w:val="clear" w:color="auto" w:fill="FFFFFF"/>
          <w:lang w:val="en-US" w:eastAsia="zh-CN" w:bidi="ar-SA"/>
        </w:rPr>
        <w:t>联合体</w:t>
      </w:r>
      <w:r>
        <w:rPr>
          <w:rFonts w:hint="eastAsia" w:ascii="宋体" w:hAnsi="宋体" w:eastAsia="宋体" w:cs="宋体"/>
          <w:iCs/>
          <w:color w:val="auto"/>
          <w:kern w:val="2"/>
          <w:sz w:val="24"/>
          <w:szCs w:val="24"/>
          <w:highlight w:val="none"/>
          <w:shd w:val="clear" w:color="auto" w:fill="FFFFFF"/>
          <w:lang w:val="zh-CN" w:eastAsia="zh-CN" w:bidi="ar-SA"/>
        </w:rPr>
        <w:t>各成员的合法授权代表签字</w:t>
      </w:r>
      <w:r>
        <w:rPr>
          <w:rFonts w:hint="eastAsia" w:ascii="宋体" w:hAnsi="宋体" w:eastAsia="宋体" w:cs="宋体"/>
          <w:iCs/>
          <w:color w:val="auto"/>
          <w:kern w:val="2"/>
          <w:sz w:val="24"/>
          <w:szCs w:val="24"/>
          <w:highlight w:val="none"/>
          <w:shd w:val="clear" w:color="auto" w:fill="FFFFFF"/>
          <w:lang w:val="en-US" w:eastAsia="zh-CN" w:bidi="ar-SA"/>
        </w:rPr>
        <w:t>及</w:t>
      </w:r>
      <w:r>
        <w:rPr>
          <w:rFonts w:hint="eastAsia" w:ascii="宋体" w:hAnsi="宋体" w:eastAsia="宋体" w:cs="宋体"/>
          <w:iCs/>
          <w:color w:val="auto"/>
          <w:kern w:val="2"/>
          <w:sz w:val="24"/>
          <w:szCs w:val="24"/>
          <w:highlight w:val="none"/>
          <w:shd w:val="clear" w:color="auto" w:fill="FFFFFF"/>
          <w:lang w:val="zh-CN" w:eastAsia="zh-CN" w:bidi="ar-SA"/>
        </w:rPr>
        <w:t>加盖</w:t>
      </w:r>
      <w:r>
        <w:rPr>
          <w:rFonts w:hint="eastAsia" w:ascii="宋体" w:hAnsi="宋体" w:eastAsia="宋体" w:cs="宋体"/>
          <w:iCs/>
          <w:color w:val="auto"/>
          <w:kern w:val="2"/>
          <w:sz w:val="24"/>
          <w:szCs w:val="24"/>
          <w:highlight w:val="none"/>
          <w:shd w:val="clear" w:color="auto" w:fill="FFFFFF"/>
          <w:lang w:val="en-US" w:eastAsia="zh-CN" w:bidi="ar-SA"/>
        </w:rPr>
        <w:t>联合体</w:t>
      </w:r>
      <w:r>
        <w:rPr>
          <w:rFonts w:hint="eastAsia" w:ascii="宋体" w:hAnsi="宋体" w:eastAsia="宋体" w:cs="宋体"/>
          <w:iCs/>
          <w:color w:val="auto"/>
          <w:kern w:val="2"/>
          <w:sz w:val="24"/>
          <w:szCs w:val="24"/>
          <w:highlight w:val="none"/>
          <w:shd w:val="clear" w:color="auto" w:fill="FFFFFF"/>
          <w:lang w:val="zh-CN" w:eastAsia="zh-CN" w:bidi="ar-SA"/>
        </w:rPr>
        <w:t>各成员公章，</w:t>
      </w:r>
      <w:r>
        <w:rPr>
          <w:rFonts w:hint="eastAsia" w:ascii="宋体" w:hAnsi="宋体" w:eastAsia="宋体" w:cs="宋体"/>
          <w:iCs/>
          <w:color w:val="auto"/>
          <w:kern w:val="2"/>
          <w:sz w:val="24"/>
          <w:szCs w:val="24"/>
          <w:highlight w:val="none"/>
          <w:shd w:val="clear" w:color="auto" w:fill="FFFFFF"/>
          <w:lang w:val="en-US" w:eastAsia="zh-CN" w:bidi="ar-SA"/>
        </w:rPr>
        <w:t>并</w:t>
      </w:r>
      <w:r>
        <w:rPr>
          <w:rFonts w:hint="eastAsia" w:ascii="宋体" w:hAnsi="宋体" w:eastAsia="宋体" w:cs="宋体"/>
          <w:iCs/>
          <w:color w:val="auto"/>
          <w:kern w:val="2"/>
          <w:sz w:val="24"/>
          <w:szCs w:val="24"/>
          <w:highlight w:val="none"/>
          <w:shd w:val="clear" w:color="auto" w:fill="FFFFFF"/>
          <w:lang w:val="zh-CN" w:eastAsia="zh-CN" w:bidi="ar-SA"/>
        </w:rPr>
        <w:t>对联合体成员作为整体和他们各自作为独立体均具有法律约束力，但若该签字或公章不齐全或缺乏，该联合体的牵头人的签署或类似的意思表示人具有代表该联合体的签署或意思表示的法律效力，并且据此各成员为履行合同应向</w:t>
      </w:r>
      <w:r>
        <w:rPr>
          <w:rFonts w:hint="eastAsia" w:cs="宋体"/>
          <w:iCs/>
          <w:color w:val="auto"/>
          <w:kern w:val="2"/>
          <w:sz w:val="24"/>
          <w:szCs w:val="24"/>
          <w:highlight w:val="none"/>
          <w:shd w:val="clear" w:color="auto" w:fill="FFFFFF"/>
          <w:lang w:val="zh-CN" w:eastAsia="zh-CN" w:bidi="ar-SA"/>
        </w:rPr>
        <w:t>招标人</w:t>
      </w:r>
      <w:r>
        <w:rPr>
          <w:rFonts w:hint="eastAsia" w:ascii="宋体" w:hAnsi="宋体" w:eastAsia="宋体" w:cs="宋体"/>
          <w:iCs/>
          <w:color w:val="auto"/>
          <w:kern w:val="2"/>
          <w:sz w:val="24"/>
          <w:szCs w:val="24"/>
          <w:highlight w:val="none"/>
          <w:shd w:val="clear" w:color="auto" w:fill="FFFFFF"/>
          <w:lang w:val="zh-CN" w:eastAsia="zh-CN" w:bidi="ar-SA"/>
        </w:rPr>
        <w:t>与</w:t>
      </w:r>
      <w:r>
        <w:rPr>
          <w:rFonts w:hint="eastAsia" w:cs="宋体"/>
          <w:iCs/>
          <w:color w:val="auto"/>
          <w:kern w:val="2"/>
          <w:sz w:val="24"/>
          <w:szCs w:val="24"/>
          <w:highlight w:val="none"/>
          <w:shd w:val="clear" w:color="auto" w:fill="FFFFFF"/>
          <w:lang w:val="zh-CN" w:eastAsia="zh-CN" w:bidi="ar-SA"/>
        </w:rPr>
        <w:t>招标代理机构</w:t>
      </w:r>
      <w:r>
        <w:rPr>
          <w:rFonts w:hint="eastAsia" w:ascii="宋体" w:hAnsi="宋体" w:eastAsia="宋体" w:cs="宋体"/>
          <w:iCs/>
          <w:color w:val="auto"/>
          <w:kern w:val="2"/>
          <w:sz w:val="24"/>
          <w:szCs w:val="24"/>
          <w:highlight w:val="none"/>
          <w:shd w:val="clear" w:color="auto" w:fill="FFFFFF"/>
          <w:lang w:val="zh-CN" w:eastAsia="zh-CN" w:bidi="ar-SA"/>
        </w:rPr>
        <w:t>承担连带责任。</w:t>
      </w:r>
    </w:p>
    <w:p w14:paraId="37BAAB4A">
      <w:pPr>
        <w:pStyle w:val="50"/>
        <w:keepNext w:val="0"/>
        <w:keepLines w:val="0"/>
        <w:pageBreakBefore w:val="0"/>
        <w:widowControl w:val="0"/>
        <w:kinsoku/>
        <w:overflowPunct/>
        <w:topLinePunct w:val="0"/>
        <w:autoSpaceDE/>
        <w:autoSpaceDN/>
        <w:bidi w:val="0"/>
        <w:adjustRightInd/>
        <w:jc w:val="both"/>
        <w:textAlignment w:val="auto"/>
        <w:rPr>
          <w:rFonts w:hint="eastAsia" w:ascii="宋体" w:hAnsi="宋体" w:eastAsia="宋体" w:cs="宋体"/>
          <w:iCs/>
          <w:color w:val="auto"/>
          <w:kern w:val="2"/>
          <w:sz w:val="24"/>
          <w:szCs w:val="24"/>
          <w:highlight w:val="none"/>
          <w:shd w:val="clear" w:color="auto" w:fill="FFFFFF"/>
          <w:lang w:val="zh-CN" w:eastAsia="zh-CN" w:bidi="ar-SA"/>
        </w:rPr>
      </w:pPr>
      <w:r>
        <w:rPr>
          <w:rFonts w:hint="eastAsia" w:ascii="宋体" w:hAnsi="宋体" w:eastAsia="宋体" w:cs="宋体"/>
          <w:iCs/>
          <w:color w:val="auto"/>
          <w:kern w:val="2"/>
          <w:sz w:val="24"/>
          <w:szCs w:val="24"/>
          <w:highlight w:val="none"/>
          <w:shd w:val="clear" w:color="auto" w:fill="FFFFFF"/>
          <w:lang w:val="zh-CN" w:eastAsia="zh-CN" w:bidi="ar-SA"/>
        </w:rPr>
        <w:t>4.2</w:t>
      </w:r>
      <w:r>
        <w:rPr>
          <w:rFonts w:hint="eastAsia" w:ascii="宋体" w:hAnsi="宋体" w:eastAsia="宋体" w:cs="宋体"/>
          <w:iCs/>
          <w:color w:val="auto"/>
          <w:kern w:val="2"/>
          <w:sz w:val="24"/>
          <w:szCs w:val="24"/>
          <w:highlight w:val="none"/>
          <w:shd w:val="clear" w:color="auto" w:fill="FFFFFF"/>
          <w:lang w:val="en-US" w:eastAsia="zh-CN" w:bidi="ar-SA"/>
        </w:rPr>
        <w:t>.7</w:t>
      </w:r>
      <w:r>
        <w:rPr>
          <w:rFonts w:hint="eastAsia" w:ascii="宋体" w:hAnsi="宋体" w:eastAsia="宋体" w:cs="宋体"/>
          <w:iCs/>
          <w:color w:val="auto"/>
          <w:kern w:val="2"/>
          <w:sz w:val="24"/>
          <w:szCs w:val="24"/>
          <w:highlight w:val="none"/>
          <w:shd w:val="clear" w:color="auto" w:fill="FFFFFF"/>
          <w:lang w:val="zh-CN" w:eastAsia="zh-CN" w:bidi="ar-SA"/>
        </w:rPr>
        <w:t>联合体或其成员不得将其在合同项下的权利或义务全部或部分转让给第三人，有关分包事项须事先取得</w:t>
      </w:r>
      <w:r>
        <w:rPr>
          <w:rFonts w:hint="eastAsia" w:cs="宋体"/>
          <w:iCs/>
          <w:color w:val="auto"/>
          <w:kern w:val="2"/>
          <w:sz w:val="24"/>
          <w:szCs w:val="24"/>
          <w:highlight w:val="none"/>
          <w:shd w:val="clear" w:color="auto" w:fill="FFFFFF"/>
          <w:lang w:val="zh-CN" w:eastAsia="zh-CN" w:bidi="ar-SA"/>
        </w:rPr>
        <w:t>招标人</w:t>
      </w:r>
      <w:r>
        <w:rPr>
          <w:rFonts w:hint="eastAsia" w:ascii="宋体" w:hAnsi="宋体" w:eastAsia="宋体" w:cs="宋体"/>
          <w:iCs/>
          <w:color w:val="auto"/>
          <w:kern w:val="2"/>
          <w:sz w:val="24"/>
          <w:szCs w:val="24"/>
          <w:highlight w:val="none"/>
          <w:shd w:val="clear" w:color="auto" w:fill="FFFFFF"/>
          <w:lang w:val="zh-CN" w:eastAsia="zh-CN" w:bidi="ar-SA"/>
        </w:rPr>
        <w:t>书面同意并且须遵守相关法律、法规、本次招标的全部相关规定。</w:t>
      </w:r>
    </w:p>
    <w:p w14:paraId="7D78B1BB">
      <w:pPr>
        <w:pStyle w:val="50"/>
        <w:keepNext w:val="0"/>
        <w:keepLines w:val="0"/>
        <w:pageBreakBefore w:val="0"/>
        <w:widowControl w:val="0"/>
        <w:kinsoku/>
        <w:overflowPunct/>
        <w:topLinePunct w:val="0"/>
        <w:autoSpaceDE/>
        <w:autoSpaceDN/>
        <w:bidi w:val="0"/>
        <w:adjustRightInd/>
        <w:jc w:val="both"/>
        <w:textAlignment w:val="auto"/>
        <w:rPr>
          <w:rFonts w:hint="eastAsia" w:ascii="宋体" w:hAnsi="宋体" w:eastAsia="宋体" w:cs="宋体"/>
          <w:iCs/>
          <w:color w:val="auto"/>
          <w:kern w:val="2"/>
          <w:sz w:val="24"/>
          <w:szCs w:val="24"/>
          <w:highlight w:val="none"/>
          <w:shd w:val="clear" w:color="auto" w:fill="FFFFFF"/>
          <w:lang w:val="zh-CN" w:eastAsia="zh-CN" w:bidi="ar-SA"/>
        </w:rPr>
      </w:pPr>
      <w:r>
        <w:rPr>
          <w:rFonts w:hint="eastAsia" w:ascii="宋体" w:hAnsi="宋体" w:eastAsia="宋体" w:cs="宋体"/>
          <w:iCs/>
          <w:color w:val="auto"/>
          <w:kern w:val="2"/>
          <w:sz w:val="24"/>
          <w:szCs w:val="24"/>
          <w:highlight w:val="none"/>
          <w:shd w:val="clear" w:color="auto" w:fill="FFFFFF"/>
          <w:lang w:val="en-US" w:eastAsia="zh-CN" w:bidi="ar-SA"/>
        </w:rPr>
        <w:t>4.2</w:t>
      </w:r>
      <w:r>
        <w:rPr>
          <w:rFonts w:hint="eastAsia" w:ascii="宋体" w:hAnsi="宋体" w:eastAsia="宋体" w:cs="宋体"/>
          <w:iCs/>
          <w:color w:val="auto"/>
          <w:kern w:val="2"/>
          <w:sz w:val="24"/>
          <w:szCs w:val="24"/>
          <w:highlight w:val="none"/>
          <w:shd w:val="clear" w:color="auto" w:fill="FFFFFF"/>
          <w:lang w:val="zh-CN" w:eastAsia="zh-CN" w:bidi="ar-SA"/>
        </w:rPr>
        <w:t>.</w:t>
      </w:r>
      <w:r>
        <w:rPr>
          <w:rFonts w:hint="eastAsia" w:ascii="宋体" w:hAnsi="宋体" w:eastAsia="宋体" w:cs="宋体"/>
          <w:iCs/>
          <w:color w:val="auto"/>
          <w:kern w:val="2"/>
          <w:sz w:val="24"/>
          <w:szCs w:val="24"/>
          <w:highlight w:val="none"/>
          <w:shd w:val="clear" w:color="auto" w:fill="FFFFFF"/>
          <w:lang w:val="en-US" w:eastAsia="zh-CN" w:bidi="ar-SA"/>
        </w:rPr>
        <w:t>8</w:t>
      </w:r>
      <w:r>
        <w:rPr>
          <w:rFonts w:hint="eastAsia" w:ascii="宋体" w:hAnsi="宋体" w:eastAsia="宋体" w:cs="宋体"/>
          <w:iCs/>
          <w:color w:val="auto"/>
          <w:kern w:val="2"/>
          <w:sz w:val="24"/>
          <w:szCs w:val="24"/>
          <w:highlight w:val="none"/>
          <w:shd w:val="clear" w:color="auto" w:fill="FFFFFF"/>
          <w:lang w:val="zh-CN" w:eastAsia="zh-CN" w:bidi="ar-SA"/>
        </w:rPr>
        <w:t>对联合体投标的其他资格要求见</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第一章 招标公告</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中的“二、</w:t>
      </w:r>
      <w:r>
        <w:rPr>
          <w:rFonts w:hint="eastAsia" w:ascii="宋体" w:hAnsi="宋体" w:eastAsia="宋体" w:cs="宋体"/>
          <w:iCs/>
          <w:color w:val="auto"/>
          <w:kern w:val="2"/>
          <w:sz w:val="24"/>
          <w:szCs w:val="24"/>
          <w:highlight w:val="none"/>
          <w:shd w:val="clear" w:color="auto" w:fill="FFFFFF"/>
          <w:lang w:val="en-US" w:eastAsia="zh-CN" w:bidi="ar-SA"/>
        </w:rPr>
        <w:t>申请人的</w:t>
      </w:r>
      <w:r>
        <w:rPr>
          <w:rFonts w:hint="eastAsia" w:ascii="宋体" w:hAnsi="宋体" w:eastAsia="宋体" w:cs="宋体"/>
          <w:iCs/>
          <w:color w:val="auto"/>
          <w:kern w:val="2"/>
          <w:sz w:val="24"/>
          <w:szCs w:val="24"/>
          <w:highlight w:val="none"/>
          <w:shd w:val="clear" w:color="auto" w:fill="FFFFFF"/>
          <w:lang w:val="zh-CN" w:eastAsia="zh-CN" w:bidi="ar-SA"/>
        </w:rPr>
        <w:t>资格</w:t>
      </w:r>
      <w:r>
        <w:rPr>
          <w:rFonts w:hint="eastAsia" w:ascii="宋体" w:hAnsi="宋体" w:eastAsia="宋体" w:cs="宋体"/>
          <w:iCs/>
          <w:color w:val="auto"/>
          <w:kern w:val="2"/>
          <w:sz w:val="24"/>
          <w:szCs w:val="24"/>
          <w:highlight w:val="none"/>
          <w:shd w:val="clear" w:color="auto" w:fill="FFFFFF"/>
          <w:lang w:val="en-US" w:eastAsia="zh-CN" w:bidi="ar-SA"/>
        </w:rPr>
        <w:t>要求”</w:t>
      </w:r>
      <w:r>
        <w:rPr>
          <w:rFonts w:hint="eastAsia" w:ascii="宋体" w:hAnsi="宋体" w:eastAsia="宋体" w:cs="宋体"/>
          <w:iCs/>
          <w:color w:val="auto"/>
          <w:kern w:val="2"/>
          <w:sz w:val="24"/>
          <w:szCs w:val="24"/>
          <w:highlight w:val="none"/>
          <w:shd w:val="clear" w:color="auto" w:fill="FFFFFF"/>
          <w:lang w:val="zh-CN" w:eastAsia="zh-CN" w:bidi="ar-SA"/>
        </w:rPr>
        <w:t>。</w:t>
      </w:r>
    </w:p>
    <w:p w14:paraId="24326E04">
      <w:pPr>
        <w:pStyle w:val="5"/>
        <w:keepNext w:val="0"/>
        <w:keepLines w:val="0"/>
        <w:pageBreakBefore w:val="0"/>
        <w:widowControl w:val="0"/>
        <w:numPr>
          <w:ilvl w:val="0"/>
          <w:numId w:val="0"/>
        </w:numPr>
        <w:kinsoku/>
        <w:wordWrap/>
        <w:overflowPunct/>
        <w:topLinePunct w:val="0"/>
        <w:autoSpaceDE/>
        <w:autoSpaceDN/>
        <w:bidi w:val="0"/>
        <w:adjustRightInd/>
        <w:snapToGrid/>
        <w:spacing w:before="80" w:after="80" w:line="240" w:lineRule="auto"/>
        <w:ind w:left="420" w:leftChars="0" w:hanging="420" w:firstLineChars="0"/>
        <w:jc w:val="both"/>
        <w:textAlignment w:val="auto"/>
        <w:rPr>
          <w:rFonts w:hint="eastAsia" w:ascii="宋体" w:hAnsi="宋体" w:eastAsia="宋体" w:cs="宋体"/>
          <w:b/>
          <w:bCs/>
          <w:color w:val="auto"/>
          <w:kern w:val="2"/>
          <w:sz w:val="24"/>
          <w:szCs w:val="24"/>
          <w:highlight w:val="none"/>
          <w:lang w:val="en-US" w:eastAsia="zh-CN" w:bidi="ar-SA"/>
        </w:rPr>
      </w:pPr>
      <w:bookmarkStart w:id="40" w:name="_Toc163492827"/>
      <w:bookmarkStart w:id="41" w:name="_Toc18281"/>
      <w:r>
        <w:rPr>
          <w:rFonts w:hint="eastAsia" w:ascii="宋体" w:hAnsi="宋体" w:eastAsia="宋体" w:cs="宋体"/>
          <w:b/>
          <w:bCs/>
          <w:color w:val="auto"/>
          <w:kern w:val="2"/>
          <w:sz w:val="24"/>
          <w:szCs w:val="24"/>
          <w:highlight w:val="none"/>
          <w:lang w:val="en-US" w:eastAsia="zh-CN" w:bidi="ar-SA"/>
        </w:rPr>
        <w:t>5.费用承担</w:t>
      </w:r>
      <w:bookmarkEnd w:id="40"/>
      <w:bookmarkEnd w:id="41"/>
    </w:p>
    <w:p w14:paraId="6D7114A8">
      <w:pPr>
        <w:pStyle w:val="50"/>
        <w:keepNext w:val="0"/>
        <w:keepLines w:val="0"/>
        <w:pageBreakBefore w:val="0"/>
        <w:widowControl w:val="0"/>
        <w:kinsoku/>
        <w:overflowPunct/>
        <w:topLinePunct w:val="0"/>
        <w:autoSpaceDE/>
        <w:autoSpaceDN/>
        <w:bidi w:val="0"/>
        <w:adjustRightInd/>
        <w:snapToGrid/>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5.1</w:t>
      </w:r>
      <w:r>
        <w:rPr>
          <w:rFonts w:hint="eastAsia" w:ascii="宋体" w:hAnsi="宋体" w:eastAsia="宋体" w:cs="宋体"/>
          <w:color w:val="auto"/>
          <w:sz w:val="24"/>
          <w:szCs w:val="24"/>
          <w:highlight w:val="none"/>
          <w:lang w:val="en-US" w:eastAsia="zh-CN"/>
        </w:rPr>
        <w:t>不论投标的结果如何，投标人应承担所有与准备和参加投标有关的费用。</w:t>
      </w:r>
    </w:p>
    <w:p w14:paraId="2AC05A84">
      <w:pPr>
        <w:pStyle w:val="5"/>
        <w:keepNext w:val="0"/>
        <w:keepLines w:val="0"/>
        <w:pageBreakBefore w:val="0"/>
        <w:widowControl w:val="0"/>
        <w:numPr>
          <w:ilvl w:val="0"/>
          <w:numId w:val="0"/>
        </w:numPr>
        <w:kinsoku/>
        <w:wordWrap/>
        <w:overflowPunct/>
        <w:topLinePunct w:val="0"/>
        <w:autoSpaceDE/>
        <w:autoSpaceDN/>
        <w:bidi w:val="0"/>
        <w:adjustRightInd/>
        <w:snapToGrid/>
        <w:spacing w:before="80" w:after="80" w:line="240" w:lineRule="auto"/>
        <w:ind w:left="420" w:leftChars="0" w:hanging="420" w:firstLineChars="0"/>
        <w:jc w:val="both"/>
        <w:textAlignment w:val="auto"/>
        <w:rPr>
          <w:rFonts w:hint="eastAsia" w:ascii="宋体" w:hAnsi="宋体" w:eastAsia="宋体" w:cs="宋体"/>
          <w:b/>
          <w:bCs/>
          <w:color w:val="auto"/>
          <w:kern w:val="2"/>
          <w:sz w:val="24"/>
          <w:szCs w:val="24"/>
          <w:highlight w:val="none"/>
          <w:lang w:val="en-US" w:eastAsia="zh-CN" w:bidi="ar-SA"/>
        </w:rPr>
      </w:pPr>
      <w:bookmarkStart w:id="42" w:name="_Toc4542"/>
      <w:bookmarkStart w:id="43" w:name="_Toc140132761"/>
      <w:bookmarkStart w:id="44" w:name="_Toc163492828"/>
      <w:r>
        <w:rPr>
          <w:rFonts w:hint="eastAsia" w:ascii="宋体" w:hAnsi="宋体" w:eastAsia="宋体" w:cs="宋体"/>
          <w:b/>
          <w:bCs/>
          <w:color w:val="auto"/>
          <w:kern w:val="2"/>
          <w:sz w:val="24"/>
          <w:szCs w:val="24"/>
          <w:highlight w:val="none"/>
          <w:lang w:val="en-US" w:eastAsia="zh-CN" w:bidi="ar-SA"/>
        </w:rPr>
        <w:t>6.保密</w:t>
      </w:r>
      <w:bookmarkEnd w:id="42"/>
      <w:bookmarkEnd w:id="43"/>
      <w:bookmarkEnd w:id="44"/>
    </w:p>
    <w:p w14:paraId="5F4C9F9B">
      <w:pPr>
        <w:pStyle w:val="50"/>
        <w:keepNext w:val="0"/>
        <w:keepLines w:val="0"/>
        <w:pageBreakBefore w:val="0"/>
        <w:widowControl w:val="0"/>
        <w:kinsoku/>
        <w:overflowPunct/>
        <w:topLinePunct w:val="0"/>
        <w:autoSpaceDE/>
        <w:autoSpaceDN/>
        <w:bidi w:val="0"/>
        <w:adjustRightInd/>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6.1</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参与招标投标活动的各方应对招标文件和投标文件中的商业和技术等秘密保密，否则应承担相应的法律责任。</w:t>
      </w:r>
    </w:p>
    <w:p w14:paraId="4EB3463F">
      <w:pPr>
        <w:pStyle w:val="58"/>
        <w:keepNext w:val="0"/>
        <w:keepLines w:val="0"/>
        <w:pageBreakBefore w:val="0"/>
        <w:widowControl w:val="0"/>
        <w:shd w:val="clear" w:color="auto" w:fill="auto"/>
        <w:kinsoku/>
        <w:wordWrap/>
        <w:overflowPunct/>
        <w:topLinePunct w:val="0"/>
        <w:autoSpaceDE/>
        <w:autoSpaceDN/>
        <w:bidi w:val="0"/>
        <w:adjustRightInd/>
        <w:spacing w:line="360" w:lineRule="auto"/>
        <w:ind w:firstLine="480" w:firstLineChars="200"/>
        <w:jc w:val="both"/>
        <w:textAlignment w:val="auto"/>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rPr>
        <w:t>6</w:t>
      </w:r>
      <w:r>
        <w:rPr>
          <w:rFonts w:hint="eastAsia" w:ascii="宋体" w:hAnsi="宋体" w:eastAsia="宋体" w:cs="宋体"/>
          <w:color w:val="auto"/>
          <w:kern w:val="2"/>
          <w:sz w:val="24"/>
          <w:szCs w:val="24"/>
          <w:highlight w:val="none"/>
        </w:rPr>
        <w:t>.</w:t>
      </w:r>
      <w:r>
        <w:rPr>
          <w:rFonts w:hint="eastAsia" w:ascii="宋体" w:hAnsi="宋体" w:eastAsia="宋体" w:cs="宋体"/>
          <w:color w:val="auto"/>
          <w:kern w:val="2"/>
          <w:sz w:val="24"/>
          <w:szCs w:val="24"/>
          <w:highlight w:val="none"/>
          <w:lang w:val="en-US" w:eastAsia="zh-CN"/>
        </w:rPr>
        <w:t xml:space="preserve">2 </w:t>
      </w:r>
      <w:r>
        <w:rPr>
          <w:rFonts w:hint="eastAsia" w:ascii="宋体" w:hAnsi="宋体" w:eastAsia="宋体" w:cs="宋体"/>
          <w:color w:val="auto"/>
          <w:kern w:val="2"/>
          <w:sz w:val="24"/>
          <w:szCs w:val="24"/>
          <w:highlight w:val="none"/>
        </w:rPr>
        <w:t>投标人自领取招标文件之日起，须承担本招标项目保密义务，不得将因本次招标获得的信息向第三人外传。由</w:t>
      </w:r>
      <w:r>
        <w:rPr>
          <w:rFonts w:hint="eastAsia" w:ascii="宋体" w:hAnsi="宋体" w:eastAsia="宋体" w:cs="宋体"/>
          <w:color w:val="auto"/>
          <w:kern w:val="2"/>
          <w:sz w:val="24"/>
          <w:szCs w:val="24"/>
          <w:highlight w:val="none"/>
          <w:lang w:eastAsia="zh-CN"/>
        </w:rPr>
        <w:t>招标人</w:t>
      </w:r>
      <w:r>
        <w:rPr>
          <w:rFonts w:hint="eastAsia" w:ascii="宋体" w:hAnsi="宋体" w:eastAsia="宋体" w:cs="宋体"/>
          <w:color w:val="auto"/>
          <w:kern w:val="2"/>
          <w:sz w:val="24"/>
          <w:szCs w:val="24"/>
          <w:highlight w:val="none"/>
        </w:rPr>
        <w:t>向投标人提供的图纸、详细资料、样品、模型、模件和所有其它资料，被视为保密资料，仅被用于它所规定的用途。除非得到</w:t>
      </w:r>
      <w:r>
        <w:rPr>
          <w:rFonts w:hint="eastAsia" w:ascii="宋体" w:hAnsi="宋体" w:eastAsia="宋体" w:cs="宋体"/>
          <w:color w:val="auto"/>
          <w:kern w:val="2"/>
          <w:sz w:val="24"/>
          <w:szCs w:val="24"/>
          <w:highlight w:val="none"/>
          <w:lang w:eastAsia="zh-CN"/>
        </w:rPr>
        <w:t>招标人</w:t>
      </w:r>
      <w:r>
        <w:rPr>
          <w:rFonts w:hint="eastAsia" w:ascii="宋体" w:hAnsi="宋体" w:eastAsia="宋体" w:cs="宋体"/>
          <w:color w:val="auto"/>
          <w:kern w:val="2"/>
          <w:sz w:val="24"/>
          <w:szCs w:val="24"/>
          <w:highlight w:val="none"/>
        </w:rPr>
        <w:t>的同意，不能向任何第三方透露。开标结束后，应</w:t>
      </w:r>
      <w:r>
        <w:rPr>
          <w:rFonts w:hint="eastAsia" w:ascii="宋体" w:hAnsi="宋体" w:eastAsia="宋体" w:cs="宋体"/>
          <w:color w:val="auto"/>
          <w:kern w:val="2"/>
          <w:sz w:val="24"/>
          <w:szCs w:val="24"/>
          <w:highlight w:val="none"/>
          <w:lang w:eastAsia="zh-CN"/>
        </w:rPr>
        <w:t>招标人</w:t>
      </w:r>
      <w:r>
        <w:rPr>
          <w:rFonts w:hint="eastAsia" w:ascii="宋体" w:hAnsi="宋体" w:eastAsia="宋体" w:cs="宋体"/>
          <w:color w:val="auto"/>
          <w:kern w:val="2"/>
          <w:sz w:val="24"/>
          <w:szCs w:val="24"/>
          <w:highlight w:val="none"/>
        </w:rPr>
        <w:t>要求，投标人应归还所有从</w:t>
      </w:r>
      <w:r>
        <w:rPr>
          <w:rFonts w:hint="eastAsia" w:ascii="宋体" w:hAnsi="宋体" w:eastAsia="宋体" w:cs="宋体"/>
          <w:color w:val="auto"/>
          <w:kern w:val="2"/>
          <w:sz w:val="24"/>
          <w:szCs w:val="24"/>
          <w:highlight w:val="none"/>
          <w:lang w:eastAsia="zh-CN"/>
        </w:rPr>
        <w:t>招标人</w:t>
      </w:r>
      <w:r>
        <w:rPr>
          <w:rFonts w:hint="eastAsia" w:ascii="宋体" w:hAnsi="宋体" w:eastAsia="宋体" w:cs="宋体"/>
          <w:color w:val="auto"/>
          <w:kern w:val="2"/>
          <w:sz w:val="24"/>
          <w:szCs w:val="24"/>
          <w:highlight w:val="none"/>
        </w:rPr>
        <w:t>处获得的保密资料。</w:t>
      </w:r>
    </w:p>
    <w:p w14:paraId="23574C7C">
      <w:pPr>
        <w:pStyle w:val="58"/>
        <w:keepNext w:val="0"/>
        <w:keepLines w:val="0"/>
        <w:pageBreakBefore w:val="0"/>
        <w:widowControl w:val="0"/>
        <w:shd w:val="clear" w:color="auto" w:fill="auto"/>
        <w:kinsoku/>
        <w:wordWrap/>
        <w:overflowPunct/>
        <w:topLinePunct w:val="0"/>
        <w:autoSpaceDE/>
        <w:autoSpaceDN/>
        <w:bidi w:val="0"/>
        <w:adjustRightInd/>
        <w:spacing w:line="360" w:lineRule="auto"/>
        <w:ind w:firstLine="480" w:firstLineChars="200"/>
        <w:jc w:val="both"/>
        <w:textAlignment w:val="auto"/>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rPr>
        <w:t>6</w:t>
      </w:r>
      <w:r>
        <w:rPr>
          <w:rFonts w:hint="eastAsia" w:ascii="宋体" w:hAnsi="宋体" w:eastAsia="宋体" w:cs="宋体"/>
          <w:color w:val="auto"/>
          <w:kern w:val="2"/>
          <w:sz w:val="24"/>
          <w:szCs w:val="24"/>
          <w:highlight w:val="none"/>
        </w:rPr>
        <w:t>.</w:t>
      </w:r>
      <w:r>
        <w:rPr>
          <w:rFonts w:hint="eastAsia" w:ascii="宋体" w:hAnsi="宋体" w:eastAsia="宋体" w:cs="宋体"/>
          <w:color w:val="auto"/>
          <w:kern w:val="2"/>
          <w:sz w:val="24"/>
          <w:szCs w:val="24"/>
          <w:highlight w:val="none"/>
          <w:lang w:val="en-US" w:eastAsia="zh-CN"/>
        </w:rPr>
        <w:t xml:space="preserve">3 </w:t>
      </w:r>
      <w:r>
        <w:rPr>
          <w:rFonts w:hint="eastAsia" w:ascii="宋体" w:hAnsi="宋体" w:eastAsia="宋体" w:cs="宋体"/>
          <w:color w:val="auto"/>
          <w:kern w:val="2"/>
          <w:sz w:val="24"/>
          <w:szCs w:val="24"/>
          <w:highlight w:val="none"/>
          <w:lang w:eastAsia="zh-CN"/>
        </w:rPr>
        <w:t>招标代理机构</w:t>
      </w:r>
      <w:r>
        <w:rPr>
          <w:rFonts w:hint="eastAsia" w:ascii="宋体" w:hAnsi="宋体" w:eastAsia="宋体" w:cs="宋体"/>
          <w:color w:val="auto"/>
          <w:kern w:val="2"/>
          <w:sz w:val="24"/>
          <w:szCs w:val="24"/>
          <w:highlight w:val="none"/>
        </w:rPr>
        <w:t>有权将投标人提供的所有资料向有关政府部门或评审</w:t>
      </w:r>
      <w:r>
        <w:rPr>
          <w:rFonts w:hint="eastAsia" w:ascii="宋体" w:hAnsi="宋体" w:eastAsia="宋体" w:cs="宋体"/>
          <w:color w:val="auto"/>
          <w:kern w:val="2"/>
          <w:sz w:val="24"/>
          <w:szCs w:val="24"/>
          <w:highlight w:val="none"/>
          <w:lang w:val="en-US" w:eastAsia="zh-CN"/>
        </w:rPr>
        <w:t>投标文件</w:t>
      </w:r>
      <w:r>
        <w:rPr>
          <w:rFonts w:hint="eastAsia" w:ascii="宋体" w:hAnsi="宋体" w:eastAsia="宋体" w:cs="宋体"/>
          <w:color w:val="auto"/>
          <w:kern w:val="2"/>
          <w:sz w:val="24"/>
          <w:szCs w:val="24"/>
          <w:highlight w:val="none"/>
        </w:rPr>
        <w:t>的有关人员披露。</w:t>
      </w:r>
    </w:p>
    <w:p w14:paraId="13BC6F1D">
      <w:pPr>
        <w:pStyle w:val="58"/>
        <w:keepNext w:val="0"/>
        <w:keepLines w:val="0"/>
        <w:pageBreakBefore w:val="0"/>
        <w:widowControl w:val="0"/>
        <w:shd w:val="clear" w:color="auto" w:fill="auto"/>
        <w:kinsoku/>
        <w:wordWrap/>
        <w:overflowPunct/>
        <w:topLinePunct w:val="0"/>
        <w:autoSpaceDE/>
        <w:autoSpaceDN/>
        <w:bidi w:val="0"/>
        <w:adjustRightInd/>
        <w:spacing w:line="360" w:lineRule="auto"/>
        <w:ind w:firstLine="480" w:firstLineChars="200"/>
        <w:jc w:val="both"/>
        <w:textAlignment w:val="auto"/>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rPr>
        <w:t>6</w:t>
      </w:r>
      <w:r>
        <w:rPr>
          <w:rFonts w:hint="eastAsia" w:ascii="宋体" w:hAnsi="宋体" w:eastAsia="宋体" w:cs="宋体"/>
          <w:color w:val="auto"/>
          <w:kern w:val="2"/>
          <w:sz w:val="24"/>
          <w:szCs w:val="24"/>
          <w:highlight w:val="none"/>
        </w:rPr>
        <w:t>.</w:t>
      </w:r>
      <w:r>
        <w:rPr>
          <w:rFonts w:hint="eastAsia" w:ascii="宋体" w:hAnsi="宋体" w:eastAsia="宋体" w:cs="宋体"/>
          <w:color w:val="auto"/>
          <w:kern w:val="2"/>
          <w:sz w:val="24"/>
          <w:szCs w:val="24"/>
          <w:highlight w:val="none"/>
          <w:lang w:val="en-US" w:eastAsia="zh-CN"/>
        </w:rPr>
        <w:t>4 各级人民政府财政部门对政府采购活动进行监督检查，有权查阅、复制有关文件、资料，相关单位和人员应当予以配合</w:t>
      </w:r>
      <w:r>
        <w:rPr>
          <w:rFonts w:hint="eastAsia" w:ascii="宋体" w:hAnsi="宋体" w:eastAsia="宋体" w:cs="宋体"/>
          <w:color w:val="auto"/>
          <w:kern w:val="2"/>
          <w:sz w:val="24"/>
          <w:szCs w:val="24"/>
          <w:highlight w:val="none"/>
        </w:rPr>
        <w:t>。</w:t>
      </w:r>
    </w:p>
    <w:p w14:paraId="0B2E41A2">
      <w:pPr>
        <w:pStyle w:val="5"/>
        <w:keepNext w:val="0"/>
        <w:keepLines w:val="0"/>
        <w:pageBreakBefore w:val="0"/>
        <w:widowControl w:val="0"/>
        <w:numPr>
          <w:ilvl w:val="0"/>
          <w:numId w:val="0"/>
        </w:numPr>
        <w:kinsoku/>
        <w:wordWrap/>
        <w:overflowPunct/>
        <w:topLinePunct w:val="0"/>
        <w:autoSpaceDE/>
        <w:autoSpaceDN/>
        <w:bidi w:val="0"/>
        <w:adjustRightInd/>
        <w:snapToGrid/>
        <w:spacing w:before="80" w:after="80" w:line="240" w:lineRule="auto"/>
        <w:ind w:left="420" w:leftChars="0" w:hanging="420" w:firstLineChars="0"/>
        <w:jc w:val="both"/>
        <w:textAlignment w:val="auto"/>
        <w:rPr>
          <w:rFonts w:hint="eastAsia" w:ascii="宋体" w:hAnsi="宋体" w:eastAsia="宋体" w:cs="宋体"/>
          <w:b/>
          <w:bCs/>
          <w:color w:val="auto"/>
          <w:kern w:val="2"/>
          <w:sz w:val="24"/>
          <w:szCs w:val="24"/>
          <w:highlight w:val="none"/>
          <w:lang w:val="en-US" w:eastAsia="zh-CN" w:bidi="ar-SA"/>
        </w:rPr>
      </w:pPr>
      <w:bookmarkStart w:id="45" w:name="_Toc163492829"/>
      <w:bookmarkStart w:id="46" w:name="_Toc9160"/>
      <w:bookmarkStart w:id="47" w:name="_Toc140132762"/>
      <w:r>
        <w:rPr>
          <w:rFonts w:hint="eastAsia" w:ascii="宋体" w:hAnsi="宋体" w:eastAsia="宋体" w:cs="宋体"/>
          <w:b/>
          <w:bCs/>
          <w:color w:val="auto"/>
          <w:kern w:val="2"/>
          <w:sz w:val="24"/>
          <w:szCs w:val="24"/>
          <w:highlight w:val="none"/>
          <w:lang w:val="en-US" w:eastAsia="zh-CN" w:bidi="ar-SA"/>
        </w:rPr>
        <w:t>7.语言文字</w:t>
      </w:r>
      <w:bookmarkEnd w:id="45"/>
      <w:bookmarkEnd w:id="46"/>
      <w:bookmarkEnd w:id="47"/>
    </w:p>
    <w:p w14:paraId="28BD022C">
      <w:pPr>
        <w:pStyle w:val="50"/>
        <w:keepNext w:val="0"/>
        <w:keepLines w:val="0"/>
        <w:pageBreakBefore w:val="0"/>
        <w:widowControl w:val="0"/>
        <w:kinsoku/>
        <w:overflowPunct/>
        <w:topLinePunct w:val="0"/>
        <w:autoSpaceDE/>
        <w:autoSpaceDN/>
        <w:bidi w:val="0"/>
        <w:adjustRightInd/>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7.1招标投标</w:t>
      </w:r>
      <w:r>
        <w:rPr>
          <w:rFonts w:hint="eastAsia" w:ascii="宋体" w:hAnsi="宋体" w:eastAsia="宋体" w:cs="宋体"/>
          <w:color w:val="auto"/>
          <w:sz w:val="24"/>
          <w:szCs w:val="24"/>
          <w:highlight w:val="none"/>
          <w:lang w:val="en-US" w:eastAsia="zh-CN"/>
        </w:rPr>
        <w:t>过程</w:t>
      </w:r>
      <w:r>
        <w:rPr>
          <w:rFonts w:hint="eastAsia" w:ascii="宋体" w:hAnsi="宋体" w:eastAsia="宋体" w:cs="宋体"/>
          <w:color w:val="auto"/>
          <w:sz w:val="24"/>
          <w:szCs w:val="24"/>
          <w:highlight w:val="none"/>
        </w:rPr>
        <w:t>文件使用的语言文字为中文。专用术语使用外文的，应附有中文注释。</w:t>
      </w:r>
      <w:r>
        <w:rPr>
          <w:rFonts w:hint="eastAsia" w:ascii="宋体" w:hAnsi="宋体" w:eastAsia="宋体" w:cs="宋体"/>
          <w:color w:val="auto"/>
          <w:sz w:val="24"/>
          <w:szCs w:val="24"/>
          <w:highlight w:val="none"/>
          <w:lang w:val="en-US" w:eastAsia="zh-CN"/>
        </w:rPr>
        <w:t>投标人提交的支持资料和已印制的文献可以用外文，但相应内容应附有中文翻译本，在解释投标文件时以中文翻译本为准。未附中文翻译本或翻译本中文内容明显与外文内容不一致的，其不利后果由投标人自行承担。</w:t>
      </w:r>
    </w:p>
    <w:p w14:paraId="72A99D8A">
      <w:pPr>
        <w:pStyle w:val="5"/>
        <w:keepNext w:val="0"/>
        <w:keepLines w:val="0"/>
        <w:pageBreakBefore w:val="0"/>
        <w:widowControl w:val="0"/>
        <w:numPr>
          <w:ilvl w:val="0"/>
          <w:numId w:val="0"/>
        </w:numPr>
        <w:kinsoku/>
        <w:wordWrap/>
        <w:overflowPunct/>
        <w:topLinePunct w:val="0"/>
        <w:autoSpaceDE/>
        <w:autoSpaceDN/>
        <w:bidi w:val="0"/>
        <w:adjustRightInd/>
        <w:snapToGrid/>
        <w:spacing w:before="80" w:after="80" w:line="240" w:lineRule="auto"/>
        <w:ind w:left="420" w:leftChars="0" w:hanging="420" w:firstLineChars="0"/>
        <w:jc w:val="both"/>
        <w:textAlignment w:val="auto"/>
        <w:rPr>
          <w:rFonts w:hint="eastAsia" w:ascii="宋体" w:hAnsi="宋体" w:eastAsia="宋体" w:cs="宋体"/>
          <w:b/>
          <w:bCs/>
          <w:color w:val="auto"/>
          <w:kern w:val="2"/>
          <w:sz w:val="24"/>
          <w:szCs w:val="24"/>
          <w:highlight w:val="none"/>
          <w:lang w:val="en-US" w:eastAsia="zh-CN" w:bidi="ar-SA"/>
        </w:rPr>
      </w:pPr>
      <w:bookmarkStart w:id="48" w:name="_Toc15679"/>
      <w:bookmarkStart w:id="49" w:name="_Toc163492830"/>
      <w:bookmarkStart w:id="50" w:name="_Toc140132763"/>
      <w:r>
        <w:rPr>
          <w:rFonts w:hint="eastAsia" w:ascii="宋体" w:hAnsi="宋体" w:eastAsia="宋体" w:cs="宋体"/>
          <w:b/>
          <w:bCs/>
          <w:color w:val="auto"/>
          <w:kern w:val="2"/>
          <w:sz w:val="24"/>
          <w:szCs w:val="24"/>
          <w:highlight w:val="none"/>
          <w:lang w:val="en-US" w:eastAsia="zh-CN" w:bidi="ar-SA"/>
        </w:rPr>
        <w:t>8.计量单位</w:t>
      </w:r>
      <w:bookmarkEnd w:id="48"/>
      <w:bookmarkEnd w:id="49"/>
      <w:bookmarkEnd w:id="50"/>
    </w:p>
    <w:p w14:paraId="574DFFE8">
      <w:pPr>
        <w:pStyle w:val="50"/>
        <w:keepNext w:val="0"/>
        <w:keepLines w:val="0"/>
        <w:pageBreakBefore w:val="0"/>
        <w:widowControl w:val="0"/>
        <w:kinsoku/>
        <w:overflowPunct/>
        <w:topLinePunct w:val="0"/>
        <w:autoSpaceDE/>
        <w:autoSpaceDN/>
        <w:bidi w:val="0"/>
        <w:adjustRightInd/>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8.1所有计量均采用中华人民共和国法定计量单位。</w:t>
      </w:r>
    </w:p>
    <w:p w14:paraId="6D3DC477">
      <w:pPr>
        <w:pStyle w:val="5"/>
        <w:keepNext w:val="0"/>
        <w:keepLines w:val="0"/>
        <w:pageBreakBefore w:val="0"/>
        <w:widowControl w:val="0"/>
        <w:numPr>
          <w:ilvl w:val="0"/>
          <w:numId w:val="0"/>
        </w:numPr>
        <w:kinsoku/>
        <w:wordWrap/>
        <w:overflowPunct/>
        <w:topLinePunct w:val="0"/>
        <w:autoSpaceDE/>
        <w:autoSpaceDN/>
        <w:bidi w:val="0"/>
        <w:adjustRightInd/>
        <w:snapToGrid/>
        <w:spacing w:before="80" w:after="80" w:line="240" w:lineRule="auto"/>
        <w:ind w:left="420" w:leftChars="0" w:hanging="420" w:firstLineChars="0"/>
        <w:jc w:val="both"/>
        <w:textAlignment w:val="auto"/>
        <w:rPr>
          <w:rFonts w:hint="eastAsia" w:ascii="宋体" w:hAnsi="宋体" w:eastAsia="宋体" w:cs="宋体"/>
          <w:b/>
          <w:bCs/>
          <w:color w:val="auto"/>
          <w:kern w:val="2"/>
          <w:sz w:val="24"/>
          <w:szCs w:val="24"/>
          <w:highlight w:val="none"/>
          <w:lang w:val="en-US" w:eastAsia="zh-CN" w:bidi="ar-SA"/>
        </w:rPr>
      </w:pPr>
      <w:bookmarkStart w:id="51" w:name="_Toc23050"/>
      <w:bookmarkStart w:id="52" w:name="_Toc140132764"/>
      <w:bookmarkStart w:id="53" w:name="_Toc163492831"/>
      <w:r>
        <w:rPr>
          <w:rFonts w:hint="eastAsia" w:ascii="宋体" w:hAnsi="宋体" w:eastAsia="宋体" w:cs="宋体"/>
          <w:b/>
          <w:bCs/>
          <w:color w:val="auto"/>
          <w:kern w:val="2"/>
          <w:sz w:val="24"/>
          <w:szCs w:val="24"/>
          <w:highlight w:val="none"/>
          <w:lang w:val="en-US" w:eastAsia="zh-CN" w:bidi="ar-SA"/>
        </w:rPr>
        <w:t>9.现场考察和答疑会</w:t>
      </w:r>
      <w:bookmarkEnd w:id="51"/>
      <w:bookmarkEnd w:id="52"/>
      <w:bookmarkEnd w:id="53"/>
    </w:p>
    <w:p w14:paraId="545BF432">
      <w:pPr>
        <w:pStyle w:val="50"/>
        <w:keepNext w:val="0"/>
        <w:keepLines w:val="0"/>
        <w:pageBreakBefore w:val="0"/>
        <w:widowControl w:val="0"/>
        <w:kinsoku/>
        <w:overflowPunct/>
        <w:topLinePunct w:val="0"/>
        <w:autoSpaceDE/>
        <w:autoSpaceDN/>
        <w:bidi w:val="0"/>
        <w:adjustRightInd/>
        <w:jc w:val="both"/>
        <w:textAlignment w:val="auto"/>
        <w:rPr>
          <w:rFonts w:hint="eastAsia" w:ascii="宋体" w:hAnsi="宋体" w:eastAsia="宋体" w:cs="宋体"/>
          <w:color w:val="auto"/>
          <w:sz w:val="24"/>
          <w:szCs w:val="24"/>
          <w:highlight w:val="none"/>
        </w:rPr>
      </w:pPr>
      <w:bookmarkStart w:id="54" w:name="_Hlk143529198"/>
      <w:r>
        <w:rPr>
          <w:rFonts w:hint="eastAsia" w:ascii="宋体" w:hAnsi="宋体" w:eastAsia="宋体" w:cs="宋体"/>
          <w:color w:val="auto"/>
          <w:sz w:val="24"/>
          <w:szCs w:val="24"/>
          <w:highlight w:val="none"/>
        </w:rPr>
        <w:t>9.1 “投标人须知前附表”规定组织现场考察的，</w:t>
      </w:r>
      <w:r>
        <w:rPr>
          <w:rFonts w:hint="eastAsia" w:cs="宋体"/>
          <w:color w:val="auto"/>
          <w:sz w:val="24"/>
          <w:szCs w:val="24"/>
          <w:highlight w:val="none"/>
          <w:lang w:eastAsia="zh-CN"/>
        </w:rPr>
        <w:t>招标代理机构</w:t>
      </w:r>
      <w:r>
        <w:rPr>
          <w:rFonts w:hint="eastAsia" w:ascii="宋体" w:hAnsi="宋体" w:eastAsia="宋体" w:cs="宋体"/>
          <w:color w:val="auto"/>
          <w:sz w:val="24"/>
          <w:szCs w:val="24"/>
          <w:highlight w:val="none"/>
        </w:rPr>
        <w:t xml:space="preserve">按“投标人须知前附表”规定的时间、地点组织投标人项目现场考察。 </w:t>
      </w:r>
    </w:p>
    <w:p w14:paraId="0BC78638">
      <w:pPr>
        <w:pStyle w:val="50"/>
        <w:keepNext w:val="0"/>
        <w:keepLines w:val="0"/>
        <w:pageBreakBefore w:val="0"/>
        <w:widowControl w:val="0"/>
        <w:kinsoku/>
        <w:overflowPunct/>
        <w:topLinePunct w:val="0"/>
        <w:autoSpaceDE/>
        <w:autoSpaceDN/>
        <w:bidi w:val="0"/>
        <w:adjustRightInd/>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9.2 投标人现场考察发生的费用自理。</w:t>
      </w:r>
    </w:p>
    <w:p w14:paraId="043B9546">
      <w:pPr>
        <w:pStyle w:val="50"/>
        <w:keepNext w:val="0"/>
        <w:keepLines w:val="0"/>
        <w:pageBreakBefore w:val="0"/>
        <w:widowControl w:val="0"/>
        <w:kinsoku/>
        <w:overflowPunct/>
        <w:topLinePunct w:val="0"/>
        <w:autoSpaceDE/>
        <w:autoSpaceDN/>
        <w:bidi w:val="0"/>
        <w:adjustRightInd/>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9.3 在现场考察中，因投标人自身原因发生的人员伤亡和财产损失，由投标人自行负责。</w:t>
      </w:r>
    </w:p>
    <w:p w14:paraId="75041A05">
      <w:pPr>
        <w:pStyle w:val="50"/>
        <w:keepNext w:val="0"/>
        <w:keepLines w:val="0"/>
        <w:pageBreakBefore w:val="0"/>
        <w:widowControl w:val="0"/>
        <w:kinsoku/>
        <w:overflowPunct/>
        <w:topLinePunct w:val="0"/>
        <w:autoSpaceDE/>
        <w:autoSpaceDN/>
        <w:bidi w:val="0"/>
        <w:adjustRightInd/>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9.4 </w:t>
      </w:r>
      <w:r>
        <w:rPr>
          <w:rFonts w:hint="eastAsia" w:cs="宋体"/>
          <w:color w:val="auto"/>
          <w:sz w:val="24"/>
          <w:szCs w:val="24"/>
          <w:highlight w:val="none"/>
          <w:lang w:eastAsia="zh-CN"/>
        </w:rPr>
        <w:t>招标人</w:t>
      </w:r>
      <w:r>
        <w:rPr>
          <w:rFonts w:hint="eastAsia" w:ascii="宋体" w:hAnsi="宋体" w:eastAsia="宋体" w:cs="宋体"/>
          <w:color w:val="auto"/>
          <w:sz w:val="24"/>
          <w:szCs w:val="24"/>
          <w:highlight w:val="none"/>
        </w:rPr>
        <w:t>在现场考察中介绍的项目场地和相关的周边环境情况，仅供投标人在编制投标文件时参考，</w:t>
      </w:r>
      <w:r>
        <w:rPr>
          <w:rFonts w:hint="eastAsia" w:cs="宋体"/>
          <w:color w:val="auto"/>
          <w:sz w:val="24"/>
          <w:szCs w:val="24"/>
          <w:highlight w:val="none"/>
          <w:lang w:eastAsia="zh-CN"/>
        </w:rPr>
        <w:t>招标人</w:t>
      </w:r>
      <w:r>
        <w:rPr>
          <w:rFonts w:hint="eastAsia" w:ascii="宋体" w:hAnsi="宋体" w:eastAsia="宋体" w:cs="宋体"/>
          <w:color w:val="auto"/>
          <w:sz w:val="24"/>
          <w:szCs w:val="24"/>
          <w:highlight w:val="none"/>
        </w:rPr>
        <w:t>和</w:t>
      </w:r>
      <w:r>
        <w:rPr>
          <w:rFonts w:hint="eastAsia" w:cs="宋体"/>
          <w:color w:val="auto"/>
          <w:sz w:val="24"/>
          <w:szCs w:val="24"/>
          <w:highlight w:val="none"/>
          <w:lang w:eastAsia="zh-CN"/>
        </w:rPr>
        <w:t>招标代理机构</w:t>
      </w:r>
      <w:r>
        <w:rPr>
          <w:rFonts w:hint="eastAsia" w:ascii="宋体" w:hAnsi="宋体" w:eastAsia="宋体" w:cs="宋体"/>
          <w:color w:val="auto"/>
          <w:sz w:val="24"/>
          <w:szCs w:val="24"/>
          <w:highlight w:val="none"/>
        </w:rPr>
        <w:t>不对投标人据此作出的判断和决策负责。</w:t>
      </w:r>
    </w:p>
    <w:p w14:paraId="21AE9AD3">
      <w:pPr>
        <w:pStyle w:val="50"/>
        <w:keepNext w:val="0"/>
        <w:keepLines w:val="0"/>
        <w:pageBreakBefore w:val="0"/>
        <w:widowControl w:val="0"/>
        <w:kinsoku/>
        <w:overflowPunct/>
        <w:topLinePunct w:val="0"/>
        <w:autoSpaceDE/>
        <w:autoSpaceDN/>
        <w:bidi w:val="0"/>
        <w:adjustRightInd/>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9.5 “投标人须知前附表”规定召开答疑会的，</w:t>
      </w:r>
      <w:r>
        <w:rPr>
          <w:rFonts w:hint="eastAsia" w:cs="宋体"/>
          <w:color w:val="auto"/>
          <w:sz w:val="24"/>
          <w:szCs w:val="24"/>
          <w:highlight w:val="none"/>
          <w:lang w:eastAsia="zh-CN"/>
        </w:rPr>
        <w:t>招标代理机构</w:t>
      </w:r>
      <w:r>
        <w:rPr>
          <w:rFonts w:hint="eastAsia" w:ascii="宋体" w:hAnsi="宋体" w:eastAsia="宋体" w:cs="宋体"/>
          <w:color w:val="auto"/>
          <w:sz w:val="24"/>
          <w:szCs w:val="24"/>
          <w:highlight w:val="none"/>
        </w:rPr>
        <w:t>按“投标人须知前附表”规定的时间和地点召开答疑会，澄清投标人提出的问题。</w:t>
      </w:r>
    </w:p>
    <w:p w14:paraId="1FA65F04">
      <w:pPr>
        <w:pStyle w:val="50"/>
        <w:keepNext w:val="0"/>
        <w:keepLines w:val="0"/>
        <w:pageBreakBefore w:val="0"/>
        <w:widowControl w:val="0"/>
        <w:kinsoku/>
        <w:overflowPunct/>
        <w:topLinePunct w:val="0"/>
        <w:autoSpaceDE/>
        <w:autoSpaceDN/>
        <w:bidi w:val="0"/>
        <w:adjustRightInd/>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9.6 由于未参加现场考察或未参加标前答疑会而导致对项目实际情况不了解，影响投标文件编制、投标报价准确性、综合因素响应不全面等问题的，由投标人自行承担不利评审后果。</w:t>
      </w:r>
    </w:p>
    <w:bookmarkEnd w:id="54"/>
    <w:p w14:paraId="610B29E3">
      <w:pPr>
        <w:pStyle w:val="5"/>
        <w:keepNext w:val="0"/>
        <w:keepLines w:val="0"/>
        <w:pageBreakBefore w:val="0"/>
        <w:widowControl w:val="0"/>
        <w:numPr>
          <w:ilvl w:val="0"/>
          <w:numId w:val="0"/>
        </w:numPr>
        <w:kinsoku/>
        <w:wordWrap/>
        <w:overflowPunct/>
        <w:topLinePunct w:val="0"/>
        <w:autoSpaceDE/>
        <w:autoSpaceDN/>
        <w:bidi w:val="0"/>
        <w:adjustRightInd/>
        <w:snapToGrid/>
        <w:spacing w:before="80" w:after="80" w:line="240" w:lineRule="auto"/>
        <w:ind w:left="420" w:leftChars="0" w:hanging="420" w:firstLineChars="0"/>
        <w:jc w:val="both"/>
        <w:textAlignment w:val="auto"/>
        <w:rPr>
          <w:rFonts w:hint="eastAsia" w:ascii="宋体" w:hAnsi="宋体" w:eastAsia="宋体" w:cs="宋体"/>
          <w:b/>
          <w:bCs/>
          <w:color w:val="auto"/>
          <w:kern w:val="2"/>
          <w:sz w:val="24"/>
          <w:szCs w:val="24"/>
          <w:highlight w:val="none"/>
          <w:lang w:val="en-US" w:eastAsia="zh-CN" w:bidi="ar-SA"/>
        </w:rPr>
      </w:pPr>
      <w:bookmarkStart w:id="55" w:name="_Toc163492833"/>
      <w:bookmarkStart w:id="56" w:name="_Toc72"/>
      <w:bookmarkStart w:id="57" w:name="_Toc155185858"/>
      <w:bookmarkStart w:id="58" w:name="_Toc155185871"/>
    </w:p>
    <w:p w14:paraId="4E55A7D5">
      <w:pPr>
        <w:pStyle w:val="5"/>
        <w:keepNext w:val="0"/>
        <w:keepLines w:val="0"/>
        <w:pageBreakBefore w:val="0"/>
        <w:widowControl w:val="0"/>
        <w:numPr>
          <w:ilvl w:val="0"/>
          <w:numId w:val="0"/>
        </w:numPr>
        <w:kinsoku/>
        <w:wordWrap/>
        <w:overflowPunct/>
        <w:topLinePunct w:val="0"/>
        <w:autoSpaceDE/>
        <w:autoSpaceDN/>
        <w:bidi w:val="0"/>
        <w:adjustRightInd/>
        <w:snapToGrid/>
        <w:spacing w:before="80" w:after="80" w:line="240" w:lineRule="auto"/>
        <w:ind w:left="420" w:leftChars="0" w:hanging="420" w:firstLineChars="0"/>
        <w:jc w:val="both"/>
        <w:textAlignment w:val="auto"/>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10.电子投标说明</w:t>
      </w:r>
      <w:bookmarkEnd w:id="55"/>
      <w:bookmarkEnd w:id="56"/>
      <w:bookmarkEnd w:id="57"/>
      <w:r>
        <w:rPr>
          <w:rFonts w:hint="eastAsia" w:ascii="宋体" w:hAnsi="宋体" w:eastAsia="宋体" w:cs="宋体"/>
          <w:b/>
          <w:bCs/>
          <w:color w:val="auto"/>
          <w:kern w:val="2"/>
          <w:sz w:val="24"/>
          <w:szCs w:val="24"/>
          <w:highlight w:val="none"/>
          <w:lang w:val="en-US" w:eastAsia="zh-CN" w:bidi="ar-SA"/>
        </w:rPr>
        <w:t xml:space="preserve">   </w:t>
      </w:r>
    </w:p>
    <w:p w14:paraId="542B84C0">
      <w:pPr>
        <w:pStyle w:val="50"/>
        <w:keepNext w:val="0"/>
        <w:keepLines w:val="0"/>
        <w:pageBreakBefore w:val="0"/>
        <w:widowControl w:val="0"/>
        <w:kinsoku/>
        <w:overflowPunct/>
        <w:topLinePunct w:val="0"/>
        <w:autoSpaceDE/>
        <w:autoSpaceDN/>
        <w:bidi w:val="0"/>
        <w:adjustRightInd/>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10.1 </w:t>
      </w:r>
      <w:r>
        <w:rPr>
          <w:rFonts w:hint="eastAsia" w:ascii="宋体" w:hAnsi="宋体" w:eastAsia="宋体" w:cs="宋体"/>
          <w:color w:val="auto"/>
          <w:sz w:val="24"/>
          <w:szCs w:val="24"/>
          <w:highlight w:val="none"/>
        </w:rPr>
        <w:t>本次采购采用电子交易方式，电子交易平台为</w:t>
      </w:r>
      <w:r>
        <w:rPr>
          <w:rFonts w:hint="eastAsia" w:cs="宋体"/>
          <w:color w:val="auto"/>
          <w:sz w:val="24"/>
          <w:szCs w:val="24"/>
          <w:highlight w:val="none"/>
          <w:lang w:val="en-US" w:eastAsia="zh-CN"/>
        </w:rPr>
        <w:t>政府采购云平台</w:t>
      </w:r>
      <w:r>
        <w:rPr>
          <w:rFonts w:hint="eastAsia" w:ascii="宋体" w:hAnsi="宋体" w:eastAsia="宋体" w:cs="宋体"/>
          <w:color w:val="auto"/>
          <w:sz w:val="24"/>
          <w:szCs w:val="24"/>
          <w:highlight w:val="none"/>
        </w:rPr>
        <w:t>。投标人参与本项目电子交易活动前，应</w:t>
      </w:r>
      <w:r>
        <w:rPr>
          <w:rFonts w:hint="eastAsia" w:ascii="宋体" w:hAnsi="宋体" w:eastAsia="宋体" w:cs="宋体"/>
          <w:color w:val="auto"/>
          <w:sz w:val="24"/>
          <w:szCs w:val="24"/>
          <w:highlight w:val="none"/>
          <w:lang w:val="en-US" w:eastAsia="zh-CN"/>
        </w:rPr>
        <w:t>在</w:t>
      </w:r>
      <w:r>
        <w:rPr>
          <w:rFonts w:hint="eastAsia" w:ascii="宋体" w:hAnsi="宋体" w:eastAsia="宋体" w:cs="宋体"/>
          <w:color w:val="auto"/>
          <w:sz w:val="24"/>
          <w:szCs w:val="24"/>
          <w:highlight w:val="none"/>
        </w:rPr>
        <w:t>政</w:t>
      </w:r>
      <w:r>
        <w:rPr>
          <w:rFonts w:hint="eastAsia" w:ascii="宋体" w:hAnsi="宋体" w:eastAsia="宋体" w:cs="宋体"/>
          <w:color w:val="auto"/>
          <w:sz w:val="24"/>
          <w:szCs w:val="24"/>
          <w:highlight w:val="none"/>
          <w:lang w:val="en-US" w:eastAsia="zh-CN"/>
        </w:rPr>
        <w:t>采</w:t>
      </w:r>
      <w:r>
        <w:rPr>
          <w:rFonts w:hint="eastAsia" w:ascii="宋体" w:hAnsi="宋体" w:eastAsia="宋体" w:cs="宋体"/>
          <w:color w:val="auto"/>
          <w:sz w:val="24"/>
          <w:szCs w:val="24"/>
          <w:highlight w:val="none"/>
          <w:lang w:val="en-US"/>
        </w:rPr>
        <w:t>云</w:t>
      </w:r>
      <w:r>
        <w:rPr>
          <w:rFonts w:hint="eastAsia" w:ascii="宋体" w:hAnsi="宋体" w:eastAsia="宋体" w:cs="宋体"/>
          <w:color w:val="auto"/>
          <w:sz w:val="24"/>
          <w:szCs w:val="24"/>
          <w:highlight w:val="none"/>
        </w:rPr>
        <w:t>平台</w:t>
      </w:r>
      <w:r>
        <w:rPr>
          <w:rFonts w:hint="eastAsia" w:ascii="宋体" w:hAnsi="宋体" w:eastAsia="宋体" w:cs="宋体"/>
          <w:color w:val="auto"/>
          <w:sz w:val="24"/>
          <w:szCs w:val="24"/>
          <w:highlight w:val="none"/>
          <w:lang w:val="en-US" w:eastAsia="zh-CN"/>
        </w:rPr>
        <w:t>上</w:t>
      </w:r>
      <w:r>
        <w:rPr>
          <w:rFonts w:hint="eastAsia" w:ascii="宋体" w:hAnsi="宋体" w:eastAsia="宋体" w:cs="宋体"/>
          <w:color w:val="auto"/>
          <w:sz w:val="24"/>
          <w:szCs w:val="24"/>
          <w:highlight w:val="none"/>
        </w:rPr>
        <w:t>注册</w:t>
      </w:r>
      <w:r>
        <w:rPr>
          <w:rFonts w:hint="eastAsia" w:ascii="宋体" w:hAnsi="宋体" w:eastAsia="宋体" w:cs="宋体"/>
          <w:color w:val="auto"/>
          <w:sz w:val="24"/>
          <w:szCs w:val="24"/>
          <w:highlight w:val="none"/>
          <w:lang w:val="en-US" w:eastAsia="zh-CN"/>
        </w:rPr>
        <w:t>供应商账号</w:t>
      </w:r>
      <w:r>
        <w:rPr>
          <w:rFonts w:hint="eastAsia" w:ascii="宋体" w:hAnsi="宋体" w:eastAsia="宋体" w:cs="宋体"/>
          <w:color w:val="auto"/>
          <w:sz w:val="24"/>
          <w:szCs w:val="24"/>
          <w:highlight w:val="none"/>
        </w:rPr>
        <w:t>。编制电子</w:t>
      </w:r>
      <w:r>
        <w:rPr>
          <w:rFonts w:hint="eastAsia" w:ascii="宋体" w:hAnsi="宋体" w:eastAsia="宋体" w:cs="宋体"/>
          <w:color w:val="auto"/>
          <w:sz w:val="24"/>
          <w:szCs w:val="24"/>
          <w:highlight w:val="none"/>
          <w:lang w:val="en-US" w:eastAsia="zh-CN"/>
        </w:rPr>
        <w:t>投标</w:t>
      </w:r>
      <w:r>
        <w:rPr>
          <w:rFonts w:hint="eastAsia" w:ascii="宋体" w:hAnsi="宋体" w:eastAsia="宋体" w:cs="宋体"/>
          <w:color w:val="auto"/>
          <w:sz w:val="24"/>
          <w:szCs w:val="24"/>
          <w:highlight w:val="none"/>
        </w:rPr>
        <w:t>文件前还需</w:t>
      </w:r>
      <w:r>
        <w:rPr>
          <w:rFonts w:hint="eastAsia" w:ascii="宋体" w:hAnsi="宋体" w:eastAsia="宋体" w:cs="宋体"/>
          <w:color w:val="auto"/>
          <w:sz w:val="24"/>
          <w:szCs w:val="24"/>
          <w:highlight w:val="none"/>
          <w:lang w:val="en-US" w:eastAsia="zh-CN"/>
        </w:rPr>
        <w:t>申领CA证书并绑定帐号。投标人应充分考虑完成平台注册、申领CA证书等所需的时间。</w:t>
      </w:r>
      <w:r>
        <w:rPr>
          <w:rFonts w:hint="eastAsia" w:ascii="宋体" w:hAnsi="宋体" w:eastAsia="宋体" w:cs="宋体"/>
          <w:color w:val="auto"/>
          <w:sz w:val="24"/>
          <w:szCs w:val="24"/>
          <w:highlight w:val="none"/>
          <w:lang w:val="zh-CN" w:eastAsia="zh-CN"/>
        </w:rPr>
        <w:t>潜在投标人领取文件须提前完成注册、CA证书和电子签章申领和绑定、下载</w:t>
      </w:r>
      <w:r>
        <w:rPr>
          <w:rFonts w:hint="eastAsia" w:cs="宋体"/>
          <w:color w:val="auto"/>
          <w:sz w:val="24"/>
          <w:szCs w:val="24"/>
          <w:highlight w:val="none"/>
          <w:lang w:val="zh-CN" w:eastAsia="zh-CN"/>
        </w:rPr>
        <w:t>“</w:t>
      </w:r>
      <w:r>
        <w:rPr>
          <w:rFonts w:hint="eastAsia" w:ascii="宋体" w:hAnsi="宋体" w:eastAsia="宋体" w:cs="宋体"/>
          <w:color w:val="auto"/>
          <w:sz w:val="24"/>
          <w:szCs w:val="24"/>
          <w:highlight w:val="none"/>
          <w:lang w:val="zh-CN" w:eastAsia="zh-CN"/>
        </w:rPr>
        <w:t>投标客户端</w:t>
      </w:r>
      <w:r>
        <w:rPr>
          <w:rFonts w:hint="eastAsia" w:cs="宋体"/>
          <w:color w:val="auto"/>
          <w:sz w:val="24"/>
          <w:szCs w:val="24"/>
          <w:highlight w:val="none"/>
          <w:lang w:val="zh-CN" w:eastAsia="zh-CN"/>
        </w:rPr>
        <w:t>”</w:t>
      </w:r>
      <w:r>
        <w:rPr>
          <w:rFonts w:hint="eastAsia" w:ascii="宋体" w:hAnsi="宋体" w:eastAsia="宋体" w:cs="宋体"/>
          <w:color w:val="auto"/>
          <w:sz w:val="24"/>
          <w:szCs w:val="24"/>
          <w:highlight w:val="none"/>
          <w:lang w:val="zh-CN" w:eastAsia="zh-CN"/>
        </w:rPr>
        <w:t>。因未办理CA数字证书、CA证书故障、操作不当等原因造成无法投标或投标失败等后果由投标人自行承担。</w:t>
      </w:r>
      <w:r>
        <w:rPr>
          <w:rFonts w:hint="eastAsia" w:ascii="宋体" w:hAnsi="宋体" w:eastAsia="宋体" w:cs="宋体"/>
          <w:color w:val="auto"/>
          <w:sz w:val="24"/>
          <w:szCs w:val="24"/>
          <w:highlight w:val="none"/>
          <w:lang w:val="en-US" w:eastAsia="zh-CN"/>
        </w:rPr>
        <w:t>投标人</w:t>
      </w:r>
      <w:r>
        <w:rPr>
          <w:rFonts w:hint="eastAsia" w:ascii="宋体" w:hAnsi="宋体" w:eastAsia="宋体" w:cs="宋体"/>
          <w:color w:val="auto"/>
          <w:sz w:val="24"/>
          <w:szCs w:val="24"/>
          <w:highlight w:val="none"/>
          <w:lang w:val="zh-CN" w:eastAsia="zh-CN"/>
        </w:rPr>
        <w:t>登录</w:t>
      </w:r>
      <w:r>
        <w:rPr>
          <w:rFonts w:hint="eastAsia" w:cs="宋体"/>
          <w:color w:val="auto"/>
          <w:sz w:val="24"/>
          <w:szCs w:val="24"/>
          <w:highlight w:val="none"/>
          <w:lang w:val="zh-CN" w:eastAsia="zh-CN"/>
        </w:rPr>
        <w:t>新疆政府采购网</w:t>
      </w:r>
      <w:r>
        <w:rPr>
          <w:rFonts w:hint="eastAsia" w:ascii="宋体" w:hAnsi="宋体" w:eastAsia="宋体" w:cs="宋体"/>
          <w:color w:val="auto"/>
          <w:sz w:val="24"/>
          <w:szCs w:val="24"/>
          <w:highlight w:val="none"/>
          <w:lang w:val="zh-CN" w:eastAsia="zh-CN"/>
        </w:rPr>
        <w:t>“供应商注册”—“立即登记”进行自助注册绑定。</w:t>
      </w:r>
    </w:p>
    <w:p w14:paraId="6741A398">
      <w:pPr>
        <w:pStyle w:val="50"/>
        <w:keepNext w:val="0"/>
        <w:keepLines w:val="0"/>
        <w:pageBreakBefore w:val="0"/>
        <w:widowControl w:val="0"/>
        <w:kinsoku/>
        <w:overflowPunct/>
        <w:topLinePunct w:val="0"/>
        <w:autoSpaceDE/>
        <w:autoSpaceDN/>
        <w:bidi w:val="0"/>
        <w:adjustRightInd/>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10.</w:t>
      </w: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投标人将</w:t>
      </w:r>
      <w:r>
        <w:rPr>
          <w:rFonts w:hint="eastAsia" w:cs="宋体"/>
          <w:color w:val="auto"/>
          <w:sz w:val="24"/>
          <w:szCs w:val="24"/>
          <w:highlight w:val="none"/>
          <w:lang w:val="en-US" w:eastAsia="zh-CN"/>
        </w:rPr>
        <w:t>政府采购云平台</w:t>
      </w:r>
      <w:r>
        <w:rPr>
          <w:rFonts w:hint="eastAsia" w:ascii="宋体" w:hAnsi="宋体" w:eastAsia="宋体" w:cs="宋体"/>
          <w:color w:val="auto"/>
          <w:sz w:val="24"/>
          <w:szCs w:val="24"/>
          <w:highlight w:val="none"/>
        </w:rPr>
        <w:t>电子交易客户端下载、安装完成后，可通过账号密码或CA登录客户端进行</w:t>
      </w:r>
      <w:r>
        <w:rPr>
          <w:rFonts w:hint="eastAsia" w:ascii="宋体" w:hAnsi="宋体" w:eastAsia="宋体" w:cs="宋体"/>
          <w:color w:val="auto"/>
          <w:sz w:val="24"/>
          <w:szCs w:val="24"/>
          <w:highlight w:val="none"/>
          <w:lang w:eastAsia="zh-CN"/>
        </w:rPr>
        <w:t>投标文件</w:t>
      </w:r>
      <w:r>
        <w:rPr>
          <w:rFonts w:hint="eastAsia" w:ascii="宋体" w:hAnsi="宋体" w:eastAsia="宋体" w:cs="宋体"/>
          <w:color w:val="auto"/>
          <w:sz w:val="24"/>
          <w:szCs w:val="24"/>
          <w:highlight w:val="none"/>
        </w:rPr>
        <w:t>制作。在使用政采云</w:t>
      </w:r>
      <w:r>
        <w:rPr>
          <w:rFonts w:hint="eastAsia" w:cs="宋体"/>
          <w:color w:val="auto"/>
          <w:sz w:val="24"/>
          <w:szCs w:val="24"/>
          <w:highlight w:val="none"/>
          <w:lang w:eastAsia="zh-CN"/>
        </w:rPr>
        <w:t>“</w:t>
      </w:r>
      <w:r>
        <w:rPr>
          <w:rFonts w:hint="eastAsia" w:ascii="宋体" w:hAnsi="宋体" w:eastAsia="宋体" w:cs="宋体"/>
          <w:color w:val="auto"/>
          <w:sz w:val="24"/>
          <w:szCs w:val="24"/>
          <w:highlight w:val="none"/>
        </w:rPr>
        <w:t>投标客户端</w:t>
      </w:r>
      <w:r>
        <w:rPr>
          <w:rFonts w:hint="eastAsia" w:cs="宋体"/>
          <w:color w:val="auto"/>
          <w:sz w:val="24"/>
          <w:szCs w:val="24"/>
          <w:highlight w:val="none"/>
          <w:lang w:eastAsia="zh-CN"/>
        </w:rPr>
        <w:t>”</w:t>
      </w:r>
      <w:r>
        <w:rPr>
          <w:rFonts w:hint="eastAsia" w:ascii="宋体" w:hAnsi="宋体" w:eastAsia="宋体" w:cs="宋体"/>
          <w:color w:val="auto"/>
          <w:sz w:val="24"/>
          <w:szCs w:val="24"/>
          <w:highlight w:val="none"/>
        </w:rPr>
        <w:t>时，建议使用WIN7及以上操作系统。</w:t>
      </w:r>
      <w:r>
        <w:rPr>
          <w:rFonts w:hint="eastAsia" w:ascii="宋体" w:hAnsi="宋体" w:eastAsia="宋体" w:cs="宋体"/>
          <w:color w:val="auto"/>
          <w:sz w:val="24"/>
          <w:szCs w:val="24"/>
          <w:highlight w:val="none"/>
          <w:lang w:val="en-US" w:eastAsia="zh-CN"/>
        </w:rPr>
        <w:t>投标人</w:t>
      </w:r>
      <w:r>
        <w:rPr>
          <w:rFonts w:hint="eastAsia" w:ascii="宋体" w:hAnsi="宋体" w:eastAsia="宋体" w:cs="宋体"/>
          <w:color w:val="auto"/>
          <w:sz w:val="24"/>
          <w:szCs w:val="24"/>
          <w:highlight w:val="none"/>
        </w:rPr>
        <w:t>登录</w:t>
      </w:r>
      <w:r>
        <w:rPr>
          <w:rFonts w:hint="eastAsia" w:cs="宋体"/>
          <w:color w:val="auto"/>
          <w:sz w:val="24"/>
          <w:szCs w:val="24"/>
          <w:highlight w:val="none"/>
          <w:lang w:eastAsia="zh-CN"/>
        </w:rPr>
        <w:t>新疆政府采购网</w:t>
      </w:r>
      <w:r>
        <w:rPr>
          <w:rFonts w:hint="eastAsia" w:ascii="宋体" w:hAnsi="宋体" w:eastAsia="宋体" w:cs="宋体"/>
          <w:color w:val="auto"/>
          <w:sz w:val="24"/>
          <w:szCs w:val="24"/>
          <w:highlight w:val="none"/>
        </w:rPr>
        <w:t>“下载专区”—“电子招投标客户端下载”下载相关客户端，如有问题可拨打政采云客户服务热线95763进行咨询。</w:t>
      </w:r>
    </w:p>
    <w:p w14:paraId="4FDDCAFD">
      <w:pPr>
        <w:pStyle w:val="50"/>
        <w:keepNext w:val="0"/>
        <w:keepLines w:val="0"/>
        <w:pageBreakBefore w:val="0"/>
        <w:widowControl w:val="0"/>
        <w:kinsoku/>
        <w:overflowPunct/>
        <w:topLinePunct w:val="0"/>
        <w:autoSpaceDE/>
        <w:autoSpaceDN/>
        <w:bidi w:val="0"/>
        <w:adjustRightInd/>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10.</w:t>
      </w: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加密的电子</w:t>
      </w:r>
      <w:r>
        <w:rPr>
          <w:rFonts w:hint="eastAsia" w:ascii="宋体" w:hAnsi="宋体" w:eastAsia="宋体" w:cs="宋体"/>
          <w:color w:val="auto"/>
          <w:sz w:val="24"/>
          <w:szCs w:val="24"/>
          <w:highlight w:val="none"/>
          <w:lang w:eastAsia="zh-CN"/>
        </w:rPr>
        <w:t>投标文件</w:t>
      </w:r>
      <w:r>
        <w:rPr>
          <w:rFonts w:hint="eastAsia" w:ascii="宋体" w:hAnsi="宋体" w:eastAsia="宋体" w:cs="宋体"/>
          <w:color w:val="auto"/>
          <w:sz w:val="24"/>
          <w:szCs w:val="24"/>
          <w:highlight w:val="none"/>
        </w:rPr>
        <w:t>应在</w:t>
      </w:r>
      <w:r>
        <w:rPr>
          <w:rFonts w:hint="eastAsia" w:ascii="宋体" w:hAnsi="宋体" w:eastAsia="宋体" w:cs="宋体"/>
          <w:color w:val="auto"/>
          <w:sz w:val="24"/>
          <w:szCs w:val="24"/>
          <w:highlight w:val="none"/>
          <w:lang w:eastAsia="zh-CN"/>
        </w:rPr>
        <w:t>投标文件</w:t>
      </w:r>
      <w:r>
        <w:rPr>
          <w:rFonts w:hint="eastAsia" w:ascii="宋体" w:hAnsi="宋体" w:eastAsia="宋体" w:cs="宋体"/>
          <w:color w:val="auto"/>
          <w:sz w:val="24"/>
          <w:szCs w:val="24"/>
          <w:highlight w:val="none"/>
        </w:rPr>
        <w:t>递交截止时间前通过政采云平台上传完成。逾期上传或者未上传指定地点的</w:t>
      </w:r>
      <w:r>
        <w:rPr>
          <w:rFonts w:hint="eastAsia" w:ascii="宋体" w:hAnsi="宋体" w:eastAsia="宋体" w:cs="宋体"/>
          <w:color w:val="auto"/>
          <w:sz w:val="24"/>
          <w:szCs w:val="24"/>
          <w:highlight w:val="none"/>
          <w:lang w:eastAsia="zh-CN"/>
        </w:rPr>
        <w:t>投标文件</w:t>
      </w:r>
      <w:r>
        <w:rPr>
          <w:rFonts w:hint="eastAsia" w:ascii="宋体" w:hAnsi="宋体" w:eastAsia="宋体" w:cs="宋体"/>
          <w:color w:val="auto"/>
          <w:sz w:val="24"/>
          <w:szCs w:val="24"/>
          <w:highlight w:val="none"/>
        </w:rPr>
        <w:t>，不予受理。</w:t>
      </w:r>
    </w:p>
    <w:p w14:paraId="6019B5E1">
      <w:pPr>
        <w:pStyle w:val="50"/>
        <w:keepNext w:val="0"/>
        <w:keepLines w:val="0"/>
        <w:pageBreakBefore w:val="0"/>
        <w:widowControl w:val="0"/>
        <w:kinsoku/>
        <w:overflowPunct/>
        <w:topLinePunct w:val="0"/>
        <w:autoSpaceDE/>
        <w:autoSpaceDN/>
        <w:bidi w:val="0"/>
        <w:adjustRightInd/>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10.</w:t>
      </w:r>
      <w:r>
        <w:rPr>
          <w:rFonts w:hint="eastAsia" w:ascii="宋体" w:hAnsi="宋体" w:eastAsia="宋体" w:cs="宋体"/>
          <w:color w:val="auto"/>
          <w:sz w:val="24"/>
          <w:szCs w:val="24"/>
          <w:highlight w:val="none"/>
        </w:rPr>
        <w:t>4</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投标人在开标前须提前配置好电脑</w:t>
      </w:r>
      <w:r>
        <w:rPr>
          <w:rFonts w:hint="eastAsia" w:ascii="宋体" w:hAnsi="宋体" w:eastAsia="宋体" w:cs="宋体"/>
          <w:color w:val="auto"/>
          <w:sz w:val="24"/>
          <w:szCs w:val="24"/>
          <w:highlight w:val="none"/>
          <w:lang w:val="en-US" w:eastAsia="zh-CN"/>
        </w:rPr>
        <w:t>及</w:t>
      </w:r>
      <w:r>
        <w:rPr>
          <w:rFonts w:hint="eastAsia" w:ascii="宋体" w:hAnsi="宋体" w:eastAsia="宋体" w:cs="宋体"/>
          <w:color w:val="auto"/>
          <w:sz w:val="24"/>
          <w:szCs w:val="24"/>
          <w:highlight w:val="none"/>
        </w:rPr>
        <w:t>浏览器，开标时请使用制作加密电子</w:t>
      </w:r>
      <w:r>
        <w:rPr>
          <w:rFonts w:hint="eastAsia" w:ascii="宋体" w:hAnsi="宋体" w:eastAsia="宋体" w:cs="宋体"/>
          <w:color w:val="auto"/>
          <w:sz w:val="24"/>
          <w:szCs w:val="24"/>
          <w:highlight w:val="none"/>
          <w:lang w:eastAsia="zh-CN"/>
        </w:rPr>
        <w:t>投标文件</w:t>
      </w:r>
      <w:r>
        <w:rPr>
          <w:rFonts w:hint="eastAsia" w:ascii="宋体" w:hAnsi="宋体" w:eastAsia="宋体" w:cs="宋体"/>
          <w:color w:val="auto"/>
          <w:sz w:val="24"/>
          <w:szCs w:val="24"/>
          <w:highlight w:val="none"/>
        </w:rPr>
        <w:t>的CA锁进行解密及报价确认。本项目</w:t>
      </w:r>
      <w:r>
        <w:rPr>
          <w:rFonts w:hint="eastAsia" w:ascii="宋体" w:hAnsi="宋体" w:eastAsia="宋体" w:cs="宋体"/>
          <w:color w:val="auto"/>
          <w:sz w:val="24"/>
          <w:szCs w:val="24"/>
          <w:highlight w:val="none"/>
          <w:lang w:eastAsia="zh-CN"/>
        </w:rPr>
        <w:t>投标文件</w:t>
      </w:r>
      <w:r>
        <w:rPr>
          <w:rFonts w:hint="eastAsia" w:ascii="宋体" w:hAnsi="宋体" w:eastAsia="宋体" w:cs="宋体"/>
          <w:color w:val="auto"/>
          <w:sz w:val="24"/>
          <w:szCs w:val="24"/>
          <w:highlight w:val="none"/>
        </w:rPr>
        <w:t>解密时间</w:t>
      </w:r>
      <w:r>
        <w:rPr>
          <w:rFonts w:hint="eastAsia" w:ascii="宋体" w:hAnsi="宋体" w:eastAsia="宋体" w:cs="宋体"/>
          <w:color w:val="auto"/>
          <w:sz w:val="24"/>
          <w:szCs w:val="24"/>
          <w:highlight w:val="none"/>
          <w:lang w:val="en-US" w:eastAsia="zh-CN"/>
        </w:rPr>
        <w:t>详见“投标人须知前附表”</w:t>
      </w:r>
      <w:r>
        <w:rPr>
          <w:rFonts w:hint="eastAsia" w:ascii="宋体" w:hAnsi="宋体" w:eastAsia="宋体" w:cs="宋体"/>
          <w:color w:val="auto"/>
          <w:sz w:val="24"/>
          <w:szCs w:val="24"/>
          <w:highlight w:val="none"/>
        </w:rPr>
        <w:t>，如因自身原因导致无法正常解密，后果由投标人自行承担。</w:t>
      </w:r>
    </w:p>
    <w:p w14:paraId="5819063B">
      <w:pPr>
        <w:pStyle w:val="50"/>
        <w:keepNext w:val="0"/>
        <w:keepLines w:val="0"/>
        <w:pageBreakBefore w:val="0"/>
        <w:widowControl w:val="0"/>
        <w:kinsoku/>
        <w:overflowPunct/>
        <w:topLinePunct w:val="0"/>
        <w:autoSpaceDE/>
        <w:autoSpaceDN/>
        <w:bidi w:val="0"/>
        <w:adjustRightInd/>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10.</w:t>
      </w:r>
      <w:r>
        <w:rPr>
          <w:rFonts w:hint="eastAsia" w:ascii="宋体" w:hAnsi="宋体" w:eastAsia="宋体" w:cs="宋体"/>
          <w:color w:val="auto"/>
          <w:sz w:val="24"/>
          <w:szCs w:val="24"/>
          <w:highlight w:val="none"/>
        </w:rPr>
        <w:t>5</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如遇“</w:t>
      </w:r>
      <w:r>
        <w:rPr>
          <w:rFonts w:hint="eastAsia" w:cs="宋体"/>
          <w:color w:val="auto"/>
          <w:sz w:val="24"/>
          <w:szCs w:val="24"/>
          <w:highlight w:val="none"/>
          <w:lang w:val="en-US" w:eastAsia="zh-CN"/>
        </w:rPr>
        <w:t>政府采购云平台</w:t>
      </w:r>
      <w:r>
        <w:rPr>
          <w:rFonts w:hint="eastAsia" w:ascii="宋体" w:hAnsi="宋体" w:eastAsia="宋体" w:cs="宋体"/>
          <w:color w:val="auto"/>
          <w:sz w:val="24"/>
          <w:szCs w:val="24"/>
          <w:highlight w:val="none"/>
          <w:lang w:val="hr-HR"/>
        </w:rPr>
        <w:t>（</w:t>
      </w:r>
      <w:r>
        <w:rPr>
          <w:rFonts w:hint="eastAsia" w:ascii="宋体" w:hAnsi="宋体" w:eastAsia="宋体" w:cs="宋体"/>
          <w:color w:val="auto"/>
          <w:sz w:val="24"/>
          <w:szCs w:val="24"/>
          <w:highlight w:val="none"/>
        </w:rPr>
        <w:t>网址</w:t>
      </w:r>
      <w:r>
        <w:rPr>
          <w:rFonts w:hint="eastAsia" w:ascii="宋体" w:hAnsi="宋体" w:eastAsia="宋体" w:cs="宋体"/>
          <w:color w:val="auto"/>
          <w:sz w:val="24"/>
          <w:szCs w:val="24"/>
          <w:highlight w:val="none"/>
          <w:lang w:val="hr-HR"/>
        </w:rPr>
        <w:t>：https://www.zcygov.cn/）</w:t>
      </w:r>
      <w:r>
        <w:rPr>
          <w:rFonts w:hint="eastAsia" w:ascii="宋体" w:hAnsi="宋体" w:eastAsia="宋体" w:cs="宋体"/>
          <w:color w:val="auto"/>
          <w:sz w:val="24"/>
          <w:szCs w:val="24"/>
          <w:highlight w:val="none"/>
        </w:rPr>
        <w:t>”电子交易规则调整，以最新要求为准。</w:t>
      </w:r>
    </w:p>
    <w:p w14:paraId="7CA60531">
      <w:pPr>
        <w:pStyle w:val="50"/>
        <w:keepNext w:val="0"/>
        <w:keepLines w:val="0"/>
        <w:pageBreakBefore w:val="0"/>
        <w:widowControl w:val="0"/>
        <w:kinsoku/>
        <w:overflowPunct/>
        <w:topLinePunct w:val="0"/>
        <w:autoSpaceDE/>
        <w:autoSpaceDN/>
        <w:bidi w:val="0"/>
        <w:adjustRightInd/>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10.6 电子交易系统咨询：投标人应当充分考虑到电子投标可能会发生的各种问题和风险，特别是投标文件签署、提交等问题，可按照“第一章 招标公告”的联系方式咨询相关人员。</w:t>
      </w:r>
    </w:p>
    <w:p w14:paraId="3F46C4BE">
      <w:pPr>
        <w:pStyle w:val="50"/>
        <w:keepNext w:val="0"/>
        <w:keepLines w:val="0"/>
        <w:pageBreakBefore w:val="0"/>
        <w:widowControl w:val="0"/>
        <w:kinsoku/>
        <w:overflowPunct/>
        <w:topLinePunct w:val="0"/>
        <w:autoSpaceDE/>
        <w:autoSpaceDN/>
        <w:bidi w:val="0"/>
        <w:adjustRightInd/>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10.7 由于本项目采用电子招标方式，潜在投标人的名单将在提交投标文件截止时间后才会解密。因此，</w:t>
      </w:r>
      <w:r>
        <w:rPr>
          <w:rFonts w:hint="eastAsia" w:cs="宋体"/>
          <w:color w:val="auto"/>
          <w:sz w:val="24"/>
          <w:szCs w:val="24"/>
          <w:highlight w:val="none"/>
          <w:lang w:val="en-US" w:eastAsia="zh-CN"/>
        </w:rPr>
        <w:t>招标人</w:t>
      </w:r>
      <w:r>
        <w:rPr>
          <w:rFonts w:hint="eastAsia" w:ascii="宋体" w:hAnsi="宋体" w:eastAsia="宋体" w:cs="宋体"/>
          <w:color w:val="auto"/>
          <w:sz w:val="24"/>
          <w:szCs w:val="24"/>
          <w:highlight w:val="none"/>
          <w:lang w:val="en-US" w:eastAsia="zh-CN"/>
        </w:rPr>
        <w:t>或</w:t>
      </w:r>
      <w:r>
        <w:rPr>
          <w:rFonts w:hint="eastAsia" w:cs="宋体"/>
          <w:color w:val="auto"/>
          <w:sz w:val="24"/>
          <w:szCs w:val="24"/>
          <w:highlight w:val="none"/>
          <w:lang w:val="en-US" w:eastAsia="zh-CN"/>
        </w:rPr>
        <w:t>招标代理机构</w:t>
      </w:r>
      <w:r>
        <w:rPr>
          <w:rFonts w:hint="eastAsia" w:ascii="宋体" w:hAnsi="宋体" w:eastAsia="宋体" w:cs="宋体"/>
          <w:color w:val="auto"/>
          <w:sz w:val="24"/>
          <w:szCs w:val="24"/>
          <w:highlight w:val="none"/>
          <w:lang w:val="en-US" w:eastAsia="zh-CN"/>
        </w:rPr>
        <w:t>无法通过传统的传真或邮件方式，将招标文件的澄清或修改内容逐一通知到每位已获取招标文件的潜在投标人。为确保信息的及时性和准确性，澄清或修改的内容将仅在政采云平台以更正公告的形式发布。潜在投标人需密切关注该网站，及时查看并下载相关更正公告。若因潜在投标人未能及时查看或下载相关更正公告，而导致的一切后果，将由潜在投标人自行承担。</w:t>
      </w:r>
    </w:p>
    <w:p w14:paraId="24984581">
      <w:pPr>
        <w:pStyle w:val="4"/>
        <w:keepNext w:val="0"/>
        <w:keepLines w:val="0"/>
        <w:pageBreakBefore w:val="0"/>
        <w:widowControl w:val="0"/>
        <w:numPr>
          <w:ilvl w:val="0"/>
          <w:numId w:val="0"/>
        </w:numPr>
        <w:kinsoku/>
        <w:wordWrap/>
        <w:overflowPunct/>
        <w:topLinePunct w:val="0"/>
        <w:autoSpaceDE/>
        <w:autoSpaceDN/>
        <w:bidi w:val="0"/>
        <w:adjustRightInd/>
        <w:snapToGrid/>
        <w:spacing w:before="120" w:after="120" w:line="240" w:lineRule="auto"/>
        <w:ind w:left="420" w:leftChars="0" w:hanging="420" w:firstLineChars="0"/>
        <w:jc w:val="both"/>
        <w:textAlignment w:val="auto"/>
        <w:rPr>
          <w:rFonts w:hint="eastAsia" w:ascii="宋体" w:hAnsi="宋体" w:eastAsia="宋体" w:cs="宋体"/>
          <w:b/>
          <w:bCs/>
          <w:color w:val="auto"/>
          <w:kern w:val="2"/>
          <w:sz w:val="24"/>
          <w:szCs w:val="24"/>
          <w:highlight w:val="none"/>
          <w:lang w:val="en-US" w:eastAsia="zh-CN" w:bidi="ar-SA"/>
        </w:rPr>
      </w:pPr>
      <w:bookmarkStart w:id="59" w:name="_Toc12064"/>
      <w:bookmarkStart w:id="60" w:name="_Toc163492834"/>
      <w:r>
        <w:rPr>
          <w:rFonts w:hint="eastAsia" w:ascii="宋体" w:hAnsi="宋体" w:eastAsia="宋体" w:cs="宋体"/>
          <w:b/>
          <w:bCs/>
          <w:color w:val="auto"/>
          <w:kern w:val="2"/>
          <w:sz w:val="24"/>
          <w:szCs w:val="24"/>
          <w:highlight w:val="none"/>
          <w:lang w:val="en-US" w:eastAsia="zh-CN" w:bidi="ar-SA"/>
        </w:rPr>
        <w:t>（二）招标文件</w:t>
      </w:r>
      <w:bookmarkEnd w:id="58"/>
      <w:bookmarkEnd w:id="59"/>
      <w:bookmarkEnd w:id="60"/>
    </w:p>
    <w:p w14:paraId="1B3ED334">
      <w:pPr>
        <w:pStyle w:val="5"/>
        <w:keepNext w:val="0"/>
        <w:keepLines w:val="0"/>
        <w:pageBreakBefore w:val="0"/>
        <w:widowControl w:val="0"/>
        <w:numPr>
          <w:ilvl w:val="0"/>
          <w:numId w:val="0"/>
        </w:numPr>
        <w:kinsoku/>
        <w:wordWrap/>
        <w:overflowPunct/>
        <w:topLinePunct w:val="0"/>
        <w:autoSpaceDE/>
        <w:autoSpaceDN/>
        <w:bidi w:val="0"/>
        <w:adjustRightInd/>
        <w:snapToGrid/>
        <w:spacing w:before="80" w:after="80" w:line="240" w:lineRule="auto"/>
        <w:ind w:left="420" w:leftChars="0" w:hanging="420" w:firstLineChars="0"/>
        <w:jc w:val="both"/>
        <w:textAlignment w:val="auto"/>
        <w:rPr>
          <w:rFonts w:hint="eastAsia" w:ascii="宋体" w:hAnsi="宋体" w:eastAsia="宋体" w:cs="宋体"/>
          <w:b/>
          <w:bCs/>
          <w:color w:val="auto"/>
          <w:kern w:val="2"/>
          <w:sz w:val="24"/>
          <w:szCs w:val="24"/>
          <w:highlight w:val="none"/>
          <w:lang w:val="en-US" w:eastAsia="zh-CN" w:bidi="ar-SA"/>
        </w:rPr>
      </w:pPr>
      <w:bookmarkStart w:id="61" w:name="_Toc14223"/>
      <w:bookmarkStart w:id="62" w:name="_Toc140132768"/>
      <w:bookmarkStart w:id="63" w:name="_Toc163492835"/>
      <w:r>
        <w:rPr>
          <w:rFonts w:hint="eastAsia" w:ascii="宋体" w:hAnsi="宋体" w:eastAsia="宋体" w:cs="宋体"/>
          <w:b/>
          <w:bCs/>
          <w:color w:val="auto"/>
          <w:kern w:val="2"/>
          <w:sz w:val="24"/>
          <w:szCs w:val="24"/>
          <w:highlight w:val="none"/>
          <w:lang w:val="en-US" w:eastAsia="zh-CN" w:bidi="ar-SA"/>
        </w:rPr>
        <w:t>11.招标文件的组成</w:t>
      </w:r>
      <w:bookmarkEnd w:id="61"/>
      <w:bookmarkEnd w:id="62"/>
      <w:bookmarkEnd w:id="63"/>
    </w:p>
    <w:p w14:paraId="37861899">
      <w:pPr>
        <w:keepNext w:val="0"/>
        <w:keepLines w:val="0"/>
        <w:pageBreakBefore w:val="0"/>
        <w:widowControl w:val="0"/>
        <w:kinsoku/>
        <w:overflowPunct/>
        <w:topLinePunct w:val="0"/>
        <w:autoSpaceDE/>
        <w:autoSpaceDN/>
        <w:bidi w:val="0"/>
        <w:adjustRightInd/>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.1本招标文件包括下列文件及根据本章第9款、第1</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款对招标文件所作的澄清或者修改。</w:t>
      </w:r>
    </w:p>
    <w:p w14:paraId="6A4E3FD0">
      <w:pPr>
        <w:keepNext w:val="0"/>
        <w:keepLines w:val="0"/>
        <w:pageBreakBefore w:val="0"/>
        <w:widowControl w:val="0"/>
        <w:kinsoku/>
        <w:overflowPunct/>
        <w:topLinePunct w:val="0"/>
        <w:autoSpaceDE/>
        <w:autoSpaceDN/>
        <w:bidi w:val="0"/>
        <w:adjustRightInd/>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第一章 </w:t>
      </w:r>
      <w:r>
        <w:rPr>
          <w:rFonts w:hint="eastAsia" w:ascii="宋体" w:hAnsi="宋体" w:eastAsia="宋体" w:cs="宋体"/>
          <w:color w:val="auto"/>
          <w:sz w:val="24"/>
          <w:szCs w:val="24"/>
          <w:highlight w:val="none"/>
          <w:lang w:val="en-US" w:eastAsia="zh-CN"/>
        </w:rPr>
        <w:t>招标公告</w:t>
      </w:r>
    </w:p>
    <w:p w14:paraId="6F8E1C8E">
      <w:pPr>
        <w:keepNext w:val="0"/>
        <w:keepLines w:val="0"/>
        <w:pageBreakBefore w:val="0"/>
        <w:widowControl w:val="0"/>
        <w:kinsoku/>
        <w:overflowPunct/>
        <w:topLinePunct w:val="0"/>
        <w:autoSpaceDE/>
        <w:autoSpaceDN/>
        <w:bidi w:val="0"/>
        <w:adjustRightInd/>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第二章 投标人须知</w:t>
      </w:r>
    </w:p>
    <w:p w14:paraId="65234001">
      <w:pPr>
        <w:keepNext w:val="0"/>
        <w:keepLines w:val="0"/>
        <w:pageBreakBefore w:val="0"/>
        <w:widowControl w:val="0"/>
        <w:kinsoku/>
        <w:overflowPunct/>
        <w:topLinePunct w:val="0"/>
        <w:autoSpaceDE/>
        <w:autoSpaceDN/>
        <w:bidi w:val="0"/>
        <w:adjustRightInd/>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第三章 采购需求</w:t>
      </w:r>
    </w:p>
    <w:p w14:paraId="71B1FB51">
      <w:pPr>
        <w:keepNext w:val="0"/>
        <w:keepLines w:val="0"/>
        <w:pageBreakBefore w:val="0"/>
        <w:widowControl w:val="0"/>
        <w:kinsoku/>
        <w:overflowPunct/>
        <w:topLinePunct w:val="0"/>
        <w:autoSpaceDE/>
        <w:autoSpaceDN/>
        <w:bidi w:val="0"/>
        <w:adjustRightInd/>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第四章 资格审查</w:t>
      </w:r>
    </w:p>
    <w:p w14:paraId="1F84C3C1">
      <w:pPr>
        <w:keepNext w:val="0"/>
        <w:keepLines w:val="0"/>
        <w:pageBreakBefore w:val="0"/>
        <w:widowControl w:val="0"/>
        <w:kinsoku/>
        <w:overflowPunct/>
        <w:topLinePunct w:val="0"/>
        <w:autoSpaceDE/>
        <w:autoSpaceDN/>
        <w:bidi w:val="0"/>
        <w:adjustRightInd/>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第五章 评标</w:t>
      </w:r>
      <w:r>
        <w:rPr>
          <w:rFonts w:hint="eastAsia" w:ascii="宋体" w:hAnsi="宋体" w:eastAsia="宋体" w:cs="宋体"/>
          <w:color w:val="auto"/>
          <w:sz w:val="24"/>
          <w:szCs w:val="24"/>
          <w:highlight w:val="none"/>
          <w:lang w:val="en-US" w:eastAsia="zh-CN"/>
        </w:rPr>
        <w:t>方</w:t>
      </w:r>
      <w:r>
        <w:rPr>
          <w:rFonts w:hint="eastAsia" w:ascii="宋体" w:hAnsi="宋体" w:eastAsia="宋体" w:cs="宋体"/>
          <w:color w:val="auto"/>
          <w:sz w:val="24"/>
          <w:szCs w:val="24"/>
          <w:highlight w:val="none"/>
        </w:rPr>
        <w:t>法及标准</w:t>
      </w:r>
    </w:p>
    <w:p w14:paraId="2CF6A7BF">
      <w:pPr>
        <w:keepNext w:val="0"/>
        <w:keepLines w:val="0"/>
        <w:pageBreakBefore w:val="0"/>
        <w:widowControl w:val="0"/>
        <w:kinsoku/>
        <w:overflowPunct/>
        <w:topLinePunct w:val="0"/>
        <w:autoSpaceDE/>
        <w:autoSpaceDN/>
        <w:bidi w:val="0"/>
        <w:adjustRightInd/>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第六章 合同草案</w:t>
      </w:r>
    </w:p>
    <w:p w14:paraId="56EC2E9E">
      <w:pPr>
        <w:keepNext w:val="0"/>
        <w:keepLines w:val="0"/>
        <w:pageBreakBefore w:val="0"/>
        <w:widowControl w:val="0"/>
        <w:kinsoku/>
        <w:overflowPunct/>
        <w:topLinePunct w:val="0"/>
        <w:autoSpaceDE/>
        <w:autoSpaceDN/>
        <w:bidi w:val="0"/>
        <w:adjustRightInd/>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第七章 投标文件的格式</w:t>
      </w:r>
    </w:p>
    <w:p w14:paraId="60D384CD">
      <w:pPr>
        <w:pStyle w:val="5"/>
        <w:keepNext w:val="0"/>
        <w:keepLines w:val="0"/>
        <w:pageBreakBefore w:val="0"/>
        <w:widowControl w:val="0"/>
        <w:numPr>
          <w:ilvl w:val="0"/>
          <w:numId w:val="0"/>
        </w:numPr>
        <w:kinsoku/>
        <w:wordWrap/>
        <w:overflowPunct/>
        <w:topLinePunct w:val="0"/>
        <w:autoSpaceDE/>
        <w:autoSpaceDN/>
        <w:bidi w:val="0"/>
        <w:adjustRightInd/>
        <w:snapToGrid/>
        <w:spacing w:before="80" w:after="80" w:line="240" w:lineRule="auto"/>
        <w:ind w:left="420" w:leftChars="0" w:hanging="420" w:firstLineChars="0"/>
        <w:jc w:val="both"/>
        <w:textAlignment w:val="auto"/>
        <w:rPr>
          <w:rFonts w:hint="eastAsia" w:ascii="宋体" w:hAnsi="宋体" w:eastAsia="宋体" w:cs="宋体"/>
          <w:b/>
          <w:bCs/>
          <w:color w:val="auto"/>
          <w:kern w:val="2"/>
          <w:sz w:val="24"/>
          <w:szCs w:val="24"/>
          <w:highlight w:val="none"/>
          <w:lang w:val="en-US" w:eastAsia="zh-CN" w:bidi="ar-SA"/>
        </w:rPr>
      </w:pPr>
      <w:bookmarkStart w:id="64" w:name="_Toc12876"/>
      <w:bookmarkStart w:id="65" w:name="_Toc140132769"/>
      <w:bookmarkStart w:id="66" w:name="_Toc163492836"/>
      <w:r>
        <w:rPr>
          <w:rFonts w:hint="eastAsia" w:ascii="宋体" w:hAnsi="宋体" w:eastAsia="宋体" w:cs="宋体"/>
          <w:b/>
          <w:bCs/>
          <w:color w:val="auto"/>
          <w:kern w:val="2"/>
          <w:sz w:val="24"/>
          <w:szCs w:val="24"/>
          <w:highlight w:val="none"/>
          <w:lang w:val="en-US" w:eastAsia="zh-CN" w:bidi="ar-SA"/>
        </w:rPr>
        <w:t>12.招标文件的询问、澄清或者修改</w:t>
      </w:r>
      <w:bookmarkEnd w:id="64"/>
      <w:bookmarkEnd w:id="65"/>
      <w:bookmarkEnd w:id="66"/>
    </w:p>
    <w:p w14:paraId="39EDD8DD">
      <w:pPr>
        <w:keepNext w:val="0"/>
        <w:keepLines w:val="0"/>
        <w:pageBreakBefore w:val="0"/>
        <w:widowControl w:val="0"/>
        <w:kinsoku/>
        <w:overflowPunct/>
        <w:topLinePunct w:val="0"/>
        <w:autoSpaceDE/>
        <w:autoSpaceDN/>
        <w:bidi w:val="0"/>
        <w:adjustRightInd/>
        <w:ind w:firstLine="480" w:firstLineChars="200"/>
        <w:jc w:val="both"/>
        <w:textAlignment w:val="auto"/>
        <w:rPr>
          <w:rFonts w:eastAsia="宋体" w:cs="仿宋_GB2312"/>
          <w:color w:val="auto"/>
          <w:sz w:val="24"/>
          <w:szCs w:val="24"/>
          <w:highlight w:val="none"/>
        </w:rPr>
      </w:pPr>
      <w:r>
        <w:rPr>
          <w:rFonts w:hint="eastAsia" w:cs="仿宋_GB2312"/>
          <w:color w:val="auto"/>
          <w:sz w:val="24"/>
          <w:szCs w:val="24"/>
          <w:highlight w:val="none"/>
          <w:lang w:val="en-US" w:eastAsia="zh-CN"/>
        </w:rPr>
        <w:t>12</w:t>
      </w:r>
      <w:r>
        <w:rPr>
          <w:rFonts w:eastAsia="宋体" w:cs="仿宋_GB2312"/>
          <w:color w:val="auto"/>
          <w:sz w:val="24"/>
          <w:szCs w:val="24"/>
          <w:highlight w:val="none"/>
        </w:rPr>
        <w:t>.</w:t>
      </w:r>
      <w:r>
        <w:rPr>
          <w:rFonts w:hint="eastAsia" w:eastAsia="宋体" w:cs="仿宋_GB2312"/>
          <w:color w:val="auto"/>
          <w:sz w:val="24"/>
          <w:szCs w:val="24"/>
          <w:highlight w:val="none"/>
        </w:rPr>
        <w:t>1</w:t>
      </w:r>
      <w:r>
        <w:rPr>
          <w:rFonts w:eastAsia="宋体" w:cs="仿宋_GB2312"/>
          <w:color w:val="auto"/>
          <w:sz w:val="24"/>
          <w:szCs w:val="24"/>
          <w:highlight w:val="none"/>
        </w:rPr>
        <w:t>投标人如对招标文件内容有疑问，须在投标人须知前附表规定的</w:t>
      </w:r>
      <w:r>
        <w:rPr>
          <w:rFonts w:hint="eastAsia" w:eastAsia="宋体" w:cs="仿宋_GB2312"/>
          <w:color w:val="auto"/>
          <w:sz w:val="24"/>
          <w:szCs w:val="24"/>
          <w:highlight w:val="none"/>
        </w:rPr>
        <w:t>询问</w:t>
      </w:r>
      <w:r>
        <w:rPr>
          <w:rFonts w:hint="eastAsia" w:cs="仿宋_GB2312"/>
          <w:color w:val="auto"/>
          <w:sz w:val="24"/>
          <w:szCs w:val="24"/>
          <w:highlight w:val="none"/>
          <w:lang w:val="en-US" w:eastAsia="zh-CN"/>
        </w:rPr>
        <w:t>方式和</w:t>
      </w:r>
      <w:r>
        <w:rPr>
          <w:rFonts w:eastAsia="宋体" w:cs="仿宋_GB2312"/>
          <w:color w:val="auto"/>
          <w:sz w:val="24"/>
          <w:szCs w:val="24"/>
          <w:highlight w:val="none"/>
        </w:rPr>
        <w:t>时间提交给</w:t>
      </w:r>
      <w:r>
        <w:rPr>
          <w:rFonts w:hint="eastAsia" w:cs="仿宋_GB2312"/>
          <w:color w:val="auto"/>
          <w:sz w:val="24"/>
          <w:szCs w:val="24"/>
          <w:highlight w:val="none"/>
          <w:lang w:val="en-US" w:eastAsia="zh-CN"/>
        </w:rPr>
        <w:t>招标人或</w:t>
      </w:r>
      <w:r>
        <w:rPr>
          <w:rFonts w:hint="eastAsia" w:cs="仿宋_GB2312"/>
          <w:color w:val="auto"/>
          <w:sz w:val="24"/>
          <w:szCs w:val="24"/>
          <w:highlight w:val="none"/>
          <w:lang w:eastAsia="zh-CN"/>
        </w:rPr>
        <w:t>招标代理机构</w:t>
      </w:r>
      <w:r>
        <w:rPr>
          <w:rFonts w:eastAsia="宋体" w:cs="仿宋_GB2312"/>
          <w:color w:val="auto"/>
          <w:sz w:val="24"/>
          <w:szCs w:val="24"/>
          <w:highlight w:val="none"/>
        </w:rPr>
        <w:t>。</w:t>
      </w:r>
    </w:p>
    <w:p w14:paraId="18A93331">
      <w:pPr>
        <w:keepNext w:val="0"/>
        <w:keepLines w:val="0"/>
        <w:pageBreakBefore w:val="0"/>
        <w:widowControl w:val="0"/>
        <w:kinsoku/>
        <w:overflowPunct/>
        <w:topLinePunct w:val="0"/>
        <w:autoSpaceDE/>
        <w:autoSpaceDN/>
        <w:bidi w:val="0"/>
        <w:adjustRightInd/>
        <w:ind w:firstLine="480" w:firstLineChars="200"/>
        <w:jc w:val="both"/>
        <w:textAlignment w:val="auto"/>
        <w:rPr>
          <w:rFonts w:eastAsia="宋体" w:cs="仿宋_GB2312"/>
          <w:color w:val="auto"/>
          <w:sz w:val="24"/>
          <w:szCs w:val="24"/>
          <w:highlight w:val="none"/>
        </w:rPr>
      </w:pPr>
      <w:r>
        <w:rPr>
          <w:rFonts w:hint="eastAsia" w:cs="仿宋_GB2312"/>
          <w:color w:val="auto"/>
          <w:sz w:val="24"/>
          <w:szCs w:val="24"/>
          <w:highlight w:val="none"/>
          <w:lang w:val="en-US" w:eastAsia="zh-CN"/>
        </w:rPr>
        <w:t>12</w:t>
      </w:r>
      <w:r>
        <w:rPr>
          <w:rFonts w:eastAsia="宋体" w:cs="仿宋_GB2312"/>
          <w:color w:val="auto"/>
          <w:sz w:val="24"/>
          <w:szCs w:val="24"/>
          <w:highlight w:val="none"/>
        </w:rPr>
        <w:t>.</w:t>
      </w:r>
      <w:r>
        <w:rPr>
          <w:rFonts w:hint="eastAsia" w:eastAsia="宋体" w:cs="仿宋_GB2312"/>
          <w:color w:val="auto"/>
          <w:sz w:val="24"/>
          <w:szCs w:val="24"/>
          <w:highlight w:val="none"/>
        </w:rPr>
        <w:t>2</w:t>
      </w:r>
      <w:r>
        <w:rPr>
          <w:rFonts w:hint="eastAsia" w:cs="仿宋_GB2312"/>
          <w:color w:val="auto"/>
          <w:sz w:val="24"/>
          <w:szCs w:val="24"/>
          <w:highlight w:val="none"/>
          <w:lang w:eastAsia="zh-CN"/>
        </w:rPr>
        <w:t>招标人</w:t>
      </w:r>
      <w:r>
        <w:rPr>
          <w:rFonts w:hint="eastAsia" w:eastAsia="宋体" w:cs="仿宋_GB2312"/>
          <w:color w:val="auto"/>
          <w:sz w:val="24"/>
          <w:szCs w:val="24"/>
          <w:highlight w:val="none"/>
        </w:rPr>
        <w:t>可主动地或在</w:t>
      </w:r>
      <w:r>
        <w:rPr>
          <w:rFonts w:hint="eastAsia" w:eastAsia="宋体" w:cs="仿宋_GB2312"/>
          <w:color w:val="auto"/>
          <w:sz w:val="24"/>
          <w:szCs w:val="24"/>
          <w:highlight w:val="none"/>
          <w:lang w:val="en-US" w:eastAsia="zh-CN"/>
        </w:rPr>
        <w:t>答复</w:t>
      </w:r>
      <w:r>
        <w:rPr>
          <w:rFonts w:hint="eastAsia" w:eastAsia="宋体" w:cs="仿宋_GB2312"/>
          <w:color w:val="auto"/>
          <w:sz w:val="24"/>
          <w:szCs w:val="24"/>
          <w:highlight w:val="none"/>
        </w:rPr>
        <w:t>投标人提出的</w:t>
      </w:r>
      <w:r>
        <w:rPr>
          <w:rFonts w:hint="eastAsia" w:eastAsia="宋体" w:cs="仿宋_GB2312"/>
          <w:color w:val="auto"/>
          <w:sz w:val="24"/>
          <w:szCs w:val="24"/>
          <w:highlight w:val="none"/>
          <w:lang w:val="en-US" w:eastAsia="zh-CN"/>
        </w:rPr>
        <w:t>询问</w:t>
      </w:r>
      <w:r>
        <w:rPr>
          <w:rFonts w:hint="eastAsia" w:eastAsia="宋体" w:cs="仿宋_GB2312"/>
          <w:color w:val="auto"/>
          <w:sz w:val="24"/>
          <w:szCs w:val="24"/>
          <w:highlight w:val="none"/>
        </w:rPr>
        <w:t>时对招标文件进行澄清与修改。</w:t>
      </w:r>
      <w:r>
        <w:rPr>
          <w:rFonts w:hint="eastAsia" w:cs="仿宋_GB2312"/>
          <w:color w:val="auto"/>
          <w:sz w:val="24"/>
          <w:szCs w:val="24"/>
          <w:highlight w:val="none"/>
          <w:lang w:eastAsia="zh-CN"/>
        </w:rPr>
        <w:t>招标代理机构</w:t>
      </w:r>
      <w:r>
        <w:rPr>
          <w:rFonts w:eastAsia="宋体" w:cs="仿宋_GB2312"/>
          <w:color w:val="auto"/>
          <w:sz w:val="24"/>
          <w:szCs w:val="24"/>
          <w:highlight w:val="none"/>
        </w:rPr>
        <w:t>将</w:t>
      </w:r>
      <w:r>
        <w:rPr>
          <w:rFonts w:hint="eastAsia" w:eastAsia="宋体" w:cs="仿宋_GB2312"/>
          <w:color w:val="auto"/>
          <w:sz w:val="24"/>
          <w:szCs w:val="24"/>
          <w:highlight w:val="none"/>
        </w:rPr>
        <w:t>在</w:t>
      </w:r>
      <w:r>
        <w:rPr>
          <w:rFonts w:hint="eastAsia" w:cs="仿宋_GB2312"/>
          <w:color w:val="auto"/>
          <w:sz w:val="24"/>
          <w:szCs w:val="24"/>
          <w:highlight w:val="none"/>
          <w:lang w:val="en-US" w:eastAsia="zh-CN"/>
        </w:rPr>
        <w:t>政府采购云平台</w:t>
      </w:r>
      <w:r>
        <w:rPr>
          <w:rFonts w:hint="eastAsia" w:eastAsia="宋体" w:cs="仿宋_GB2312"/>
          <w:color w:val="auto"/>
          <w:sz w:val="24"/>
          <w:szCs w:val="24"/>
          <w:highlight w:val="none"/>
        </w:rPr>
        <w:t>以发布更正公告的方式澄清或修改招标文件，更正公告的</w:t>
      </w:r>
      <w:r>
        <w:rPr>
          <w:rFonts w:eastAsia="宋体" w:cs="仿宋_GB2312"/>
          <w:color w:val="auto"/>
          <w:sz w:val="24"/>
          <w:szCs w:val="24"/>
          <w:highlight w:val="none"/>
        </w:rPr>
        <w:t>内容</w:t>
      </w:r>
      <w:r>
        <w:rPr>
          <w:rFonts w:hint="eastAsia" w:eastAsia="宋体" w:cs="仿宋_GB2312"/>
          <w:color w:val="auto"/>
          <w:sz w:val="24"/>
          <w:szCs w:val="24"/>
          <w:highlight w:val="none"/>
        </w:rPr>
        <w:t>作</w:t>
      </w:r>
      <w:r>
        <w:rPr>
          <w:rFonts w:eastAsia="宋体" w:cs="仿宋_GB2312"/>
          <w:color w:val="auto"/>
          <w:sz w:val="24"/>
          <w:szCs w:val="24"/>
          <w:highlight w:val="none"/>
        </w:rPr>
        <w:t>为招标文件</w:t>
      </w:r>
      <w:r>
        <w:rPr>
          <w:rFonts w:hint="eastAsia" w:eastAsia="宋体" w:cs="仿宋_GB2312"/>
          <w:color w:val="auto"/>
          <w:sz w:val="24"/>
          <w:szCs w:val="24"/>
          <w:highlight w:val="none"/>
        </w:rPr>
        <w:t>的</w:t>
      </w:r>
      <w:r>
        <w:rPr>
          <w:rFonts w:eastAsia="宋体" w:cs="仿宋_GB2312"/>
          <w:color w:val="auto"/>
          <w:sz w:val="24"/>
          <w:szCs w:val="24"/>
          <w:highlight w:val="none"/>
        </w:rPr>
        <w:t>组成部分，对投标人起约束作用</w:t>
      </w:r>
      <w:r>
        <w:rPr>
          <w:rFonts w:hint="eastAsia" w:eastAsia="宋体" w:cs="仿宋_GB2312"/>
          <w:color w:val="auto"/>
          <w:sz w:val="24"/>
          <w:szCs w:val="24"/>
          <w:highlight w:val="none"/>
        </w:rPr>
        <w:t>。投标人应主动上网查询。</w:t>
      </w:r>
      <w:r>
        <w:rPr>
          <w:rFonts w:hint="eastAsia" w:cs="仿宋_GB2312"/>
          <w:color w:val="auto"/>
          <w:sz w:val="24"/>
          <w:szCs w:val="24"/>
          <w:highlight w:val="none"/>
          <w:lang w:eastAsia="zh-CN"/>
        </w:rPr>
        <w:t>招标代理机构</w:t>
      </w:r>
      <w:r>
        <w:rPr>
          <w:rFonts w:hint="eastAsia" w:eastAsia="宋体" w:cs="仿宋_GB2312"/>
          <w:color w:val="auto"/>
          <w:sz w:val="24"/>
          <w:szCs w:val="24"/>
          <w:highlight w:val="none"/>
        </w:rPr>
        <w:t>不承担投标人未及时关注相关信息引发的相关责任。</w:t>
      </w:r>
    </w:p>
    <w:p w14:paraId="06E14509">
      <w:pPr>
        <w:keepNext w:val="0"/>
        <w:keepLines w:val="0"/>
        <w:pageBreakBefore w:val="0"/>
        <w:widowControl w:val="0"/>
        <w:kinsoku/>
        <w:overflowPunct/>
        <w:topLinePunct w:val="0"/>
        <w:autoSpaceDE/>
        <w:autoSpaceDN/>
        <w:bidi w:val="0"/>
        <w:adjustRightInd/>
        <w:ind w:firstLine="480" w:firstLineChars="200"/>
        <w:jc w:val="both"/>
        <w:textAlignment w:val="auto"/>
        <w:rPr>
          <w:rFonts w:hint="eastAsia" w:eastAsia="宋体" w:cs="仿宋_GB2312"/>
          <w:color w:val="auto"/>
          <w:sz w:val="24"/>
          <w:szCs w:val="24"/>
          <w:highlight w:val="none"/>
        </w:rPr>
      </w:pPr>
      <w:r>
        <w:rPr>
          <w:rFonts w:eastAsia="宋体" w:cs="仿宋_GB2312"/>
          <w:color w:val="auto"/>
          <w:sz w:val="24"/>
          <w:szCs w:val="24"/>
          <w:highlight w:val="none"/>
        </w:rPr>
        <w:t>1</w:t>
      </w:r>
      <w:r>
        <w:rPr>
          <w:rFonts w:hint="eastAsia" w:eastAsia="宋体" w:cs="仿宋_GB2312"/>
          <w:color w:val="auto"/>
          <w:sz w:val="24"/>
          <w:szCs w:val="24"/>
          <w:highlight w:val="none"/>
          <w:lang w:val="en-US" w:eastAsia="zh-CN"/>
        </w:rPr>
        <w:t>2</w:t>
      </w:r>
      <w:r>
        <w:rPr>
          <w:rFonts w:hint="eastAsia" w:eastAsia="宋体" w:cs="仿宋_GB2312"/>
          <w:color w:val="auto"/>
          <w:sz w:val="24"/>
          <w:szCs w:val="24"/>
          <w:highlight w:val="none"/>
        </w:rPr>
        <w:t>.3 招标文件的澄清或者修改的内容可能影响投标文件编制的，</w:t>
      </w:r>
      <w:r>
        <w:rPr>
          <w:rFonts w:hint="eastAsia" w:cs="仿宋_GB2312"/>
          <w:color w:val="auto"/>
          <w:sz w:val="24"/>
          <w:szCs w:val="24"/>
          <w:highlight w:val="none"/>
          <w:lang w:eastAsia="zh-CN"/>
        </w:rPr>
        <w:t>招标人</w:t>
      </w:r>
      <w:r>
        <w:rPr>
          <w:rFonts w:hint="eastAsia" w:eastAsia="宋体" w:cs="仿宋_GB2312"/>
          <w:color w:val="auto"/>
          <w:sz w:val="24"/>
          <w:szCs w:val="24"/>
          <w:highlight w:val="none"/>
        </w:rPr>
        <w:t>或者</w:t>
      </w:r>
      <w:r>
        <w:rPr>
          <w:rFonts w:hint="eastAsia" w:cs="仿宋_GB2312"/>
          <w:color w:val="auto"/>
          <w:sz w:val="24"/>
          <w:szCs w:val="24"/>
          <w:highlight w:val="none"/>
          <w:lang w:eastAsia="zh-CN"/>
        </w:rPr>
        <w:t>招标代理机构</w:t>
      </w:r>
      <w:r>
        <w:rPr>
          <w:rFonts w:hint="eastAsia" w:eastAsia="宋体" w:cs="仿宋_GB2312"/>
          <w:color w:val="auto"/>
          <w:sz w:val="24"/>
          <w:szCs w:val="24"/>
          <w:highlight w:val="none"/>
        </w:rPr>
        <w:t>应当在投标截止时间至少15日前，以书面形式通知所有获取招标文件的潜在投标人；不足15日的，</w:t>
      </w:r>
      <w:r>
        <w:rPr>
          <w:rFonts w:hint="eastAsia" w:cs="仿宋_GB2312"/>
          <w:color w:val="auto"/>
          <w:sz w:val="24"/>
          <w:szCs w:val="24"/>
          <w:highlight w:val="none"/>
          <w:lang w:eastAsia="zh-CN"/>
        </w:rPr>
        <w:t>招标人</w:t>
      </w:r>
      <w:r>
        <w:rPr>
          <w:rFonts w:hint="eastAsia" w:eastAsia="宋体" w:cs="仿宋_GB2312"/>
          <w:color w:val="auto"/>
          <w:sz w:val="24"/>
          <w:szCs w:val="24"/>
          <w:highlight w:val="none"/>
        </w:rPr>
        <w:t>或者</w:t>
      </w:r>
      <w:r>
        <w:rPr>
          <w:rFonts w:hint="eastAsia" w:cs="仿宋_GB2312"/>
          <w:color w:val="auto"/>
          <w:sz w:val="24"/>
          <w:szCs w:val="24"/>
          <w:highlight w:val="none"/>
          <w:lang w:eastAsia="zh-CN"/>
        </w:rPr>
        <w:t>招标代理机构</w:t>
      </w:r>
      <w:r>
        <w:rPr>
          <w:rFonts w:hint="eastAsia" w:eastAsia="宋体" w:cs="仿宋_GB2312"/>
          <w:color w:val="auto"/>
          <w:sz w:val="24"/>
          <w:szCs w:val="24"/>
          <w:highlight w:val="none"/>
        </w:rPr>
        <w:t>应当顺延提交投标文件的截止时间。</w:t>
      </w:r>
    </w:p>
    <w:p w14:paraId="1D54767E">
      <w:pPr>
        <w:keepNext w:val="0"/>
        <w:keepLines w:val="0"/>
        <w:pageBreakBefore w:val="0"/>
        <w:widowControl w:val="0"/>
        <w:kinsoku/>
        <w:overflowPunct/>
        <w:topLinePunct w:val="0"/>
        <w:autoSpaceDE/>
        <w:autoSpaceDN/>
        <w:bidi w:val="0"/>
        <w:adjustRightInd/>
        <w:ind w:firstLine="480" w:firstLineChars="200"/>
        <w:jc w:val="both"/>
        <w:textAlignment w:val="auto"/>
        <w:rPr>
          <w:rFonts w:eastAsia="宋体" w:cs="仿宋_GB2312"/>
          <w:color w:val="auto"/>
          <w:sz w:val="24"/>
          <w:szCs w:val="24"/>
          <w:highlight w:val="none"/>
        </w:rPr>
      </w:pPr>
      <w:r>
        <w:rPr>
          <w:rFonts w:hint="eastAsia" w:cs="仿宋_GB2312"/>
          <w:color w:val="auto"/>
          <w:sz w:val="24"/>
          <w:szCs w:val="24"/>
          <w:highlight w:val="none"/>
          <w:lang w:val="en-US" w:eastAsia="zh-CN"/>
        </w:rPr>
        <w:t>12</w:t>
      </w:r>
      <w:r>
        <w:rPr>
          <w:rFonts w:hint="eastAsia" w:eastAsia="宋体" w:cs="仿宋_GB2312"/>
          <w:color w:val="auto"/>
          <w:sz w:val="24"/>
          <w:szCs w:val="24"/>
          <w:highlight w:val="none"/>
        </w:rPr>
        <w:t>.</w:t>
      </w:r>
      <w:r>
        <w:rPr>
          <w:rFonts w:hint="eastAsia" w:cs="仿宋_GB2312"/>
          <w:color w:val="auto"/>
          <w:sz w:val="24"/>
          <w:szCs w:val="24"/>
          <w:highlight w:val="none"/>
          <w:lang w:val="en-US" w:eastAsia="zh-CN"/>
        </w:rPr>
        <w:t>4</w:t>
      </w:r>
      <w:r>
        <w:rPr>
          <w:rFonts w:hint="eastAsia" w:eastAsia="宋体" w:cs="仿宋_GB2312"/>
          <w:color w:val="auto"/>
          <w:sz w:val="24"/>
          <w:szCs w:val="24"/>
          <w:highlight w:val="none"/>
        </w:rPr>
        <w:t>任何人或任何组织向投标人提供的任何书面或口头资料，未经</w:t>
      </w:r>
      <w:r>
        <w:rPr>
          <w:rFonts w:hint="eastAsia" w:cs="仿宋_GB2312"/>
          <w:color w:val="auto"/>
          <w:sz w:val="24"/>
          <w:szCs w:val="24"/>
          <w:highlight w:val="none"/>
          <w:lang w:eastAsia="zh-CN"/>
        </w:rPr>
        <w:t>招标代理机构</w:t>
      </w:r>
      <w:r>
        <w:rPr>
          <w:rFonts w:hint="eastAsia" w:eastAsia="宋体" w:cs="仿宋_GB2312"/>
          <w:color w:val="auto"/>
          <w:sz w:val="24"/>
          <w:szCs w:val="24"/>
          <w:highlight w:val="none"/>
        </w:rPr>
        <w:t>在网上发布或书面通知，均作无效处理，不得作为招标文件的组成部分。</w:t>
      </w:r>
      <w:r>
        <w:rPr>
          <w:rFonts w:hint="eastAsia" w:cs="仿宋_GB2312"/>
          <w:color w:val="auto"/>
          <w:sz w:val="24"/>
          <w:szCs w:val="24"/>
          <w:highlight w:val="none"/>
          <w:lang w:eastAsia="zh-CN"/>
        </w:rPr>
        <w:t>招标代理机构</w:t>
      </w:r>
      <w:r>
        <w:rPr>
          <w:rFonts w:hint="eastAsia" w:eastAsia="宋体" w:cs="仿宋_GB2312"/>
          <w:color w:val="auto"/>
          <w:sz w:val="24"/>
          <w:szCs w:val="24"/>
          <w:highlight w:val="none"/>
        </w:rPr>
        <w:t>对投标人由此而做出的推论、理解和结论概不负责。</w:t>
      </w:r>
    </w:p>
    <w:p w14:paraId="58817FB0">
      <w:pPr>
        <w:keepNext w:val="0"/>
        <w:keepLines w:val="0"/>
        <w:pageBreakBefore w:val="0"/>
        <w:widowControl w:val="0"/>
        <w:kinsoku/>
        <w:overflowPunct/>
        <w:topLinePunct w:val="0"/>
        <w:autoSpaceDE/>
        <w:autoSpaceDN/>
        <w:bidi w:val="0"/>
        <w:adjustRightInd/>
        <w:ind w:firstLine="480" w:firstLineChars="200"/>
        <w:jc w:val="both"/>
        <w:textAlignment w:val="auto"/>
        <w:rPr>
          <w:rFonts w:eastAsia="宋体" w:cs="仿宋_GB2312"/>
          <w:color w:val="auto"/>
          <w:sz w:val="24"/>
          <w:szCs w:val="24"/>
          <w:highlight w:val="none"/>
        </w:rPr>
      </w:pPr>
      <w:r>
        <w:rPr>
          <w:rFonts w:hint="eastAsia" w:cs="仿宋_GB2312"/>
          <w:color w:val="auto"/>
          <w:sz w:val="24"/>
          <w:szCs w:val="24"/>
          <w:highlight w:val="none"/>
          <w:lang w:val="en-US" w:eastAsia="zh-CN"/>
        </w:rPr>
        <w:t>12.5</w:t>
      </w:r>
      <w:r>
        <w:rPr>
          <w:rFonts w:eastAsia="宋体" w:cs="仿宋_GB2312"/>
          <w:color w:val="auto"/>
          <w:sz w:val="24"/>
          <w:szCs w:val="24"/>
          <w:highlight w:val="none"/>
        </w:rPr>
        <w:t>对于没有提出</w:t>
      </w:r>
      <w:r>
        <w:rPr>
          <w:rFonts w:hint="eastAsia" w:eastAsia="宋体" w:cs="仿宋_GB2312"/>
          <w:color w:val="auto"/>
          <w:sz w:val="24"/>
          <w:szCs w:val="24"/>
          <w:highlight w:val="none"/>
        </w:rPr>
        <w:t>疑问</w:t>
      </w:r>
      <w:r>
        <w:rPr>
          <w:rFonts w:eastAsia="宋体" w:cs="仿宋_GB2312"/>
          <w:color w:val="auto"/>
          <w:sz w:val="24"/>
          <w:szCs w:val="24"/>
          <w:highlight w:val="none"/>
        </w:rPr>
        <w:t>又参与了</w:t>
      </w:r>
      <w:r>
        <w:rPr>
          <w:rFonts w:hint="eastAsia" w:eastAsia="宋体" w:cs="仿宋_GB2312"/>
          <w:color w:val="auto"/>
          <w:sz w:val="24"/>
          <w:szCs w:val="24"/>
          <w:highlight w:val="none"/>
        </w:rPr>
        <w:t>本</w:t>
      </w:r>
      <w:r>
        <w:rPr>
          <w:rFonts w:eastAsia="宋体" w:cs="仿宋_GB2312"/>
          <w:color w:val="auto"/>
          <w:sz w:val="24"/>
          <w:szCs w:val="24"/>
          <w:highlight w:val="none"/>
        </w:rPr>
        <w:t>项目投标的</w:t>
      </w:r>
      <w:r>
        <w:rPr>
          <w:rFonts w:hint="eastAsia" w:eastAsia="宋体" w:cs="仿宋_GB2312"/>
          <w:color w:val="auto"/>
          <w:sz w:val="24"/>
          <w:szCs w:val="24"/>
          <w:highlight w:val="none"/>
        </w:rPr>
        <w:t>投标人</w:t>
      </w:r>
      <w:r>
        <w:rPr>
          <w:rFonts w:eastAsia="宋体" w:cs="仿宋_GB2312"/>
          <w:color w:val="auto"/>
          <w:sz w:val="24"/>
          <w:szCs w:val="24"/>
          <w:highlight w:val="none"/>
        </w:rPr>
        <w:t>将被视为完全认同</w:t>
      </w:r>
      <w:r>
        <w:rPr>
          <w:rFonts w:hint="eastAsia" w:eastAsia="宋体" w:cs="仿宋_GB2312"/>
          <w:color w:val="auto"/>
          <w:sz w:val="24"/>
          <w:szCs w:val="24"/>
          <w:highlight w:val="none"/>
        </w:rPr>
        <w:t>本</w:t>
      </w:r>
      <w:r>
        <w:rPr>
          <w:rFonts w:eastAsia="宋体" w:cs="仿宋_GB2312"/>
          <w:color w:val="auto"/>
          <w:sz w:val="24"/>
          <w:szCs w:val="24"/>
          <w:highlight w:val="none"/>
        </w:rPr>
        <w:t>招标文件（含</w:t>
      </w:r>
      <w:r>
        <w:rPr>
          <w:rFonts w:hint="eastAsia" w:eastAsia="宋体" w:cs="仿宋_GB2312"/>
          <w:color w:val="auto"/>
          <w:sz w:val="24"/>
          <w:szCs w:val="24"/>
          <w:highlight w:val="none"/>
        </w:rPr>
        <w:t>更正公告的</w:t>
      </w:r>
      <w:r>
        <w:rPr>
          <w:rFonts w:eastAsia="宋体" w:cs="仿宋_GB2312"/>
          <w:color w:val="auto"/>
          <w:sz w:val="24"/>
          <w:szCs w:val="24"/>
          <w:highlight w:val="none"/>
        </w:rPr>
        <w:t>内容）</w:t>
      </w:r>
      <w:r>
        <w:rPr>
          <w:rFonts w:hint="eastAsia" w:eastAsia="宋体" w:cs="仿宋_GB2312"/>
          <w:color w:val="auto"/>
          <w:sz w:val="24"/>
          <w:szCs w:val="24"/>
          <w:highlight w:val="none"/>
        </w:rPr>
        <w:t>。</w:t>
      </w:r>
    </w:p>
    <w:p w14:paraId="3A6E2C2F">
      <w:pPr>
        <w:pStyle w:val="50"/>
        <w:keepNext w:val="0"/>
        <w:keepLines w:val="0"/>
        <w:pageBreakBefore w:val="0"/>
        <w:widowControl w:val="0"/>
        <w:kinsoku/>
        <w:overflowPunct/>
        <w:topLinePunct w:val="0"/>
        <w:autoSpaceDE/>
        <w:autoSpaceDN/>
        <w:bidi w:val="0"/>
        <w:adjustRightInd/>
        <w:jc w:val="both"/>
        <w:textAlignment w:val="auto"/>
        <w:rPr>
          <w:rFonts w:hint="eastAsia" w:eastAsia="宋体"/>
          <w:color w:val="auto"/>
          <w:sz w:val="24"/>
          <w:highlight w:val="none"/>
        </w:rPr>
      </w:pPr>
      <w:r>
        <w:rPr>
          <w:rFonts w:eastAsia="宋体"/>
          <w:color w:val="auto"/>
          <w:sz w:val="24"/>
          <w:highlight w:val="none"/>
        </w:rPr>
        <w:t>1</w:t>
      </w:r>
      <w:r>
        <w:rPr>
          <w:rFonts w:hint="eastAsia" w:eastAsia="宋体"/>
          <w:color w:val="auto"/>
          <w:sz w:val="24"/>
          <w:highlight w:val="none"/>
          <w:lang w:val="en-US" w:eastAsia="zh-CN"/>
        </w:rPr>
        <w:t>2</w:t>
      </w:r>
      <w:r>
        <w:rPr>
          <w:rFonts w:eastAsia="宋体"/>
          <w:color w:val="auto"/>
          <w:sz w:val="24"/>
          <w:highlight w:val="none"/>
        </w:rPr>
        <w:t>.</w:t>
      </w:r>
      <w:r>
        <w:rPr>
          <w:rFonts w:hint="eastAsia"/>
          <w:color w:val="auto"/>
          <w:sz w:val="24"/>
          <w:highlight w:val="none"/>
          <w:lang w:val="en-US" w:eastAsia="zh-CN"/>
        </w:rPr>
        <w:t>6</w:t>
      </w:r>
      <w:r>
        <w:rPr>
          <w:rFonts w:hint="eastAsia" w:eastAsia="宋体"/>
          <w:color w:val="auto"/>
          <w:sz w:val="24"/>
          <w:highlight w:val="none"/>
        </w:rPr>
        <w:t xml:space="preserve"> </w:t>
      </w:r>
      <w:r>
        <w:rPr>
          <w:rFonts w:hint="eastAsia" w:eastAsia="宋体" w:cs="仿宋_GB2312"/>
          <w:color w:val="auto"/>
          <w:sz w:val="24"/>
          <w:szCs w:val="24"/>
          <w:highlight w:val="none"/>
          <w:lang w:val="en-US" w:eastAsia="zh-CN"/>
        </w:rPr>
        <w:t>“</w:t>
      </w:r>
      <w:r>
        <w:rPr>
          <w:rFonts w:hint="eastAsia" w:eastAsia="宋体" w:cs="仿宋_GB2312"/>
          <w:color w:val="auto"/>
          <w:sz w:val="24"/>
          <w:szCs w:val="24"/>
          <w:highlight w:val="none"/>
        </w:rPr>
        <w:t>投标人须知”所称“</w:t>
      </w:r>
      <w:r>
        <w:rPr>
          <w:rFonts w:hint="eastAsia" w:eastAsia="宋体"/>
          <w:color w:val="auto"/>
          <w:sz w:val="24"/>
          <w:highlight w:val="none"/>
        </w:rPr>
        <w:t>书面形式</w:t>
      </w:r>
      <w:r>
        <w:rPr>
          <w:rFonts w:hint="eastAsia" w:eastAsia="宋体" w:cs="仿宋_GB2312"/>
          <w:color w:val="auto"/>
          <w:sz w:val="24"/>
          <w:szCs w:val="24"/>
          <w:highlight w:val="none"/>
        </w:rPr>
        <w:t>”</w:t>
      </w:r>
      <w:r>
        <w:rPr>
          <w:rFonts w:hint="eastAsia" w:eastAsia="宋体"/>
          <w:color w:val="auto"/>
          <w:sz w:val="24"/>
          <w:highlight w:val="none"/>
        </w:rPr>
        <w:t>包括系统消息、政府采购</w:t>
      </w:r>
      <w:r>
        <w:rPr>
          <w:rFonts w:hint="eastAsia" w:eastAsia="宋体"/>
          <w:color w:val="auto"/>
          <w:sz w:val="24"/>
          <w:highlight w:val="none"/>
          <w:lang w:val="en-US" w:eastAsia="zh-CN"/>
        </w:rPr>
        <w:t>云平台</w:t>
      </w:r>
      <w:r>
        <w:rPr>
          <w:rFonts w:hint="eastAsia" w:eastAsia="宋体"/>
          <w:color w:val="auto"/>
          <w:sz w:val="24"/>
          <w:highlight w:val="none"/>
        </w:rPr>
        <w:t>发布的公告。</w:t>
      </w:r>
    </w:p>
    <w:p w14:paraId="1ECCD854">
      <w:pPr>
        <w:pStyle w:val="58"/>
        <w:keepNext w:val="0"/>
        <w:keepLines w:val="0"/>
        <w:pageBreakBefore w:val="0"/>
        <w:widowControl w:val="0"/>
        <w:shd w:val="clear" w:color="auto" w:fill="auto"/>
        <w:kinsoku/>
        <w:wordWrap/>
        <w:overflowPunct/>
        <w:topLinePunct w:val="0"/>
        <w:autoSpaceDE/>
        <w:autoSpaceDN/>
        <w:bidi w:val="0"/>
        <w:adjustRightInd/>
        <w:spacing w:line="360" w:lineRule="auto"/>
        <w:ind w:firstLine="480" w:firstLineChars="200"/>
        <w:jc w:val="both"/>
        <w:textAlignment w:val="auto"/>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2"/>
          <w:highlight w:val="none"/>
          <w:lang w:val="en-US" w:eastAsia="zh-CN"/>
        </w:rPr>
        <w:t>12.7</w:t>
      </w:r>
      <w:r>
        <w:rPr>
          <w:rFonts w:hint="eastAsia" w:ascii="宋体" w:hAnsi="宋体" w:eastAsia="宋体" w:cs="宋体"/>
          <w:color w:val="auto"/>
          <w:kern w:val="2"/>
          <w:sz w:val="24"/>
          <w:szCs w:val="22"/>
          <w:highlight w:val="none"/>
        </w:rPr>
        <w:t>当招标文件的澄清、修改及其他答复等就同一内容的表述不一致时，以最后发布的内容为准。</w:t>
      </w:r>
    </w:p>
    <w:p w14:paraId="5AFEF8AA">
      <w:pPr>
        <w:pStyle w:val="4"/>
        <w:keepNext w:val="0"/>
        <w:keepLines w:val="0"/>
        <w:pageBreakBefore w:val="0"/>
        <w:widowControl w:val="0"/>
        <w:numPr>
          <w:ilvl w:val="0"/>
          <w:numId w:val="0"/>
        </w:numPr>
        <w:kinsoku/>
        <w:wordWrap/>
        <w:overflowPunct/>
        <w:topLinePunct w:val="0"/>
        <w:autoSpaceDE/>
        <w:autoSpaceDN/>
        <w:bidi w:val="0"/>
        <w:adjustRightInd/>
        <w:snapToGrid/>
        <w:spacing w:before="120" w:after="120" w:line="240" w:lineRule="auto"/>
        <w:ind w:left="420" w:leftChars="0" w:hanging="420" w:firstLineChars="0"/>
        <w:jc w:val="both"/>
        <w:textAlignment w:val="auto"/>
        <w:rPr>
          <w:rFonts w:hint="eastAsia" w:ascii="宋体" w:hAnsi="宋体" w:eastAsia="宋体" w:cs="宋体"/>
          <w:b/>
          <w:bCs/>
          <w:color w:val="auto"/>
          <w:kern w:val="2"/>
          <w:sz w:val="24"/>
          <w:szCs w:val="24"/>
          <w:highlight w:val="none"/>
          <w:lang w:val="en-US" w:eastAsia="zh-CN" w:bidi="ar-SA"/>
        </w:rPr>
      </w:pPr>
      <w:bookmarkStart w:id="67" w:name="_Toc163492837"/>
      <w:bookmarkStart w:id="68" w:name="_Toc19757"/>
      <w:bookmarkStart w:id="69" w:name="_Toc155185872"/>
      <w:r>
        <w:rPr>
          <w:rFonts w:hint="eastAsia" w:ascii="宋体" w:hAnsi="宋体" w:eastAsia="宋体" w:cs="宋体"/>
          <w:b/>
          <w:bCs/>
          <w:color w:val="auto"/>
          <w:kern w:val="2"/>
          <w:sz w:val="24"/>
          <w:szCs w:val="24"/>
          <w:highlight w:val="none"/>
          <w:lang w:val="en-US" w:eastAsia="zh-CN" w:bidi="ar-SA"/>
        </w:rPr>
        <w:t>（三）投标文件</w:t>
      </w:r>
      <w:bookmarkEnd w:id="67"/>
      <w:bookmarkEnd w:id="68"/>
      <w:bookmarkEnd w:id="69"/>
    </w:p>
    <w:p w14:paraId="4CB8732A">
      <w:pPr>
        <w:pStyle w:val="5"/>
        <w:keepNext w:val="0"/>
        <w:keepLines w:val="0"/>
        <w:pageBreakBefore w:val="0"/>
        <w:widowControl w:val="0"/>
        <w:numPr>
          <w:ilvl w:val="0"/>
          <w:numId w:val="0"/>
        </w:numPr>
        <w:kinsoku/>
        <w:wordWrap/>
        <w:overflowPunct/>
        <w:topLinePunct w:val="0"/>
        <w:autoSpaceDE/>
        <w:autoSpaceDN/>
        <w:bidi w:val="0"/>
        <w:adjustRightInd/>
        <w:snapToGrid/>
        <w:spacing w:before="80" w:after="80" w:line="240" w:lineRule="auto"/>
        <w:ind w:left="420" w:leftChars="0" w:hanging="420" w:firstLineChars="0"/>
        <w:jc w:val="both"/>
        <w:textAlignment w:val="auto"/>
        <w:rPr>
          <w:rFonts w:hint="eastAsia" w:ascii="宋体" w:hAnsi="宋体" w:eastAsia="宋体" w:cs="宋体"/>
          <w:b/>
          <w:bCs/>
          <w:color w:val="auto"/>
          <w:kern w:val="2"/>
          <w:sz w:val="24"/>
          <w:szCs w:val="24"/>
          <w:highlight w:val="none"/>
          <w:lang w:val="en-US" w:eastAsia="zh-CN" w:bidi="ar-SA"/>
        </w:rPr>
      </w:pPr>
      <w:bookmarkStart w:id="70" w:name="_Toc17841"/>
      <w:bookmarkStart w:id="71" w:name="_Toc163492838"/>
      <w:r>
        <w:rPr>
          <w:rFonts w:hint="eastAsia" w:ascii="宋体" w:hAnsi="宋体" w:eastAsia="宋体" w:cs="宋体"/>
          <w:b/>
          <w:bCs/>
          <w:color w:val="auto"/>
          <w:kern w:val="2"/>
          <w:sz w:val="24"/>
          <w:szCs w:val="24"/>
          <w:highlight w:val="none"/>
          <w:lang w:val="en-US" w:eastAsia="zh-CN" w:bidi="ar-SA"/>
        </w:rPr>
        <w:t>13.投标文件的组成</w:t>
      </w:r>
      <w:bookmarkEnd w:id="70"/>
      <w:bookmarkEnd w:id="71"/>
    </w:p>
    <w:p w14:paraId="56D25EB4">
      <w:pPr>
        <w:pStyle w:val="58"/>
        <w:keepNext w:val="0"/>
        <w:keepLines w:val="0"/>
        <w:pageBreakBefore w:val="0"/>
        <w:widowControl w:val="0"/>
        <w:shd w:val="clear" w:color="auto" w:fill="auto"/>
        <w:kinsoku/>
        <w:wordWrap/>
        <w:overflowPunct/>
        <w:topLinePunct w:val="0"/>
        <w:autoSpaceDE/>
        <w:autoSpaceDN/>
        <w:bidi w:val="0"/>
        <w:adjustRightInd/>
        <w:spacing w:line="360" w:lineRule="auto"/>
        <w:ind w:firstLine="480" w:firstLineChars="200"/>
        <w:jc w:val="both"/>
        <w:textAlignment w:val="auto"/>
        <w:rPr>
          <w:rFonts w:hint="eastAsia" w:ascii="宋体" w:hAnsi="宋体" w:eastAsia="宋体" w:cs="宋体"/>
          <w:color w:val="auto"/>
          <w:kern w:val="2"/>
          <w:sz w:val="24"/>
          <w:szCs w:val="24"/>
          <w:highlight w:val="none"/>
        </w:rPr>
      </w:pPr>
      <w:bookmarkStart w:id="72" w:name="_Toc163492839"/>
      <w:bookmarkStart w:id="73" w:name="_Toc140132772"/>
      <w:r>
        <w:rPr>
          <w:rFonts w:hint="eastAsia" w:ascii="宋体" w:hAnsi="宋体" w:eastAsia="宋体" w:cs="宋体"/>
          <w:color w:val="auto"/>
          <w:kern w:val="2"/>
          <w:sz w:val="24"/>
          <w:szCs w:val="24"/>
          <w:highlight w:val="none"/>
          <w:lang w:val="en-US" w:eastAsia="zh-CN"/>
        </w:rPr>
        <w:t>13</w:t>
      </w:r>
      <w:r>
        <w:rPr>
          <w:rFonts w:hint="eastAsia" w:ascii="宋体" w:hAnsi="宋体" w:eastAsia="宋体" w:cs="宋体"/>
          <w:color w:val="auto"/>
          <w:kern w:val="2"/>
          <w:sz w:val="24"/>
          <w:szCs w:val="24"/>
          <w:highlight w:val="none"/>
        </w:rPr>
        <w:t>.1投标人应完整地按招标文件提供的投标文件格式及要求编写投标文件，具体内容详见</w:t>
      </w:r>
      <w:r>
        <w:rPr>
          <w:rFonts w:hint="eastAsia" w:ascii="宋体" w:hAnsi="宋体" w:eastAsia="宋体" w:cs="宋体"/>
          <w:color w:val="auto"/>
          <w:kern w:val="2"/>
          <w:sz w:val="24"/>
          <w:szCs w:val="24"/>
          <w:highlight w:val="none"/>
          <w:lang w:eastAsia="zh-CN"/>
        </w:rPr>
        <w:t>“</w:t>
      </w:r>
      <w:r>
        <w:rPr>
          <w:rFonts w:hint="eastAsia" w:ascii="宋体" w:hAnsi="宋体" w:eastAsia="宋体" w:cs="宋体"/>
          <w:color w:val="auto"/>
          <w:kern w:val="2"/>
          <w:sz w:val="24"/>
          <w:szCs w:val="24"/>
          <w:highlight w:val="none"/>
          <w:lang w:val="en-US" w:eastAsia="zh-CN"/>
        </w:rPr>
        <w:t xml:space="preserve">第七章 </w:t>
      </w:r>
      <w:r>
        <w:rPr>
          <w:rFonts w:hint="eastAsia" w:ascii="宋体" w:hAnsi="宋体" w:eastAsia="宋体" w:cs="宋体"/>
          <w:color w:val="auto"/>
          <w:kern w:val="2"/>
          <w:sz w:val="24"/>
          <w:szCs w:val="24"/>
          <w:highlight w:val="none"/>
        </w:rPr>
        <w:t>投标文件格式</w:t>
      </w:r>
      <w:r>
        <w:rPr>
          <w:rFonts w:hint="eastAsia" w:ascii="宋体" w:hAnsi="宋体" w:eastAsia="宋体" w:cs="宋体"/>
          <w:color w:val="auto"/>
          <w:kern w:val="2"/>
          <w:sz w:val="24"/>
          <w:szCs w:val="24"/>
          <w:highlight w:val="none"/>
          <w:lang w:eastAsia="zh-CN"/>
        </w:rPr>
        <w:t>”</w:t>
      </w:r>
      <w:r>
        <w:rPr>
          <w:rFonts w:hint="eastAsia" w:ascii="宋体" w:hAnsi="宋体" w:eastAsia="宋体" w:cs="宋体"/>
          <w:color w:val="auto"/>
          <w:kern w:val="2"/>
          <w:sz w:val="24"/>
          <w:szCs w:val="24"/>
          <w:highlight w:val="none"/>
        </w:rPr>
        <w:t>的相关内容。</w:t>
      </w:r>
    </w:p>
    <w:p w14:paraId="2AC941DA">
      <w:pPr>
        <w:pStyle w:val="58"/>
        <w:keepNext w:val="0"/>
        <w:keepLines w:val="0"/>
        <w:pageBreakBefore w:val="0"/>
        <w:widowControl w:val="0"/>
        <w:shd w:val="clear" w:color="auto" w:fill="auto"/>
        <w:kinsoku/>
        <w:wordWrap/>
        <w:overflowPunct/>
        <w:topLinePunct w:val="0"/>
        <w:autoSpaceDE/>
        <w:autoSpaceDN/>
        <w:bidi w:val="0"/>
        <w:adjustRightInd/>
        <w:spacing w:line="360" w:lineRule="auto"/>
        <w:ind w:firstLine="480" w:firstLineChars="200"/>
        <w:jc w:val="both"/>
        <w:textAlignment w:val="auto"/>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13.2</w:t>
      </w:r>
      <w:r>
        <w:rPr>
          <w:rFonts w:hint="eastAsia" w:ascii="宋体" w:hAnsi="宋体" w:eastAsia="宋体" w:cs="宋体"/>
          <w:color w:val="auto"/>
          <w:kern w:val="2"/>
          <w:sz w:val="24"/>
          <w:szCs w:val="24"/>
          <w:highlight w:val="none"/>
        </w:rPr>
        <w:t>投标人应提交招标文件要求的证明文件，证明其投标内容符合招标文件规定</w:t>
      </w:r>
      <w:r>
        <w:rPr>
          <w:rFonts w:hint="eastAsia" w:ascii="宋体" w:hAnsi="宋体" w:eastAsia="宋体" w:cs="宋体"/>
          <w:color w:val="auto"/>
          <w:kern w:val="2"/>
          <w:sz w:val="24"/>
          <w:szCs w:val="24"/>
          <w:highlight w:val="none"/>
          <w:lang w:eastAsia="zh-CN"/>
        </w:rPr>
        <w:t>，</w:t>
      </w:r>
      <w:r>
        <w:rPr>
          <w:rFonts w:hint="eastAsia" w:ascii="宋体" w:hAnsi="宋体" w:eastAsia="宋体" w:cs="宋体"/>
          <w:color w:val="auto"/>
          <w:kern w:val="2"/>
          <w:sz w:val="24"/>
          <w:szCs w:val="24"/>
          <w:highlight w:val="none"/>
        </w:rPr>
        <w:t>该证明文件是投标文件的一部分</w:t>
      </w:r>
      <w:r>
        <w:rPr>
          <w:rFonts w:hint="eastAsia" w:ascii="宋体" w:hAnsi="宋体" w:eastAsia="宋体" w:cs="宋体"/>
          <w:color w:val="auto"/>
          <w:kern w:val="2"/>
          <w:sz w:val="24"/>
          <w:szCs w:val="24"/>
          <w:highlight w:val="none"/>
          <w:lang w:eastAsia="zh-CN"/>
        </w:rPr>
        <w:t>。</w:t>
      </w:r>
      <w:r>
        <w:rPr>
          <w:rFonts w:hint="eastAsia" w:ascii="宋体" w:hAnsi="宋体" w:eastAsia="宋体" w:cs="宋体"/>
          <w:color w:val="auto"/>
          <w:kern w:val="2"/>
          <w:sz w:val="24"/>
          <w:szCs w:val="24"/>
          <w:highlight w:val="none"/>
        </w:rPr>
        <w:t>证明文件</w:t>
      </w:r>
      <w:r>
        <w:rPr>
          <w:rFonts w:hint="eastAsia" w:ascii="宋体" w:hAnsi="宋体" w:eastAsia="宋体" w:cs="宋体"/>
          <w:color w:val="auto"/>
          <w:kern w:val="2"/>
          <w:sz w:val="24"/>
          <w:szCs w:val="24"/>
          <w:highlight w:val="none"/>
          <w:lang w:val="en-US" w:eastAsia="zh-CN"/>
        </w:rPr>
        <w:t>形式</w:t>
      </w:r>
      <w:r>
        <w:rPr>
          <w:rFonts w:hint="eastAsia" w:ascii="宋体" w:hAnsi="宋体" w:eastAsia="宋体" w:cs="宋体"/>
          <w:color w:val="auto"/>
          <w:kern w:val="2"/>
          <w:sz w:val="24"/>
          <w:szCs w:val="24"/>
          <w:highlight w:val="none"/>
        </w:rPr>
        <w:t>可以是文字资料、图纸和数据</w:t>
      </w:r>
      <w:bookmarkStart w:id="74" w:name="_Hlk11703583"/>
      <w:r>
        <w:rPr>
          <w:rFonts w:hint="eastAsia" w:ascii="宋体" w:hAnsi="宋体" w:eastAsia="宋体" w:cs="宋体"/>
          <w:color w:val="auto"/>
          <w:kern w:val="2"/>
          <w:sz w:val="24"/>
          <w:szCs w:val="24"/>
          <w:highlight w:val="none"/>
          <w:lang w:val="en-US" w:eastAsia="zh-CN"/>
        </w:rPr>
        <w:t>等。</w:t>
      </w:r>
    </w:p>
    <w:bookmarkEnd w:id="74"/>
    <w:p w14:paraId="52C879D7">
      <w:pPr>
        <w:pStyle w:val="58"/>
        <w:keepNext w:val="0"/>
        <w:keepLines w:val="0"/>
        <w:pageBreakBefore w:val="0"/>
        <w:widowControl w:val="0"/>
        <w:shd w:val="clear" w:color="auto" w:fill="auto"/>
        <w:kinsoku/>
        <w:wordWrap/>
        <w:overflowPunct/>
        <w:topLinePunct w:val="0"/>
        <w:autoSpaceDE/>
        <w:autoSpaceDN/>
        <w:bidi w:val="0"/>
        <w:adjustRightInd/>
        <w:spacing w:line="360" w:lineRule="auto"/>
        <w:ind w:firstLine="480" w:firstLineChars="200"/>
        <w:jc w:val="both"/>
        <w:textAlignment w:val="auto"/>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13.3</w:t>
      </w:r>
      <w:r>
        <w:rPr>
          <w:rFonts w:hint="eastAsia" w:ascii="宋体" w:hAnsi="宋体" w:eastAsia="宋体" w:cs="宋体"/>
          <w:color w:val="auto"/>
          <w:kern w:val="2"/>
          <w:sz w:val="24"/>
          <w:szCs w:val="24"/>
          <w:highlight w:val="none"/>
        </w:rPr>
        <w:t>为保证公平公正，除非</w:t>
      </w:r>
      <w:r>
        <w:rPr>
          <w:rFonts w:hint="eastAsia" w:ascii="宋体" w:hAnsi="宋体" w:eastAsia="宋体" w:cs="宋体"/>
          <w:color w:val="auto"/>
          <w:kern w:val="2"/>
          <w:sz w:val="24"/>
          <w:szCs w:val="24"/>
          <w:highlight w:val="none"/>
          <w:lang w:val="en-US" w:eastAsia="zh-CN"/>
        </w:rPr>
        <w:t>本招标文件</w:t>
      </w:r>
      <w:r>
        <w:rPr>
          <w:rFonts w:hint="eastAsia" w:ascii="宋体" w:hAnsi="宋体" w:eastAsia="宋体" w:cs="宋体"/>
          <w:color w:val="auto"/>
          <w:kern w:val="2"/>
          <w:sz w:val="24"/>
          <w:szCs w:val="24"/>
          <w:highlight w:val="none"/>
        </w:rPr>
        <w:t>另有规定或说明，投标人对同一项目投标时，不得同时提供备选投标方案。</w:t>
      </w:r>
    </w:p>
    <w:p w14:paraId="532D1CA6">
      <w:pPr>
        <w:pStyle w:val="5"/>
        <w:keepNext w:val="0"/>
        <w:keepLines w:val="0"/>
        <w:pageBreakBefore w:val="0"/>
        <w:widowControl w:val="0"/>
        <w:numPr>
          <w:ilvl w:val="0"/>
          <w:numId w:val="0"/>
        </w:numPr>
        <w:kinsoku/>
        <w:wordWrap/>
        <w:overflowPunct/>
        <w:topLinePunct w:val="0"/>
        <w:autoSpaceDE/>
        <w:autoSpaceDN/>
        <w:bidi w:val="0"/>
        <w:adjustRightInd/>
        <w:snapToGrid/>
        <w:spacing w:before="80" w:after="80" w:line="240" w:lineRule="auto"/>
        <w:ind w:left="420" w:leftChars="0" w:hanging="420" w:firstLineChars="0"/>
        <w:jc w:val="both"/>
        <w:textAlignment w:val="auto"/>
        <w:rPr>
          <w:rFonts w:hint="eastAsia" w:ascii="宋体" w:hAnsi="宋体" w:eastAsia="宋体" w:cs="宋体"/>
          <w:b/>
          <w:bCs/>
          <w:color w:val="auto"/>
          <w:kern w:val="2"/>
          <w:sz w:val="24"/>
          <w:szCs w:val="24"/>
          <w:highlight w:val="none"/>
          <w:lang w:val="en-US" w:eastAsia="zh-CN" w:bidi="ar-SA"/>
        </w:rPr>
      </w:pPr>
      <w:bookmarkStart w:id="75" w:name="_Toc348"/>
      <w:r>
        <w:rPr>
          <w:rFonts w:hint="eastAsia" w:ascii="宋体" w:hAnsi="宋体" w:eastAsia="宋体" w:cs="宋体"/>
          <w:b/>
          <w:bCs/>
          <w:color w:val="auto"/>
          <w:kern w:val="2"/>
          <w:sz w:val="24"/>
          <w:szCs w:val="24"/>
          <w:highlight w:val="none"/>
          <w:lang w:val="en-US" w:eastAsia="zh-CN" w:bidi="ar-SA"/>
        </w:rPr>
        <w:t>14.投标报价</w:t>
      </w:r>
      <w:bookmarkEnd w:id="72"/>
      <w:bookmarkEnd w:id="73"/>
      <w:bookmarkEnd w:id="75"/>
    </w:p>
    <w:p w14:paraId="2E808380">
      <w:pPr>
        <w:keepNext w:val="0"/>
        <w:keepLines w:val="0"/>
        <w:pageBreakBefore w:val="0"/>
        <w:widowControl w:val="0"/>
        <w:kinsoku/>
        <w:overflowPunct/>
        <w:topLinePunct w:val="0"/>
        <w:autoSpaceDE/>
        <w:autoSpaceDN/>
        <w:bidi w:val="0"/>
        <w:adjustRightInd/>
        <w:ind w:firstLine="480" w:firstLineChars="200"/>
        <w:jc w:val="both"/>
        <w:textAlignment w:val="auto"/>
        <w:rPr>
          <w:rFonts w:hint="eastAsia" w:ascii="宋体" w:hAnsi="宋体" w:eastAsia="宋体" w:cs="宋体"/>
          <w:snapToGrid w:val="0"/>
          <w:color w:val="auto"/>
          <w:sz w:val="24"/>
          <w:szCs w:val="24"/>
          <w:highlight w:val="none"/>
          <w:lang w:val="zh-CN"/>
        </w:rPr>
      </w:pPr>
      <w:r>
        <w:rPr>
          <w:rFonts w:hint="eastAsia" w:ascii="宋体" w:hAnsi="宋体" w:eastAsia="宋体" w:cs="宋体"/>
          <w:snapToGrid w:val="0"/>
          <w:color w:val="auto"/>
          <w:sz w:val="24"/>
          <w:szCs w:val="24"/>
          <w:highlight w:val="none"/>
        </w:rPr>
        <w:t>1</w:t>
      </w:r>
      <w:r>
        <w:rPr>
          <w:rFonts w:hint="eastAsia" w:ascii="宋体" w:hAnsi="宋体" w:eastAsia="宋体" w:cs="宋体"/>
          <w:snapToGrid w:val="0"/>
          <w:color w:val="auto"/>
          <w:sz w:val="24"/>
          <w:szCs w:val="24"/>
          <w:highlight w:val="none"/>
          <w:lang w:val="en-US" w:eastAsia="zh-CN"/>
        </w:rPr>
        <w:t>4</w:t>
      </w:r>
      <w:r>
        <w:rPr>
          <w:rFonts w:hint="eastAsia" w:ascii="宋体" w:hAnsi="宋体" w:eastAsia="宋体" w:cs="宋体"/>
          <w:snapToGrid w:val="0"/>
          <w:color w:val="auto"/>
          <w:sz w:val="24"/>
          <w:szCs w:val="24"/>
          <w:highlight w:val="none"/>
        </w:rPr>
        <w:t xml:space="preserve">.1 </w:t>
      </w:r>
      <w:r>
        <w:rPr>
          <w:rFonts w:hint="eastAsia" w:ascii="宋体" w:hAnsi="宋体" w:eastAsia="宋体" w:cs="宋体"/>
          <w:snapToGrid w:val="0"/>
          <w:color w:val="auto"/>
          <w:sz w:val="24"/>
          <w:szCs w:val="24"/>
          <w:highlight w:val="none"/>
          <w:lang w:val="zh-CN"/>
        </w:rPr>
        <w:t>投标人的报价均应以人民币进行报价。</w:t>
      </w:r>
    </w:p>
    <w:p w14:paraId="5F3C6A97">
      <w:pPr>
        <w:keepNext w:val="0"/>
        <w:keepLines w:val="0"/>
        <w:pageBreakBefore w:val="0"/>
        <w:widowControl w:val="0"/>
        <w:kinsoku/>
        <w:overflowPunct/>
        <w:topLinePunct w:val="0"/>
        <w:autoSpaceDE/>
        <w:autoSpaceDN/>
        <w:bidi w:val="0"/>
        <w:adjustRightInd/>
        <w:ind w:firstLine="480" w:firstLineChars="200"/>
        <w:jc w:val="both"/>
        <w:textAlignment w:val="auto"/>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1</w:t>
      </w:r>
      <w:r>
        <w:rPr>
          <w:rFonts w:hint="eastAsia" w:ascii="宋体" w:hAnsi="宋体" w:eastAsia="宋体" w:cs="宋体"/>
          <w:snapToGrid w:val="0"/>
          <w:color w:val="auto"/>
          <w:sz w:val="24"/>
          <w:szCs w:val="24"/>
          <w:highlight w:val="none"/>
          <w:lang w:val="en-US" w:eastAsia="zh-CN"/>
        </w:rPr>
        <w:t>4</w:t>
      </w:r>
      <w:r>
        <w:rPr>
          <w:rFonts w:hint="eastAsia" w:ascii="宋体" w:hAnsi="宋体" w:eastAsia="宋体" w:cs="宋体"/>
          <w:snapToGrid w:val="0"/>
          <w:color w:val="auto"/>
          <w:sz w:val="24"/>
          <w:szCs w:val="24"/>
          <w:highlight w:val="none"/>
        </w:rPr>
        <w:t>.2 投标人应按照本招标文件规定的报价方式进行报价，投标报价中不得包含招标文件要求以外的内容，否则，在评标时不予核减。投标报价中也不得遗漏招标文件所要求的内容，否则其</w:t>
      </w:r>
      <w:r>
        <w:rPr>
          <w:rFonts w:hint="eastAsia" w:ascii="宋体" w:hAnsi="宋体" w:eastAsia="宋体" w:cs="宋体"/>
          <w:b/>
          <w:bCs/>
          <w:snapToGrid w:val="0"/>
          <w:color w:val="auto"/>
          <w:sz w:val="24"/>
          <w:szCs w:val="24"/>
          <w:highlight w:val="none"/>
        </w:rPr>
        <w:t>投标无效</w:t>
      </w:r>
      <w:r>
        <w:rPr>
          <w:rFonts w:hint="eastAsia" w:ascii="宋体" w:hAnsi="宋体" w:eastAsia="宋体" w:cs="宋体"/>
          <w:snapToGrid w:val="0"/>
          <w:color w:val="auto"/>
          <w:sz w:val="24"/>
          <w:szCs w:val="24"/>
          <w:highlight w:val="none"/>
        </w:rPr>
        <w:t>。</w:t>
      </w:r>
    </w:p>
    <w:p w14:paraId="2F925230">
      <w:pPr>
        <w:keepNext w:val="0"/>
        <w:keepLines w:val="0"/>
        <w:pageBreakBefore w:val="0"/>
        <w:widowControl w:val="0"/>
        <w:kinsoku/>
        <w:overflowPunct/>
        <w:topLinePunct w:val="0"/>
        <w:autoSpaceDE/>
        <w:autoSpaceDN/>
        <w:bidi w:val="0"/>
        <w:adjustRightInd/>
        <w:ind w:firstLine="480" w:firstLineChars="200"/>
        <w:jc w:val="both"/>
        <w:textAlignment w:val="auto"/>
        <w:rPr>
          <w:rFonts w:hint="eastAsia" w:ascii="宋体" w:hAnsi="宋体" w:eastAsia="宋体" w:cs="宋体"/>
          <w:snapToGrid w:val="0"/>
          <w:color w:val="auto"/>
          <w:sz w:val="24"/>
          <w:szCs w:val="24"/>
          <w:highlight w:val="none"/>
        </w:rPr>
      </w:pPr>
      <w:r>
        <w:rPr>
          <w:rFonts w:hint="eastAsia" w:ascii="宋体" w:hAnsi="宋体" w:eastAsia="宋体" w:cs="宋体"/>
          <w:color w:val="auto"/>
          <w:kern w:val="2"/>
          <w:sz w:val="24"/>
          <w:szCs w:val="24"/>
          <w:highlight w:val="none"/>
          <w:lang w:val="en-US" w:eastAsia="zh-CN"/>
        </w:rPr>
        <w:t>14.3</w:t>
      </w:r>
      <w:r>
        <w:rPr>
          <w:rFonts w:hint="eastAsia" w:ascii="宋体" w:hAnsi="宋体" w:eastAsia="宋体" w:cs="宋体"/>
          <w:snapToGrid w:val="0"/>
          <w:color w:val="auto"/>
          <w:sz w:val="24"/>
          <w:szCs w:val="24"/>
          <w:highlight w:val="none"/>
          <w:lang w:val="en-US" w:eastAsia="zh-CN"/>
        </w:rPr>
        <w:t>投标人的报价应包括为完成本项目所发生的一切费用和税费，</w:t>
      </w:r>
      <w:r>
        <w:rPr>
          <w:rFonts w:hint="eastAsia" w:cs="宋体"/>
          <w:snapToGrid w:val="0"/>
          <w:color w:val="auto"/>
          <w:sz w:val="24"/>
          <w:szCs w:val="24"/>
          <w:highlight w:val="none"/>
          <w:lang w:val="en-US" w:eastAsia="zh-CN"/>
        </w:rPr>
        <w:t>招标人</w:t>
      </w:r>
      <w:r>
        <w:rPr>
          <w:rFonts w:hint="eastAsia" w:ascii="宋体" w:hAnsi="宋体" w:eastAsia="宋体" w:cs="宋体"/>
          <w:snapToGrid w:val="0"/>
          <w:color w:val="auto"/>
          <w:sz w:val="24"/>
          <w:szCs w:val="24"/>
          <w:highlight w:val="none"/>
          <w:lang w:val="en-US" w:eastAsia="zh-CN"/>
        </w:rPr>
        <w:t>将不再支付报价以外的任何费用。只要投报了一个确定数额的总价，无论分项价格是否全部填报了相应的金额或免费字样，该报价应被视为已包含但不限于本次招标全部采购需求所应提供的服务，以及伴随的货物和工程等的费用和所需缴纳的所有价格、税、费。在其他情况下，由于分项报价填报不完整、不清楚或存在其他任何失误，所导致的任何不利后果均应当由投标人自行承担</w:t>
      </w:r>
      <w:r>
        <w:rPr>
          <w:rFonts w:hint="eastAsia" w:ascii="宋体" w:hAnsi="宋体" w:eastAsia="宋体" w:cs="宋体"/>
          <w:snapToGrid w:val="0"/>
          <w:color w:val="auto"/>
          <w:sz w:val="24"/>
          <w:szCs w:val="24"/>
          <w:highlight w:val="none"/>
        </w:rPr>
        <w:t>。</w:t>
      </w:r>
    </w:p>
    <w:p w14:paraId="654D86EB">
      <w:pPr>
        <w:pStyle w:val="1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14.4投标人的报价应包括但不限于按照招标文件要求完成本项目的全部相关费用。</w:t>
      </w:r>
    </w:p>
    <w:p w14:paraId="067222F6">
      <w:pPr>
        <w:ind w:firstLine="480" w:firstLineChars="200"/>
        <w:jc w:val="both"/>
        <w:rPr>
          <w:rFonts w:hint="eastAsia" w:ascii="宋体" w:hAnsi="宋体" w:eastAsia="宋体" w:cs="宋体"/>
          <w:snapToGrid w:val="0"/>
          <w:color w:val="auto"/>
          <w:sz w:val="24"/>
          <w:szCs w:val="24"/>
          <w:highlight w:val="none"/>
          <w:lang w:val="zh-CN"/>
        </w:rPr>
      </w:pPr>
      <w:r>
        <w:rPr>
          <w:rFonts w:hint="eastAsia" w:ascii="宋体" w:hAnsi="宋体" w:eastAsia="宋体" w:cs="宋体"/>
          <w:color w:val="auto"/>
          <w:kern w:val="2"/>
          <w:sz w:val="24"/>
          <w:szCs w:val="24"/>
          <w:highlight w:val="none"/>
          <w:lang w:val="en-US" w:eastAsia="zh-CN" w:bidi="ar-SA"/>
        </w:rPr>
        <w:t>14.5 投标人须严格按照分项报价表规定的内容填写服务单价以及其他事项。</w:t>
      </w:r>
      <w:r>
        <w:rPr>
          <w:rFonts w:hint="eastAsia" w:ascii="宋体" w:hAnsi="宋体" w:eastAsia="宋体" w:cs="宋体"/>
          <w:snapToGrid w:val="0"/>
          <w:color w:val="auto"/>
          <w:sz w:val="24"/>
          <w:szCs w:val="24"/>
          <w:highlight w:val="none"/>
          <w:lang w:val="zh-CN"/>
        </w:rPr>
        <w:t>投标人应根据本招标文件的规定和要求、市场价格水平及其走势、投标人的管理水平、投标人的方案和由这些因素决定的投标人之于本项目的成本水平等提出自己的报价。报价应合理，并包含完成本招标文件采购需求全部内容的所有费用，所有根据本招标文件或其它原因应由投标人支付的税款和其他应交纳的费用都应包括在投标人提交的投标报价中。</w:t>
      </w:r>
    </w:p>
    <w:p w14:paraId="71694139">
      <w:pPr>
        <w:ind w:firstLine="480" w:firstLineChars="2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14.6 投标人在投标文件中注明免费的项目将视为包含在投标报价中。</w:t>
      </w:r>
    </w:p>
    <w:p w14:paraId="13BE52F6">
      <w:pPr>
        <w:pStyle w:val="10"/>
        <w:jc w:val="both"/>
        <w:rPr>
          <w:rFonts w:hint="eastAsia" w:ascii="宋体" w:hAnsi="宋体" w:eastAsia="宋体" w:cs="宋体"/>
          <w:color w:val="auto"/>
          <w:sz w:val="24"/>
          <w:szCs w:val="24"/>
          <w:highlight w:val="none"/>
        </w:rPr>
      </w:pPr>
      <w:r>
        <w:rPr>
          <w:rFonts w:hint="eastAsia" w:ascii="宋体" w:hAnsi="宋体" w:eastAsia="宋体" w:cs="宋体"/>
          <w:color w:val="auto"/>
          <w:kern w:val="2"/>
          <w:sz w:val="24"/>
          <w:szCs w:val="24"/>
          <w:highlight w:val="none"/>
          <w:lang w:val="en-US" w:eastAsia="zh-CN" w:bidi="ar-SA"/>
        </w:rPr>
        <w:t>14.7 每一种采购内容只允许</w:t>
      </w:r>
      <w:r>
        <w:rPr>
          <w:rFonts w:hint="eastAsia" w:ascii="宋体" w:hAnsi="宋体" w:eastAsia="宋体" w:cs="宋体"/>
          <w:snapToGrid w:val="0"/>
          <w:color w:val="auto"/>
          <w:sz w:val="24"/>
          <w:szCs w:val="24"/>
          <w:highlight w:val="none"/>
        </w:rPr>
        <w:t>有一个报价，否则其</w:t>
      </w:r>
      <w:r>
        <w:rPr>
          <w:rFonts w:hint="eastAsia" w:ascii="宋体" w:hAnsi="宋体" w:eastAsia="宋体" w:cs="宋体"/>
          <w:b/>
          <w:bCs/>
          <w:snapToGrid w:val="0"/>
          <w:color w:val="auto"/>
          <w:sz w:val="24"/>
          <w:szCs w:val="24"/>
          <w:highlight w:val="none"/>
        </w:rPr>
        <w:t>投标无效</w:t>
      </w:r>
      <w:r>
        <w:rPr>
          <w:rFonts w:hint="eastAsia" w:ascii="宋体" w:hAnsi="宋体" w:eastAsia="宋体" w:cs="宋体"/>
          <w:snapToGrid w:val="0"/>
          <w:color w:val="auto"/>
          <w:sz w:val="24"/>
          <w:szCs w:val="24"/>
          <w:highlight w:val="none"/>
        </w:rPr>
        <w:t>。</w:t>
      </w:r>
      <w:r>
        <w:rPr>
          <w:rFonts w:hint="eastAsia" w:ascii="宋体" w:hAnsi="宋体" w:eastAsia="宋体" w:cs="宋体"/>
          <w:color w:val="auto"/>
          <w:kern w:val="2"/>
          <w:sz w:val="24"/>
          <w:szCs w:val="24"/>
          <w:highlight w:val="none"/>
        </w:rPr>
        <w:t>除非招标文件另有规定，不接受可选择或可调整的投标方案和报价，任何有选择的或可调整的投标方案和报价将被视为非</w:t>
      </w:r>
      <w:r>
        <w:rPr>
          <w:rFonts w:hint="eastAsia" w:ascii="宋体" w:hAnsi="宋体" w:eastAsia="宋体" w:cs="宋体"/>
          <w:color w:val="auto"/>
          <w:kern w:val="2"/>
          <w:sz w:val="24"/>
          <w:szCs w:val="24"/>
          <w:highlight w:val="none"/>
          <w:lang w:val="en-US" w:eastAsia="zh-CN"/>
        </w:rPr>
        <w:t>实质性</w:t>
      </w:r>
      <w:r>
        <w:rPr>
          <w:rFonts w:hint="eastAsia" w:ascii="宋体" w:hAnsi="宋体" w:eastAsia="宋体" w:cs="宋体"/>
          <w:color w:val="auto"/>
          <w:kern w:val="2"/>
          <w:sz w:val="24"/>
          <w:szCs w:val="24"/>
          <w:highlight w:val="none"/>
        </w:rPr>
        <w:t>响应</w:t>
      </w:r>
      <w:r>
        <w:rPr>
          <w:rFonts w:hint="eastAsia" w:ascii="宋体" w:hAnsi="宋体" w:eastAsia="宋体" w:cs="宋体"/>
          <w:color w:val="auto"/>
          <w:kern w:val="2"/>
          <w:sz w:val="24"/>
          <w:szCs w:val="24"/>
          <w:highlight w:val="none"/>
          <w:lang w:val="en-US" w:eastAsia="zh-CN"/>
        </w:rPr>
        <w:t>招标文件,其</w:t>
      </w:r>
      <w:r>
        <w:rPr>
          <w:rFonts w:hint="eastAsia" w:ascii="宋体" w:hAnsi="宋体" w:eastAsia="宋体" w:cs="宋体"/>
          <w:b/>
          <w:bCs/>
          <w:color w:val="auto"/>
          <w:kern w:val="2"/>
          <w:sz w:val="24"/>
          <w:szCs w:val="24"/>
          <w:highlight w:val="none"/>
          <w:lang w:eastAsia="zh-CN"/>
        </w:rPr>
        <w:t>投标无效</w:t>
      </w:r>
      <w:r>
        <w:rPr>
          <w:rFonts w:hint="eastAsia" w:ascii="宋体" w:hAnsi="宋体" w:eastAsia="宋体" w:cs="宋体"/>
          <w:color w:val="auto"/>
          <w:kern w:val="2"/>
          <w:sz w:val="24"/>
          <w:szCs w:val="24"/>
          <w:highlight w:val="none"/>
        </w:rPr>
        <w:t>。</w:t>
      </w:r>
    </w:p>
    <w:p w14:paraId="4D7B5D52">
      <w:pPr>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 xml:space="preserve">8 </w:t>
      </w:r>
      <w:r>
        <w:rPr>
          <w:rFonts w:hint="eastAsia" w:ascii="宋体" w:hAnsi="宋体" w:eastAsia="宋体" w:cs="宋体"/>
          <w:color w:val="auto"/>
          <w:sz w:val="24"/>
          <w:szCs w:val="24"/>
          <w:highlight w:val="none"/>
        </w:rPr>
        <w:t>投标报价不得超过“</w:t>
      </w:r>
      <w:r>
        <w:rPr>
          <w:rFonts w:hint="eastAsia" w:ascii="宋体" w:hAnsi="宋体" w:eastAsia="宋体" w:cs="宋体"/>
          <w:color w:val="auto"/>
          <w:sz w:val="24"/>
          <w:szCs w:val="24"/>
          <w:highlight w:val="none"/>
          <w:lang w:val="en-US" w:eastAsia="zh-CN"/>
        </w:rPr>
        <w:t>第一章 招标公告</w:t>
      </w:r>
      <w:r>
        <w:rPr>
          <w:rFonts w:hint="eastAsia" w:ascii="宋体" w:hAnsi="宋体" w:eastAsia="宋体" w:cs="宋体"/>
          <w:color w:val="auto"/>
          <w:sz w:val="24"/>
          <w:szCs w:val="24"/>
          <w:highlight w:val="none"/>
        </w:rPr>
        <w:t>”中规定的最高投标限价</w:t>
      </w:r>
      <w:r>
        <w:rPr>
          <w:rFonts w:hint="eastAsia" w:ascii="宋体" w:hAnsi="宋体" w:eastAsia="宋体" w:cs="宋体"/>
          <w:color w:val="auto"/>
          <w:sz w:val="24"/>
          <w:szCs w:val="24"/>
          <w:highlight w:val="none"/>
          <w:lang w:val="en-US" w:eastAsia="zh-CN"/>
        </w:rPr>
        <w:t>或者预算金额</w:t>
      </w:r>
      <w:r>
        <w:rPr>
          <w:rFonts w:hint="eastAsia" w:ascii="宋体" w:hAnsi="宋体" w:eastAsia="宋体" w:cs="宋体"/>
          <w:color w:val="auto"/>
          <w:sz w:val="24"/>
          <w:szCs w:val="24"/>
          <w:highlight w:val="none"/>
        </w:rPr>
        <w:t>，否则评标委员会将</w:t>
      </w:r>
      <w:r>
        <w:rPr>
          <w:rFonts w:hint="eastAsia" w:ascii="宋体" w:hAnsi="宋体" w:eastAsia="宋体" w:cs="宋体"/>
          <w:b w:val="0"/>
          <w:bCs w:val="0"/>
          <w:color w:val="auto"/>
          <w:sz w:val="24"/>
          <w:szCs w:val="24"/>
          <w:highlight w:val="none"/>
          <w:lang w:val="en-US" w:eastAsia="zh-CN"/>
        </w:rPr>
        <w:t>对</w:t>
      </w:r>
      <w:r>
        <w:rPr>
          <w:rFonts w:hint="eastAsia" w:ascii="宋体" w:hAnsi="宋体" w:eastAsia="宋体" w:cs="宋体"/>
          <w:b w:val="0"/>
          <w:bCs w:val="0"/>
          <w:color w:val="auto"/>
          <w:sz w:val="24"/>
          <w:szCs w:val="24"/>
          <w:highlight w:val="none"/>
        </w:rPr>
        <w:t>其</w:t>
      </w:r>
      <w:r>
        <w:rPr>
          <w:rFonts w:hint="eastAsia" w:ascii="宋体" w:hAnsi="宋体" w:eastAsia="宋体" w:cs="宋体"/>
          <w:b w:val="0"/>
          <w:bCs w:val="0"/>
          <w:color w:val="auto"/>
          <w:sz w:val="24"/>
          <w:szCs w:val="24"/>
          <w:highlight w:val="none"/>
          <w:lang w:val="en-US" w:eastAsia="zh-CN"/>
        </w:rPr>
        <w:t>作</w:t>
      </w:r>
      <w:r>
        <w:rPr>
          <w:rFonts w:hint="eastAsia" w:ascii="宋体" w:hAnsi="宋体" w:eastAsia="宋体" w:cs="宋体"/>
          <w:b/>
          <w:bCs/>
          <w:color w:val="auto"/>
          <w:sz w:val="24"/>
          <w:szCs w:val="24"/>
          <w:highlight w:val="none"/>
          <w:lang w:val="en-US" w:eastAsia="zh-CN"/>
        </w:rPr>
        <w:t>无效</w:t>
      </w:r>
      <w:r>
        <w:rPr>
          <w:rFonts w:hint="eastAsia" w:ascii="宋体" w:hAnsi="宋体" w:eastAsia="宋体" w:cs="宋体"/>
          <w:b/>
          <w:bCs/>
          <w:color w:val="auto"/>
          <w:sz w:val="24"/>
          <w:szCs w:val="24"/>
          <w:highlight w:val="none"/>
        </w:rPr>
        <w:t>投标</w:t>
      </w:r>
      <w:r>
        <w:rPr>
          <w:rFonts w:hint="eastAsia" w:ascii="宋体" w:hAnsi="宋体" w:eastAsia="宋体" w:cs="宋体"/>
          <w:b/>
          <w:bCs/>
          <w:color w:val="auto"/>
          <w:sz w:val="24"/>
          <w:szCs w:val="24"/>
          <w:highlight w:val="none"/>
          <w:lang w:val="en-US" w:eastAsia="zh-CN"/>
        </w:rPr>
        <w:t>处理</w:t>
      </w:r>
      <w:r>
        <w:rPr>
          <w:rFonts w:hint="eastAsia" w:ascii="宋体" w:hAnsi="宋体" w:eastAsia="宋体" w:cs="宋体"/>
          <w:color w:val="auto"/>
          <w:sz w:val="24"/>
          <w:szCs w:val="24"/>
          <w:highlight w:val="none"/>
        </w:rPr>
        <w:t>。</w:t>
      </w:r>
    </w:p>
    <w:p w14:paraId="089ADF44">
      <w:pPr>
        <w:pStyle w:val="58"/>
        <w:pageBreakBefore w:val="0"/>
        <w:shd w:val="clear" w:color="auto" w:fill="auto"/>
        <w:kinsoku/>
        <w:wordWrap/>
        <w:overflowPunct/>
        <w:topLinePunct w:val="0"/>
        <w:bidi w:val="0"/>
        <w:spacing w:line="360" w:lineRule="auto"/>
        <w:ind w:firstLine="480" w:firstLineChars="200"/>
        <w:jc w:val="both"/>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1</w:t>
      </w:r>
      <w:r>
        <w:rPr>
          <w:rFonts w:hint="eastAsia" w:ascii="宋体" w:hAnsi="宋体" w:eastAsia="宋体" w:cs="宋体"/>
          <w:color w:val="auto"/>
          <w:kern w:val="2"/>
          <w:sz w:val="24"/>
          <w:szCs w:val="24"/>
          <w:highlight w:val="none"/>
          <w:lang w:val="en-US" w:eastAsia="zh-CN"/>
        </w:rPr>
        <w:t>4</w:t>
      </w:r>
      <w:r>
        <w:rPr>
          <w:rFonts w:hint="eastAsia" w:ascii="宋体" w:hAnsi="宋体" w:eastAsia="宋体" w:cs="宋体"/>
          <w:color w:val="auto"/>
          <w:kern w:val="2"/>
          <w:sz w:val="24"/>
          <w:szCs w:val="24"/>
          <w:highlight w:val="none"/>
        </w:rPr>
        <w:t>.</w:t>
      </w:r>
      <w:r>
        <w:rPr>
          <w:rFonts w:hint="eastAsia" w:ascii="宋体" w:hAnsi="宋体" w:eastAsia="宋体" w:cs="宋体"/>
          <w:color w:val="auto"/>
          <w:kern w:val="2"/>
          <w:sz w:val="24"/>
          <w:szCs w:val="24"/>
          <w:highlight w:val="none"/>
          <w:lang w:val="en-US" w:eastAsia="zh-CN"/>
        </w:rPr>
        <w:t xml:space="preserve">9 </w:t>
      </w:r>
      <w:r>
        <w:rPr>
          <w:rFonts w:hint="eastAsia" w:ascii="宋体" w:hAnsi="宋体" w:eastAsia="宋体" w:cs="宋体"/>
          <w:color w:val="auto"/>
          <w:kern w:val="2"/>
          <w:sz w:val="24"/>
          <w:szCs w:val="24"/>
          <w:highlight w:val="none"/>
        </w:rPr>
        <w:t>投标人对投标报价若有说明应在投标文件中显著处注明。</w:t>
      </w:r>
    </w:p>
    <w:p w14:paraId="24B4E5E9">
      <w:pPr>
        <w:pStyle w:val="58"/>
        <w:pageBreakBefore w:val="0"/>
        <w:shd w:val="clear" w:color="auto" w:fill="auto"/>
        <w:kinsoku/>
        <w:wordWrap/>
        <w:overflowPunct/>
        <w:topLinePunct w:val="0"/>
        <w:bidi w:val="0"/>
        <w:spacing w:line="360" w:lineRule="auto"/>
        <w:ind w:firstLine="480" w:firstLineChars="200"/>
        <w:jc w:val="both"/>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除政策性文件规定以外，投标人所报价格在合同实施期间不因市场变化因素而变动。</w:t>
      </w:r>
    </w:p>
    <w:p w14:paraId="3F1F39D5">
      <w:pPr>
        <w:pStyle w:val="58"/>
        <w:pageBreakBefore w:val="0"/>
        <w:shd w:val="clear" w:color="auto" w:fill="auto"/>
        <w:kinsoku/>
        <w:wordWrap/>
        <w:overflowPunct/>
        <w:topLinePunct w:val="0"/>
        <w:bidi w:val="0"/>
        <w:spacing w:line="360" w:lineRule="auto"/>
        <w:ind w:firstLine="480" w:firstLineChars="200"/>
        <w:jc w:val="both"/>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1</w:t>
      </w:r>
      <w:r>
        <w:rPr>
          <w:rFonts w:hint="eastAsia" w:ascii="宋体" w:hAnsi="宋体" w:eastAsia="宋体" w:cs="宋体"/>
          <w:color w:val="auto"/>
          <w:kern w:val="2"/>
          <w:sz w:val="24"/>
          <w:szCs w:val="24"/>
          <w:highlight w:val="none"/>
          <w:lang w:val="en-US" w:eastAsia="zh-CN"/>
        </w:rPr>
        <w:t>4</w:t>
      </w:r>
      <w:r>
        <w:rPr>
          <w:rFonts w:hint="eastAsia" w:ascii="宋体" w:hAnsi="宋体" w:eastAsia="宋体" w:cs="宋体"/>
          <w:color w:val="auto"/>
          <w:kern w:val="2"/>
          <w:sz w:val="24"/>
          <w:szCs w:val="24"/>
          <w:highlight w:val="none"/>
        </w:rPr>
        <w:t>.</w:t>
      </w:r>
      <w:r>
        <w:rPr>
          <w:rFonts w:hint="eastAsia" w:ascii="宋体" w:hAnsi="宋体" w:eastAsia="宋体" w:cs="宋体"/>
          <w:color w:val="auto"/>
          <w:kern w:val="2"/>
          <w:sz w:val="24"/>
          <w:szCs w:val="24"/>
          <w:highlight w:val="none"/>
          <w:lang w:val="en-US" w:eastAsia="zh-CN"/>
        </w:rPr>
        <w:t xml:space="preserve">10 </w:t>
      </w:r>
      <w:r>
        <w:rPr>
          <w:rFonts w:hint="eastAsia" w:ascii="宋体" w:hAnsi="宋体" w:eastAsia="宋体" w:cs="宋体"/>
          <w:color w:val="auto"/>
          <w:kern w:val="2"/>
          <w:sz w:val="24"/>
          <w:szCs w:val="24"/>
          <w:highlight w:val="none"/>
        </w:rPr>
        <w:t>最低报价不能作为中标的保证。</w:t>
      </w:r>
    </w:p>
    <w:p w14:paraId="00283AC8">
      <w:pPr>
        <w:pStyle w:val="10"/>
        <w:keepNext w:val="0"/>
        <w:keepLines w:val="0"/>
        <w:pageBreakBefore w:val="0"/>
        <w:widowControl w:val="0"/>
        <w:kinsoku/>
        <w:overflowPunct/>
        <w:topLinePunct w:val="0"/>
        <w:autoSpaceDE/>
        <w:autoSpaceDN/>
        <w:bidi w:val="0"/>
        <w:adjustRightInd/>
        <w:jc w:val="both"/>
        <w:textAlignment w:val="auto"/>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14.11</w:t>
      </w:r>
      <w:r>
        <w:rPr>
          <w:rFonts w:hint="eastAsia" w:ascii="宋体" w:hAnsi="宋体" w:cs="宋体"/>
          <w:color w:val="auto"/>
          <w:kern w:val="0"/>
          <w:sz w:val="24"/>
          <w:szCs w:val="24"/>
          <w:highlight w:val="none"/>
          <w:lang w:val="en-US" w:eastAsia="zh-CN" w:bidi="ar"/>
        </w:rPr>
        <w:t>招标人</w:t>
      </w:r>
      <w:r>
        <w:rPr>
          <w:rFonts w:hint="eastAsia" w:ascii="宋体" w:hAnsi="宋体" w:eastAsia="宋体" w:cs="宋体"/>
          <w:color w:val="auto"/>
          <w:kern w:val="0"/>
          <w:sz w:val="24"/>
          <w:szCs w:val="24"/>
          <w:highlight w:val="none"/>
          <w:lang w:val="en-US" w:eastAsia="zh-CN" w:bidi="ar"/>
        </w:rPr>
        <w:t>不得向投标人索要或者接受其给予的赠品、回扣或者与采购无关的其他商品、服务。</w:t>
      </w:r>
    </w:p>
    <w:p w14:paraId="42842F2E">
      <w:pPr>
        <w:pStyle w:val="5"/>
        <w:keepNext w:val="0"/>
        <w:keepLines w:val="0"/>
        <w:pageBreakBefore w:val="0"/>
        <w:widowControl w:val="0"/>
        <w:numPr>
          <w:ilvl w:val="0"/>
          <w:numId w:val="0"/>
        </w:numPr>
        <w:kinsoku/>
        <w:wordWrap/>
        <w:overflowPunct/>
        <w:topLinePunct w:val="0"/>
        <w:autoSpaceDE/>
        <w:autoSpaceDN/>
        <w:bidi w:val="0"/>
        <w:adjustRightInd/>
        <w:snapToGrid/>
        <w:spacing w:before="80" w:after="80" w:line="240" w:lineRule="auto"/>
        <w:ind w:left="420" w:leftChars="0" w:hanging="420" w:firstLineChars="0"/>
        <w:jc w:val="both"/>
        <w:textAlignment w:val="auto"/>
        <w:rPr>
          <w:rFonts w:hint="eastAsia" w:ascii="宋体" w:hAnsi="宋体" w:eastAsia="宋体" w:cs="宋体"/>
          <w:b/>
          <w:bCs/>
          <w:color w:val="auto"/>
          <w:kern w:val="2"/>
          <w:sz w:val="24"/>
          <w:szCs w:val="24"/>
          <w:highlight w:val="none"/>
          <w:lang w:val="en-US" w:eastAsia="zh-CN" w:bidi="ar-SA"/>
        </w:rPr>
      </w:pPr>
      <w:bookmarkStart w:id="76" w:name="_Toc7336"/>
      <w:bookmarkStart w:id="77" w:name="_Toc140132773"/>
      <w:bookmarkStart w:id="78" w:name="_Toc163492840"/>
      <w:r>
        <w:rPr>
          <w:rFonts w:hint="eastAsia" w:ascii="宋体" w:hAnsi="宋体" w:eastAsia="宋体" w:cs="宋体"/>
          <w:b/>
          <w:bCs/>
          <w:color w:val="auto"/>
          <w:kern w:val="2"/>
          <w:sz w:val="24"/>
          <w:szCs w:val="24"/>
          <w:highlight w:val="none"/>
          <w:lang w:val="en-US" w:eastAsia="zh-CN" w:bidi="ar-SA"/>
        </w:rPr>
        <w:t>15.投标有效期</w:t>
      </w:r>
      <w:bookmarkEnd w:id="76"/>
      <w:bookmarkEnd w:id="77"/>
      <w:bookmarkEnd w:id="78"/>
    </w:p>
    <w:p w14:paraId="257216D3">
      <w:pPr>
        <w:keepNext w:val="0"/>
        <w:keepLines w:val="0"/>
        <w:pageBreakBefore w:val="0"/>
        <w:widowControl w:val="0"/>
        <w:kinsoku/>
        <w:overflowPunct/>
        <w:topLinePunct w:val="0"/>
        <w:autoSpaceDE/>
        <w:autoSpaceDN/>
        <w:bidi w:val="0"/>
        <w:adjustRightInd/>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 xml:space="preserve">.1 </w:t>
      </w:r>
      <w:r>
        <w:rPr>
          <w:rFonts w:hint="eastAsia" w:ascii="宋体" w:hAnsi="宋体" w:eastAsia="宋体" w:cs="宋体"/>
          <w:color w:val="auto"/>
          <w:kern w:val="0"/>
          <w:sz w:val="24"/>
          <w:szCs w:val="24"/>
          <w:highlight w:val="none"/>
          <w:lang w:val="en"/>
        </w:rPr>
        <w:t>投标有效期</w:t>
      </w:r>
      <w:r>
        <w:rPr>
          <w:rFonts w:hint="eastAsia" w:ascii="宋体" w:hAnsi="宋体" w:eastAsia="宋体" w:cs="宋体"/>
          <w:color w:val="auto"/>
          <w:sz w:val="24"/>
          <w:szCs w:val="24"/>
          <w:highlight w:val="none"/>
        </w:rPr>
        <w:t>见“</w:t>
      </w:r>
      <w:r>
        <w:rPr>
          <w:rFonts w:hint="eastAsia" w:ascii="宋体" w:hAnsi="宋体" w:eastAsia="宋体" w:cs="宋体"/>
          <w:color w:val="auto"/>
          <w:sz w:val="24"/>
          <w:szCs w:val="24"/>
          <w:highlight w:val="none"/>
          <w:lang w:val="en-US" w:eastAsia="zh-CN"/>
        </w:rPr>
        <w:t xml:space="preserve">第二章 </w:t>
      </w:r>
      <w:r>
        <w:rPr>
          <w:rFonts w:hint="eastAsia" w:ascii="宋体" w:hAnsi="宋体" w:eastAsia="宋体" w:cs="宋体"/>
          <w:color w:val="auto"/>
          <w:sz w:val="24"/>
          <w:szCs w:val="24"/>
          <w:highlight w:val="none"/>
        </w:rPr>
        <w:t>投标人须知前附表”，投标人承诺的投标有效期</w:t>
      </w:r>
      <w:r>
        <w:rPr>
          <w:rFonts w:hint="eastAsia" w:ascii="宋体" w:hAnsi="宋体" w:eastAsia="宋体" w:cs="宋体"/>
          <w:snapToGrid w:val="0"/>
          <w:color w:val="auto"/>
          <w:sz w:val="24"/>
          <w:szCs w:val="24"/>
          <w:highlight w:val="none"/>
          <w:lang w:val="zh-CN" w:eastAsia="zh-CN"/>
        </w:rPr>
        <w:t>少于</w:t>
      </w:r>
      <w:r>
        <w:rPr>
          <w:rFonts w:hint="eastAsia" w:ascii="宋体" w:hAnsi="宋体" w:eastAsia="宋体" w:cs="宋体"/>
          <w:snapToGrid w:val="0"/>
          <w:color w:val="auto"/>
          <w:sz w:val="24"/>
          <w:szCs w:val="24"/>
          <w:highlight w:val="none"/>
          <w:lang w:val="en-US" w:eastAsia="zh-CN"/>
        </w:rPr>
        <w:t>招标</w:t>
      </w:r>
      <w:r>
        <w:rPr>
          <w:rFonts w:hint="eastAsia" w:ascii="宋体" w:hAnsi="宋体" w:eastAsia="宋体" w:cs="宋体"/>
          <w:snapToGrid w:val="0"/>
          <w:color w:val="auto"/>
          <w:sz w:val="24"/>
          <w:szCs w:val="24"/>
          <w:highlight w:val="none"/>
          <w:lang w:val="zh-CN" w:eastAsia="zh-CN"/>
        </w:rPr>
        <w:t>文件规定期限的，其</w:t>
      </w:r>
      <w:r>
        <w:rPr>
          <w:rFonts w:hint="eastAsia" w:ascii="宋体" w:hAnsi="宋体" w:eastAsia="宋体" w:cs="宋体"/>
          <w:b/>
          <w:bCs/>
          <w:snapToGrid w:val="0"/>
          <w:color w:val="auto"/>
          <w:sz w:val="24"/>
          <w:szCs w:val="24"/>
          <w:highlight w:val="none"/>
          <w:lang w:val="en-US" w:eastAsia="zh-CN"/>
        </w:rPr>
        <w:t>投标</w:t>
      </w:r>
      <w:r>
        <w:rPr>
          <w:rFonts w:hint="eastAsia" w:ascii="宋体" w:hAnsi="宋体" w:eastAsia="宋体" w:cs="宋体"/>
          <w:b/>
          <w:bCs/>
          <w:snapToGrid w:val="0"/>
          <w:color w:val="auto"/>
          <w:sz w:val="24"/>
          <w:szCs w:val="24"/>
          <w:highlight w:val="none"/>
          <w:lang w:val="zh-CN" w:eastAsia="zh-CN"/>
        </w:rPr>
        <w:t>无效</w:t>
      </w:r>
      <w:r>
        <w:rPr>
          <w:rFonts w:hint="eastAsia" w:ascii="宋体" w:hAnsi="宋体" w:eastAsia="宋体" w:cs="宋体"/>
          <w:snapToGrid w:val="0"/>
          <w:color w:val="auto"/>
          <w:sz w:val="24"/>
          <w:szCs w:val="24"/>
          <w:highlight w:val="none"/>
          <w:lang w:val="zh-CN" w:eastAsia="zh-CN"/>
        </w:rPr>
        <w:t>。</w:t>
      </w:r>
    </w:p>
    <w:p w14:paraId="7B9A1764">
      <w:pPr>
        <w:keepNext w:val="0"/>
        <w:keepLines w:val="0"/>
        <w:pageBreakBefore w:val="0"/>
        <w:widowControl w:val="0"/>
        <w:kinsoku/>
        <w:overflowPunct/>
        <w:topLinePunct w:val="0"/>
        <w:autoSpaceDE/>
        <w:autoSpaceDN/>
        <w:bidi w:val="0"/>
        <w:adjustRightInd/>
        <w:ind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15.2 投标有效期从提交投标文件的截止之日起算。投标文件中承诺的投标有效期应当不少于招标文件中载明的投标有效期。投标有效期内投标人撤销投标文件的，</w:t>
      </w:r>
      <w:r>
        <w:rPr>
          <w:rFonts w:hint="eastAsia" w:cs="宋体"/>
          <w:color w:val="auto"/>
          <w:sz w:val="24"/>
          <w:szCs w:val="24"/>
          <w:highlight w:val="none"/>
          <w:lang w:val="en-US" w:eastAsia="zh-CN"/>
        </w:rPr>
        <w:t>招标人</w:t>
      </w:r>
      <w:r>
        <w:rPr>
          <w:rFonts w:hint="eastAsia" w:ascii="宋体" w:hAnsi="宋体" w:eastAsia="宋体" w:cs="宋体"/>
          <w:color w:val="auto"/>
          <w:sz w:val="24"/>
          <w:szCs w:val="24"/>
          <w:highlight w:val="none"/>
          <w:lang w:val="en-US" w:eastAsia="zh-CN"/>
        </w:rPr>
        <w:t>或者</w:t>
      </w:r>
      <w:r>
        <w:rPr>
          <w:rFonts w:hint="eastAsia" w:cs="宋体"/>
          <w:color w:val="auto"/>
          <w:sz w:val="24"/>
          <w:szCs w:val="24"/>
          <w:highlight w:val="none"/>
          <w:lang w:val="en-US" w:eastAsia="zh-CN"/>
        </w:rPr>
        <w:t>招标代理机构</w:t>
      </w:r>
      <w:r>
        <w:rPr>
          <w:rFonts w:hint="eastAsia" w:ascii="宋体" w:hAnsi="宋体" w:eastAsia="宋体" w:cs="宋体"/>
          <w:color w:val="auto"/>
          <w:sz w:val="24"/>
          <w:szCs w:val="24"/>
          <w:highlight w:val="none"/>
          <w:lang w:val="en-US" w:eastAsia="zh-CN"/>
        </w:rPr>
        <w:t>可以不退还投标保证金。</w:t>
      </w:r>
    </w:p>
    <w:p w14:paraId="14DE0D37">
      <w:pPr>
        <w:keepNext w:val="0"/>
        <w:keepLines w:val="0"/>
        <w:pageBreakBefore w:val="0"/>
        <w:widowControl w:val="0"/>
        <w:kinsoku/>
        <w:overflowPunct/>
        <w:topLinePunct w:val="0"/>
        <w:autoSpaceDE/>
        <w:autoSpaceDN/>
        <w:bidi w:val="0"/>
        <w:adjustRightInd/>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特殊情况下，在原投标文件有效期截止之前，</w:t>
      </w:r>
      <w:r>
        <w:rPr>
          <w:rFonts w:hint="eastAsia" w:cs="宋体"/>
          <w:color w:val="auto"/>
          <w:sz w:val="24"/>
          <w:szCs w:val="24"/>
          <w:highlight w:val="none"/>
          <w:lang w:eastAsia="zh-CN"/>
        </w:rPr>
        <w:t>招标代理机构</w:t>
      </w:r>
      <w:r>
        <w:rPr>
          <w:rFonts w:hint="eastAsia" w:ascii="宋体" w:hAnsi="宋体" w:eastAsia="宋体" w:cs="宋体"/>
          <w:color w:val="auto"/>
          <w:sz w:val="24"/>
          <w:szCs w:val="24"/>
          <w:highlight w:val="none"/>
        </w:rPr>
        <w:t>或</w:t>
      </w:r>
      <w:r>
        <w:rPr>
          <w:rFonts w:hint="eastAsia" w:cs="宋体"/>
          <w:color w:val="auto"/>
          <w:sz w:val="24"/>
          <w:szCs w:val="24"/>
          <w:highlight w:val="none"/>
          <w:lang w:eastAsia="zh-CN"/>
        </w:rPr>
        <w:t>招标人</w:t>
      </w:r>
      <w:r>
        <w:rPr>
          <w:rFonts w:hint="eastAsia" w:ascii="宋体" w:hAnsi="宋体" w:eastAsia="宋体" w:cs="宋体"/>
          <w:color w:val="auto"/>
          <w:sz w:val="24"/>
          <w:szCs w:val="24"/>
          <w:highlight w:val="none"/>
        </w:rPr>
        <w:t>可要求投标人延长投标有效期。需要延长投标有效期时，</w:t>
      </w:r>
      <w:r>
        <w:rPr>
          <w:rFonts w:hint="eastAsia" w:cs="宋体"/>
          <w:color w:val="auto"/>
          <w:sz w:val="24"/>
          <w:szCs w:val="24"/>
          <w:highlight w:val="none"/>
          <w:lang w:eastAsia="zh-CN"/>
        </w:rPr>
        <w:t>招标代理机构</w:t>
      </w:r>
      <w:r>
        <w:rPr>
          <w:rFonts w:hint="eastAsia" w:ascii="宋体" w:hAnsi="宋体" w:eastAsia="宋体" w:cs="宋体"/>
          <w:color w:val="auto"/>
          <w:sz w:val="24"/>
          <w:szCs w:val="24"/>
          <w:highlight w:val="none"/>
        </w:rPr>
        <w:t>或</w:t>
      </w:r>
      <w:r>
        <w:rPr>
          <w:rFonts w:hint="eastAsia" w:cs="宋体"/>
          <w:color w:val="auto"/>
          <w:sz w:val="24"/>
          <w:szCs w:val="24"/>
          <w:highlight w:val="none"/>
          <w:lang w:eastAsia="zh-CN"/>
        </w:rPr>
        <w:t>招标人</w:t>
      </w:r>
      <w:r>
        <w:rPr>
          <w:rFonts w:hint="eastAsia" w:ascii="宋体" w:hAnsi="宋体" w:eastAsia="宋体" w:cs="宋体"/>
          <w:color w:val="auto"/>
          <w:sz w:val="24"/>
          <w:szCs w:val="24"/>
          <w:highlight w:val="none"/>
        </w:rPr>
        <w:t>将以书面形式通知所有投标人，投标人应以书面形式答复是否同意延长投标有效期。</w:t>
      </w:r>
    </w:p>
    <w:p w14:paraId="553D9754">
      <w:pPr>
        <w:keepNext w:val="0"/>
        <w:keepLines w:val="0"/>
        <w:pageBreakBefore w:val="0"/>
        <w:widowControl w:val="0"/>
        <w:kinsoku/>
        <w:overflowPunct/>
        <w:topLinePunct w:val="0"/>
        <w:autoSpaceDE/>
        <w:autoSpaceDN/>
        <w:bidi w:val="0"/>
        <w:adjustRightInd/>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投标人同意延长的，</w:t>
      </w:r>
      <w:r>
        <w:rPr>
          <w:rFonts w:hint="eastAsia" w:ascii="宋体" w:hAnsi="宋体" w:eastAsia="宋体" w:cs="宋体"/>
          <w:color w:val="auto"/>
          <w:kern w:val="2"/>
          <w:sz w:val="24"/>
          <w:szCs w:val="24"/>
          <w:highlight w:val="none"/>
          <w:lang w:val="en-US" w:eastAsia="zh-CN"/>
        </w:rPr>
        <w:t>其</w:t>
      </w:r>
      <w:r>
        <w:rPr>
          <w:rFonts w:hint="eastAsia" w:ascii="宋体" w:hAnsi="宋体" w:eastAsia="宋体" w:cs="宋体"/>
          <w:color w:val="auto"/>
          <w:kern w:val="2"/>
          <w:sz w:val="24"/>
          <w:szCs w:val="24"/>
          <w:highlight w:val="none"/>
        </w:rPr>
        <w:t>投标保证金的有效期也相应延长</w:t>
      </w:r>
      <w:r>
        <w:rPr>
          <w:rFonts w:hint="eastAsia" w:ascii="宋体" w:hAnsi="宋体" w:eastAsia="宋体" w:cs="宋体"/>
          <w:color w:val="auto"/>
          <w:kern w:val="2"/>
          <w:sz w:val="24"/>
          <w:szCs w:val="24"/>
          <w:highlight w:val="none"/>
          <w:lang w:eastAsia="zh-CN"/>
        </w:rPr>
        <w:t>，</w:t>
      </w:r>
      <w:r>
        <w:rPr>
          <w:rFonts w:hint="eastAsia" w:ascii="宋体" w:hAnsi="宋体" w:eastAsia="宋体" w:cs="宋体"/>
          <w:color w:val="auto"/>
          <w:kern w:val="2"/>
          <w:sz w:val="24"/>
          <w:szCs w:val="24"/>
          <w:highlight w:val="none"/>
          <w:lang w:val="en-US" w:eastAsia="zh-CN"/>
        </w:rPr>
        <w:t>但</w:t>
      </w:r>
      <w:r>
        <w:rPr>
          <w:rFonts w:hint="eastAsia" w:ascii="宋体" w:hAnsi="宋体" w:eastAsia="宋体" w:cs="宋体"/>
          <w:color w:val="auto"/>
          <w:sz w:val="24"/>
          <w:szCs w:val="24"/>
          <w:highlight w:val="none"/>
        </w:rPr>
        <w:t>不得要求或被允许修改或撤销其投标文件；</w:t>
      </w:r>
      <w:r>
        <w:rPr>
          <w:rFonts w:hint="eastAsia" w:ascii="宋体" w:hAnsi="宋体" w:eastAsia="宋体" w:cs="宋体"/>
          <w:color w:val="auto"/>
          <w:sz w:val="24"/>
          <w:szCs w:val="24"/>
          <w:highlight w:val="none"/>
          <w:lang w:val="en-US" w:eastAsia="zh-CN"/>
        </w:rPr>
        <w:t>投标人</w:t>
      </w:r>
      <w:r>
        <w:rPr>
          <w:rFonts w:hint="eastAsia" w:ascii="宋体" w:hAnsi="宋体" w:eastAsia="宋体" w:cs="宋体"/>
          <w:color w:val="auto"/>
          <w:sz w:val="24"/>
          <w:szCs w:val="24"/>
          <w:highlight w:val="none"/>
        </w:rPr>
        <w:t>拒绝延长的，其投标文件在原投标有效期满后将不再有效</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但其提交的投标保证金可予以退还</w:t>
      </w:r>
      <w:r>
        <w:rPr>
          <w:rFonts w:hint="eastAsia" w:ascii="宋体" w:hAnsi="宋体" w:eastAsia="宋体" w:cs="宋体"/>
          <w:color w:val="auto"/>
          <w:sz w:val="24"/>
          <w:szCs w:val="24"/>
          <w:highlight w:val="none"/>
        </w:rPr>
        <w:t>。</w:t>
      </w:r>
    </w:p>
    <w:p w14:paraId="5A8DB7F0">
      <w:pPr>
        <w:pStyle w:val="5"/>
        <w:keepNext w:val="0"/>
        <w:keepLines w:val="0"/>
        <w:pageBreakBefore w:val="0"/>
        <w:widowControl w:val="0"/>
        <w:numPr>
          <w:ilvl w:val="0"/>
          <w:numId w:val="0"/>
        </w:numPr>
        <w:kinsoku/>
        <w:wordWrap/>
        <w:overflowPunct/>
        <w:topLinePunct w:val="0"/>
        <w:autoSpaceDE/>
        <w:autoSpaceDN/>
        <w:bidi w:val="0"/>
        <w:adjustRightInd/>
        <w:snapToGrid/>
        <w:spacing w:before="80" w:after="80" w:line="240" w:lineRule="auto"/>
        <w:ind w:left="420" w:leftChars="0" w:hanging="420" w:firstLineChars="0"/>
        <w:jc w:val="both"/>
        <w:textAlignment w:val="auto"/>
        <w:rPr>
          <w:rFonts w:hint="eastAsia" w:ascii="宋体" w:hAnsi="宋体" w:eastAsia="宋体" w:cs="宋体"/>
          <w:b/>
          <w:bCs/>
          <w:color w:val="auto"/>
          <w:kern w:val="2"/>
          <w:sz w:val="24"/>
          <w:szCs w:val="24"/>
          <w:highlight w:val="none"/>
          <w:lang w:val="en-US" w:eastAsia="zh-CN" w:bidi="ar-SA"/>
        </w:rPr>
      </w:pPr>
      <w:bookmarkStart w:id="79" w:name="_Toc26129"/>
      <w:bookmarkStart w:id="80" w:name="_Toc163492841"/>
      <w:bookmarkStart w:id="81" w:name="_Toc140132774"/>
      <w:r>
        <w:rPr>
          <w:rFonts w:hint="eastAsia" w:ascii="宋体" w:hAnsi="宋体" w:eastAsia="宋体" w:cs="宋体"/>
          <w:b/>
          <w:bCs/>
          <w:color w:val="auto"/>
          <w:kern w:val="2"/>
          <w:sz w:val="24"/>
          <w:szCs w:val="24"/>
          <w:highlight w:val="none"/>
          <w:lang w:val="en-US" w:eastAsia="zh-CN" w:bidi="ar-SA"/>
        </w:rPr>
        <w:t>16.投标文件的编制</w:t>
      </w:r>
      <w:bookmarkEnd w:id="79"/>
      <w:bookmarkEnd w:id="80"/>
      <w:bookmarkEnd w:id="81"/>
    </w:p>
    <w:p w14:paraId="4531320A">
      <w:pPr>
        <w:keepNext w:val="0"/>
        <w:keepLines w:val="0"/>
        <w:pageBreakBefore w:val="0"/>
        <w:widowControl w:val="0"/>
        <w:kinsoku/>
        <w:overflowPunct/>
        <w:topLinePunct w:val="0"/>
        <w:autoSpaceDE/>
        <w:autoSpaceDN/>
        <w:bidi w:val="0"/>
        <w:adjustRightInd/>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.1投标文件应在</w:t>
      </w:r>
      <w:r>
        <w:rPr>
          <w:rFonts w:hint="eastAsia" w:cs="宋体"/>
          <w:color w:val="auto"/>
          <w:sz w:val="24"/>
          <w:szCs w:val="24"/>
          <w:highlight w:val="none"/>
          <w:lang w:eastAsia="zh-CN"/>
        </w:rPr>
        <w:t>“</w:t>
      </w:r>
      <w:r>
        <w:rPr>
          <w:rFonts w:hint="eastAsia" w:cs="仿宋_GB2312"/>
          <w:color w:val="auto"/>
          <w:sz w:val="24"/>
          <w:szCs w:val="24"/>
          <w:highlight w:val="none"/>
          <w:lang w:val="en-US" w:eastAsia="zh-CN"/>
        </w:rPr>
        <w:t>投标</w:t>
      </w:r>
      <w:r>
        <w:rPr>
          <w:rFonts w:hint="eastAsia" w:eastAsia="宋体" w:cs="仿宋_GB2312"/>
          <w:color w:val="auto"/>
          <w:sz w:val="24"/>
          <w:szCs w:val="24"/>
          <w:highlight w:val="none"/>
        </w:rPr>
        <w:t>客户端</w:t>
      </w:r>
      <w:r>
        <w:rPr>
          <w:rFonts w:hint="eastAsia" w:cs="仿宋_GB2312"/>
          <w:color w:val="auto"/>
          <w:sz w:val="24"/>
          <w:szCs w:val="24"/>
          <w:highlight w:val="none"/>
          <w:lang w:eastAsia="zh-CN"/>
        </w:rPr>
        <w:t>”</w:t>
      </w:r>
      <w:r>
        <w:rPr>
          <w:rFonts w:hint="eastAsia" w:ascii="宋体" w:hAnsi="宋体" w:eastAsia="宋体" w:cs="宋体"/>
          <w:color w:val="auto"/>
          <w:sz w:val="24"/>
          <w:szCs w:val="24"/>
          <w:highlight w:val="none"/>
        </w:rPr>
        <w:t>中进行编制，在投标文件中要求加盖印章的，除有特殊说明之外，</w:t>
      </w:r>
      <w:r>
        <w:rPr>
          <w:rFonts w:hint="eastAsia" w:ascii="宋体" w:hAnsi="宋体" w:eastAsia="宋体" w:cs="宋体"/>
          <w:color w:val="auto"/>
          <w:sz w:val="24"/>
          <w:szCs w:val="24"/>
          <w:highlight w:val="none"/>
          <w:lang w:val="en-US" w:eastAsia="zh-CN"/>
        </w:rPr>
        <w:t>可</w:t>
      </w:r>
      <w:r>
        <w:rPr>
          <w:rFonts w:hint="eastAsia" w:ascii="宋体" w:hAnsi="宋体" w:eastAsia="宋体" w:cs="宋体"/>
          <w:color w:val="auto"/>
          <w:sz w:val="24"/>
          <w:szCs w:val="24"/>
          <w:highlight w:val="none"/>
        </w:rPr>
        <w:t>使用电子签章签署。</w:t>
      </w:r>
    </w:p>
    <w:p w14:paraId="45EDC2BC">
      <w:pPr>
        <w:pStyle w:val="50"/>
        <w:keepNext w:val="0"/>
        <w:keepLines w:val="0"/>
        <w:pageBreakBefore w:val="0"/>
        <w:widowControl w:val="0"/>
        <w:kinsoku/>
        <w:overflowPunct/>
        <w:topLinePunct w:val="0"/>
        <w:autoSpaceDE/>
        <w:autoSpaceDN/>
        <w:bidi w:val="0"/>
        <w:adjustRightInd/>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w:t>
      </w:r>
      <w:bookmarkStart w:id="82" w:name="_Hlk143528557"/>
      <w:r>
        <w:rPr>
          <w:rFonts w:hint="eastAsia" w:ascii="宋体" w:hAnsi="宋体" w:eastAsia="宋体" w:cs="宋体"/>
          <w:color w:val="auto"/>
          <w:sz w:val="24"/>
          <w:szCs w:val="24"/>
          <w:highlight w:val="none"/>
        </w:rPr>
        <w:t>2投标人在</w:t>
      </w:r>
      <w:r>
        <w:rPr>
          <w:rFonts w:hint="eastAsia" w:cs="宋体"/>
          <w:color w:val="auto"/>
          <w:sz w:val="24"/>
          <w:szCs w:val="24"/>
          <w:highlight w:val="none"/>
          <w:lang w:eastAsia="zh-CN"/>
        </w:rPr>
        <w:t>“</w:t>
      </w:r>
      <w:r>
        <w:rPr>
          <w:rFonts w:hint="eastAsia" w:cs="仿宋_GB2312"/>
          <w:color w:val="auto"/>
          <w:sz w:val="24"/>
          <w:szCs w:val="24"/>
          <w:highlight w:val="none"/>
          <w:lang w:val="en-US" w:eastAsia="zh-CN"/>
        </w:rPr>
        <w:t>投标</w:t>
      </w:r>
      <w:r>
        <w:rPr>
          <w:rFonts w:hint="eastAsia" w:eastAsia="宋体" w:cs="仿宋_GB2312"/>
          <w:color w:val="auto"/>
          <w:sz w:val="24"/>
          <w:szCs w:val="24"/>
          <w:highlight w:val="none"/>
        </w:rPr>
        <w:t>客户端</w:t>
      </w:r>
      <w:r>
        <w:rPr>
          <w:rFonts w:hint="eastAsia" w:cs="仿宋_GB2312"/>
          <w:color w:val="auto"/>
          <w:sz w:val="24"/>
          <w:szCs w:val="24"/>
          <w:highlight w:val="none"/>
          <w:lang w:eastAsia="zh-CN"/>
        </w:rPr>
        <w:t>”</w:t>
      </w:r>
      <w:r>
        <w:rPr>
          <w:rFonts w:hint="eastAsia" w:ascii="宋体" w:hAnsi="宋体" w:eastAsia="宋体" w:cs="宋体"/>
          <w:color w:val="auto"/>
          <w:sz w:val="24"/>
          <w:szCs w:val="24"/>
          <w:highlight w:val="none"/>
        </w:rPr>
        <w:t>中按照</w:t>
      </w:r>
      <w:r>
        <w:rPr>
          <w:rFonts w:hint="eastAsia" w:cs="宋体"/>
          <w:color w:val="auto"/>
          <w:sz w:val="24"/>
          <w:szCs w:val="24"/>
          <w:highlight w:val="none"/>
          <w:lang w:eastAsia="zh-CN"/>
        </w:rPr>
        <w:t>“</w:t>
      </w:r>
      <w:r>
        <w:rPr>
          <w:rFonts w:hint="eastAsia" w:cs="仿宋_GB2312"/>
          <w:color w:val="auto"/>
          <w:sz w:val="24"/>
          <w:szCs w:val="24"/>
          <w:highlight w:val="none"/>
          <w:lang w:val="en-US" w:eastAsia="zh-CN"/>
        </w:rPr>
        <w:t>投标</w:t>
      </w:r>
      <w:r>
        <w:rPr>
          <w:rFonts w:hint="eastAsia" w:eastAsia="宋体" w:cs="仿宋_GB2312"/>
          <w:color w:val="auto"/>
          <w:sz w:val="24"/>
          <w:szCs w:val="24"/>
          <w:highlight w:val="none"/>
        </w:rPr>
        <w:t>客户端</w:t>
      </w:r>
      <w:r>
        <w:rPr>
          <w:rFonts w:hint="eastAsia" w:cs="仿宋_GB2312"/>
          <w:color w:val="auto"/>
          <w:sz w:val="24"/>
          <w:szCs w:val="24"/>
          <w:highlight w:val="none"/>
          <w:lang w:eastAsia="zh-CN"/>
        </w:rPr>
        <w:t>”</w:t>
      </w:r>
      <w:r>
        <w:rPr>
          <w:rFonts w:hint="eastAsia" w:ascii="宋体" w:hAnsi="宋体" w:eastAsia="宋体" w:cs="宋体"/>
          <w:color w:val="auto"/>
          <w:sz w:val="24"/>
          <w:szCs w:val="24"/>
          <w:highlight w:val="none"/>
        </w:rPr>
        <w:t>中的格式要求填写响应内容后，生成投标文件。投标人须按照招标文件的要求使用电子签章对要求加盖印章的部分逐一进行签章。</w:t>
      </w:r>
      <w:bookmarkEnd w:id="82"/>
    </w:p>
    <w:p w14:paraId="03910839">
      <w:pPr>
        <w:pStyle w:val="50"/>
        <w:keepNext w:val="0"/>
        <w:keepLines w:val="0"/>
        <w:pageBreakBefore w:val="0"/>
        <w:widowControl w:val="0"/>
        <w:kinsoku/>
        <w:overflowPunct/>
        <w:topLinePunct w:val="0"/>
        <w:autoSpaceDE/>
        <w:autoSpaceDN/>
        <w:bidi w:val="0"/>
        <w:adjustRightInd/>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投标人应详细阅读招标文件的全部内容。投标文件须对招标文件中的内容作出实质性和完整的响应，如果投标文件填报的内容不详，或没有提供招标文件中所要求的全部资料及数据，将可能</w:t>
      </w:r>
      <w:r>
        <w:rPr>
          <w:rFonts w:hint="eastAsia" w:ascii="宋体" w:hAnsi="宋体" w:eastAsia="宋体" w:cs="宋体"/>
          <w:b/>
          <w:bCs/>
          <w:color w:val="auto"/>
          <w:sz w:val="24"/>
          <w:szCs w:val="24"/>
          <w:highlight w:val="none"/>
        </w:rPr>
        <w:t>导致</w:t>
      </w:r>
      <w:r>
        <w:rPr>
          <w:rFonts w:hint="eastAsia" w:ascii="宋体" w:hAnsi="宋体" w:eastAsia="宋体" w:cs="宋体"/>
          <w:b/>
          <w:bCs/>
          <w:color w:val="auto"/>
          <w:sz w:val="24"/>
          <w:szCs w:val="24"/>
          <w:highlight w:val="none"/>
          <w:lang w:val="en-US" w:eastAsia="zh-CN"/>
        </w:rPr>
        <w:t>其</w:t>
      </w:r>
      <w:r>
        <w:rPr>
          <w:rFonts w:hint="eastAsia" w:ascii="宋体" w:hAnsi="宋体" w:eastAsia="宋体" w:cs="宋体"/>
          <w:b/>
          <w:bCs/>
          <w:color w:val="auto"/>
          <w:sz w:val="24"/>
          <w:szCs w:val="24"/>
          <w:highlight w:val="none"/>
        </w:rPr>
        <w:t>投标</w:t>
      </w:r>
      <w:r>
        <w:rPr>
          <w:rFonts w:hint="eastAsia" w:ascii="宋体" w:hAnsi="宋体" w:eastAsia="宋体" w:cs="宋体"/>
          <w:b/>
          <w:bCs/>
          <w:color w:val="auto"/>
          <w:sz w:val="24"/>
          <w:szCs w:val="24"/>
          <w:highlight w:val="none"/>
          <w:lang w:val="en-US" w:eastAsia="zh-CN"/>
        </w:rPr>
        <w:t>无效</w:t>
      </w:r>
      <w:r>
        <w:rPr>
          <w:rFonts w:hint="eastAsia" w:ascii="宋体" w:hAnsi="宋体" w:eastAsia="宋体" w:cs="宋体"/>
          <w:color w:val="auto"/>
          <w:sz w:val="24"/>
          <w:szCs w:val="24"/>
          <w:highlight w:val="none"/>
        </w:rPr>
        <w:t>。</w:t>
      </w:r>
    </w:p>
    <w:p w14:paraId="210AC306">
      <w:pPr>
        <w:pStyle w:val="50"/>
        <w:keepNext w:val="0"/>
        <w:keepLines w:val="0"/>
        <w:pageBreakBefore w:val="0"/>
        <w:widowControl w:val="0"/>
        <w:kinsoku/>
        <w:overflowPunct/>
        <w:topLinePunct w:val="0"/>
        <w:autoSpaceDE/>
        <w:autoSpaceDN/>
        <w:bidi w:val="0"/>
        <w:adjustRightInd/>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投标文件须严格按照</w:t>
      </w:r>
      <w:r>
        <w:rPr>
          <w:rFonts w:hint="eastAsia" w:ascii="宋体" w:hAnsi="宋体" w:eastAsia="宋体" w:cs="宋体"/>
          <w:color w:val="auto"/>
          <w:sz w:val="24"/>
          <w:szCs w:val="24"/>
          <w:highlight w:val="none"/>
          <w:lang w:val="en-US" w:eastAsia="zh-CN"/>
        </w:rPr>
        <w:t>本</w:t>
      </w:r>
      <w:r>
        <w:rPr>
          <w:rFonts w:hint="eastAsia" w:ascii="宋体" w:hAnsi="宋体" w:eastAsia="宋体" w:cs="宋体"/>
          <w:color w:val="auto"/>
          <w:sz w:val="24"/>
          <w:szCs w:val="24"/>
          <w:highlight w:val="none"/>
        </w:rPr>
        <w:t>招标文件第</w:t>
      </w:r>
      <w:r>
        <w:rPr>
          <w:rFonts w:hint="eastAsia" w:ascii="宋体" w:hAnsi="宋体" w:eastAsia="宋体" w:cs="宋体"/>
          <w:color w:val="auto"/>
          <w:sz w:val="24"/>
          <w:szCs w:val="24"/>
          <w:highlight w:val="none"/>
          <w:lang w:val="en-US" w:eastAsia="zh-CN"/>
        </w:rPr>
        <w:t>七章</w:t>
      </w:r>
      <w:r>
        <w:rPr>
          <w:rFonts w:hint="eastAsia" w:ascii="宋体" w:hAnsi="宋体" w:eastAsia="宋体" w:cs="宋体"/>
          <w:color w:val="auto"/>
          <w:sz w:val="24"/>
          <w:szCs w:val="24"/>
          <w:highlight w:val="none"/>
        </w:rPr>
        <w:t>规定的格式提交，并按规定的统一格式逐项填写，不准有空项；无相应内容可填的项，应填写“无”、“未测试”、“没有相应指标”等明确的回答文字。由于编排混乱导致投标文件被误读或查找不到，其责任由投标人承担。</w:t>
      </w:r>
    </w:p>
    <w:p w14:paraId="7083D9E5">
      <w:pPr>
        <w:pStyle w:val="50"/>
        <w:keepNext w:val="0"/>
        <w:keepLines w:val="0"/>
        <w:pageBreakBefore w:val="0"/>
        <w:widowControl w:val="0"/>
        <w:kinsoku/>
        <w:overflowPunct/>
        <w:topLinePunct w:val="0"/>
        <w:autoSpaceDE/>
        <w:autoSpaceDN/>
        <w:bidi w:val="0"/>
        <w:adjustRightInd/>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开标一览表为在开标</w:t>
      </w:r>
      <w:r>
        <w:rPr>
          <w:rFonts w:hint="eastAsia" w:ascii="宋体" w:hAnsi="宋体" w:eastAsia="宋体" w:cs="宋体"/>
          <w:color w:val="auto"/>
          <w:sz w:val="24"/>
          <w:szCs w:val="24"/>
          <w:highlight w:val="none"/>
          <w:lang w:val="en-US" w:eastAsia="zh-CN"/>
        </w:rPr>
        <w:t>时</w:t>
      </w:r>
      <w:r>
        <w:rPr>
          <w:rFonts w:hint="eastAsia" w:ascii="宋体" w:hAnsi="宋体" w:eastAsia="宋体" w:cs="宋体"/>
          <w:color w:val="auto"/>
          <w:sz w:val="24"/>
          <w:szCs w:val="24"/>
          <w:highlight w:val="none"/>
        </w:rPr>
        <w:t>唱标的内容，要求按格式统一填写，不得自行增减内容。</w:t>
      </w:r>
    </w:p>
    <w:p w14:paraId="42FFD07D">
      <w:pPr>
        <w:pStyle w:val="50"/>
        <w:keepNext w:val="0"/>
        <w:keepLines w:val="0"/>
        <w:pageBreakBefore w:val="0"/>
        <w:widowControl w:val="0"/>
        <w:kinsoku/>
        <w:overflowPunct/>
        <w:topLinePunct w:val="0"/>
        <w:autoSpaceDE/>
        <w:autoSpaceDN/>
        <w:bidi w:val="0"/>
        <w:adjustRightInd/>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投标人须注意：为合理节约政府采购评审成本，提倡诚实信用的投标行为，特别要求投标人应本着诚信精神，在本次投标文件的偏离表中，均以审慎的态度明确、清楚地披露各项偏离。若投标人对某一事项是否存在或是否属于偏离不能确定，亦必须在偏离表中清楚地表明该偏离事项，并可以注明不能确定的字样。任何情况下，对于投标人没有在偏离表中明确、清楚地披露的事项，包括可能属于被投标人在偏离表中遗漏披露的事项，一旦在评审中被发现存在偏离或被认定为属于偏离，则评标委员会有权视具体情形评审时</w:t>
      </w:r>
      <w:r>
        <w:rPr>
          <w:rFonts w:hint="eastAsia" w:ascii="宋体" w:hAnsi="宋体" w:eastAsia="宋体" w:cs="宋体"/>
          <w:color w:val="auto"/>
          <w:sz w:val="24"/>
          <w:szCs w:val="24"/>
          <w:highlight w:val="none"/>
          <w:lang w:val="en-US" w:eastAsia="zh-CN"/>
        </w:rPr>
        <w:t>按</w:t>
      </w:r>
      <w:r>
        <w:rPr>
          <w:rFonts w:hint="eastAsia" w:ascii="宋体" w:hAnsi="宋体" w:eastAsia="宋体" w:cs="宋体"/>
          <w:b/>
          <w:bCs/>
          <w:color w:val="auto"/>
          <w:sz w:val="24"/>
          <w:szCs w:val="24"/>
          <w:highlight w:val="none"/>
          <w:lang w:val="en-US" w:eastAsia="zh-CN"/>
        </w:rPr>
        <w:t>无效投标</w:t>
      </w:r>
      <w:r>
        <w:rPr>
          <w:rFonts w:hint="eastAsia" w:ascii="宋体" w:hAnsi="宋体" w:eastAsia="宋体" w:cs="宋体"/>
          <w:color w:val="auto"/>
          <w:sz w:val="24"/>
          <w:szCs w:val="24"/>
          <w:highlight w:val="none"/>
        </w:rPr>
        <w:t>处理。</w:t>
      </w:r>
    </w:p>
    <w:p w14:paraId="381CA278">
      <w:pPr>
        <w:pStyle w:val="50"/>
        <w:keepNext w:val="0"/>
        <w:keepLines w:val="0"/>
        <w:pageBreakBefore w:val="0"/>
        <w:widowControl w:val="0"/>
        <w:kinsoku/>
        <w:overflowPunct/>
        <w:topLinePunct w:val="0"/>
        <w:autoSpaceDE/>
        <w:autoSpaceDN/>
        <w:bidi w:val="0"/>
        <w:adjustRightInd/>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投标人必须保证投标文件所提供的全部资料真实可靠，并接受</w:t>
      </w:r>
      <w:r>
        <w:rPr>
          <w:rFonts w:hint="eastAsia" w:cs="宋体"/>
          <w:color w:val="auto"/>
          <w:sz w:val="24"/>
          <w:szCs w:val="24"/>
          <w:highlight w:val="none"/>
          <w:lang w:eastAsia="zh-CN"/>
        </w:rPr>
        <w:t>招标人</w:t>
      </w:r>
      <w:r>
        <w:rPr>
          <w:rFonts w:hint="eastAsia" w:ascii="宋体" w:hAnsi="宋体" w:eastAsia="宋体" w:cs="宋体"/>
          <w:color w:val="auto"/>
          <w:sz w:val="24"/>
          <w:szCs w:val="24"/>
          <w:highlight w:val="none"/>
          <w:lang w:val="en-US" w:eastAsia="zh-CN"/>
        </w:rPr>
        <w:t>、</w:t>
      </w:r>
      <w:r>
        <w:rPr>
          <w:rFonts w:hint="eastAsia" w:cs="宋体"/>
          <w:color w:val="auto"/>
          <w:sz w:val="24"/>
          <w:szCs w:val="24"/>
          <w:highlight w:val="none"/>
          <w:lang w:val="en-US" w:eastAsia="zh-CN"/>
        </w:rPr>
        <w:t>招标代理机构</w:t>
      </w:r>
      <w:r>
        <w:rPr>
          <w:rFonts w:hint="eastAsia" w:ascii="宋体" w:hAnsi="宋体" w:eastAsia="宋体" w:cs="宋体"/>
          <w:color w:val="auto"/>
          <w:sz w:val="24"/>
          <w:szCs w:val="24"/>
          <w:highlight w:val="none"/>
        </w:rPr>
        <w:t>或评标委员会对其中任何资料进一步审查的要求。</w:t>
      </w:r>
    </w:p>
    <w:p w14:paraId="32F50503">
      <w:pPr>
        <w:pStyle w:val="50"/>
        <w:keepNext w:val="0"/>
        <w:keepLines w:val="0"/>
        <w:pageBreakBefore w:val="0"/>
        <w:widowControl w:val="0"/>
        <w:kinsoku/>
        <w:overflowPunct/>
        <w:topLinePunct w:val="0"/>
        <w:autoSpaceDE/>
        <w:autoSpaceDN/>
        <w:bidi w:val="0"/>
        <w:adjustRightInd/>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投标人在投标文件及相关文件的签订、履行、通知等事项的文件中的单位盖章、印章、公章等处均指与当事人全称相一致的标准公章，不得使用其他形式（如带有“专用章”等字样的印章）。不符合本条规定的按</w:t>
      </w:r>
      <w:r>
        <w:rPr>
          <w:rFonts w:hint="eastAsia" w:ascii="宋体" w:hAnsi="宋体" w:eastAsia="宋体" w:cs="宋体"/>
          <w:b/>
          <w:bCs/>
          <w:color w:val="auto"/>
          <w:sz w:val="24"/>
          <w:szCs w:val="24"/>
          <w:highlight w:val="none"/>
        </w:rPr>
        <w:t>无效投标</w:t>
      </w:r>
      <w:r>
        <w:rPr>
          <w:rFonts w:hint="eastAsia" w:ascii="宋体" w:hAnsi="宋体" w:eastAsia="宋体" w:cs="宋体"/>
          <w:color w:val="auto"/>
          <w:sz w:val="24"/>
          <w:szCs w:val="24"/>
          <w:highlight w:val="none"/>
        </w:rPr>
        <w:t>处理。</w:t>
      </w:r>
    </w:p>
    <w:p w14:paraId="5EF3BD6E">
      <w:pPr>
        <w:pStyle w:val="58"/>
        <w:keepNext w:val="0"/>
        <w:keepLines w:val="0"/>
        <w:pageBreakBefore w:val="0"/>
        <w:widowControl w:val="0"/>
        <w:shd w:val="clear" w:color="auto" w:fill="auto"/>
        <w:kinsoku/>
        <w:wordWrap/>
        <w:overflowPunct/>
        <w:topLinePunct w:val="0"/>
        <w:autoSpaceDE/>
        <w:autoSpaceDN/>
        <w:bidi w:val="0"/>
        <w:adjustRightInd/>
        <w:spacing w:line="360" w:lineRule="auto"/>
        <w:ind w:firstLine="480" w:firstLineChars="200"/>
        <w:jc w:val="both"/>
        <w:textAlignment w:val="auto"/>
        <w:rPr>
          <w:rFonts w:hint="eastAsia" w:ascii="宋体" w:hAnsi="宋体" w:eastAsia="宋体" w:cs="宋体"/>
          <w:iCs/>
          <w:color w:val="auto"/>
          <w:kern w:val="2"/>
          <w:sz w:val="24"/>
          <w:szCs w:val="24"/>
          <w:highlight w:val="none"/>
          <w:shd w:val="clear" w:color="auto" w:fill="FFFFFF"/>
          <w:lang w:val="en-US" w:eastAsia="zh-CN" w:bidi="ar-SA"/>
        </w:rPr>
      </w:pPr>
      <w:r>
        <w:rPr>
          <w:rFonts w:hint="eastAsia" w:ascii="宋体" w:hAnsi="宋体" w:eastAsia="宋体" w:cs="宋体"/>
          <w:iCs/>
          <w:color w:val="auto"/>
          <w:kern w:val="2"/>
          <w:sz w:val="24"/>
          <w:szCs w:val="24"/>
          <w:highlight w:val="none"/>
          <w:shd w:val="clear" w:color="auto" w:fill="FFFFFF"/>
          <w:lang w:val="en-US" w:eastAsia="zh-CN" w:bidi="ar-SA"/>
        </w:rPr>
        <w:t>16.9电子投标文件的编制</w:t>
      </w:r>
    </w:p>
    <w:p w14:paraId="726DBFE7">
      <w:pPr>
        <w:pStyle w:val="58"/>
        <w:keepNext w:val="0"/>
        <w:keepLines w:val="0"/>
        <w:pageBreakBefore w:val="0"/>
        <w:widowControl w:val="0"/>
        <w:shd w:val="clear" w:color="auto" w:fill="auto"/>
        <w:kinsoku/>
        <w:wordWrap/>
        <w:overflowPunct/>
        <w:topLinePunct w:val="0"/>
        <w:autoSpaceDE/>
        <w:autoSpaceDN/>
        <w:bidi w:val="0"/>
        <w:adjustRightInd/>
        <w:spacing w:line="360" w:lineRule="auto"/>
        <w:ind w:firstLine="480" w:firstLineChars="200"/>
        <w:jc w:val="both"/>
        <w:textAlignment w:val="auto"/>
        <w:rPr>
          <w:rFonts w:hint="eastAsia" w:ascii="宋体" w:hAnsi="宋体" w:eastAsia="宋体" w:cs="宋体"/>
          <w:iCs/>
          <w:color w:val="auto"/>
          <w:kern w:val="2"/>
          <w:sz w:val="24"/>
          <w:szCs w:val="24"/>
          <w:highlight w:val="none"/>
          <w:shd w:val="clear" w:color="auto" w:fill="FFFFFF"/>
          <w:lang w:val="en-US" w:eastAsia="zh-CN" w:bidi="ar-SA"/>
        </w:rPr>
      </w:pPr>
      <w:r>
        <w:rPr>
          <w:rFonts w:hint="eastAsia" w:ascii="宋体" w:hAnsi="宋体" w:eastAsia="宋体" w:cs="宋体"/>
          <w:iCs/>
          <w:color w:val="auto"/>
          <w:kern w:val="2"/>
          <w:sz w:val="24"/>
          <w:szCs w:val="24"/>
          <w:highlight w:val="none"/>
          <w:shd w:val="clear" w:color="auto" w:fill="FFFFFF"/>
          <w:lang w:val="en-US" w:eastAsia="zh-CN" w:bidi="ar-SA"/>
        </w:rPr>
        <w:t xml:space="preserve">16.9.1电子投标文件需按招标文件要求进行制作编制。投标文件制作时，不同内容按标签提示制作导入，按照招标文件中明确的投标文件目录和格式进行编制，保证目录清晰、内容完整；           </w:t>
      </w:r>
    </w:p>
    <w:p w14:paraId="103368DB">
      <w:pPr>
        <w:pStyle w:val="58"/>
        <w:keepNext w:val="0"/>
        <w:keepLines w:val="0"/>
        <w:pageBreakBefore w:val="0"/>
        <w:widowControl w:val="0"/>
        <w:shd w:val="clear" w:color="auto" w:fill="auto"/>
        <w:kinsoku/>
        <w:wordWrap/>
        <w:overflowPunct/>
        <w:topLinePunct w:val="0"/>
        <w:autoSpaceDE/>
        <w:autoSpaceDN/>
        <w:bidi w:val="0"/>
        <w:adjustRightInd/>
        <w:spacing w:line="360" w:lineRule="auto"/>
        <w:ind w:firstLine="480" w:firstLineChars="200"/>
        <w:jc w:val="both"/>
        <w:textAlignment w:val="auto"/>
        <w:rPr>
          <w:rFonts w:hint="eastAsia" w:ascii="宋体" w:hAnsi="宋体" w:eastAsia="宋体" w:cs="宋体"/>
          <w:iCs/>
          <w:color w:val="auto"/>
          <w:kern w:val="2"/>
          <w:sz w:val="24"/>
          <w:szCs w:val="24"/>
          <w:highlight w:val="none"/>
          <w:shd w:val="clear" w:color="auto" w:fill="FFFFFF"/>
          <w:lang w:val="en-US" w:eastAsia="zh-CN" w:bidi="ar-SA"/>
        </w:rPr>
      </w:pPr>
      <w:r>
        <w:rPr>
          <w:rFonts w:hint="eastAsia" w:ascii="宋体" w:hAnsi="宋体" w:eastAsia="宋体" w:cs="宋体"/>
          <w:iCs/>
          <w:color w:val="auto"/>
          <w:kern w:val="2"/>
          <w:sz w:val="24"/>
          <w:szCs w:val="24"/>
          <w:highlight w:val="none"/>
          <w:shd w:val="clear" w:color="auto" w:fill="FFFFFF"/>
          <w:lang w:val="en-US" w:eastAsia="zh-CN" w:bidi="ar-SA"/>
        </w:rPr>
        <w:t>16.9.2电子招投标文件具有法律效力，与其他形式的招投标文件在内容和格式上等同，若投标文件与招标文件要求不一致，其内容影响中标结果时，责任由投标人自行承担。投标人递交的电子投标文件因投标人自身原因而导致无法导入电子辅助评标系统，该投标文件视为无效投标文件，</w:t>
      </w:r>
      <w:r>
        <w:rPr>
          <w:rFonts w:hint="eastAsia" w:ascii="宋体" w:hAnsi="宋体" w:eastAsia="宋体" w:cs="宋体"/>
          <w:b/>
          <w:bCs/>
          <w:iCs/>
          <w:color w:val="auto"/>
          <w:kern w:val="2"/>
          <w:sz w:val="24"/>
          <w:szCs w:val="24"/>
          <w:highlight w:val="none"/>
          <w:shd w:val="clear" w:color="auto" w:fill="FFFFFF"/>
          <w:lang w:val="en-US" w:eastAsia="zh-CN" w:bidi="ar-SA"/>
        </w:rPr>
        <w:t>其投标无效</w:t>
      </w:r>
      <w:r>
        <w:rPr>
          <w:rFonts w:hint="eastAsia" w:ascii="宋体" w:hAnsi="宋体" w:eastAsia="宋体" w:cs="宋体"/>
          <w:iCs/>
          <w:color w:val="auto"/>
          <w:kern w:val="2"/>
          <w:sz w:val="24"/>
          <w:szCs w:val="24"/>
          <w:highlight w:val="none"/>
          <w:shd w:val="clear" w:color="auto" w:fill="FFFFFF"/>
          <w:lang w:val="en-US" w:eastAsia="zh-CN" w:bidi="ar-SA"/>
        </w:rPr>
        <w:t xml:space="preserve">。 </w:t>
      </w:r>
    </w:p>
    <w:p w14:paraId="23D887F6">
      <w:pPr>
        <w:pStyle w:val="4"/>
        <w:keepNext w:val="0"/>
        <w:keepLines w:val="0"/>
        <w:pageBreakBefore w:val="0"/>
        <w:widowControl w:val="0"/>
        <w:numPr>
          <w:ilvl w:val="0"/>
          <w:numId w:val="0"/>
        </w:numPr>
        <w:kinsoku/>
        <w:wordWrap/>
        <w:overflowPunct/>
        <w:topLinePunct w:val="0"/>
        <w:autoSpaceDE/>
        <w:autoSpaceDN/>
        <w:bidi w:val="0"/>
        <w:adjustRightInd/>
        <w:snapToGrid/>
        <w:spacing w:before="120" w:after="120" w:line="240" w:lineRule="auto"/>
        <w:ind w:left="420" w:leftChars="0" w:hanging="420" w:firstLineChars="0"/>
        <w:jc w:val="both"/>
        <w:textAlignment w:val="auto"/>
        <w:rPr>
          <w:rFonts w:hint="eastAsia" w:ascii="宋体" w:hAnsi="宋体" w:eastAsia="宋体" w:cs="宋体"/>
          <w:b/>
          <w:bCs/>
          <w:color w:val="auto"/>
          <w:kern w:val="2"/>
          <w:sz w:val="24"/>
          <w:szCs w:val="24"/>
          <w:highlight w:val="none"/>
          <w:lang w:val="en-US" w:eastAsia="zh-CN" w:bidi="ar-SA"/>
        </w:rPr>
      </w:pPr>
      <w:bookmarkStart w:id="83" w:name="_Toc25951"/>
      <w:bookmarkStart w:id="84" w:name="_Toc155185873"/>
      <w:bookmarkStart w:id="85" w:name="_Toc163492842"/>
      <w:r>
        <w:rPr>
          <w:rFonts w:hint="eastAsia" w:ascii="宋体" w:hAnsi="宋体" w:eastAsia="宋体" w:cs="宋体"/>
          <w:b/>
          <w:bCs/>
          <w:color w:val="auto"/>
          <w:kern w:val="2"/>
          <w:sz w:val="24"/>
          <w:szCs w:val="24"/>
          <w:highlight w:val="none"/>
          <w:lang w:val="en-US" w:eastAsia="zh-CN" w:bidi="ar-SA"/>
        </w:rPr>
        <w:t>（四）投标</w:t>
      </w:r>
      <w:bookmarkEnd w:id="83"/>
      <w:bookmarkEnd w:id="84"/>
      <w:bookmarkEnd w:id="85"/>
    </w:p>
    <w:p w14:paraId="2BB02C83">
      <w:pPr>
        <w:pStyle w:val="5"/>
        <w:keepNext w:val="0"/>
        <w:keepLines w:val="0"/>
        <w:pageBreakBefore w:val="0"/>
        <w:widowControl w:val="0"/>
        <w:numPr>
          <w:ilvl w:val="0"/>
          <w:numId w:val="0"/>
        </w:numPr>
        <w:kinsoku/>
        <w:wordWrap/>
        <w:overflowPunct/>
        <w:topLinePunct w:val="0"/>
        <w:autoSpaceDE/>
        <w:autoSpaceDN/>
        <w:bidi w:val="0"/>
        <w:adjustRightInd/>
        <w:snapToGrid/>
        <w:spacing w:before="80" w:after="80" w:line="240" w:lineRule="auto"/>
        <w:ind w:left="420" w:leftChars="0" w:hanging="420" w:firstLineChars="0"/>
        <w:jc w:val="both"/>
        <w:textAlignment w:val="auto"/>
        <w:rPr>
          <w:rFonts w:hint="eastAsia" w:ascii="宋体" w:hAnsi="宋体" w:eastAsia="宋体" w:cs="宋体"/>
          <w:b/>
          <w:bCs/>
          <w:color w:val="auto"/>
          <w:kern w:val="2"/>
          <w:sz w:val="24"/>
          <w:szCs w:val="24"/>
          <w:highlight w:val="none"/>
          <w:lang w:val="en-US" w:eastAsia="zh-CN" w:bidi="ar-SA"/>
        </w:rPr>
      </w:pPr>
      <w:bookmarkStart w:id="86" w:name="_Toc3205"/>
      <w:bookmarkStart w:id="87" w:name="_Toc163492843"/>
      <w:r>
        <w:rPr>
          <w:rFonts w:hint="eastAsia" w:ascii="宋体" w:hAnsi="宋体" w:eastAsia="宋体" w:cs="宋体"/>
          <w:b/>
          <w:bCs/>
          <w:color w:val="auto"/>
          <w:kern w:val="2"/>
          <w:sz w:val="24"/>
          <w:szCs w:val="24"/>
          <w:highlight w:val="none"/>
          <w:lang w:val="en-US" w:eastAsia="zh-CN" w:bidi="ar-SA"/>
        </w:rPr>
        <w:t>17.投标保证金</w:t>
      </w:r>
      <w:bookmarkEnd w:id="86"/>
    </w:p>
    <w:p w14:paraId="7AF7032F">
      <w:pPr>
        <w:pStyle w:val="58"/>
        <w:keepNext w:val="0"/>
        <w:keepLines w:val="0"/>
        <w:pageBreakBefore w:val="0"/>
        <w:widowControl w:val="0"/>
        <w:shd w:val="clear" w:color="auto" w:fill="auto"/>
        <w:kinsoku/>
        <w:wordWrap/>
        <w:overflowPunct/>
        <w:topLinePunct w:val="0"/>
        <w:autoSpaceDE/>
        <w:autoSpaceDN/>
        <w:bidi w:val="0"/>
        <w:adjustRightInd/>
        <w:spacing w:line="360" w:lineRule="auto"/>
        <w:ind w:firstLine="480" w:firstLineChars="200"/>
        <w:jc w:val="both"/>
        <w:textAlignment w:val="auto"/>
        <w:rPr>
          <w:rFonts w:hint="eastAsia" w:ascii="宋体" w:hAnsi="宋体" w:eastAsia="宋体" w:cs="宋体"/>
          <w:iCs/>
          <w:color w:val="auto"/>
          <w:kern w:val="2"/>
          <w:sz w:val="24"/>
          <w:szCs w:val="24"/>
          <w:highlight w:val="none"/>
          <w:shd w:val="clear" w:color="auto" w:fill="FFFFFF"/>
          <w:lang w:val="en-US" w:eastAsia="zh-CN" w:bidi="ar-SA"/>
        </w:rPr>
      </w:pPr>
      <w:r>
        <w:rPr>
          <w:rFonts w:hint="eastAsia" w:ascii="宋体" w:hAnsi="宋体" w:eastAsia="宋体" w:cs="宋体"/>
          <w:iCs/>
          <w:color w:val="auto"/>
          <w:kern w:val="2"/>
          <w:sz w:val="24"/>
          <w:szCs w:val="24"/>
          <w:highlight w:val="none"/>
          <w:shd w:val="clear" w:color="auto" w:fill="FFFFFF"/>
          <w:lang w:val="en-US" w:eastAsia="zh-CN" w:bidi="ar-SA"/>
        </w:rPr>
        <w:t>17.1投标人应按照招标文件“第二章 投标人须知前附表”规定的金额及要求提交投标保证金。投标人自愿超额缴纳投标保证金的，投标文件不做无效处理。</w:t>
      </w:r>
    </w:p>
    <w:p w14:paraId="24A12C09">
      <w:pPr>
        <w:keepNext w:val="0"/>
        <w:keepLines w:val="0"/>
        <w:pageBreakBefore w:val="0"/>
        <w:widowControl w:val="0"/>
        <w:suppressLineNumbers w:val="0"/>
        <w:kinsoku/>
        <w:overflowPunct/>
        <w:topLinePunct w:val="0"/>
        <w:autoSpaceDE/>
        <w:autoSpaceDN/>
        <w:bidi w:val="0"/>
        <w:adjustRightInd/>
        <w:ind w:firstLine="480" w:firstLineChars="200"/>
        <w:jc w:val="both"/>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iCs/>
          <w:color w:val="auto"/>
          <w:kern w:val="2"/>
          <w:sz w:val="24"/>
          <w:szCs w:val="24"/>
          <w:highlight w:val="none"/>
          <w:shd w:val="clear" w:color="auto" w:fill="FFFFFF"/>
          <w:lang w:val="en-US" w:eastAsia="zh-CN" w:bidi="ar-SA"/>
        </w:rPr>
        <w:t>17.2提交投标保证金可采用的形式：政府采购法律法规接受的支票、汇票、本票、网上银行支付或者金融机构、担保机构出具的保函等非现金形式。</w:t>
      </w:r>
      <w:r>
        <w:rPr>
          <w:rFonts w:hint="eastAsia" w:ascii="宋体" w:hAnsi="宋体" w:eastAsia="宋体" w:cs="宋体"/>
          <w:color w:val="auto"/>
          <w:kern w:val="2"/>
          <w:sz w:val="24"/>
          <w:szCs w:val="24"/>
          <w:highlight w:val="none"/>
          <w:lang w:val="en-US" w:eastAsia="zh-CN" w:bidi="ar-SA"/>
        </w:rPr>
        <w:t>投标人未按照招标文件要求提交投标保证金的，其</w:t>
      </w:r>
      <w:r>
        <w:rPr>
          <w:rFonts w:hint="eastAsia" w:ascii="宋体" w:hAnsi="宋体" w:eastAsia="宋体" w:cs="宋体"/>
          <w:b/>
          <w:bCs/>
          <w:color w:val="auto"/>
          <w:kern w:val="2"/>
          <w:sz w:val="24"/>
          <w:szCs w:val="24"/>
          <w:highlight w:val="none"/>
          <w:lang w:val="en-US" w:eastAsia="zh-CN" w:bidi="ar-SA"/>
        </w:rPr>
        <w:t>投标无效</w:t>
      </w:r>
      <w:r>
        <w:rPr>
          <w:rFonts w:hint="eastAsia" w:ascii="宋体" w:hAnsi="宋体" w:eastAsia="宋体" w:cs="宋体"/>
          <w:color w:val="auto"/>
          <w:kern w:val="2"/>
          <w:sz w:val="24"/>
          <w:szCs w:val="24"/>
          <w:highlight w:val="none"/>
          <w:lang w:val="en-US" w:eastAsia="zh-CN" w:bidi="ar-SA"/>
        </w:rPr>
        <w:t>。</w:t>
      </w:r>
      <w:r>
        <w:rPr>
          <w:rFonts w:hint="eastAsia" w:ascii="宋体" w:hAnsi="宋体" w:eastAsia="宋体" w:cs="宋体"/>
          <w:color w:val="auto"/>
          <w:sz w:val="24"/>
          <w:szCs w:val="24"/>
          <w:highlight w:val="none"/>
          <w:lang w:val="en-US" w:eastAsia="zh-CN"/>
        </w:rPr>
        <w:t>投标保证金有效期同投标有效期。</w:t>
      </w:r>
    </w:p>
    <w:p w14:paraId="557D1B13">
      <w:pPr>
        <w:pStyle w:val="10"/>
        <w:keepNext w:val="0"/>
        <w:keepLines w:val="0"/>
        <w:pageBreakBefore w:val="0"/>
        <w:widowControl w:val="0"/>
        <w:kinsoku/>
        <w:overflowPunct/>
        <w:topLinePunct w:val="0"/>
        <w:autoSpaceDE/>
        <w:autoSpaceDN/>
        <w:bidi w:val="0"/>
        <w:adjustRightInd/>
        <w:jc w:val="both"/>
        <w:textAlignment w:val="auto"/>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17.3投标保证金到账（保函提交）截止时间同投标截止时间。以支票、汇票、本票、网上银行支付等形式提交投标保证金的，应在投标截止时间前到账；以金融机构、担保机构出具的保函等形式提交投标保证金的，应在投标截止时间前将投标保证金支付原件扫描后作为投标文件的组成部分与投标文件一起上传。由于到账时间晚于投标截止时间，或者票据错误、印鉴不清等原因导致不能到账的，其</w:t>
      </w:r>
      <w:r>
        <w:rPr>
          <w:rFonts w:hint="eastAsia" w:ascii="宋体" w:hAnsi="宋体" w:eastAsia="宋体" w:cs="宋体"/>
          <w:b/>
          <w:bCs/>
          <w:color w:val="auto"/>
          <w:kern w:val="2"/>
          <w:sz w:val="24"/>
          <w:szCs w:val="24"/>
          <w:highlight w:val="none"/>
          <w:lang w:val="en-US" w:eastAsia="zh-CN"/>
        </w:rPr>
        <w:t>投标无效</w:t>
      </w:r>
      <w:r>
        <w:rPr>
          <w:rFonts w:hint="eastAsia" w:ascii="宋体" w:hAnsi="宋体" w:eastAsia="宋体" w:cs="宋体"/>
          <w:color w:val="auto"/>
          <w:kern w:val="2"/>
          <w:sz w:val="24"/>
          <w:szCs w:val="24"/>
          <w:highlight w:val="none"/>
          <w:lang w:val="en-US" w:eastAsia="zh-CN"/>
        </w:rPr>
        <w:t>。</w:t>
      </w:r>
    </w:p>
    <w:p w14:paraId="5F71706D">
      <w:pPr>
        <w:pStyle w:val="58"/>
        <w:keepNext w:val="0"/>
        <w:keepLines w:val="0"/>
        <w:pageBreakBefore w:val="0"/>
        <w:widowControl w:val="0"/>
        <w:shd w:val="clear" w:color="auto" w:fill="auto"/>
        <w:kinsoku/>
        <w:wordWrap/>
        <w:overflowPunct/>
        <w:topLinePunct w:val="0"/>
        <w:autoSpaceDE/>
        <w:autoSpaceDN/>
        <w:bidi w:val="0"/>
        <w:adjustRightInd/>
        <w:spacing w:line="360" w:lineRule="auto"/>
        <w:ind w:firstLine="480" w:firstLineChars="200"/>
        <w:jc w:val="both"/>
        <w:textAlignment w:val="auto"/>
        <w:rPr>
          <w:rFonts w:hint="eastAsia" w:ascii="宋体" w:hAnsi="宋体" w:eastAsia="宋体" w:cs="宋体"/>
          <w:iCs/>
          <w:color w:val="auto"/>
          <w:kern w:val="2"/>
          <w:sz w:val="24"/>
          <w:szCs w:val="24"/>
          <w:highlight w:val="none"/>
          <w:shd w:val="clear" w:color="auto" w:fill="FFFFFF"/>
          <w:lang w:val="en-US" w:eastAsia="zh-CN" w:bidi="ar-SA"/>
        </w:rPr>
      </w:pPr>
      <w:r>
        <w:rPr>
          <w:rFonts w:hint="eastAsia" w:ascii="宋体" w:hAnsi="宋体" w:eastAsia="宋体" w:cs="宋体"/>
          <w:iCs/>
          <w:color w:val="auto"/>
          <w:kern w:val="2"/>
          <w:sz w:val="24"/>
          <w:szCs w:val="24"/>
          <w:highlight w:val="none"/>
          <w:shd w:val="clear" w:color="auto" w:fill="FFFFFF"/>
          <w:lang w:val="en-US" w:eastAsia="zh-CN" w:bidi="ar-SA"/>
        </w:rPr>
        <w:t xml:space="preserve">17.4 投标人为联合体的，可以由联合体中的一方或者多方共同提交投标保证金，其提交的投标保证金对联合体各方均具有约束力。 </w:t>
      </w:r>
    </w:p>
    <w:p w14:paraId="3D3DAA4E">
      <w:pPr>
        <w:pStyle w:val="58"/>
        <w:keepNext w:val="0"/>
        <w:keepLines w:val="0"/>
        <w:pageBreakBefore w:val="0"/>
        <w:widowControl w:val="0"/>
        <w:shd w:val="clear" w:color="auto" w:fill="auto"/>
        <w:kinsoku/>
        <w:wordWrap/>
        <w:overflowPunct/>
        <w:topLinePunct w:val="0"/>
        <w:autoSpaceDE/>
        <w:autoSpaceDN/>
        <w:bidi w:val="0"/>
        <w:adjustRightInd/>
        <w:spacing w:line="360" w:lineRule="auto"/>
        <w:ind w:firstLine="480" w:firstLineChars="200"/>
        <w:jc w:val="both"/>
        <w:textAlignment w:val="auto"/>
        <w:rPr>
          <w:rFonts w:hint="eastAsia" w:ascii="宋体" w:hAnsi="宋体" w:eastAsia="宋体" w:cs="宋体"/>
          <w:iCs/>
          <w:color w:val="auto"/>
          <w:kern w:val="2"/>
          <w:sz w:val="24"/>
          <w:szCs w:val="24"/>
          <w:highlight w:val="none"/>
          <w:shd w:val="clear" w:color="auto" w:fill="FFFFFF"/>
          <w:lang w:val="en-US" w:eastAsia="zh-CN" w:bidi="ar-SA"/>
        </w:rPr>
      </w:pPr>
      <w:r>
        <w:rPr>
          <w:rFonts w:hint="eastAsia" w:ascii="宋体" w:hAnsi="宋体" w:eastAsia="宋体" w:cs="宋体"/>
          <w:iCs/>
          <w:color w:val="auto"/>
          <w:kern w:val="2"/>
          <w:sz w:val="24"/>
          <w:szCs w:val="24"/>
          <w:highlight w:val="none"/>
          <w:shd w:val="clear" w:color="auto" w:fill="FFFFFF"/>
          <w:lang w:val="en-US" w:eastAsia="zh-CN" w:bidi="ar-SA"/>
        </w:rPr>
        <w:t xml:space="preserve"> 17.5招标人或者招标代理机构应当在采购活动结束后及时退还投标人的投标保证金，采用银行保函、担保机构担保函等形式递交的投标保证金，经投标人同意后招标人、招标代理机构可以不再退还，但因投标人自身原因导致无法及时退还的除外。未中标投标人的投标保证金应当自中标通知书发出之日起 5 个工作日内退还，中标投标人的投标保证金应当自采购合同签订之日起 5 个工作日内退还。 </w:t>
      </w:r>
    </w:p>
    <w:p w14:paraId="64BE52C4">
      <w:pPr>
        <w:pStyle w:val="58"/>
        <w:keepNext w:val="0"/>
        <w:keepLines w:val="0"/>
        <w:pageBreakBefore w:val="0"/>
        <w:widowControl w:val="0"/>
        <w:shd w:val="clear" w:color="auto" w:fill="auto"/>
        <w:kinsoku/>
        <w:wordWrap/>
        <w:overflowPunct/>
        <w:topLinePunct w:val="0"/>
        <w:autoSpaceDE/>
        <w:autoSpaceDN/>
        <w:bidi w:val="0"/>
        <w:adjustRightInd/>
        <w:spacing w:line="360" w:lineRule="auto"/>
        <w:ind w:firstLine="480" w:firstLineChars="200"/>
        <w:jc w:val="both"/>
        <w:textAlignment w:val="auto"/>
        <w:rPr>
          <w:rFonts w:hint="eastAsia" w:ascii="宋体" w:hAnsi="宋体" w:eastAsia="宋体" w:cs="宋体"/>
          <w:iCs/>
          <w:color w:val="auto"/>
          <w:kern w:val="2"/>
          <w:sz w:val="24"/>
          <w:szCs w:val="24"/>
          <w:highlight w:val="none"/>
          <w:shd w:val="clear" w:color="auto" w:fill="FFFFFF"/>
          <w:lang w:val="en-US" w:eastAsia="zh-CN" w:bidi="ar-SA"/>
        </w:rPr>
      </w:pPr>
      <w:r>
        <w:rPr>
          <w:rFonts w:hint="eastAsia" w:ascii="宋体" w:hAnsi="宋体" w:eastAsia="宋体" w:cs="宋体"/>
          <w:iCs/>
          <w:color w:val="auto"/>
          <w:kern w:val="2"/>
          <w:sz w:val="24"/>
          <w:szCs w:val="24"/>
          <w:highlight w:val="none"/>
          <w:shd w:val="clear" w:color="auto" w:fill="FFFFFF"/>
          <w:lang w:val="en-US" w:eastAsia="zh-CN" w:bidi="ar-SA"/>
        </w:rPr>
        <w:t xml:space="preserve">17.6 投标人在投标截止时间前撤回已提交的投标文件的，自收到投标人书面撤回通知之日起 5 个工作日内，退还已收取的投标保证金，但因投标人自身原因导致无法及时退还的除外。 </w:t>
      </w:r>
    </w:p>
    <w:p w14:paraId="3CB8B1B7">
      <w:pPr>
        <w:pStyle w:val="58"/>
        <w:keepNext w:val="0"/>
        <w:keepLines w:val="0"/>
        <w:pageBreakBefore w:val="0"/>
        <w:widowControl w:val="0"/>
        <w:shd w:val="clear" w:color="auto" w:fill="auto"/>
        <w:kinsoku/>
        <w:wordWrap/>
        <w:overflowPunct/>
        <w:topLinePunct w:val="0"/>
        <w:autoSpaceDE/>
        <w:autoSpaceDN/>
        <w:bidi w:val="0"/>
        <w:adjustRightInd/>
        <w:spacing w:line="360" w:lineRule="auto"/>
        <w:ind w:firstLine="480" w:firstLineChars="200"/>
        <w:jc w:val="both"/>
        <w:textAlignment w:val="auto"/>
        <w:rPr>
          <w:rFonts w:hint="eastAsia" w:ascii="宋体" w:hAnsi="宋体" w:eastAsia="宋体" w:cs="宋体"/>
          <w:iCs/>
          <w:color w:val="auto"/>
          <w:kern w:val="2"/>
          <w:sz w:val="24"/>
          <w:szCs w:val="24"/>
          <w:highlight w:val="none"/>
          <w:shd w:val="clear" w:color="auto" w:fill="FFFFFF"/>
          <w:lang w:val="en-US" w:eastAsia="zh-CN" w:bidi="ar-SA"/>
        </w:rPr>
      </w:pPr>
      <w:r>
        <w:rPr>
          <w:rFonts w:hint="eastAsia" w:ascii="宋体" w:hAnsi="宋体" w:eastAsia="宋体" w:cs="宋体"/>
          <w:iCs/>
          <w:color w:val="auto"/>
          <w:kern w:val="2"/>
          <w:sz w:val="24"/>
          <w:szCs w:val="24"/>
          <w:highlight w:val="none"/>
          <w:shd w:val="clear" w:color="auto" w:fill="FFFFFF"/>
          <w:lang w:val="en-US" w:eastAsia="zh-CN" w:bidi="ar-SA"/>
        </w:rPr>
        <w:t>17.7 终止招标项目已经收取投标保证金的，自终止采购活动后 5 个工作日内退还已收取的投标保证金及其在银行产生的孳息。</w:t>
      </w:r>
    </w:p>
    <w:p w14:paraId="2D2F9ADC">
      <w:pPr>
        <w:pStyle w:val="58"/>
        <w:keepNext w:val="0"/>
        <w:keepLines w:val="0"/>
        <w:pageBreakBefore w:val="0"/>
        <w:widowControl w:val="0"/>
        <w:shd w:val="clear" w:color="auto" w:fill="auto"/>
        <w:kinsoku/>
        <w:wordWrap/>
        <w:overflowPunct/>
        <w:topLinePunct w:val="0"/>
        <w:autoSpaceDE/>
        <w:autoSpaceDN/>
        <w:bidi w:val="0"/>
        <w:adjustRightInd/>
        <w:spacing w:line="360" w:lineRule="auto"/>
        <w:ind w:firstLine="480" w:firstLineChars="200"/>
        <w:jc w:val="both"/>
        <w:textAlignment w:val="auto"/>
        <w:rPr>
          <w:rFonts w:hint="eastAsia" w:ascii="宋体" w:hAnsi="宋体" w:eastAsia="宋体" w:cs="宋体"/>
          <w:iCs/>
          <w:color w:val="auto"/>
          <w:kern w:val="2"/>
          <w:sz w:val="24"/>
          <w:szCs w:val="24"/>
          <w:highlight w:val="none"/>
          <w:shd w:val="clear" w:color="auto" w:fill="FFFFFF"/>
          <w:lang w:val="en-US" w:eastAsia="zh-CN" w:bidi="ar-SA"/>
        </w:rPr>
      </w:pPr>
      <w:r>
        <w:rPr>
          <w:rFonts w:hint="eastAsia" w:ascii="宋体" w:hAnsi="宋体" w:eastAsia="宋体" w:cs="宋体"/>
          <w:iCs/>
          <w:color w:val="auto"/>
          <w:kern w:val="2"/>
          <w:sz w:val="24"/>
          <w:szCs w:val="24"/>
          <w:highlight w:val="none"/>
          <w:shd w:val="clear" w:color="auto" w:fill="FFFFFF"/>
          <w:lang w:val="en-US" w:eastAsia="zh-CN" w:bidi="ar-SA"/>
        </w:rPr>
        <w:t>17.8 有下列情形之一的，招标人或招标代理机构可以不予退还投标保证金,</w:t>
      </w:r>
      <w:r>
        <w:rPr>
          <w:rFonts w:hint="eastAsia" w:ascii="宋体" w:hAnsi="宋体" w:eastAsia="宋体" w:cs="宋体"/>
          <w:color w:val="auto"/>
          <w:kern w:val="2"/>
          <w:sz w:val="24"/>
          <w:szCs w:val="24"/>
          <w:highlight w:val="none"/>
        </w:rPr>
        <w:t>情节严重的将其列入不良记录名单</w:t>
      </w:r>
      <w:r>
        <w:rPr>
          <w:rFonts w:hint="eastAsia" w:ascii="宋体" w:hAnsi="宋体" w:eastAsia="宋体" w:cs="宋体"/>
          <w:iCs/>
          <w:color w:val="auto"/>
          <w:kern w:val="2"/>
          <w:sz w:val="24"/>
          <w:szCs w:val="24"/>
          <w:highlight w:val="none"/>
          <w:shd w:val="clear" w:color="auto" w:fill="FFFFFF"/>
          <w:lang w:val="en-US" w:eastAsia="zh-CN" w:bidi="ar-SA"/>
        </w:rPr>
        <w:t xml:space="preserve">： </w:t>
      </w:r>
    </w:p>
    <w:p w14:paraId="0E5ED6F9">
      <w:pPr>
        <w:pStyle w:val="58"/>
        <w:keepNext w:val="0"/>
        <w:keepLines w:val="0"/>
        <w:pageBreakBefore w:val="0"/>
        <w:widowControl w:val="0"/>
        <w:shd w:val="clear" w:color="auto" w:fill="auto"/>
        <w:kinsoku/>
        <w:wordWrap/>
        <w:overflowPunct/>
        <w:topLinePunct w:val="0"/>
        <w:autoSpaceDE/>
        <w:autoSpaceDN/>
        <w:bidi w:val="0"/>
        <w:adjustRightInd/>
        <w:spacing w:line="360" w:lineRule="auto"/>
        <w:ind w:firstLine="480" w:firstLineChars="200"/>
        <w:jc w:val="both"/>
        <w:textAlignment w:val="auto"/>
        <w:rPr>
          <w:rFonts w:hint="eastAsia" w:ascii="宋体" w:hAnsi="宋体" w:eastAsia="宋体" w:cs="宋体"/>
          <w:iCs/>
          <w:color w:val="auto"/>
          <w:kern w:val="2"/>
          <w:sz w:val="24"/>
          <w:szCs w:val="24"/>
          <w:highlight w:val="none"/>
          <w:shd w:val="clear" w:color="auto" w:fill="FFFFFF"/>
          <w:lang w:val="en-US" w:eastAsia="zh-CN" w:bidi="ar-SA"/>
        </w:rPr>
      </w:pPr>
      <w:r>
        <w:rPr>
          <w:rFonts w:hint="eastAsia" w:ascii="宋体" w:hAnsi="宋体" w:eastAsia="宋体" w:cs="宋体"/>
          <w:iCs/>
          <w:color w:val="auto"/>
          <w:kern w:val="2"/>
          <w:sz w:val="24"/>
          <w:szCs w:val="24"/>
          <w:highlight w:val="none"/>
          <w:shd w:val="clear" w:color="auto" w:fill="FFFFFF"/>
          <w:lang w:val="en-US" w:eastAsia="zh-CN" w:bidi="ar-SA"/>
        </w:rPr>
        <w:t xml:space="preserve">17.8.1 </w:t>
      </w:r>
      <w:r>
        <w:rPr>
          <w:rFonts w:hint="eastAsia" w:ascii="宋体" w:hAnsi="宋体" w:eastAsia="宋体" w:cs="宋体"/>
          <w:color w:val="auto"/>
          <w:kern w:val="2"/>
          <w:sz w:val="24"/>
          <w:szCs w:val="24"/>
          <w:highlight w:val="none"/>
        </w:rPr>
        <w:t>开标后在投标有效期内，投标人撤</w:t>
      </w:r>
      <w:r>
        <w:rPr>
          <w:rFonts w:hint="eastAsia" w:ascii="宋体" w:hAnsi="宋体" w:eastAsia="宋体" w:cs="宋体"/>
          <w:color w:val="auto"/>
          <w:kern w:val="2"/>
          <w:sz w:val="24"/>
          <w:szCs w:val="24"/>
          <w:highlight w:val="none"/>
          <w:lang w:val="en-US" w:eastAsia="zh-CN"/>
        </w:rPr>
        <w:t>销</w:t>
      </w:r>
      <w:r>
        <w:rPr>
          <w:rFonts w:hint="eastAsia" w:ascii="宋体" w:hAnsi="宋体" w:eastAsia="宋体" w:cs="宋体"/>
          <w:color w:val="auto"/>
          <w:kern w:val="2"/>
          <w:sz w:val="24"/>
          <w:szCs w:val="24"/>
          <w:highlight w:val="none"/>
        </w:rPr>
        <w:t>其投标</w:t>
      </w:r>
      <w:r>
        <w:rPr>
          <w:rFonts w:hint="eastAsia" w:ascii="宋体" w:hAnsi="宋体" w:eastAsia="宋体" w:cs="宋体"/>
          <w:color w:val="auto"/>
          <w:kern w:val="2"/>
          <w:sz w:val="24"/>
          <w:szCs w:val="24"/>
          <w:highlight w:val="none"/>
          <w:lang w:val="en-US" w:eastAsia="zh-CN"/>
        </w:rPr>
        <w:t>的</w:t>
      </w:r>
      <w:r>
        <w:rPr>
          <w:rFonts w:hint="eastAsia" w:ascii="宋体" w:hAnsi="宋体" w:eastAsia="宋体" w:cs="宋体"/>
          <w:color w:val="auto"/>
          <w:kern w:val="2"/>
          <w:sz w:val="24"/>
          <w:szCs w:val="24"/>
          <w:highlight w:val="none"/>
        </w:rPr>
        <w:t>；</w:t>
      </w:r>
      <w:r>
        <w:rPr>
          <w:rFonts w:hint="eastAsia" w:ascii="宋体" w:hAnsi="宋体" w:eastAsia="宋体" w:cs="宋体"/>
          <w:iCs/>
          <w:color w:val="auto"/>
          <w:kern w:val="2"/>
          <w:sz w:val="24"/>
          <w:szCs w:val="24"/>
          <w:highlight w:val="none"/>
          <w:shd w:val="clear" w:color="auto" w:fill="FFFFFF"/>
          <w:lang w:val="en-US" w:eastAsia="zh-CN" w:bidi="ar-SA"/>
        </w:rPr>
        <w:t xml:space="preserve"> </w:t>
      </w:r>
    </w:p>
    <w:p w14:paraId="14669865">
      <w:pPr>
        <w:pStyle w:val="58"/>
        <w:keepNext w:val="0"/>
        <w:keepLines w:val="0"/>
        <w:pageBreakBefore w:val="0"/>
        <w:widowControl w:val="0"/>
        <w:shd w:val="clear" w:color="auto" w:fill="auto"/>
        <w:kinsoku/>
        <w:wordWrap/>
        <w:overflowPunct/>
        <w:topLinePunct w:val="0"/>
        <w:autoSpaceDE/>
        <w:autoSpaceDN/>
        <w:bidi w:val="0"/>
        <w:adjustRightInd/>
        <w:spacing w:line="360" w:lineRule="auto"/>
        <w:ind w:firstLine="480" w:firstLineChars="200"/>
        <w:jc w:val="both"/>
        <w:textAlignment w:val="auto"/>
        <w:rPr>
          <w:rFonts w:hint="eastAsia" w:ascii="宋体" w:hAnsi="宋体" w:eastAsia="宋体" w:cs="宋体"/>
          <w:iCs/>
          <w:color w:val="auto"/>
          <w:kern w:val="2"/>
          <w:sz w:val="24"/>
          <w:szCs w:val="24"/>
          <w:highlight w:val="none"/>
          <w:shd w:val="clear" w:color="auto" w:fill="FFFFFF"/>
          <w:lang w:val="en-US" w:eastAsia="zh-CN" w:bidi="ar-SA"/>
        </w:rPr>
      </w:pPr>
      <w:r>
        <w:rPr>
          <w:rFonts w:hint="eastAsia" w:ascii="宋体" w:hAnsi="宋体" w:eastAsia="宋体" w:cs="宋体"/>
          <w:iCs/>
          <w:color w:val="auto"/>
          <w:kern w:val="2"/>
          <w:sz w:val="24"/>
          <w:szCs w:val="24"/>
          <w:highlight w:val="none"/>
          <w:shd w:val="clear" w:color="auto" w:fill="FFFFFF"/>
          <w:lang w:val="en-US" w:eastAsia="zh-CN" w:bidi="ar-SA"/>
        </w:rPr>
        <w:t xml:space="preserve">17.8.2 </w:t>
      </w:r>
      <w:r>
        <w:rPr>
          <w:rFonts w:hint="eastAsia" w:ascii="宋体" w:hAnsi="宋体" w:eastAsia="宋体" w:cs="宋体"/>
          <w:color w:val="auto"/>
          <w:kern w:val="2"/>
          <w:sz w:val="24"/>
          <w:szCs w:val="24"/>
          <w:highlight w:val="none"/>
        </w:rPr>
        <w:t>中标后无正当理由不与</w:t>
      </w:r>
      <w:r>
        <w:rPr>
          <w:rFonts w:hint="eastAsia" w:ascii="宋体" w:hAnsi="宋体" w:eastAsia="宋体" w:cs="宋体"/>
          <w:color w:val="auto"/>
          <w:kern w:val="2"/>
          <w:sz w:val="24"/>
          <w:szCs w:val="24"/>
          <w:highlight w:val="none"/>
          <w:lang w:eastAsia="zh-CN"/>
        </w:rPr>
        <w:t>招标人</w:t>
      </w:r>
      <w:r>
        <w:rPr>
          <w:rFonts w:hint="eastAsia" w:ascii="宋体" w:hAnsi="宋体" w:eastAsia="宋体" w:cs="宋体"/>
          <w:color w:val="auto"/>
          <w:kern w:val="2"/>
          <w:sz w:val="24"/>
          <w:szCs w:val="24"/>
          <w:highlight w:val="none"/>
        </w:rPr>
        <w:t>签订合同的；</w:t>
      </w:r>
    </w:p>
    <w:p w14:paraId="7D217CA7">
      <w:pPr>
        <w:pStyle w:val="58"/>
        <w:keepNext w:val="0"/>
        <w:keepLines w:val="0"/>
        <w:pageBreakBefore w:val="0"/>
        <w:widowControl w:val="0"/>
        <w:shd w:val="clear" w:color="auto" w:fill="auto"/>
        <w:kinsoku/>
        <w:wordWrap/>
        <w:overflowPunct/>
        <w:topLinePunct w:val="0"/>
        <w:autoSpaceDE/>
        <w:autoSpaceDN/>
        <w:bidi w:val="0"/>
        <w:adjustRightInd/>
        <w:spacing w:line="360" w:lineRule="auto"/>
        <w:ind w:firstLine="480" w:firstLineChars="200"/>
        <w:jc w:val="both"/>
        <w:textAlignment w:val="auto"/>
        <w:rPr>
          <w:rFonts w:hint="eastAsia" w:ascii="宋体" w:hAnsi="宋体" w:eastAsia="宋体" w:cs="宋体"/>
          <w:color w:val="auto"/>
          <w:kern w:val="2"/>
          <w:sz w:val="24"/>
          <w:szCs w:val="24"/>
          <w:highlight w:val="none"/>
        </w:rPr>
      </w:pPr>
      <w:r>
        <w:rPr>
          <w:rFonts w:hint="eastAsia" w:ascii="宋体" w:hAnsi="宋体" w:eastAsia="宋体" w:cs="宋体"/>
          <w:iCs/>
          <w:color w:val="auto"/>
          <w:kern w:val="2"/>
          <w:sz w:val="24"/>
          <w:szCs w:val="24"/>
          <w:highlight w:val="none"/>
          <w:shd w:val="clear" w:color="auto" w:fill="FFFFFF"/>
          <w:lang w:val="en-US" w:eastAsia="zh-CN" w:bidi="ar-SA"/>
        </w:rPr>
        <w:t xml:space="preserve">17.8.3 </w:t>
      </w:r>
      <w:r>
        <w:rPr>
          <w:rFonts w:hint="eastAsia" w:ascii="宋体" w:hAnsi="宋体" w:eastAsia="宋体" w:cs="宋体"/>
          <w:color w:val="auto"/>
          <w:kern w:val="2"/>
          <w:sz w:val="24"/>
          <w:szCs w:val="24"/>
          <w:highlight w:val="none"/>
        </w:rPr>
        <w:t>中标人与</w:t>
      </w:r>
      <w:r>
        <w:rPr>
          <w:rFonts w:hint="eastAsia" w:ascii="宋体" w:hAnsi="宋体" w:eastAsia="宋体" w:cs="宋体"/>
          <w:color w:val="auto"/>
          <w:kern w:val="2"/>
          <w:sz w:val="24"/>
          <w:szCs w:val="24"/>
          <w:highlight w:val="none"/>
          <w:lang w:eastAsia="zh-CN"/>
        </w:rPr>
        <w:t>招标人</w:t>
      </w:r>
      <w:r>
        <w:rPr>
          <w:rFonts w:hint="eastAsia" w:ascii="宋体" w:hAnsi="宋体" w:eastAsia="宋体" w:cs="宋体"/>
          <w:color w:val="auto"/>
          <w:kern w:val="2"/>
          <w:sz w:val="24"/>
          <w:szCs w:val="24"/>
          <w:highlight w:val="none"/>
        </w:rPr>
        <w:t>订立背离合同实质性内容的其他协议；</w:t>
      </w:r>
    </w:p>
    <w:p w14:paraId="332EBB2C">
      <w:pPr>
        <w:pStyle w:val="58"/>
        <w:keepNext w:val="0"/>
        <w:keepLines w:val="0"/>
        <w:pageBreakBefore w:val="0"/>
        <w:widowControl w:val="0"/>
        <w:shd w:val="clear" w:color="auto" w:fill="auto"/>
        <w:kinsoku/>
        <w:wordWrap/>
        <w:overflowPunct/>
        <w:topLinePunct w:val="0"/>
        <w:autoSpaceDE/>
        <w:autoSpaceDN/>
        <w:bidi w:val="0"/>
        <w:adjustRightInd/>
        <w:spacing w:line="360" w:lineRule="auto"/>
        <w:ind w:firstLine="480" w:firstLineChars="200"/>
        <w:jc w:val="both"/>
        <w:textAlignment w:val="auto"/>
        <w:rPr>
          <w:rFonts w:hint="eastAsia" w:ascii="宋体" w:hAnsi="宋体" w:eastAsia="宋体" w:cs="宋体"/>
          <w:color w:val="auto"/>
          <w:kern w:val="2"/>
          <w:sz w:val="24"/>
          <w:szCs w:val="24"/>
          <w:highlight w:val="none"/>
        </w:rPr>
      </w:pPr>
      <w:r>
        <w:rPr>
          <w:rFonts w:hint="eastAsia" w:ascii="宋体" w:hAnsi="宋体" w:eastAsia="宋体" w:cs="宋体"/>
          <w:iCs/>
          <w:color w:val="auto"/>
          <w:kern w:val="2"/>
          <w:sz w:val="24"/>
          <w:szCs w:val="24"/>
          <w:highlight w:val="none"/>
          <w:shd w:val="clear" w:color="auto" w:fill="FFFFFF"/>
          <w:lang w:val="en-US" w:eastAsia="zh-CN" w:bidi="ar-SA"/>
        </w:rPr>
        <w:t>17.8.</w:t>
      </w:r>
      <w:r>
        <w:rPr>
          <w:rFonts w:hint="eastAsia" w:ascii="宋体" w:hAnsi="宋体" w:eastAsia="宋体" w:cs="宋体"/>
          <w:color w:val="auto"/>
          <w:kern w:val="2"/>
          <w:sz w:val="24"/>
          <w:szCs w:val="24"/>
          <w:highlight w:val="none"/>
        </w:rPr>
        <w:t>4</w:t>
      </w:r>
      <w:r>
        <w:rPr>
          <w:rFonts w:hint="eastAsia" w:ascii="宋体" w:hAnsi="宋体" w:eastAsia="宋体" w:cs="宋体"/>
          <w:color w:val="auto"/>
          <w:kern w:val="2"/>
          <w:sz w:val="24"/>
          <w:szCs w:val="24"/>
          <w:highlight w:val="none"/>
          <w:lang w:val="en-US" w:eastAsia="zh-CN"/>
        </w:rPr>
        <w:t xml:space="preserve"> </w:t>
      </w:r>
      <w:r>
        <w:rPr>
          <w:rFonts w:hint="eastAsia" w:ascii="宋体" w:hAnsi="宋体" w:eastAsia="宋体" w:cs="宋体"/>
          <w:color w:val="auto"/>
          <w:kern w:val="2"/>
          <w:sz w:val="24"/>
          <w:szCs w:val="24"/>
          <w:highlight w:val="none"/>
        </w:rPr>
        <w:t>将中标项目转让给他人，或者在投标文件中未说明，且未经</w:t>
      </w:r>
      <w:r>
        <w:rPr>
          <w:rFonts w:hint="eastAsia" w:ascii="宋体" w:hAnsi="宋体" w:eastAsia="宋体" w:cs="宋体"/>
          <w:color w:val="auto"/>
          <w:kern w:val="2"/>
          <w:sz w:val="24"/>
          <w:szCs w:val="24"/>
          <w:highlight w:val="none"/>
          <w:lang w:eastAsia="zh-CN"/>
        </w:rPr>
        <w:t>招标人</w:t>
      </w:r>
      <w:r>
        <w:rPr>
          <w:rFonts w:hint="eastAsia" w:ascii="宋体" w:hAnsi="宋体" w:eastAsia="宋体" w:cs="宋体"/>
          <w:color w:val="auto"/>
          <w:kern w:val="2"/>
          <w:sz w:val="24"/>
          <w:szCs w:val="24"/>
          <w:highlight w:val="none"/>
        </w:rPr>
        <w:t>同意，将中标项目分包给他人的；</w:t>
      </w:r>
    </w:p>
    <w:p w14:paraId="28211E08">
      <w:pPr>
        <w:pStyle w:val="58"/>
        <w:keepNext w:val="0"/>
        <w:keepLines w:val="0"/>
        <w:pageBreakBefore w:val="0"/>
        <w:widowControl w:val="0"/>
        <w:shd w:val="clear" w:color="auto" w:fill="auto"/>
        <w:kinsoku/>
        <w:wordWrap/>
        <w:overflowPunct/>
        <w:topLinePunct w:val="0"/>
        <w:autoSpaceDE/>
        <w:autoSpaceDN/>
        <w:bidi w:val="0"/>
        <w:adjustRightInd/>
        <w:spacing w:line="360" w:lineRule="auto"/>
        <w:ind w:firstLine="480" w:firstLineChars="200"/>
        <w:jc w:val="both"/>
        <w:textAlignment w:val="auto"/>
        <w:rPr>
          <w:rFonts w:hint="eastAsia" w:ascii="宋体" w:hAnsi="宋体" w:eastAsia="宋体" w:cs="宋体"/>
          <w:color w:val="auto"/>
          <w:kern w:val="2"/>
          <w:sz w:val="24"/>
          <w:szCs w:val="24"/>
          <w:highlight w:val="none"/>
        </w:rPr>
      </w:pPr>
      <w:r>
        <w:rPr>
          <w:rFonts w:hint="eastAsia" w:ascii="宋体" w:hAnsi="宋体" w:eastAsia="宋体" w:cs="宋体"/>
          <w:iCs/>
          <w:color w:val="auto"/>
          <w:kern w:val="2"/>
          <w:sz w:val="24"/>
          <w:szCs w:val="24"/>
          <w:highlight w:val="none"/>
          <w:shd w:val="clear" w:color="auto" w:fill="FFFFFF"/>
          <w:lang w:val="en-US" w:eastAsia="zh-CN" w:bidi="ar-SA"/>
        </w:rPr>
        <w:t>17.8.</w:t>
      </w:r>
      <w:r>
        <w:rPr>
          <w:rFonts w:hint="eastAsia" w:ascii="宋体" w:hAnsi="宋体" w:eastAsia="宋体" w:cs="宋体"/>
          <w:color w:val="auto"/>
          <w:kern w:val="2"/>
          <w:sz w:val="24"/>
          <w:szCs w:val="24"/>
          <w:highlight w:val="none"/>
        </w:rPr>
        <w:t>5</w:t>
      </w:r>
      <w:r>
        <w:rPr>
          <w:rFonts w:hint="eastAsia" w:ascii="宋体" w:hAnsi="宋体" w:eastAsia="宋体" w:cs="宋体"/>
          <w:color w:val="auto"/>
          <w:kern w:val="2"/>
          <w:sz w:val="24"/>
          <w:szCs w:val="24"/>
          <w:highlight w:val="none"/>
          <w:lang w:val="en-US" w:eastAsia="zh-CN"/>
        </w:rPr>
        <w:t xml:space="preserve"> </w:t>
      </w:r>
      <w:r>
        <w:rPr>
          <w:rFonts w:hint="eastAsia" w:ascii="宋体" w:hAnsi="宋体" w:eastAsia="宋体" w:cs="宋体"/>
          <w:color w:val="auto"/>
          <w:kern w:val="2"/>
          <w:sz w:val="24"/>
          <w:szCs w:val="24"/>
          <w:highlight w:val="none"/>
        </w:rPr>
        <w:t>存在串通投标行为的；</w:t>
      </w:r>
    </w:p>
    <w:p w14:paraId="105BFE6B">
      <w:pPr>
        <w:pStyle w:val="58"/>
        <w:keepNext w:val="0"/>
        <w:keepLines w:val="0"/>
        <w:pageBreakBefore w:val="0"/>
        <w:widowControl w:val="0"/>
        <w:shd w:val="clear" w:color="auto" w:fill="auto"/>
        <w:kinsoku/>
        <w:wordWrap/>
        <w:overflowPunct/>
        <w:topLinePunct w:val="0"/>
        <w:autoSpaceDE/>
        <w:autoSpaceDN/>
        <w:bidi w:val="0"/>
        <w:adjustRightInd/>
        <w:spacing w:line="360" w:lineRule="auto"/>
        <w:ind w:firstLine="480" w:firstLineChars="200"/>
        <w:jc w:val="both"/>
        <w:textAlignment w:val="auto"/>
        <w:rPr>
          <w:rFonts w:hint="eastAsia" w:ascii="宋体" w:hAnsi="宋体" w:eastAsia="宋体" w:cs="宋体"/>
          <w:color w:val="auto"/>
          <w:kern w:val="2"/>
          <w:sz w:val="24"/>
          <w:szCs w:val="24"/>
          <w:highlight w:val="none"/>
        </w:rPr>
      </w:pPr>
      <w:r>
        <w:rPr>
          <w:rFonts w:hint="eastAsia" w:ascii="宋体" w:hAnsi="宋体" w:eastAsia="宋体" w:cs="宋体"/>
          <w:iCs/>
          <w:color w:val="auto"/>
          <w:kern w:val="2"/>
          <w:sz w:val="24"/>
          <w:szCs w:val="24"/>
          <w:highlight w:val="none"/>
          <w:shd w:val="clear" w:color="auto" w:fill="FFFFFF"/>
          <w:lang w:val="en-US" w:eastAsia="zh-CN" w:bidi="ar-SA"/>
        </w:rPr>
        <w:t>17.8.</w:t>
      </w:r>
      <w:r>
        <w:rPr>
          <w:rFonts w:hint="eastAsia" w:ascii="宋体" w:hAnsi="宋体" w:eastAsia="宋体" w:cs="宋体"/>
          <w:color w:val="auto"/>
          <w:kern w:val="2"/>
          <w:sz w:val="24"/>
          <w:szCs w:val="24"/>
          <w:highlight w:val="none"/>
        </w:rPr>
        <w:t>6</w:t>
      </w:r>
      <w:r>
        <w:rPr>
          <w:rFonts w:hint="eastAsia" w:ascii="宋体" w:hAnsi="宋体" w:eastAsia="宋体" w:cs="宋体"/>
          <w:color w:val="auto"/>
          <w:kern w:val="2"/>
          <w:sz w:val="24"/>
          <w:szCs w:val="24"/>
          <w:highlight w:val="none"/>
          <w:lang w:val="en-US" w:eastAsia="zh-CN"/>
        </w:rPr>
        <w:t xml:space="preserve"> </w:t>
      </w:r>
      <w:r>
        <w:rPr>
          <w:rFonts w:hint="eastAsia" w:ascii="宋体" w:hAnsi="宋体" w:eastAsia="宋体" w:cs="宋体"/>
          <w:color w:val="auto"/>
          <w:kern w:val="2"/>
          <w:sz w:val="24"/>
          <w:szCs w:val="24"/>
          <w:highlight w:val="none"/>
        </w:rPr>
        <w:t>存在弄虚作假或提供虚假材料谋取中标的；</w:t>
      </w:r>
    </w:p>
    <w:p w14:paraId="7229DF0C">
      <w:pPr>
        <w:pStyle w:val="58"/>
        <w:keepNext w:val="0"/>
        <w:keepLines w:val="0"/>
        <w:pageBreakBefore w:val="0"/>
        <w:widowControl w:val="0"/>
        <w:shd w:val="clear" w:color="auto" w:fill="auto"/>
        <w:kinsoku/>
        <w:wordWrap/>
        <w:overflowPunct/>
        <w:topLinePunct w:val="0"/>
        <w:autoSpaceDE/>
        <w:autoSpaceDN/>
        <w:bidi w:val="0"/>
        <w:adjustRightInd/>
        <w:spacing w:line="360" w:lineRule="auto"/>
        <w:ind w:firstLine="480" w:firstLineChars="200"/>
        <w:jc w:val="both"/>
        <w:textAlignment w:val="auto"/>
        <w:rPr>
          <w:rFonts w:hint="eastAsia" w:ascii="宋体" w:hAnsi="宋体" w:eastAsia="宋体" w:cs="宋体"/>
          <w:color w:val="auto"/>
          <w:kern w:val="2"/>
          <w:sz w:val="24"/>
          <w:szCs w:val="24"/>
          <w:highlight w:val="none"/>
        </w:rPr>
      </w:pPr>
      <w:r>
        <w:rPr>
          <w:rFonts w:hint="eastAsia" w:ascii="宋体" w:hAnsi="宋体" w:eastAsia="宋体" w:cs="宋体"/>
          <w:iCs/>
          <w:color w:val="auto"/>
          <w:kern w:val="2"/>
          <w:sz w:val="24"/>
          <w:szCs w:val="24"/>
          <w:highlight w:val="none"/>
          <w:shd w:val="clear" w:color="auto" w:fill="FFFFFF"/>
          <w:lang w:val="en-US" w:eastAsia="zh-CN" w:bidi="ar-SA"/>
        </w:rPr>
        <w:t>17.8.</w:t>
      </w:r>
      <w:r>
        <w:rPr>
          <w:rFonts w:hint="eastAsia" w:ascii="宋体" w:hAnsi="宋体" w:eastAsia="宋体" w:cs="宋体"/>
          <w:color w:val="auto"/>
          <w:kern w:val="2"/>
          <w:sz w:val="24"/>
          <w:szCs w:val="24"/>
          <w:highlight w:val="none"/>
        </w:rPr>
        <w:t>7</w:t>
      </w:r>
      <w:r>
        <w:rPr>
          <w:rFonts w:hint="eastAsia" w:ascii="宋体" w:hAnsi="宋体" w:eastAsia="宋体" w:cs="宋体"/>
          <w:color w:val="auto"/>
          <w:kern w:val="2"/>
          <w:sz w:val="24"/>
          <w:szCs w:val="24"/>
          <w:highlight w:val="none"/>
          <w:lang w:val="en-US" w:eastAsia="zh-CN"/>
        </w:rPr>
        <w:t xml:space="preserve"> </w:t>
      </w:r>
      <w:r>
        <w:rPr>
          <w:rFonts w:hint="eastAsia" w:ascii="宋体" w:hAnsi="宋体" w:eastAsia="宋体" w:cs="宋体"/>
          <w:color w:val="auto"/>
          <w:kern w:val="2"/>
          <w:sz w:val="24"/>
          <w:szCs w:val="24"/>
          <w:highlight w:val="none"/>
        </w:rPr>
        <w:t>投标人其他未按招标文件规定和合同约定履行义务的行为。</w:t>
      </w:r>
    </w:p>
    <w:p w14:paraId="01121B1A">
      <w:pPr>
        <w:pStyle w:val="58"/>
        <w:keepNext w:val="0"/>
        <w:keepLines w:val="0"/>
        <w:pageBreakBefore w:val="0"/>
        <w:widowControl w:val="0"/>
        <w:shd w:val="clear" w:color="auto" w:fill="auto"/>
        <w:kinsoku/>
        <w:wordWrap/>
        <w:overflowPunct/>
        <w:topLinePunct w:val="0"/>
        <w:autoSpaceDE/>
        <w:autoSpaceDN/>
        <w:bidi w:val="0"/>
        <w:adjustRightInd/>
        <w:spacing w:line="360" w:lineRule="auto"/>
        <w:ind w:firstLine="480" w:firstLineChars="200"/>
        <w:jc w:val="both"/>
        <w:textAlignment w:val="auto"/>
        <w:rPr>
          <w:rFonts w:hint="eastAsia" w:ascii="宋体" w:hAnsi="宋体" w:eastAsia="宋体" w:cs="宋体"/>
          <w:iCs/>
          <w:color w:val="auto"/>
          <w:kern w:val="2"/>
          <w:sz w:val="24"/>
          <w:szCs w:val="24"/>
          <w:highlight w:val="none"/>
          <w:shd w:val="clear" w:color="auto" w:fill="FFFFFF"/>
          <w:lang w:val="en-US" w:eastAsia="zh-CN" w:bidi="ar-SA"/>
        </w:rPr>
      </w:pPr>
      <w:r>
        <w:rPr>
          <w:rFonts w:hint="eastAsia" w:ascii="宋体" w:hAnsi="宋体" w:eastAsia="宋体" w:cs="宋体"/>
          <w:iCs/>
          <w:color w:val="auto"/>
          <w:kern w:val="2"/>
          <w:sz w:val="24"/>
          <w:szCs w:val="24"/>
          <w:highlight w:val="none"/>
          <w:shd w:val="clear" w:color="auto" w:fill="FFFFFF"/>
          <w:lang w:val="en-US" w:eastAsia="zh-CN" w:bidi="ar-SA"/>
        </w:rPr>
        <w:t>17.9如开标时投标人对本单位投标保证金缴纳情况有疑义，投标人应在开标结束前向招标人提交书面申请核实保证金缴纳情况。由银行或保险公司核实后出具书面材料予以答复。</w:t>
      </w:r>
    </w:p>
    <w:p w14:paraId="44D75C76">
      <w:pPr>
        <w:pStyle w:val="58"/>
        <w:keepNext w:val="0"/>
        <w:keepLines w:val="0"/>
        <w:pageBreakBefore w:val="0"/>
        <w:widowControl w:val="0"/>
        <w:shd w:val="clear" w:color="auto" w:fill="auto"/>
        <w:kinsoku/>
        <w:wordWrap/>
        <w:overflowPunct/>
        <w:topLinePunct w:val="0"/>
        <w:autoSpaceDE/>
        <w:autoSpaceDN/>
        <w:bidi w:val="0"/>
        <w:adjustRightInd/>
        <w:spacing w:line="360" w:lineRule="auto"/>
        <w:ind w:firstLine="480" w:firstLineChars="200"/>
        <w:jc w:val="both"/>
        <w:textAlignment w:val="auto"/>
        <w:rPr>
          <w:rFonts w:hint="eastAsia" w:ascii="宋体" w:hAnsi="宋体" w:eastAsia="宋体" w:cs="宋体"/>
          <w:iCs/>
          <w:color w:val="auto"/>
          <w:kern w:val="2"/>
          <w:sz w:val="24"/>
          <w:szCs w:val="24"/>
          <w:highlight w:val="none"/>
          <w:shd w:val="clear" w:color="auto" w:fill="FFFFFF"/>
          <w:lang w:val="en-US" w:eastAsia="zh-CN" w:bidi="ar-SA"/>
        </w:rPr>
      </w:pPr>
      <w:r>
        <w:rPr>
          <w:rFonts w:hint="eastAsia" w:ascii="宋体" w:hAnsi="宋体" w:eastAsia="宋体" w:cs="宋体"/>
          <w:iCs/>
          <w:color w:val="auto"/>
          <w:kern w:val="2"/>
          <w:sz w:val="24"/>
          <w:szCs w:val="24"/>
          <w:highlight w:val="none"/>
          <w:shd w:val="clear" w:color="auto" w:fill="FFFFFF"/>
          <w:lang w:val="en-US" w:eastAsia="zh-CN" w:bidi="ar-SA"/>
        </w:rPr>
        <w:t>17.10为支持和促进中小企业发展，进一步发挥政府采购政策功能，鼓励投标供应商使用电子保函代替现金缴纳投标保证金，在线完成保函的申请、审核、开票、出函等环节，投标企业注意区分办理保函类型，并确认投标有效期，如采用政采云电子保函，可登录“新疆政府采购网”—顶部通栏“信用融资”或者“新疆政府采购网”首页“政采贷｜电子保函”快捷模块查看。</w:t>
      </w:r>
    </w:p>
    <w:p w14:paraId="20A807B3">
      <w:pPr>
        <w:pStyle w:val="58"/>
        <w:keepNext w:val="0"/>
        <w:keepLines w:val="0"/>
        <w:pageBreakBefore w:val="0"/>
        <w:widowControl w:val="0"/>
        <w:shd w:val="clear" w:color="auto" w:fill="auto"/>
        <w:kinsoku/>
        <w:wordWrap/>
        <w:overflowPunct/>
        <w:topLinePunct w:val="0"/>
        <w:autoSpaceDE/>
        <w:autoSpaceDN/>
        <w:bidi w:val="0"/>
        <w:adjustRightInd/>
        <w:spacing w:line="360" w:lineRule="auto"/>
        <w:ind w:firstLine="480" w:firstLineChars="200"/>
        <w:jc w:val="both"/>
        <w:textAlignment w:val="auto"/>
        <w:rPr>
          <w:rFonts w:hint="eastAsia" w:ascii="宋体" w:hAnsi="宋体" w:eastAsia="宋体" w:cs="宋体"/>
          <w:iCs/>
          <w:color w:val="auto"/>
          <w:kern w:val="2"/>
          <w:sz w:val="24"/>
          <w:szCs w:val="24"/>
          <w:highlight w:val="none"/>
          <w:shd w:val="clear" w:color="auto" w:fill="FFFFFF"/>
          <w:lang w:val="en-US" w:eastAsia="zh-CN" w:bidi="ar-SA"/>
        </w:rPr>
      </w:pPr>
      <w:r>
        <w:rPr>
          <w:rFonts w:hint="eastAsia" w:ascii="宋体" w:hAnsi="宋体" w:eastAsia="宋体" w:cs="宋体"/>
          <w:iCs/>
          <w:color w:val="auto"/>
          <w:kern w:val="2"/>
          <w:sz w:val="24"/>
          <w:szCs w:val="24"/>
          <w:highlight w:val="none"/>
          <w:shd w:val="clear" w:color="auto" w:fill="FFFFFF"/>
          <w:lang w:val="en-US" w:eastAsia="zh-CN" w:bidi="ar-SA"/>
        </w:rPr>
        <w:t>服务支撑热线：</w:t>
      </w:r>
      <w:r>
        <w:rPr>
          <w:rFonts w:hint="eastAsia" w:ascii="宋体" w:hAnsi="宋体" w:eastAsia="宋体" w:cs="宋体"/>
          <w:b/>
          <w:bCs/>
          <w:iCs/>
          <w:color w:val="auto"/>
          <w:kern w:val="2"/>
          <w:sz w:val="24"/>
          <w:szCs w:val="24"/>
          <w:highlight w:val="none"/>
          <w:shd w:val="clear" w:color="auto" w:fill="FFFFFF"/>
          <w:lang w:val="en-US" w:eastAsia="zh-CN" w:bidi="ar-SA"/>
        </w:rPr>
        <w:t>95763</w:t>
      </w:r>
      <w:r>
        <w:rPr>
          <w:rFonts w:hint="eastAsia" w:ascii="宋体" w:hAnsi="宋体" w:eastAsia="宋体" w:cs="宋体"/>
          <w:iCs/>
          <w:color w:val="auto"/>
          <w:kern w:val="2"/>
          <w:sz w:val="24"/>
          <w:szCs w:val="24"/>
          <w:highlight w:val="none"/>
          <w:shd w:val="clear" w:color="auto" w:fill="FFFFFF"/>
          <w:lang w:val="en-US" w:eastAsia="zh-CN" w:bidi="ar-SA"/>
        </w:rPr>
        <w:t xml:space="preserve">     </w:t>
      </w:r>
    </w:p>
    <w:p w14:paraId="559DD065">
      <w:pPr>
        <w:pStyle w:val="5"/>
        <w:keepNext w:val="0"/>
        <w:keepLines w:val="0"/>
        <w:pageBreakBefore w:val="0"/>
        <w:widowControl w:val="0"/>
        <w:numPr>
          <w:ilvl w:val="0"/>
          <w:numId w:val="0"/>
        </w:numPr>
        <w:kinsoku/>
        <w:wordWrap/>
        <w:overflowPunct/>
        <w:topLinePunct w:val="0"/>
        <w:autoSpaceDE/>
        <w:autoSpaceDN/>
        <w:bidi w:val="0"/>
        <w:adjustRightInd/>
        <w:snapToGrid/>
        <w:spacing w:before="80" w:after="80" w:line="240" w:lineRule="auto"/>
        <w:ind w:left="420" w:leftChars="0" w:hanging="420" w:firstLineChars="0"/>
        <w:jc w:val="both"/>
        <w:textAlignment w:val="auto"/>
        <w:rPr>
          <w:rFonts w:hint="eastAsia" w:ascii="宋体" w:hAnsi="宋体" w:eastAsia="宋体" w:cs="宋体"/>
          <w:b/>
          <w:bCs/>
          <w:color w:val="auto"/>
          <w:kern w:val="2"/>
          <w:sz w:val="24"/>
          <w:szCs w:val="24"/>
          <w:highlight w:val="none"/>
          <w:lang w:val="en-US" w:eastAsia="zh-CN" w:bidi="ar-SA"/>
        </w:rPr>
      </w:pPr>
      <w:bookmarkStart w:id="88" w:name="_Toc16592"/>
      <w:r>
        <w:rPr>
          <w:rFonts w:hint="eastAsia" w:ascii="宋体" w:hAnsi="宋体" w:eastAsia="宋体" w:cs="宋体"/>
          <w:b/>
          <w:bCs/>
          <w:color w:val="auto"/>
          <w:kern w:val="2"/>
          <w:sz w:val="24"/>
          <w:szCs w:val="24"/>
          <w:highlight w:val="none"/>
          <w:lang w:val="en-US" w:eastAsia="zh-CN" w:bidi="ar-SA"/>
        </w:rPr>
        <w:t>18.投标文件的加密</w:t>
      </w:r>
      <w:bookmarkEnd w:id="87"/>
      <w:bookmarkEnd w:id="88"/>
    </w:p>
    <w:p w14:paraId="2CCC19C0">
      <w:pPr>
        <w:keepNext w:val="0"/>
        <w:keepLines w:val="0"/>
        <w:pageBreakBefore w:val="0"/>
        <w:widowControl w:val="0"/>
        <w:kinsoku/>
        <w:overflowPunct/>
        <w:topLinePunct w:val="0"/>
        <w:autoSpaceDE/>
        <w:autoSpaceDN/>
        <w:bidi w:val="0"/>
        <w:adjustRightInd/>
        <w:ind w:firstLine="480" w:firstLineChars="200"/>
        <w:jc w:val="both"/>
        <w:textAlignment w:val="auto"/>
        <w:rPr>
          <w:rFonts w:hint="eastAsia" w:ascii="宋体" w:hAnsi="宋体" w:eastAsia="宋体" w:cs="宋体"/>
          <w:color w:val="auto"/>
          <w:sz w:val="24"/>
          <w:szCs w:val="24"/>
          <w:highlight w:val="none"/>
          <w:u w:val="single"/>
        </w:rPr>
      </w:pPr>
      <w:bookmarkStart w:id="89" w:name="_Hlk143531864"/>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.1投标人在</w:t>
      </w:r>
      <w:r>
        <w:rPr>
          <w:rFonts w:hint="eastAsia" w:cs="宋体"/>
          <w:color w:val="auto"/>
          <w:sz w:val="24"/>
          <w:szCs w:val="24"/>
          <w:highlight w:val="none"/>
          <w:lang w:eastAsia="zh-CN"/>
        </w:rPr>
        <w:t>“</w:t>
      </w:r>
      <w:r>
        <w:rPr>
          <w:rFonts w:hint="eastAsia" w:cs="仿宋_GB2312"/>
          <w:color w:val="auto"/>
          <w:sz w:val="24"/>
          <w:szCs w:val="24"/>
          <w:highlight w:val="none"/>
          <w:lang w:val="en-US" w:eastAsia="zh-CN"/>
        </w:rPr>
        <w:t>投标</w:t>
      </w:r>
      <w:r>
        <w:rPr>
          <w:rFonts w:hint="eastAsia" w:eastAsia="宋体" w:cs="仿宋_GB2312"/>
          <w:color w:val="auto"/>
          <w:sz w:val="24"/>
          <w:szCs w:val="24"/>
          <w:highlight w:val="none"/>
        </w:rPr>
        <w:t>客户端</w:t>
      </w:r>
      <w:r>
        <w:rPr>
          <w:rFonts w:hint="eastAsia" w:cs="仿宋_GB2312"/>
          <w:color w:val="auto"/>
          <w:sz w:val="24"/>
          <w:szCs w:val="24"/>
          <w:highlight w:val="none"/>
          <w:lang w:eastAsia="zh-CN"/>
        </w:rPr>
        <w:t>”</w:t>
      </w:r>
      <w:r>
        <w:rPr>
          <w:rFonts w:hint="eastAsia" w:ascii="宋体" w:hAnsi="宋体" w:eastAsia="宋体" w:cs="宋体"/>
          <w:color w:val="auto"/>
          <w:sz w:val="24"/>
          <w:szCs w:val="24"/>
          <w:highlight w:val="none"/>
        </w:rPr>
        <w:t>中生成投标文件并完成签章之后，使用CA证书在</w:t>
      </w:r>
      <w:r>
        <w:rPr>
          <w:rFonts w:hint="eastAsia" w:cs="宋体"/>
          <w:color w:val="auto"/>
          <w:sz w:val="24"/>
          <w:szCs w:val="24"/>
          <w:highlight w:val="none"/>
          <w:lang w:eastAsia="zh-CN"/>
        </w:rPr>
        <w:t>“</w:t>
      </w:r>
      <w:r>
        <w:rPr>
          <w:rFonts w:hint="eastAsia" w:cs="仿宋_GB2312"/>
          <w:color w:val="auto"/>
          <w:sz w:val="24"/>
          <w:szCs w:val="24"/>
          <w:highlight w:val="none"/>
          <w:lang w:val="en-US" w:eastAsia="zh-CN"/>
        </w:rPr>
        <w:t>投标</w:t>
      </w:r>
      <w:r>
        <w:rPr>
          <w:rFonts w:hint="eastAsia" w:eastAsia="宋体" w:cs="仿宋_GB2312"/>
          <w:color w:val="auto"/>
          <w:sz w:val="24"/>
          <w:szCs w:val="24"/>
          <w:highlight w:val="none"/>
        </w:rPr>
        <w:t>客户端</w:t>
      </w:r>
      <w:r>
        <w:rPr>
          <w:rFonts w:hint="eastAsia" w:cs="仿宋_GB2312"/>
          <w:color w:val="auto"/>
          <w:sz w:val="24"/>
          <w:szCs w:val="24"/>
          <w:highlight w:val="none"/>
          <w:lang w:eastAsia="zh-CN"/>
        </w:rPr>
        <w:t>”</w:t>
      </w:r>
      <w:r>
        <w:rPr>
          <w:rFonts w:hint="eastAsia" w:ascii="宋体" w:hAnsi="宋体" w:eastAsia="宋体" w:cs="宋体"/>
          <w:color w:val="auto"/>
          <w:sz w:val="24"/>
          <w:szCs w:val="24"/>
          <w:highlight w:val="none"/>
        </w:rPr>
        <w:t>中对投标文件进行加密。</w:t>
      </w:r>
    </w:p>
    <w:p w14:paraId="7AAD5A35">
      <w:pPr>
        <w:keepNext w:val="0"/>
        <w:keepLines w:val="0"/>
        <w:pageBreakBefore w:val="0"/>
        <w:widowControl w:val="0"/>
        <w:kinsoku/>
        <w:overflowPunct/>
        <w:topLinePunct w:val="0"/>
        <w:autoSpaceDE/>
        <w:autoSpaceDN/>
        <w:bidi w:val="0"/>
        <w:adjustRightInd/>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.2投标人应在</w:t>
      </w:r>
      <w:r>
        <w:rPr>
          <w:rFonts w:hint="eastAsia" w:cs="宋体"/>
          <w:color w:val="auto"/>
          <w:sz w:val="24"/>
          <w:szCs w:val="24"/>
          <w:highlight w:val="none"/>
          <w:lang w:eastAsia="zh-CN"/>
        </w:rPr>
        <w:t>“</w:t>
      </w:r>
      <w:r>
        <w:rPr>
          <w:rFonts w:hint="eastAsia" w:cs="仿宋_GB2312"/>
          <w:color w:val="auto"/>
          <w:sz w:val="24"/>
          <w:szCs w:val="24"/>
          <w:highlight w:val="none"/>
          <w:lang w:val="en-US" w:eastAsia="zh-CN"/>
        </w:rPr>
        <w:t>投标</w:t>
      </w:r>
      <w:r>
        <w:rPr>
          <w:rFonts w:hint="eastAsia" w:eastAsia="宋体" w:cs="仿宋_GB2312"/>
          <w:color w:val="auto"/>
          <w:sz w:val="24"/>
          <w:szCs w:val="24"/>
          <w:highlight w:val="none"/>
        </w:rPr>
        <w:t>客户端</w:t>
      </w:r>
      <w:r>
        <w:rPr>
          <w:rFonts w:hint="eastAsia" w:cs="仿宋_GB2312"/>
          <w:color w:val="auto"/>
          <w:sz w:val="24"/>
          <w:szCs w:val="24"/>
          <w:highlight w:val="none"/>
          <w:lang w:eastAsia="zh-CN"/>
        </w:rPr>
        <w:t>”</w:t>
      </w:r>
      <w:r>
        <w:rPr>
          <w:rFonts w:hint="eastAsia" w:ascii="宋体" w:hAnsi="宋体" w:eastAsia="宋体" w:cs="宋体"/>
          <w:color w:val="auto"/>
          <w:sz w:val="24"/>
          <w:szCs w:val="24"/>
          <w:highlight w:val="none"/>
        </w:rPr>
        <w:t>中对加密的投标文件进行解密验证，以防止投标文件加密异常，在开标时无法解密。</w:t>
      </w:r>
    </w:p>
    <w:p w14:paraId="4DCA44D6">
      <w:pPr>
        <w:keepNext w:val="0"/>
        <w:keepLines w:val="0"/>
        <w:pageBreakBefore w:val="0"/>
        <w:widowControl w:val="0"/>
        <w:kinsoku/>
        <w:overflowPunct/>
        <w:topLinePunct w:val="0"/>
        <w:autoSpaceDE/>
        <w:autoSpaceDN/>
        <w:bidi w:val="0"/>
        <w:adjustRightInd/>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.3 投标人应保证加密投标文件的CA证书有效期在开标时间之前。若CA证书有效期临近开标时间，建议投标人提前办理CA证书续期，以免开标时无法进行解密。</w:t>
      </w:r>
    </w:p>
    <w:p w14:paraId="0A84672B">
      <w:pPr>
        <w:keepNext w:val="0"/>
        <w:keepLines w:val="0"/>
        <w:pageBreakBefore w:val="0"/>
        <w:widowControl w:val="0"/>
        <w:kinsoku/>
        <w:wordWrap w:val="0"/>
        <w:overflowPunct/>
        <w:topLinePunct w:val="0"/>
        <w:autoSpaceDE/>
        <w:autoSpaceDN/>
        <w:bidi w:val="0"/>
        <w:adjustRightInd/>
        <w:snapToGrid/>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在</w:t>
      </w:r>
      <w:r>
        <w:rPr>
          <w:rFonts w:hint="eastAsia" w:ascii="宋体" w:hAnsi="宋体" w:eastAsia="宋体" w:cs="宋体"/>
          <w:color w:val="auto"/>
          <w:sz w:val="24"/>
          <w:szCs w:val="24"/>
          <w:highlight w:val="none"/>
          <w:lang w:eastAsia="zh-CN"/>
        </w:rPr>
        <w:t>投标文件</w:t>
      </w:r>
      <w:r>
        <w:rPr>
          <w:rFonts w:hint="eastAsia" w:ascii="宋体" w:hAnsi="宋体" w:eastAsia="宋体" w:cs="宋体"/>
          <w:color w:val="auto"/>
          <w:sz w:val="24"/>
          <w:szCs w:val="24"/>
          <w:highlight w:val="none"/>
        </w:rPr>
        <w:t>递交截</w:t>
      </w:r>
      <w:r>
        <w:rPr>
          <w:rFonts w:hint="eastAsia" w:ascii="宋体" w:hAnsi="宋体" w:eastAsia="宋体" w:cs="宋体"/>
          <w:color w:val="auto"/>
          <w:sz w:val="24"/>
          <w:szCs w:val="24"/>
          <w:highlight w:val="none"/>
          <w:lang w:val="en-US" w:eastAsia="zh-CN"/>
        </w:rPr>
        <w:t>止</w:t>
      </w:r>
      <w:r>
        <w:rPr>
          <w:rFonts w:hint="eastAsia" w:ascii="宋体" w:hAnsi="宋体" w:eastAsia="宋体" w:cs="宋体"/>
          <w:color w:val="auto"/>
          <w:sz w:val="24"/>
          <w:szCs w:val="24"/>
          <w:highlight w:val="none"/>
        </w:rPr>
        <w:t>时间前通过</w:t>
      </w:r>
      <w:r>
        <w:rPr>
          <w:rFonts w:hint="eastAsia" w:cs="宋体"/>
          <w:color w:val="auto"/>
          <w:sz w:val="24"/>
          <w:szCs w:val="24"/>
          <w:highlight w:val="none"/>
          <w:lang w:val="en-US" w:eastAsia="zh-CN"/>
        </w:rPr>
        <w:t>新疆政府采购网</w:t>
      </w:r>
      <w:r>
        <w:rPr>
          <w:rFonts w:hint="eastAsia" w:ascii="宋体" w:hAnsi="宋体" w:eastAsia="宋体" w:cs="宋体"/>
          <w:color w:val="auto"/>
          <w:sz w:val="24"/>
          <w:szCs w:val="24"/>
          <w:highlight w:val="none"/>
        </w:rPr>
        <w:t>（http://ccgp-bingtuan.gov.cn/）的”政采云登录入口”登录后，将加密电子</w:t>
      </w:r>
      <w:r>
        <w:rPr>
          <w:rFonts w:hint="eastAsia" w:ascii="宋体" w:hAnsi="宋体" w:eastAsia="宋体" w:cs="宋体"/>
          <w:color w:val="auto"/>
          <w:sz w:val="24"/>
          <w:szCs w:val="24"/>
          <w:highlight w:val="none"/>
          <w:lang w:eastAsia="zh-CN"/>
        </w:rPr>
        <w:t>投标文件</w:t>
      </w:r>
      <w:r>
        <w:rPr>
          <w:rFonts w:hint="eastAsia" w:ascii="宋体" w:hAnsi="宋体" w:eastAsia="宋体" w:cs="宋体"/>
          <w:color w:val="auto"/>
          <w:sz w:val="24"/>
          <w:szCs w:val="24"/>
          <w:highlight w:val="none"/>
        </w:rPr>
        <w:t>（为.jmbs后缀格式）上传到对应项目的指定位置</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投标人认为有必要提交的其他资料请于投标截止时间前一并提交。</w:t>
      </w:r>
    </w:p>
    <w:p w14:paraId="5C0B8EAD">
      <w:pPr>
        <w:keepNext w:val="0"/>
        <w:keepLines w:val="0"/>
        <w:pageBreakBefore w:val="0"/>
        <w:widowControl w:val="0"/>
        <w:kinsoku/>
        <w:overflowPunct/>
        <w:topLinePunct w:val="0"/>
        <w:autoSpaceDE/>
        <w:autoSpaceDN/>
        <w:bidi w:val="0"/>
        <w:adjustRightInd/>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如果投标人未按上述要求</w:t>
      </w:r>
      <w:r>
        <w:rPr>
          <w:rFonts w:hint="eastAsia" w:ascii="宋体" w:hAnsi="宋体" w:eastAsia="宋体" w:cs="宋体"/>
          <w:color w:val="auto"/>
          <w:sz w:val="24"/>
          <w:szCs w:val="24"/>
          <w:highlight w:val="none"/>
          <w:lang w:val="en-US" w:eastAsia="zh-CN"/>
        </w:rPr>
        <w:t>加密并上传</w:t>
      </w:r>
      <w:r>
        <w:rPr>
          <w:rFonts w:hint="eastAsia" w:ascii="宋体" w:hAnsi="宋体" w:eastAsia="宋体" w:cs="宋体"/>
          <w:color w:val="auto"/>
          <w:sz w:val="24"/>
          <w:szCs w:val="24"/>
          <w:highlight w:val="none"/>
        </w:rPr>
        <w:t>，</w:t>
      </w:r>
      <w:r>
        <w:rPr>
          <w:rFonts w:hint="eastAsia" w:cs="宋体"/>
          <w:color w:val="auto"/>
          <w:sz w:val="24"/>
          <w:szCs w:val="24"/>
          <w:highlight w:val="none"/>
          <w:lang w:eastAsia="zh-CN"/>
        </w:rPr>
        <w:t>招标代理机构</w:t>
      </w:r>
      <w:r>
        <w:rPr>
          <w:rFonts w:hint="eastAsia" w:ascii="宋体" w:hAnsi="宋体" w:eastAsia="宋体" w:cs="宋体"/>
          <w:color w:val="auto"/>
          <w:sz w:val="24"/>
          <w:szCs w:val="24"/>
          <w:highlight w:val="none"/>
        </w:rPr>
        <w:t>对投标文件的误投</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无法解密、传输错误等问题</w:t>
      </w:r>
      <w:r>
        <w:rPr>
          <w:rFonts w:hint="eastAsia" w:ascii="宋体" w:hAnsi="宋体" w:eastAsia="宋体" w:cs="宋体"/>
          <w:color w:val="auto"/>
          <w:sz w:val="24"/>
          <w:szCs w:val="24"/>
          <w:highlight w:val="none"/>
        </w:rPr>
        <w:t>概不负责。对由此造成</w:t>
      </w:r>
      <w:r>
        <w:rPr>
          <w:rFonts w:hint="eastAsia" w:ascii="宋体" w:hAnsi="宋体" w:eastAsia="宋体" w:cs="宋体"/>
          <w:color w:val="auto"/>
          <w:sz w:val="24"/>
          <w:szCs w:val="24"/>
          <w:highlight w:val="none"/>
          <w:lang w:val="en-US" w:eastAsia="zh-CN"/>
        </w:rPr>
        <w:t>无法正常开启</w:t>
      </w:r>
      <w:r>
        <w:rPr>
          <w:rFonts w:hint="eastAsia" w:ascii="宋体" w:hAnsi="宋体" w:eastAsia="宋体" w:cs="宋体"/>
          <w:color w:val="auto"/>
          <w:sz w:val="24"/>
          <w:szCs w:val="24"/>
          <w:highlight w:val="none"/>
        </w:rPr>
        <w:t>的投标文件，</w:t>
      </w:r>
      <w:r>
        <w:rPr>
          <w:rFonts w:hint="eastAsia" w:cs="宋体"/>
          <w:color w:val="auto"/>
          <w:sz w:val="24"/>
          <w:szCs w:val="24"/>
          <w:highlight w:val="none"/>
          <w:lang w:eastAsia="zh-CN"/>
        </w:rPr>
        <w:t>招标代理机构</w:t>
      </w:r>
      <w:r>
        <w:rPr>
          <w:rFonts w:hint="eastAsia" w:ascii="宋体" w:hAnsi="宋体" w:eastAsia="宋体" w:cs="宋体"/>
          <w:color w:val="auto"/>
          <w:sz w:val="24"/>
          <w:szCs w:val="24"/>
          <w:highlight w:val="none"/>
        </w:rPr>
        <w:t>有权予以拒绝，并退回投标人。</w:t>
      </w:r>
    </w:p>
    <w:p w14:paraId="6EA8028D">
      <w:pPr>
        <w:keepNext w:val="0"/>
        <w:keepLines w:val="0"/>
        <w:pageBreakBefore w:val="0"/>
        <w:widowControl w:val="0"/>
        <w:kinsoku/>
        <w:overflowPunct/>
        <w:topLinePunct w:val="0"/>
        <w:autoSpaceDE/>
        <w:autoSpaceDN/>
        <w:bidi w:val="0"/>
        <w:adjustRightInd/>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本项目采用不见面开标，无需提供电子投标文件U盘。</w:t>
      </w:r>
    </w:p>
    <w:bookmarkEnd w:id="89"/>
    <w:p w14:paraId="3A9BC09B">
      <w:pPr>
        <w:pStyle w:val="5"/>
        <w:keepNext w:val="0"/>
        <w:keepLines w:val="0"/>
        <w:pageBreakBefore w:val="0"/>
        <w:widowControl w:val="0"/>
        <w:numPr>
          <w:ilvl w:val="0"/>
          <w:numId w:val="0"/>
        </w:numPr>
        <w:kinsoku/>
        <w:wordWrap/>
        <w:overflowPunct/>
        <w:topLinePunct w:val="0"/>
        <w:autoSpaceDE/>
        <w:autoSpaceDN/>
        <w:bidi w:val="0"/>
        <w:adjustRightInd/>
        <w:snapToGrid/>
        <w:spacing w:before="80" w:after="80" w:line="240" w:lineRule="auto"/>
        <w:ind w:left="420" w:leftChars="0" w:hanging="420" w:firstLineChars="0"/>
        <w:jc w:val="both"/>
        <w:textAlignment w:val="auto"/>
        <w:rPr>
          <w:rFonts w:hint="eastAsia" w:ascii="宋体" w:hAnsi="宋体" w:eastAsia="宋体" w:cs="宋体"/>
          <w:b/>
          <w:bCs/>
          <w:color w:val="auto"/>
          <w:kern w:val="2"/>
          <w:sz w:val="24"/>
          <w:szCs w:val="24"/>
          <w:highlight w:val="none"/>
          <w:lang w:val="en-US" w:eastAsia="zh-CN" w:bidi="ar-SA"/>
        </w:rPr>
      </w:pPr>
      <w:bookmarkStart w:id="90" w:name="_Toc140132777"/>
      <w:bookmarkStart w:id="91" w:name="_Toc163492844"/>
      <w:bookmarkStart w:id="92" w:name="_Toc7146"/>
      <w:r>
        <w:rPr>
          <w:rFonts w:hint="eastAsia" w:ascii="宋体" w:hAnsi="宋体" w:eastAsia="宋体" w:cs="宋体"/>
          <w:b/>
          <w:bCs/>
          <w:color w:val="auto"/>
          <w:kern w:val="2"/>
          <w:sz w:val="24"/>
          <w:szCs w:val="24"/>
          <w:highlight w:val="none"/>
          <w:lang w:val="en-US" w:eastAsia="zh-CN" w:bidi="ar-SA"/>
        </w:rPr>
        <w:t>19.投标文件的递交</w:t>
      </w:r>
      <w:bookmarkEnd w:id="90"/>
      <w:r>
        <w:rPr>
          <w:rFonts w:hint="eastAsia" w:ascii="宋体" w:hAnsi="宋体" w:eastAsia="宋体" w:cs="宋体"/>
          <w:b/>
          <w:bCs/>
          <w:color w:val="auto"/>
          <w:kern w:val="2"/>
          <w:sz w:val="24"/>
          <w:szCs w:val="24"/>
          <w:highlight w:val="none"/>
          <w:lang w:val="en-US" w:eastAsia="zh-CN" w:bidi="ar-SA"/>
        </w:rPr>
        <w:t>（上传）</w:t>
      </w:r>
      <w:bookmarkEnd w:id="91"/>
      <w:bookmarkEnd w:id="92"/>
    </w:p>
    <w:p w14:paraId="4FB278B1">
      <w:pPr>
        <w:keepNext w:val="0"/>
        <w:keepLines w:val="0"/>
        <w:pageBreakBefore w:val="0"/>
        <w:widowControl w:val="0"/>
        <w:kinsoku/>
        <w:overflowPunct/>
        <w:topLinePunct w:val="0"/>
        <w:autoSpaceDE/>
        <w:autoSpaceDN/>
        <w:bidi w:val="0"/>
        <w:adjustRightInd/>
        <w:ind w:firstLine="480" w:firstLineChars="200"/>
        <w:jc w:val="both"/>
        <w:textAlignment w:val="auto"/>
        <w:rPr>
          <w:rFonts w:hint="eastAsia" w:ascii="宋体" w:hAnsi="宋体" w:eastAsia="宋体" w:cs="宋体"/>
          <w:color w:val="auto"/>
          <w:sz w:val="24"/>
          <w:szCs w:val="24"/>
          <w:highlight w:val="none"/>
        </w:rPr>
      </w:pPr>
      <w:bookmarkStart w:id="93" w:name="_Hlk143531977"/>
      <w:r>
        <w:rPr>
          <w:rFonts w:hint="eastAsia" w:ascii="宋体" w:hAnsi="宋体" w:eastAsia="宋体" w:cs="宋体"/>
          <w:color w:val="auto"/>
          <w:sz w:val="24"/>
          <w:szCs w:val="24"/>
          <w:highlight w:val="none"/>
          <w:lang w:val="en-US" w:eastAsia="zh-CN"/>
        </w:rPr>
        <w:t>19</w:t>
      </w:r>
      <w:r>
        <w:rPr>
          <w:rFonts w:hint="eastAsia" w:ascii="宋体" w:hAnsi="宋体" w:eastAsia="宋体" w:cs="宋体"/>
          <w:color w:val="auto"/>
          <w:sz w:val="24"/>
          <w:szCs w:val="24"/>
          <w:highlight w:val="none"/>
        </w:rPr>
        <w:t>.1 投标人应在“</w:t>
      </w:r>
      <w:r>
        <w:rPr>
          <w:rFonts w:hint="eastAsia" w:ascii="宋体" w:hAnsi="宋体" w:eastAsia="宋体" w:cs="宋体"/>
          <w:color w:val="auto"/>
          <w:sz w:val="24"/>
          <w:szCs w:val="24"/>
          <w:highlight w:val="none"/>
          <w:lang w:val="en-US" w:eastAsia="zh-CN"/>
        </w:rPr>
        <w:t>第一章 招标公告</w:t>
      </w:r>
      <w:r>
        <w:rPr>
          <w:rFonts w:hint="eastAsia" w:ascii="宋体" w:hAnsi="宋体" w:eastAsia="宋体" w:cs="宋体"/>
          <w:color w:val="auto"/>
          <w:sz w:val="24"/>
          <w:szCs w:val="24"/>
          <w:highlight w:val="none"/>
        </w:rPr>
        <w:t>”规定的投标截止时间前递交（上传）投标文件。</w:t>
      </w:r>
    </w:p>
    <w:p w14:paraId="51B1958F">
      <w:pPr>
        <w:keepNext w:val="0"/>
        <w:keepLines w:val="0"/>
        <w:pageBreakBefore w:val="0"/>
        <w:widowControl w:val="0"/>
        <w:kinsoku/>
        <w:overflowPunct/>
        <w:topLinePunct w:val="0"/>
        <w:autoSpaceDE/>
        <w:autoSpaceDN/>
        <w:bidi w:val="0"/>
        <w:adjustRightInd/>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19</w:t>
      </w:r>
      <w:r>
        <w:rPr>
          <w:rFonts w:hint="eastAsia" w:ascii="宋体" w:hAnsi="宋体" w:eastAsia="宋体" w:cs="宋体"/>
          <w:color w:val="auto"/>
          <w:sz w:val="24"/>
          <w:szCs w:val="24"/>
          <w:highlight w:val="none"/>
        </w:rPr>
        <w:t>.2 投标人递交（上传）投标文件的地点见“</w:t>
      </w:r>
      <w:r>
        <w:rPr>
          <w:rFonts w:hint="eastAsia" w:ascii="宋体" w:hAnsi="宋体" w:eastAsia="宋体" w:cs="宋体"/>
          <w:color w:val="auto"/>
          <w:sz w:val="24"/>
          <w:szCs w:val="24"/>
          <w:highlight w:val="none"/>
          <w:lang w:val="en-US" w:eastAsia="zh-CN"/>
        </w:rPr>
        <w:t>第一章 招标公告</w:t>
      </w:r>
      <w:r>
        <w:rPr>
          <w:rFonts w:hint="eastAsia" w:ascii="宋体" w:hAnsi="宋体" w:eastAsia="宋体" w:cs="宋体"/>
          <w:color w:val="auto"/>
          <w:sz w:val="24"/>
          <w:szCs w:val="24"/>
          <w:highlight w:val="none"/>
        </w:rPr>
        <w:t>”。</w:t>
      </w:r>
    </w:p>
    <w:p w14:paraId="4C333553">
      <w:pPr>
        <w:keepNext w:val="0"/>
        <w:keepLines w:val="0"/>
        <w:pageBreakBefore w:val="0"/>
        <w:widowControl w:val="0"/>
        <w:kinsoku/>
        <w:overflowPunct/>
        <w:topLinePunct w:val="0"/>
        <w:autoSpaceDE/>
        <w:autoSpaceDN/>
        <w:bidi w:val="0"/>
        <w:adjustRightInd/>
        <w:ind w:firstLine="480" w:firstLineChars="200"/>
        <w:jc w:val="both"/>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19</w:t>
      </w:r>
      <w:r>
        <w:rPr>
          <w:rFonts w:hint="eastAsia" w:ascii="宋体" w:hAnsi="宋体" w:eastAsia="宋体" w:cs="宋体"/>
          <w:color w:val="auto"/>
          <w:sz w:val="24"/>
          <w:szCs w:val="24"/>
          <w:highlight w:val="none"/>
        </w:rPr>
        <w:t>.3投标人应充分评估集中同时投标带来的网络影响，尽量避开投标高峰时间，错峰进行电子投标。投标人递交全部的投标文件后可在政采云平台（项目采购</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投标文件上传）中获取投标文件递交回执单。</w:t>
      </w:r>
    </w:p>
    <w:p w14:paraId="2CEDA15B">
      <w:pPr>
        <w:keepNext w:val="0"/>
        <w:keepLines w:val="0"/>
        <w:pageBreakBefore w:val="0"/>
        <w:widowControl w:val="0"/>
        <w:kinsoku/>
        <w:overflowPunct/>
        <w:topLinePunct w:val="0"/>
        <w:autoSpaceDE/>
        <w:autoSpaceDN/>
        <w:bidi w:val="0"/>
        <w:adjustRightInd/>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19</w:t>
      </w:r>
      <w:r>
        <w:rPr>
          <w:rFonts w:hint="eastAsia" w:ascii="宋体" w:hAnsi="宋体" w:eastAsia="宋体" w:cs="宋体"/>
          <w:color w:val="auto"/>
          <w:sz w:val="24"/>
          <w:szCs w:val="24"/>
          <w:highlight w:val="none"/>
        </w:rPr>
        <w:t>.4 投标人应在</w:t>
      </w:r>
      <w:r>
        <w:rPr>
          <w:rFonts w:hint="eastAsia" w:cs="宋体"/>
          <w:color w:val="auto"/>
          <w:sz w:val="24"/>
          <w:szCs w:val="24"/>
          <w:highlight w:val="none"/>
          <w:lang w:eastAsia="zh-CN"/>
        </w:rPr>
        <w:t>“</w:t>
      </w:r>
      <w:r>
        <w:rPr>
          <w:rFonts w:hint="eastAsia" w:cs="仿宋_GB2312"/>
          <w:color w:val="auto"/>
          <w:sz w:val="24"/>
          <w:szCs w:val="24"/>
          <w:highlight w:val="none"/>
          <w:lang w:val="en-US" w:eastAsia="zh-CN"/>
        </w:rPr>
        <w:t>投标</w:t>
      </w:r>
      <w:r>
        <w:rPr>
          <w:rFonts w:hint="eastAsia" w:eastAsia="宋体" w:cs="仿宋_GB2312"/>
          <w:color w:val="auto"/>
          <w:sz w:val="24"/>
          <w:szCs w:val="24"/>
          <w:highlight w:val="none"/>
        </w:rPr>
        <w:t>客户端</w:t>
      </w:r>
      <w:r>
        <w:rPr>
          <w:rFonts w:hint="eastAsia" w:cs="仿宋_GB2312"/>
          <w:color w:val="auto"/>
          <w:sz w:val="24"/>
          <w:szCs w:val="24"/>
          <w:highlight w:val="none"/>
          <w:lang w:eastAsia="zh-CN"/>
        </w:rPr>
        <w:t>”</w:t>
      </w:r>
      <w:r>
        <w:rPr>
          <w:rFonts w:hint="eastAsia" w:ascii="宋体" w:hAnsi="宋体" w:eastAsia="宋体" w:cs="宋体"/>
          <w:color w:val="auto"/>
          <w:sz w:val="24"/>
          <w:szCs w:val="24"/>
          <w:highlight w:val="none"/>
        </w:rPr>
        <w:t>中下载未加密且完成签章的投标文件妥善保存，以便启动应急开标程序时使用。</w:t>
      </w:r>
    </w:p>
    <w:p w14:paraId="439DA729">
      <w:pPr>
        <w:keepNext w:val="0"/>
        <w:keepLines w:val="0"/>
        <w:pageBreakBefore w:val="0"/>
        <w:widowControl w:val="0"/>
        <w:kinsoku/>
        <w:overflowPunct/>
        <w:topLinePunct w:val="0"/>
        <w:autoSpaceDE/>
        <w:autoSpaceDN/>
        <w:bidi w:val="0"/>
        <w:adjustRightInd/>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19</w:t>
      </w:r>
      <w:r>
        <w:rPr>
          <w:rFonts w:hint="eastAsia" w:ascii="宋体" w:hAnsi="宋体" w:eastAsia="宋体" w:cs="宋体"/>
          <w:color w:val="auto"/>
          <w:sz w:val="24"/>
          <w:szCs w:val="24"/>
          <w:highlight w:val="none"/>
        </w:rPr>
        <w:t>.5投标人所递交的投标文件不予退还。</w:t>
      </w:r>
    </w:p>
    <w:bookmarkEnd w:id="93"/>
    <w:p w14:paraId="684CF162">
      <w:pPr>
        <w:pStyle w:val="5"/>
        <w:keepNext w:val="0"/>
        <w:keepLines w:val="0"/>
        <w:pageBreakBefore w:val="0"/>
        <w:widowControl w:val="0"/>
        <w:numPr>
          <w:ilvl w:val="0"/>
          <w:numId w:val="0"/>
        </w:numPr>
        <w:kinsoku/>
        <w:wordWrap/>
        <w:overflowPunct/>
        <w:topLinePunct w:val="0"/>
        <w:autoSpaceDE/>
        <w:autoSpaceDN/>
        <w:bidi w:val="0"/>
        <w:adjustRightInd/>
        <w:snapToGrid/>
        <w:spacing w:before="80" w:after="80" w:line="240" w:lineRule="auto"/>
        <w:ind w:left="420" w:leftChars="0" w:hanging="420" w:firstLineChars="0"/>
        <w:jc w:val="both"/>
        <w:textAlignment w:val="auto"/>
        <w:rPr>
          <w:rFonts w:hint="eastAsia" w:ascii="宋体" w:hAnsi="宋体" w:eastAsia="宋体" w:cs="宋体"/>
          <w:b/>
          <w:bCs/>
          <w:color w:val="auto"/>
          <w:kern w:val="2"/>
          <w:sz w:val="24"/>
          <w:szCs w:val="24"/>
          <w:highlight w:val="none"/>
          <w:lang w:val="en-US" w:eastAsia="zh-CN" w:bidi="ar-SA"/>
        </w:rPr>
      </w:pPr>
      <w:bookmarkStart w:id="94" w:name="_Toc163492845"/>
      <w:bookmarkStart w:id="95" w:name="_Toc788"/>
      <w:r>
        <w:rPr>
          <w:rFonts w:hint="eastAsia" w:ascii="宋体" w:hAnsi="宋体" w:eastAsia="宋体" w:cs="宋体"/>
          <w:b/>
          <w:bCs/>
          <w:color w:val="auto"/>
          <w:kern w:val="2"/>
          <w:sz w:val="24"/>
          <w:szCs w:val="24"/>
          <w:highlight w:val="none"/>
          <w:lang w:val="en-US" w:eastAsia="zh-CN" w:bidi="ar-SA"/>
        </w:rPr>
        <w:t>20.拒收</w:t>
      </w:r>
      <w:bookmarkEnd w:id="94"/>
      <w:bookmarkEnd w:id="95"/>
    </w:p>
    <w:p w14:paraId="4800413C">
      <w:pPr>
        <w:keepNext w:val="0"/>
        <w:keepLines w:val="0"/>
        <w:pageBreakBefore w:val="0"/>
        <w:widowControl w:val="0"/>
        <w:kinsoku/>
        <w:overflowPunct/>
        <w:topLinePunct w:val="0"/>
        <w:autoSpaceDE/>
        <w:autoSpaceDN/>
        <w:bidi w:val="0"/>
        <w:adjustRightInd/>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0</w:t>
      </w:r>
      <w:r>
        <w:rPr>
          <w:rFonts w:hint="eastAsia" w:ascii="宋体" w:hAnsi="宋体" w:eastAsia="宋体" w:cs="宋体"/>
          <w:color w:val="auto"/>
          <w:sz w:val="24"/>
          <w:szCs w:val="24"/>
          <w:highlight w:val="none"/>
        </w:rPr>
        <w:t>.1 超过投标文件提交截止时间</w:t>
      </w:r>
      <w:bookmarkStart w:id="96" w:name="_Hlk143532404"/>
      <w:r>
        <w:rPr>
          <w:rFonts w:hint="eastAsia" w:ascii="宋体" w:hAnsi="宋体" w:eastAsia="宋体" w:cs="宋体"/>
          <w:color w:val="auto"/>
          <w:sz w:val="24"/>
          <w:szCs w:val="24"/>
          <w:highlight w:val="none"/>
        </w:rPr>
        <w:t>或者不按照本章要求加密的投标文件，交易系统应当拒收</w:t>
      </w:r>
      <w:bookmarkEnd w:id="96"/>
      <w:r>
        <w:rPr>
          <w:rFonts w:hint="eastAsia" w:ascii="宋体" w:hAnsi="宋体" w:eastAsia="宋体" w:cs="宋体"/>
          <w:color w:val="auto"/>
          <w:sz w:val="24"/>
          <w:szCs w:val="24"/>
          <w:highlight w:val="none"/>
        </w:rPr>
        <w:t>。</w:t>
      </w:r>
    </w:p>
    <w:p w14:paraId="025FAFA7">
      <w:pPr>
        <w:pStyle w:val="5"/>
        <w:keepNext w:val="0"/>
        <w:keepLines w:val="0"/>
        <w:pageBreakBefore w:val="0"/>
        <w:widowControl w:val="0"/>
        <w:numPr>
          <w:ilvl w:val="0"/>
          <w:numId w:val="0"/>
        </w:numPr>
        <w:kinsoku/>
        <w:wordWrap/>
        <w:overflowPunct/>
        <w:topLinePunct w:val="0"/>
        <w:autoSpaceDE/>
        <w:autoSpaceDN/>
        <w:bidi w:val="0"/>
        <w:adjustRightInd/>
        <w:snapToGrid/>
        <w:spacing w:before="80" w:after="80" w:line="240" w:lineRule="auto"/>
        <w:ind w:left="420" w:leftChars="0" w:hanging="420" w:firstLineChars="0"/>
        <w:jc w:val="both"/>
        <w:textAlignment w:val="auto"/>
        <w:rPr>
          <w:rFonts w:hint="eastAsia" w:ascii="宋体" w:hAnsi="宋体" w:eastAsia="宋体" w:cs="宋体"/>
          <w:b/>
          <w:bCs/>
          <w:color w:val="auto"/>
          <w:kern w:val="2"/>
          <w:sz w:val="24"/>
          <w:szCs w:val="24"/>
          <w:highlight w:val="none"/>
          <w:lang w:val="en-US" w:eastAsia="zh-CN" w:bidi="ar-SA"/>
        </w:rPr>
      </w:pPr>
      <w:bookmarkStart w:id="97" w:name="_Toc735"/>
      <w:bookmarkStart w:id="98" w:name="_Toc140132778"/>
      <w:bookmarkStart w:id="99" w:name="_Toc163492846"/>
      <w:r>
        <w:rPr>
          <w:rFonts w:hint="eastAsia" w:ascii="宋体" w:hAnsi="宋体" w:eastAsia="宋体" w:cs="宋体"/>
          <w:b/>
          <w:bCs/>
          <w:color w:val="auto"/>
          <w:kern w:val="2"/>
          <w:sz w:val="24"/>
          <w:szCs w:val="24"/>
          <w:highlight w:val="none"/>
          <w:lang w:val="en-US" w:eastAsia="zh-CN" w:bidi="ar-SA"/>
        </w:rPr>
        <w:t>21.投标文件的修改与撤回</w:t>
      </w:r>
      <w:bookmarkEnd w:id="97"/>
      <w:bookmarkEnd w:id="98"/>
      <w:bookmarkEnd w:id="99"/>
    </w:p>
    <w:p w14:paraId="33A45C6E">
      <w:pPr>
        <w:keepNext w:val="0"/>
        <w:keepLines w:val="0"/>
        <w:pageBreakBefore w:val="0"/>
        <w:widowControl w:val="0"/>
        <w:kinsoku/>
        <w:overflowPunct/>
        <w:topLinePunct w:val="0"/>
        <w:autoSpaceDE/>
        <w:autoSpaceDN/>
        <w:bidi w:val="0"/>
        <w:adjustRightInd/>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.1</w:t>
      </w:r>
      <w:bookmarkStart w:id="100" w:name="_Hlk143532466"/>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在</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第一章 招标公告</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规定的</w:t>
      </w:r>
      <w:r>
        <w:rPr>
          <w:rFonts w:hint="eastAsia" w:ascii="宋体" w:hAnsi="宋体" w:eastAsia="宋体" w:cs="宋体"/>
          <w:color w:val="auto"/>
          <w:sz w:val="24"/>
          <w:szCs w:val="24"/>
          <w:highlight w:val="none"/>
          <w:lang w:eastAsia="zh-CN"/>
        </w:rPr>
        <w:t>投标文件</w:t>
      </w:r>
      <w:r>
        <w:rPr>
          <w:rFonts w:hint="eastAsia" w:ascii="宋体" w:hAnsi="宋体" w:eastAsia="宋体" w:cs="宋体"/>
          <w:color w:val="auto"/>
          <w:sz w:val="24"/>
          <w:szCs w:val="24"/>
          <w:highlight w:val="none"/>
        </w:rPr>
        <w:t>递交截止时间之前，可在</w:t>
      </w:r>
      <w:r>
        <w:rPr>
          <w:rFonts w:hint="eastAsia" w:cs="宋体"/>
          <w:color w:val="auto"/>
          <w:sz w:val="24"/>
          <w:szCs w:val="24"/>
          <w:highlight w:val="none"/>
          <w:lang w:eastAsia="zh-CN"/>
        </w:rPr>
        <w:t>政府采购云平台</w:t>
      </w:r>
      <w:r>
        <w:rPr>
          <w:rFonts w:hint="eastAsia" w:ascii="宋体" w:hAnsi="宋体" w:eastAsia="宋体" w:cs="宋体"/>
          <w:color w:val="auto"/>
          <w:sz w:val="24"/>
          <w:szCs w:val="24"/>
          <w:highlight w:val="none"/>
        </w:rPr>
        <w:t>上随时撤回已上传的电子</w:t>
      </w:r>
      <w:r>
        <w:rPr>
          <w:rFonts w:hint="eastAsia" w:ascii="宋体" w:hAnsi="宋体" w:eastAsia="宋体" w:cs="宋体"/>
          <w:color w:val="auto"/>
          <w:sz w:val="24"/>
          <w:szCs w:val="24"/>
          <w:highlight w:val="none"/>
          <w:lang w:eastAsia="zh-CN"/>
        </w:rPr>
        <w:t>投标文件</w:t>
      </w:r>
      <w:r>
        <w:rPr>
          <w:rFonts w:hint="eastAsia" w:ascii="宋体" w:hAnsi="宋体" w:eastAsia="宋体" w:cs="宋体"/>
          <w:color w:val="auto"/>
          <w:sz w:val="24"/>
          <w:szCs w:val="24"/>
          <w:highlight w:val="none"/>
        </w:rPr>
        <w:t>，将修改好的电子</w:t>
      </w:r>
      <w:r>
        <w:rPr>
          <w:rFonts w:hint="eastAsia" w:ascii="宋体" w:hAnsi="宋体" w:eastAsia="宋体" w:cs="宋体"/>
          <w:color w:val="auto"/>
          <w:sz w:val="24"/>
          <w:szCs w:val="24"/>
          <w:highlight w:val="none"/>
          <w:lang w:eastAsia="zh-CN"/>
        </w:rPr>
        <w:t>投标文件</w:t>
      </w:r>
      <w:r>
        <w:rPr>
          <w:rFonts w:hint="eastAsia" w:ascii="宋体" w:hAnsi="宋体" w:eastAsia="宋体" w:cs="宋体"/>
          <w:color w:val="auto"/>
          <w:sz w:val="24"/>
          <w:szCs w:val="24"/>
          <w:highlight w:val="none"/>
        </w:rPr>
        <w:t>在</w:t>
      </w:r>
      <w:r>
        <w:rPr>
          <w:rFonts w:hint="eastAsia" w:ascii="宋体" w:hAnsi="宋体" w:eastAsia="宋体" w:cs="宋体"/>
          <w:color w:val="auto"/>
          <w:sz w:val="24"/>
          <w:szCs w:val="24"/>
          <w:highlight w:val="none"/>
          <w:lang w:eastAsia="zh-CN"/>
        </w:rPr>
        <w:t>投标文件</w:t>
      </w:r>
      <w:r>
        <w:rPr>
          <w:rFonts w:hint="eastAsia" w:ascii="宋体" w:hAnsi="宋体" w:eastAsia="宋体" w:cs="宋体"/>
          <w:color w:val="auto"/>
          <w:sz w:val="24"/>
          <w:szCs w:val="24"/>
          <w:highlight w:val="none"/>
        </w:rPr>
        <w:t>递交截止时间前重新上传到</w:t>
      </w:r>
      <w:r>
        <w:rPr>
          <w:rFonts w:hint="eastAsia" w:cs="宋体"/>
          <w:color w:val="auto"/>
          <w:sz w:val="24"/>
          <w:szCs w:val="24"/>
          <w:highlight w:val="none"/>
          <w:lang w:eastAsia="zh-CN"/>
        </w:rPr>
        <w:t>政府采购云平台</w:t>
      </w:r>
      <w:r>
        <w:rPr>
          <w:rFonts w:hint="eastAsia" w:ascii="宋体" w:hAnsi="宋体" w:eastAsia="宋体" w:cs="宋体"/>
          <w:color w:val="auto"/>
          <w:sz w:val="24"/>
          <w:szCs w:val="24"/>
          <w:highlight w:val="none"/>
        </w:rPr>
        <w:t>的</w:t>
      </w:r>
      <w:r>
        <w:rPr>
          <w:rFonts w:hint="eastAsia" w:ascii="宋体" w:hAnsi="宋体" w:eastAsia="宋体" w:cs="宋体"/>
          <w:color w:val="auto"/>
          <w:sz w:val="24"/>
          <w:szCs w:val="24"/>
          <w:highlight w:val="none"/>
          <w:lang w:val="en-US" w:eastAsia="zh-CN"/>
        </w:rPr>
        <w:t>指</w:t>
      </w:r>
      <w:r>
        <w:rPr>
          <w:rFonts w:hint="eastAsia" w:ascii="宋体" w:hAnsi="宋体" w:eastAsia="宋体" w:cs="宋体"/>
          <w:color w:val="auto"/>
          <w:sz w:val="24"/>
          <w:szCs w:val="24"/>
          <w:highlight w:val="none"/>
        </w:rPr>
        <w:t>定位置。</w:t>
      </w:r>
    </w:p>
    <w:bookmarkEnd w:id="100"/>
    <w:p w14:paraId="1EE712C7">
      <w:pPr>
        <w:pStyle w:val="5"/>
        <w:keepNext w:val="0"/>
        <w:keepLines w:val="0"/>
        <w:pageBreakBefore w:val="0"/>
        <w:widowControl w:val="0"/>
        <w:numPr>
          <w:ilvl w:val="0"/>
          <w:numId w:val="0"/>
        </w:numPr>
        <w:kinsoku/>
        <w:wordWrap/>
        <w:overflowPunct/>
        <w:topLinePunct w:val="0"/>
        <w:autoSpaceDE/>
        <w:autoSpaceDN/>
        <w:bidi w:val="0"/>
        <w:adjustRightInd/>
        <w:snapToGrid/>
        <w:spacing w:before="80" w:after="80" w:line="240" w:lineRule="auto"/>
        <w:ind w:left="420" w:leftChars="0" w:hanging="420" w:firstLineChars="0"/>
        <w:jc w:val="both"/>
        <w:textAlignment w:val="auto"/>
        <w:rPr>
          <w:rFonts w:hint="eastAsia" w:ascii="宋体" w:hAnsi="宋体" w:eastAsia="宋体" w:cs="宋体"/>
          <w:b/>
          <w:bCs/>
          <w:color w:val="auto"/>
          <w:kern w:val="2"/>
          <w:sz w:val="24"/>
          <w:szCs w:val="24"/>
          <w:highlight w:val="none"/>
          <w:lang w:val="en-US" w:eastAsia="zh-CN" w:bidi="ar-SA"/>
        </w:rPr>
      </w:pPr>
      <w:bookmarkStart w:id="101" w:name="_Toc18326"/>
      <w:bookmarkStart w:id="102" w:name="_Toc155185874"/>
      <w:bookmarkStart w:id="103" w:name="_Toc163492847"/>
      <w:r>
        <w:rPr>
          <w:rFonts w:hint="eastAsia" w:ascii="宋体" w:hAnsi="宋体" w:eastAsia="宋体" w:cs="宋体"/>
          <w:b/>
          <w:bCs/>
          <w:color w:val="auto"/>
          <w:kern w:val="2"/>
          <w:sz w:val="24"/>
          <w:szCs w:val="24"/>
          <w:highlight w:val="none"/>
          <w:lang w:val="en-US" w:eastAsia="zh-CN" w:bidi="ar-SA"/>
        </w:rPr>
        <w:t>22.实物样品</w:t>
      </w:r>
      <w:bookmarkEnd w:id="101"/>
      <w:bookmarkEnd w:id="102"/>
      <w:bookmarkEnd w:id="103"/>
    </w:p>
    <w:p w14:paraId="769F1766">
      <w:pPr>
        <w:pStyle w:val="50"/>
        <w:keepNext w:val="0"/>
        <w:keepLines w:val="0"/>
        <w:pageBreakBefore w:val="0"/>
        <w:widowControl w:val="0"/>
        <w:kinsoku/>
        <w:overflowPunct/>
        <w:topLinePunct w:val="0"/>
        <w:autoSpaceDE/>
        <w:autoSpaceDN/>
        <w:bidi w:val="0"/>
        <w:adjustRightInd/>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.1“投标人须知前附表”要求提供样品的，样品的具体要求及评审详见“第三章 采购需求”和“第五章 评标</w:t>
      </w:r>
      <w:r>
        <w:rPr>
          <w:rFonts w:hint="eastAsia" w:ascii="宋体" w:hAnsi="宋体" w:eastAsia="宋体" w:cs="宋体"/>
          <w:snapToGrid w:val="0"/>
          <w:color w:val="auto"/>
          <w:sz w:val="24"/>
          <w:szCs w:val="24"/>
          <w:highlight w:val="none"/>
          <w:lang w:val="en-US" w:eastAsia="zh-CN"/>
        </w:rPr>
        <w:t>方</w:t>
      </w:r>
      <w:r>
        <w:rPr>
          <w:rFonts w:hint="eastAsia" w:ascii="宋体" w:hAnsi="宋体" w:eastAsia="宋体" w:cs="宋体"/>
          <w:color w:val="auto"/>
          <w:sz w:val="24"/>
          <w:szCs w:val="24"/>
          <w:highlight w:val="none"/>
        </w:rPr>
        <w:t>法及标准”。</w:t>
      </w:r>
    </w:p>
    <w:p w14:paraId="02C8BD30">
      <w:pPr>
        <w:pStyle w:val="50"/>
        <w:keepNext w:val="0"/>
        <w:keepLines w:val="0"/>
        <w:pageBreakBefore w:val="0"/>
        <w:widowControl w:val="0"/>
        <w:kinsoku/>
        <w:overflowPunct/>
        <w:topLinePunct w:val="0"/>
        <w:autoSpaceDE/>
        <w:autoSpaceDN/>
        <w:bidi w:val="0"/>
        <w:adjustRightInd/>
        <w:jc w:val="both"/>
        <w:textAlignment w:val="auto"/>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.2样品退还：未中标的投标人应</w:t>
      </w:r>
      <w:r>
        <w:rPr>
          <w:rFonts w:hint="eastAsia" w:ascii="宋体" w:hAnsi="宋体" w:eastAsia="宋体" w:cs="宋体"/>
          <w:color w:val="auto"/>
          <w:sz w:val="24"/>
          <w:szCs w:val="24"/>
          <w:highlight w:val="none"/>
          <w:lang w:val="en-US" w:eastAsia="zh-CN"/>
        </w:rPr>
        <w:t>按照</w:t>
      </w:r>
      <w:r>
        <w:rPr>
          <w:rFonts w:hint="eastAsia" w:ascii="宋体" w:hAnsi="宋体" w:eastAsia="宋体" w:cs="宋体"/>
          <w:color w:val="auto"/>
          <w:sz w:val="24"/>
          <w:szCs w:val="24"/>
          <w:highlight w:val="none"/>
        </w:rPr>
        <w:t>“投标人须知前附表”</w:t>
      </w:r>
      <w:r>
        <w:rPr>
          <w:rFonts w:hint="eastAsia" w:ascii="宋体" w:hAnsi="宋体" w:eastAsia="宋体" w:cs="宋体"/>
          <w:color w:val="auto"/>
          <w:sz w:val="24"/>
          <w:szCs w:val="24"/>
          <w:highlight w:val="none"/>
          <w:lang w:val="en-US" w:eastAsia="zh-CN"/>
        </w:rPr>
        <w:t>要求</w:t>
      </w:r>
      <w:r>
        <w:rPr>
          <w:rFonts w:hint="eastAsia" w:ascii="宋体" w:hAnsi="宋体" w:eastAsia="宋体" w:cs="宋体"/>
          <w:color w:val="auto"/>
          <w:sz w:val="24"/>
          <w:szCs w:val="24"/>
          <w:highlight w:val="none"/>
        </w:rPr>
        <w:t>自行联系</w:t>
      </w:r>
      <w:r>
        <w:rPr>
          <w:rFonts w:hint="eastAsia" w:cs="宋体"/>
          <w:color w:val="auto"/>
          <w:sz w:val="24"/>
          <w:szCs w:val="24"/>
          <w:highlight w:val="none"/>
          <w:lang w:eastAsia="zh-CN"/>
        </w:rPr>
        <w:t>招标人</w:t>
      </w:r>
      <w:r>
        <w:rPr>
          <w:rFonts w:hint="eastAsia" w:ascii="宋体" w:hAnsi="宋体" w:eastAsia="宋体" w:cs="宋体"/>
          <w:color w:val="auto"/>
          <w:sz w:val="24"/>
          <w:szCs w:val="24"/>
          <w:highlight w:val="none"/>
        </w:rPr>
        <w:t>取回投标样品；中标人的样品由</w:t>
      </w:r>
      <w:r>
        <w:rPr>
          <w:rFonts w:hint="eastAsia" w:cs="宋体"/>
          <w:color w:val="auto"/>
          <w:sz w:val="24"/>
          <w:szCs w:val="24"/>
          <w:highlight w:val="none"/>
          <w:lang w:eastAsia="zh-CN"/>
        </w:rPr>
        <w:t>招标人</w:t>
      </w:r>
      <w:r>
        <w:rPr>
          <w:rFonts w:hint="eastAsia" w:ascii="宋体" w:hAnsi="宋体" w:eastAsia="宋体" w:cs="宋体"/>
          <w:color w:val="auto"/>
          <w:sz w:val="24"/>
          <w:szCs w:val="24"/>
          <w:highlight w:val="none"/>
        </w:rPr>
        <w:t>进行保管、封存，并作为履约验收的参考（招标文件另有规定的从其规定）。</w:t>
      </w:r>
    </w:p>
    <w:p w14:paraId="585D0CF8">
      <w:pPr>
        <w:pStyle w:val="5"/>
        <w:keepNext w:val="0"/>
        <w:keepLines w:val="0"/>
        <w:pageBreakBefore w:val="0"/>
        <w:widowControl w:val="0"/>
        <w:numPr>
          <w:ilvl w:val="0"/>
          <w:numId w:val="0"/>
        </w:numPr>
        <w:kinsoku/>
        <w:wordWrap/>
        <w:overflowPunct/>
        <w:topLinePunct w:val="0"/>
        <w:autoSpaceDE/>
        <w:autoSpaceDN/>
        <w:bidi w:val="0"/>
        <w:adjustRightInd/>
        <w:snapToGrid/>
        <w:spacing w:before="80" w:after="80" w:line="240" w:lineRule="auto"/>
        <w:ind w:left="420" w:leftChars="0" w:hanging="420" w:firstLineChars="0"/>
        <w:jc w:val="both"/>
        <w:textAlignment w:val="auto"/>
        <w:rPr>
          <w:rFonts w:hint="eastAsia" w:ascii="宋体" w:hAnsi="宋体" w:eastAsia="宋体" w:cs="宋体"/>
          <w:b/>
          <w:bCs/>
          <w:color w:val="auto"/>
          <w:kern w:val="2"/>
          <w:sz w:val="24"/>
          <w:szCs w:val="24"/>
          <w:highlight w:val="none"/>
          <w:lang w:val="en-US" w:eastAsia="zh-CN" w:bidi="ar-SA"/>
        </w:rPr>
      </w:pPr>
      <w:bookmarkStart w:id="104" w:name="_Toc155185875"/>
      <w:bookmarkStart w:id="105" w:name="_Toc16730"/>
      <w:bookmarkStart w:id="106" w:name="_Toc163492848"/>
      <w:r>
        <w:rPr>
          <w:rFonts w:hint="eastAsia" w:ascii="宋体" w:hAnsi="宋体" w:eastAsia="宋体" w:cs="宋体"/>
          <w:b/>
          <w:bCs/>
          <w:color w:val="auto"/>
          <w:kern w:val="2"/>
          <w:sz w:val="24"/>
          <w:szCs w:val="24"/>
          <w:highlight w:val="none"/>
          <w:lang w:val="en-US" w:eastAsia="zh-CN" w:bidi="ar-SA"/>
        </w:rPr>
        <w:t>23.演示</w:t>
      </w:r>
      <w:bookmarkEnd w:id="104"/>
      <w:bookmarkEnd w:id="105"/>
      <w:bookmarkEnd w:id="106"/>
    </w:p>
    <w:p w14:paraId="67897CFB">
      <w:pPr>
        <w:pStyle w:val="50"/>
        <w:keepNext w:val="0"/>
        <w:keepLines w:val="0"/>
        <w:pageBreakBefore w:val="0"/>
        <w:widowControl w:val="0"/>
        <w:kinsoku/>
        <w:overflowPunct/>
        <w:topLinePunct w:val="0"/>
        <w:autoSpaceDE/>
        <w:autoSpaceDN/>
        <w:bidi w:val="0"/>
        <w:adjustRightInd/>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.1要求投标人进行演示的，演示要求详见“投标人须知前附表”。</w:t>
      </w:r>
    </w:p>
    <w:p w14:paraId="722E8177">
      <w:pPr>
        <w:pStyle w:val="50"/>
        <w:keepNext w:val="0"/>
        <w:keepLines w:val="0"/>
        <w:pageBreakBefore w:val="0"/>
        <w:widowControl w:val="0"/>
        <w:kinsoku/>
        <w:overflowPunct/>
        <w:topLinePunct w:val="0"/>
        <w:autoSpaceDE/>
        <w:autoSpaceDN/>
        <w:bidi w:val="0"/>
        <w:adjustRightInd/>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.2演示的评审详见“第三章 采购需求”和“第五章 评标</w:t>
      </w:r>
      <w:r>
        <w:rPr>
          <w:rFonts w:hint="eastAsia" w:ascii="宋体" w:hAnsi="宋体" w:eastAsia="宋体" w:cs="宋体"/>
          <w:color w:val="auto"/>
          <w:sz w:val="24"/>
          <w:szCs w:val="24"/>
          <w:highlight w:val="none"/>
          <w:lang w:val="en-US" w:eastAsia="zh-CN"/>
        </w:rPr>
        <w:t>方</w:t>
      </w:r>
      <w:r>
        <w:rPr>
          <w:rFonts w:hint="eastAsia" w:ascii="宋体" w:hAnsi="宋体" w:eastAsia="宋体" w:cs="宋体"/>
          <w:color w:val="auto"/>
          <w:sz w:val="24"/>
          <w:szCs w:val="24"/>
          <w:highlight w:val="none"/>
        </w:rPr>
        <w:t>法及标准”。</w:t>
      </w:r>
    </w:p>
    <w:p w14:paraId="286A3E7C">
      <w:pPr>
        <w:pStyle w:val="4"/>
        <w:keepNext w:val="0"/>
        <w:keepLines w:val="0"/>
        <w:pageBreakBefore w:val="0"/>
        <w:widowControl w:val="0"/>
        <w:numPr>
          <w:ilvl w:val="0"/>
          <w:numId w:val="0"/>
        </w:numPr>
        <w:kinsoku/>
        <w:wordWrap/>
        <w:overflowPunct/>
        <w:topLinePunct w:val="0"/>
        <w:autoSpaceDE/>
        <w:autoSpaceDN/>
        <w:bidi w:val="0"/>
        <w:adjustRightInd/>
        <w:snapToGrid/>
        <w:spacing w:before="120" w:after="120" w:line="240" w:lineRule="auto"/>
        <w:ind w:left="420" w:leftChars="0" w:hanging="420" w:firstLineChars="0"/>
        <w:jc w:val="both"/>
        <w:textAlignment w:val="auto"/>
        <w:rPr>
          <w:rFonts w:hint="eastAsia" w:ascii="宋体" w:hAnsi="宋体" w:eastAsia="宋体" w:cs="宋体"/>
          <w:b/>
          <w:bCs/>
          <w:color w:val="auto"/>
          <w:kern w:val="2"/>
          <w:sz w:val="24"/>
          <w:szCs w:val="24"/>
          <w:highlight w:val="none"/>
          <w:lang w:val="en-US" w:eastAsia="zh-CN" w:bidi="ar-SA"/>
        </w:rPr>
      </w:pPr>
      <w:bookmarkStart w:id="107" w:name="_Toc32704"/>
      <w:bookmarkStart w:id="108" w:name="_Toc163492849"/>
      <w:bookmarkStart w:id="109" w:name="_Toc140132779"/>
      <w:bookmarkStart w:id="110" w:name="_Toc155185876"/>
    </w:p>
    <w:p w14:paraId="530E40FF">
      <w:pPr>
        <w:pStyle w:val="4"/>
        <w:keepNext w:val="0"/>
        <w:keepLines w:val="0"/>
        <w:pageBreakBefore w:val="0"/>
        <w:widowControl w:val="0"/>
        <w:numPr>
          <w:ilvl w:val="0"/>
          <w:numId w:val="0"/>
        </w:numPr>
        <w:kinsoku/>
        <w:wordWrap/>
        <w:overflowPunct/>
        <w:topLinePunct w:val="0"/>
        <w:autoSpaceDE/>
        <w:autoSpaceDN/>
        <w:bidi w:val="0"/>
        <w:adjustRightInd/>
        <w:snapToGrid/>
        <w:spacing w:before="120" w:after="120" w:line="240" w:lineRule="auto"/>
        <w:ind w:left="420" w:leftChars="0" w:hanging="420" w:firstLineChars="0"/>
        <w:jc w:val="both"/>
        <w:textAlignment w:val="auto"/>
        <w:rPr>
          <w:rFonts w:hint="eastAsia" w:ascii="宋体" w:hAnsi="宋体" w:eastAsia="宋体" w:cs="宋体"/>
          <w:b/>
          <w:bCs/>
          <w:color w:val="auto"/>
          <w:kern w:val="2"/>
          <w:sz w:val="24"/>
          <w:szCs w:val="24"/>
          <w:highlight w:val="none"/>
          <w:lang w:val="en-US" w:eastAsia="zh-CN" w:bidi="ar-SA"/>
        </w:rPr>
      </w:pPr>
    </w:p>
    <w:p w14:paraId="507A5624">
      <w:pPr>
        <w:pStyle w:val="4"/>
        <w:keepNext w:val="0"/>
        <w:keepLines w:val="0"/>
        <w:pageBreakBefore w:val="0"/>
        <w:widowControl w:val="0"/>
        <w:numPr>
          <w:ilvl w:val="0"/>
          <w:numId w:val="0"/>
        </w:numPr>
        <w:kinsoku/>
        <w:wordWrap/>
        <w:overflowPunct/>
        <w:topLinePunct w:val="0"/>
        <w:autoSpaceDE/>
        <w:autoSpaceDN/>
        <w:bidi w:val="0"/>
        <w:adjustRightInd/>
        <w:snapToGrid/>
        <w:spacing w:before="120" w:after="120" w:line="240" w:lineRule="auto"/>
        <w:ind w:left="420" w:leftChars="0" w:hanging="420" w:firstLineChars="0"/>
        <w:jc w:val="both"/>
        <w:textAlignment w:val="auto"/>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（五）开标</w:t>
      </w:r>
      <w:bookmarkEnd w:id="107"/>
      <w:bookmarkEnd w:id="108"/>
      <w:bookmarkEnd w:id="109"/>
      <w:bookmarkEnd w:id="110"/>
    </w:p>
    <w:p w14:paraId="02AFC0C5">
      <w:pPr>
        <w:pStyle w:val="5"/>
        <w:keepNext w:val="0"/>
        <w:keepLines w:val="0"/>
        <w:pageBreakBefore w:val="0"/>
        <w:widowControl w:val="0"/>
        <w:numPr>
          <w:ilvl w:val="0"/>
          <w:numId w:val="0"/>
        </w:numPr>
        <w:kinsoku/>
        <w:wordWrap/>
        <w:overflowPunct/>
        <w:topLinePunct w:val="0"/>
        <w:autoSpaceDE/>
        <w:autoSpaceDN/>
        <w:bidi w:val="0"/>
        <w:adjustRightInd/>
        <w:snapToGrid/>
        <w:spacing w:before="80" w:after="80" w:line="240" w:lineRule="auto"/>
        <w:ind w:left="420" w:leftChars="0" w:hanging="420" w:firstLineChars="0"/>
        <w:jc w:val="both"/>
        <w:textAlignment w:val="auto"/>
        <w:rPr>
          <w:rFonts w:hint="eastAsia" w:ascii="宋体" w:hAnsi="宋体" w:eastAsia="宋体" w:cs="宋体"/>
          <w:b/>
          <w:bCs/>
          <w:color w:val="auto"/>
          <w:kern w:val="2"/>
          <w:sz w:val="24"/>
          <w:szCs w:val="24"/>
          <w:highlight w:val="none"/>
          <w:lang w:val="en-US" w:eastAsia="zh-CN" w:bidi="ar-SA"/>
        </w:rPr>
      </w:pPr>
      <w:bookmarkStart w:id="111" w:name="_Toc140132780"/>
      <w:bookmarkStart w:id="112" w:name="_Toc30506"/>
      <w:bookmarkStart w:id="113" w:name="_Toc163492850"/>
      <w:r>
        <w:rPr>
          <w:rFonts w:hint="eastAsia" w:ascii="宋体" w:hAnsi="宋体" w:eastAsia="宋体" w:cs="宋体"/>
          <w:b/>
          <w:bCs/>
          <w:color w:val="auto"/>
          <w:kern w:val="2"/>
          <w:sz w:val="24"/>
          <w:szCs w:val="24"/>
          <w:highlight w:val="none"/>
          <w:lang w:val="en-US" w:eastAsia="zh-CN" w:bidi="ar-SA"/>
        </w:rPr>
        <w:t>24.开标会议</w:t>
      </w:r>
      <w:bookmarkEnd w:id="111"/>
      <w:bookmarkEnd w:id="112"/>
      <w:bookmarkEnd w:id="113"/>
    </w:p>
    <w:p w14:paraId="0434931E">
      <w:pPr>
        <w:keepNext w:val="0"/>
        <w:keepLines w:val="0"/>
        <w:pageBreakBefore w:val="0"/>
        <w:widowControl w:val="0"/>
        <w:kinsoku/>
        <w:overflowPunct/>
        <w:topLinePunct w:val="0"/>
        <w:autoSpaceDE/>
        <w:autoSpaceDN/>
        <w:bidi w:val="0"/>
        <w:adjustRightInd/>
        <w:snapToGrid/>
        <w:ind w:firstLine="480" w:firstLineChars="200"/>
        <w:jc w:val="both"/>
        <w:textAlignment w:val="auto"/>
        <w:rPr>
          <w:rFonts w:hint="eastAsia" w:ascii="宋体" w:hAnsi="宋体" w:eastAsia="宋体" w:cs="宋体"/>
          <w:color w:val="auto"/>
          <w:sz w:val="24"/>
          <w:szCs w:val="24"/>
          <w:highlight w:val="none"/>
          <w:lang w:eastAsia="zh-CN"/>
        </w:rPr>
      </w:pPr>
      <w:bookmarkStart w:id="114" w:name="_Toc140132781"/>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开标会按“</w:t>
      </w:r>
      <w:r>
        <w:rPr>
          <w:rFonts w:hint="eastAsia" w:ascii="宋体" w:hAnsi="宋体" w:eastAsia="宋体" w:cs="宋体"/>
          <w:color w:val="auto"/>
          <w:sz w:val="24"/>
          <w:szCs w:val="24"/>
          <w:highlight w:val="none"/>
          <w:lang w:val="en-US" w:eastAsia="zh-CN"/>
        </w:rPr>
        <w:t>第一章 招标公告</w:t>
      </w:r>
      <w:r>
        <w:rPr>
          <w:rFonts w:hint="eastAsia" w:ascii="宋体" w:hAnsi="宋体" w:eastAsia="宋体" w:cs="宋体"/>
          <w:color w:val="auto"/>
          <w:sz w:val="24"/>
          <w:szCs w:val="24"/>
          <w:highlight w:val="none"/>
        </w:rPr>
        <w:t>”规定的开标时间和地点准时举行，</w:t>
      </w:r>
      <w:r>
        <w:rPr>
          <w:rFonts w:hint="eastAsia" w:cs="宋体"/>
          <w:color w:val="auto"/>
          <w:sz w:val="24"/>
          <w:szCs w:val="24"/>
          <w:highlight w:val="none"/>
          <w:lang w:eastAsia="zh-CN"/>
        </w:rPr>
        <w:t>招标人</w:t>
      </w:r>
      <w:r>
        <w:rPr>
          <w:rFonts w:hint="eastAsia" w:ascii="宋体" w:hAnsi="宋体" w:eastAsia="宋体" w:cs="宋体"/>
          <w:color w:val="auto"/>
          <w:sz w:val="24"/>
          <w:szCs w:val="24"/>
          <w:highlight w:val="none"/>
        </w:rPr>
        <w:t>、</w:t>
      </w:r>
      <w:r>
        <w:rPr>
          <w:rFonts w:hint="eastAsia" w:cs="宋体"/>
          <w:color w:val="auto"/>
          <w:sz w:val="24"/>
          <w:szCs w:val="24"/>
          <w:highlight w:val="none"/>
          <w:lang w:eastAsia="zh-CN"/>
        </w:rPr>
        <w:t>招标代理机构</w:t>
      </w:r>
      <w:r>
        <w:rPr>
          <w:rFonts w:hint="eastAsia" w:ascii="宋体" w:hAnsi="宋体" w:eastAsia="宋体" w:cs="宋体"/>
          <w:color w:val="auto"/>
          <w:sz w:val="24"/>
          <w:szCs w:val="24"/>
          <w:highlight w:val="none"/>
        </w:rPr>
        <w:t>邀请所有投标人准时参加开标会。投标人应按照</w:t>
      </w:r>
      <w:r>
        <w:rPr>
          <w:rFonts w:hint="eastAsia" w:ascii="宋体" w:hAnsi="宋体" w:eastAsia="宋体" w:cs="宋体"/>
          <w:color w:val="auto"/>
          <w:sz w:val="24"/>
          <w:szCs w:val="24"/>
          <w:highlight w:val="none"/>
          <w:lang w:val="en-US" w:eastAsia="zh-CN"/>
        </w:rPr>
        <w:t>招标文件</w:t>
      </w:r>
      <w:r>
        <w:rPr>
          <w:rFonts w:hint="eastAsia" w:ascii="宋体" w:hAnsi="宋体" w:eastAsia="宋体" w:cs="宋体"/>
          <w:color w:val="auto"/>
          <w:sz w:val="24"/>
          <w:szCs w:val="24"/>
          <w:highlight w:val="none"/>
        </w:rPr>
        <w:t>的要求参与</w:t>
      </w:r>
      <w:r>
        <w:rPr>
          <w:rFonts w:hint="eastAsia" w:ascii="宋体" w:hAnsi="宋体" w:eastAsia="宋体" w:cs="宋体"/>
          <w:color w:val="auto"/>
          <w:sz w:val="24"/>
          <w:szCs w:val="24"/>
          <w:highlight w:val="none"/>
          <w:lang w:val="en-US" w:eastAsia="zh-CN"/>
        </w:rPr>
        <w:t>不见面开标</w:t>
      </w:r>
      <w:r>
        <w:rPr>
          <w:rFonts w:hint="eastAsia" w:ascii="宋体" w:hAnsi="宋体" w:eastAsia="宋体" w:cs="宋体"/>
          <w:color w:val="auto"/>
          <w:sz w:val="24"/>
          <w:szCs w:val="24"/>
          <w:highlight w:val="none"/>
        </w:rPr>
        <w:t>。</w:t>
      </w:r>
    </w:p>
    <w:p w14:paraId="3BF0310E">
      <w:pPr>
        <w:keepNext w:val="0"/>
        <w:keepLines w:val="0"/>
        <w:pageBreakBefore w:val="0"/>
        <w:widowControl w:val="0"/>
        <w:kinsoku/>
        <w:wordWrap w:val="0"/>
        <w:overflowPunct/>
        <w:topLinePunct w:val="0"/>
        <w:autoSpaceDE/>
        <w:autoSpaceDN/>
        <w:bidi w:val="0"/>
        <w:adjustRightInd/>
        <w:snapToGrid/>
        <w:ind w:firstLine="480" w:firstLineChars="200"/>
        <w:jc w:val="both"/>
        <w:textAlignment w:val="auto"/>
        <w:rPr>
          <w:rFonts w:hint="eastAsia" w:ascii="宋体" w:hAnsi="宋体" w:eastAsia="宋体" w:cs="宋体"/>
          <w:color w:val="auto"/>
          <w:kern w:val="2"/>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 xml:space="preserve"> </w:t>
      </w:r>
      <w:bookmarkEnd w:id="114"/>
      <w:r>
        <w:rPr>
          <w:rFonts w:hint="eastAsia" w:cs="宋体"/>
          <w:color w:val="auto"/>
          <w:kern w:val="2"/>
          <w:sz w:val="24"/>
          <w:szCs w:val="24"/>
          <w:highlight w:val="none"/>
          <w:lang w:eastAsia="zh-CN"/>
        </w:rPr>
        <w:t>招标代理机构</w:t>
      </w:r>
      <w:r>
        <w:rPr>
          <w:rFonts w:hint="eastAsia" w:ascii="宋体" w:hAnsi="宋体" w:eastAsia="宋体" w:cs="宋体"/>
          <w:color w:val="auto"/>
          <w:kern w:val="2"/>
          <w:sz w:val="24"/>
          <w:szCs w:val="24"/>
          <w:highlight w:val="none"/>
        </w:rPr>
        <w:t>按照招标文件规定的时间、地点主持开标。</w:t>
      </w:r>
      <w:r>
        <w:rPr>
          <w:rFonts w:hint="eastAsia" w:cs="宋体"/>
          <w:color w:val="auto"/>
          <w:kern w:val="2"/>
          <w:sz w:val="24"/>
          <w:szCs w:val="24"/>
          <w:highlight w:val="none"/>
          <w:lang w:eastAsia="zh-CN"/>
        </w:rPr>
        <w:t>招标人</w:t>
      </w:r>
      <w:r>
        <w:rPr>
          <w:rFonts w:hint="eastAsia" w:ascii="宋体" w:hAnsi="宋体" w:eastAsia="宋体" w:cs="宋体"/>
          <w:color w:val="auto"/>
          <w:kern w:val="2"/>
          <w:sz w:val="24"/>
          <w:szCs w:val="24"/>
          <w:highlight w:val="none"/>
        </w:rPr>
        <w:t>在规定的</w:t>
      </w:r>
      <w:r>
        <w:rPr>
          <w:rFonts w:hint="eastAsia" w:ascii="宋体" w:hAnsi="宋体" w:eastAsia="宋体" w:cs="宋体"/>
          <w:color w:val="auto"/>
          <w:kern w:val="2"/>
          <w:sz w:val="24"/>
          <w:szCs w:val="24"/>
          <w:highlight w:val="none"/>
          <w:lang w:eastAsia="zh-CN"/>
        </w:rPr>
        <w:t>投标文件</w:t>
      </w:r>
      <w:r>
        <w:rPr>
          <w:rFonts w:hint="eastAsia" w:ascii="宋体" w:hAnsi="宋体" w:eastAsia="宋体" w:cs="宋体"/>
          <w:color w:val="auto"/>
          <w:kern w:val="2"/>
          <w:sz w:val="24"/>
          <w:szCs w:val="24"/>
          <w:highlight w:val="none"/>
        </w:rPr>
        <w:t>递交截止时间（开标时间）和地点进行不见面远程开标。</w:t>
      </w:r>
      <w:r>
        <w:rPr>
          <w:rFonts w:hint="eastAsia" w:ascii="宋体" w:hAnsi="宋体" w:eastAsia="宋体" w:cs="宋体"/>
          <w:color w:val="auto"/>
          <w:kern w:val="2"/>
          <w:sz w:val="24"/>
          <w:szCs w:val="24"/>
          <w:highlight w:val="none"/>
          <w:lang w:eastAsia="zh-CN"/>
        </w:rPr>
        <w:t>投标人</w:t>
      </w:r>
      <w:r>
        <w:rPr>
          <w:rFonts w:hint="eastAsia" w:ascii="宋体" w:hAnsi="宋体" w:eastAsia="宋体" w:cs="宋体"/>
          <w:color w:val="auto"/>
          <w:kern w:val="2"/>
          <w:sz w:val="24"/>
          <w:szCs w:val="24"/>
          <w:highlight w:val="none"/>
        </w:rPr>
        <w:t>的法定代表人或其委托代理人无需到达开标现场，仅需在任意地点通过</w:t>
      </w:r>
      <w:r>
        <w:rPr>
          <w:rFonts w:hint="eastAsia" w:cs="宋体"/>
          <w:color w:val="auto"/>
          <w:kern w:val="2"/>
          <w:sz w:val="24"/>
          <w:szCs w:val="24"/>
          <w:highlight w:val="none"/>
          <w:lang w:val="en-US" w:eastAsia="zh-CN"/>
        </w:rPr>
        <w:t>政府采购云平台</w:t>
      </w:r>
      <w:r>
        <w:rPr>
          <w:rFonts w:hint="eastAsia" w:ascii="宋体" w:hAnsi="宋体" w:eastAsia="宋体" w:cs="宋体"/>
          <w:color w:val="auto"/>
          <w:kern w:val="2"/>
          <w:sz w:val="24"/>
          <w:szCs w:val="24"/>
          <w:highlight w:val="none"/>
          <w:lang w:val="en-US" w:eastAsia="zh-CN"/>
        </w:rPr>
        <w:t>（网址：https://www.zcygov.cn/）</w:t>
      </w:r>
      <w:r>
        <w:rPr>
          <w:rFonts w:hint="eastAsia" w:ascii="宋体" w:hAnsi="宋体" w:eastAsia="宋体" w:cs="宋体"/>
          <w:color w:val="auto"/>
          <w:kern w:val="2"/>
          <w:sz w:val="24"/>
          <w:szCs w:val="24"/>
          <w:highlight w:val="none"/>
        </w:rPr>
        <w:t>的</w:t>
      </w:r>
      <w:r>
        <w:rPr>
          <w:rFonts w:hint="eastAsia" w:ascii="宋体" w:hAnsi="宋体" w:eastAsia="宋体" w:cs="宋体"/>
          <w:color w:val="auto"/>
          <w:kern w:val="2"/>
          <w:sz w:val="24"/>
          <w:szCs w:val="24"/>
          <w:highlight w:val="none"/>
          <w:lang w:eastAsia="zh-CN"/>
        </w:rPr>
        <w:t>“</w:t>
      </w:r>
      <w:r>
        <w:rPr>
          <w:rFonts w:hint="eastAsia" w:ascii="宋体" w:hAnsi="宋体" w:eastAsia="宋体" w:cs="宋体"/>
          <w:color w:val="auto"/>
          <w:kern w:val="2"/>
          <w:sz w:val="24"/>
          <w:szCs w:val="24"/>
          <w:highlight w:val="none"/>
        </w:rPr>
        <w:t>政采云登录入口”登录后，进入“政采云远程开标大厅”参加开标会议，并使用CA密钥完成远程解密、提疑澄清、开标唱标、结果公布等交互环节。</w:t>
      </w:r>
    </w:p>
    <w:p w14:paraId="6C69F4AD">
      <w:pPr>
        <w:keepNext w:val="0"/>
        <w:keepLines w:val="0"/>
        <w:pageBreakBefore w:val="0"/>
        <w:widowControl w:val="0"/>
        <w:kinsoku/>
        <w:overflowPunct/>
        <w:topLinePunct w:val="0"/>
        <w:autoSpaceDE/>
        <w:autoSpaceDN/>
        <w:bidi w:val="0"/>
        <w:adjustRightInd/>
        <w:ind w:firstLine="480" w:firstLineChars="200"/>
        <w:jc w:val="both"/>
        <w:textAlignment w:val="auto"/>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rPr>
        <w:t xml:space="preserve">24.3开标过程将宣布投标人名称、投标价格和招标文件规定的需要宣布的其他内容并进行记录，并由参加开标的各投标人确认。投标人未在规定时间内提 出疑义或确认一览表的，视同认可开标结果。 </w:t>
      </w:r>
    </w:p>
    <w:p w14:paraId="334D5D56">
      <w:pPr>
        <w:pStyle w:val="5"/>
        <w:keepNext w:val="0"/>
        <w:keepLines w:val="0"/>
        <w:pageBreakBefore w:val="0"/>
        <w:widowControl w:val="0"/>
        <w:numPr>
          <w:ilvl w:val="0"/>
          <w:numId w:val="0"/>
        </w:numPr>
        <w:kinsoku/>
        <w:wordWrap/>
        <w:overflowPunct/>
        <w:topLinePunct w:val="0"/>
        <w:autoSpaceDE/>
        <w:autoSpaceDN/>
        <w:bidi w:val="0"/>
        <w:adjustRightInd/>
        <w:snapToGrid/>
        <w:spacing w:before="80" w:after="80" w:line="240" w:lineRule="auto"/>
        <w:ind w:left="420" w:leftChars="0" w:hanging="420" w:firstLineChars="0"/>
        <w:jc w:val="both"/>
        <w:textAlignment w:val="auto"/>
        <w:rPr>
          <w:rFonts w:hint="eastAsia" w:ascii="宋体" w:hAnsi="宋体" w:eastAsia="宋体" w:cs="宋体"/>
          <w:b/>
          <w:bCs/>
          <w:color w:val="auto"/>
          <w:kern w:val="2"/>
          <w:sz w:val="24"/>
          <w:szCs w:val="24"/>
          <w:highlight w:val="none"/>
          <w:lang w:val="en-US" w:eastAsia="zh-CN" w:bidi="ar-SA"/>
        </w:rPr>
      </w:pPr>
      <w:bookmarkStart w:id="115" w:name="_Toc163492852"/>
      <w:bookmarkStart w:id="116" w:name="_Toc140132783"/>
      <w:bookmarkStart w:id="117" w:name="_Toc6154"/>
      <w:r>
        <w:rPr>
          <w:rFonts w:hint="eastAsia" w:ascii="宋体" w:hAnsi="宋体" w:eastAsia="宋体" w:cs="宋体"/>
          <w:b/>
          <w:bCs/>
          <w:color w:val="auto"/>
          <w:kern w:val="2"/>
          <w:sz w:val="24"/>
          <w:szCs w:val="24"/>
          <w:highlight w:val="none"/>
          <w:lang w:val="en-US" w:eastAsia="zh-CN" w:bidi="ar-SA"/>
        </w:rPr>
        <w:t>25.开标程序</w:t>
      </w:r>
      <w:bookmarkEnd w:id="115"/>
      <w:bookmarkEnd w:id="116"/>
      <w:bookmarkEnd w:id="117"/>
    </w:p>
    <w:p w14:paraId="1BC7435B">
      <w:pPr>
        <w:keepNext w:val="0"/>
        <w:keepLines w:val="0"/>
        <w:pageBreakBefore w:val="0"/>
        <w:widowControl w:val="0"/>
        <w:kinsoku/>
        <w:overflowPunct/>
        <w:topLinePunct w:val="0"/>
        <w:autoSpaceDE/>
        <w:autoSpaceDN/>
        <w:bidi w:val="0"/>
        <w:adjustRightInd/>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.1 投标人不足3家的，不得开标。</w:t>
      </w:r>
    </w:p>
    <w:p w14:paraId="693FFE60">
      <w:pPr>
        <w:keepNext w:val="0"/>
        <w:keepLines w:val="0"/>
        <w:pageBreakBefore w:val="0"/>
        <w:widowControl w:val="0"/>
        <w:kinsoku/>
        <w:overflowPunct/>
        <w:topLinePunct w:val="0"/>
        <w:autoSpaceDE/>
        <w:autoSpaceDN/>
        <w:bidi w:val="0"/>
        <w:adjustRightInd/>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.2 评标委员会成员不得参加开标活动。</w:t>
      </w:r>
    </w:p>
    <w:p w14:paraId="67791388">
      <w:pPr>
        <w:keepNext w:val="0"/>
        <w:keepLines w:val="0"/>
        <w:pageBreakBefore w:val="0"/>
        <w:widowControl w:val="0"/>
        <w:kinsoku/>
        <w:overflowPunct/>
        <w:topLinePunct w:val="0"/>
        <w:autoSpaceDE/>
        <w:autoSpaceDN/>
        <w:bidi w:val="0"/>
        <w:adjustRightInd/>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.3主持人按下列程序进行开标：</w:t>
      </w:r>
    </w:p>
    <w:p w14:paraId="4B3341A5">
      <w:pPr>
        <w:keepNext w:val="0"/>
        <w:keepLines w:val="0"/>
        <w:pageBreakBefore w:val="0"/>
        <w:widowControl w:val="0"/>
        <w:kinsoku/>
        <w:overflowPunct/>
        <w:topLinePunct w:val="0"/>
        <w:autoSpaceDE/>
        <w:autoSpaceDN/>
        <w:bidi w:val="0"/>
        <w:adjustRightInd/>
        <w:ind w:firstLine="398" w:firstLineChars="166"/>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（1）宣布开标会纪律；</w:t>
      </w:r>
    </w:p>
    <w:p w14:paraId="3480388C">
      <w:pPr>
        <w:keepNext w:val="0"/>
        <w:keepLines w:val="0"/>
        <w:pageBreakBefore w:val="0"/>
        <w:widowControl w:val="0"/>
        <w:kinsoku/>
        <w:overflowPunct/>
        <w:topLinePunct w:val="0"/>
        <w:autoSpaceDE/>
        <w:autoSpaceDN/>
        <w:bidi w:val="0"/>
        <w:adjustRightInd/>
        <w:ind w:firstLine="398" w:firstLineChars="166"/>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（2）介绍参加开标会的单位和人员；</w:t>
      </w:r>
    </w:p>
    <w:p w14:paraId="1CA8FFD6">
      <w:pPr>
        <w:keepNext w:val="0"/>
        <w:keepLines w:val="0"/>
        <w:pageBreakBefore w:val="0"/>
        <w:widowControl w:val="0"/>
        <w:kinsoku/>
        <w:overflowPunct/>
        <w:topLinePunct w:val="0"/>
        <w:autoSpaceDE/>
        <w:autoSpaceDN/>
        <w:bidi w:val="0"/>
        <w:adjustRightInd/>
        <w:ind w:firstLine="398" w:firstLineChars="166"/>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（3）发起投标文件解密。投标人应在“投标人须知前附表”规定的时间内使用加密投标文件的CA证书在系统中完成投标文件的解密；</w:t>
      </w:r>
      <w:r>
        <w:rPr>
          <w:rFonts w:hint="eastAsia" w:ascii="宋体" w:hAnsi="宋体" w:eastAsia="宋体" w:cs="宋体"/>
          <w:color w:val="auto"/>
          <w:sz w:val="24"/>
          <w:szCs w:val="24"/>
          <w:highlight w:val="none"/>
          <w:lang w:val="en-US" w:eastAsia="zh-CN"/>
        </w:rPr>
        <w:t>投标人不足3家的，不予解密；</w:t>
      </w:r>
    </w:p>
    <w:p w14:paraId="5677C159">
      <w:pPr>
        <w:keepNext w:val="0"/>
        <w:keepLines w:val="0"/>
        <w:pageBreakBefore w:val="0"/>
        <w:widowControl w:val="0"/>
        <w:kinsoku/>
        <w:overflowPunct/>
        <w:topLinePunct w:val="0"/>
        <w:autoSpaceDE/>
        <w:autoSpaceDN/>
        <w:bidi w:val="0"/>
        <w:adjustRightInd/>
        <w:ind w:firstLine="398" w:firstLineChars="166"/>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（4）解密完成后，系统自动显示投标人名称、投标价格和招标文件规定的需要宣布的其他内容；</w:t>
      </w:r>
    </w:p>
    <w:p w14:paraId="4019F597">
      <w:pPr>
        <w:keepNext w:val="0"/>
        <w:keepLines w:val="0"/>
        <w:pageBreakBefore w:val="0"/>
        <w:widowControl w:val="0"/>
        <w:kinsoku/>
        <w:overflowPunct/>
        <w:topLinePunct w:val="0"/>
        <w:autoSpaceDE/>
        <w:autoSpaceDN/>
        <w:bidi w:val="0"/>
        <w:adjustRightInd/>
        <w:ind w:left="504" w:leftChars="200" w:hanging="84" w:hangingChars="35"/>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（5）系统自动生成开标记录表，供应商应在线对开标记录进行签署确认</w:t>
      </w:r>
      <w:r>
        <w:rPr>
          <w:rFonts w:hint="eastAsia" w:ascii="宋体" w:hAnsi="宋体" w:eastAsia="宋体" w:cs="宋体"/>
          <w:color w:val="auto"/>
          <w:sz w:val="24"/>
          <w:szCs w:val="24"/>
          <w:highlight w:val="none"/>
          <w:lang w:val="en-US" w:eastAsia="zh-CN"/>
        </w:rPr>
        <w:t>；</w:t>
      </w:r>
    </w:p>
    <w:p w14:paraId="2FA0D46D">
      <w:pPr>
        <w:keepNext w:val="0"/>
        <w:keepLines w:val="0"/>
        <w:pageBreakBefore w:val="0"/>
        <w:widowControl w:val="0"/>
        <w:kinsoku/>
        <w:overflowPunct/>
        <w:topLinePunct w:val="0"/>
        <w:autoSpaceDE/>
        <w:autoSpaceDN/>
        <w:bidi w:val="0"/>
        <w:adjustRightInd/>
        <w:ind w:left="504" w:leftChars="200" w:hanging="84" w:hangingChars="35"/>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（6）开标会结束。</w:t>
      </w:r>
      <w:bookmarkStart w:id="118" w:name="_Toc140132784"/>
      <w:bookmarkStart w:id="119" w:name="_Toc163492853"/>
    </w:p>
    <w:p w14:paraId="3E914038">
      <w:pPr>
        <w:pStyle w:val="5"/>
        <w:keepNext w:val="0"/>
        <w:keepLines w:val="0"/>
        <w:pageBreakBefore w:val="0"/>
        <w:widowControl w:val="0"/>
        <w:numPr>
          <w:ilvl w:val="0"/>
          <w:numId w:val="0"/>
        </w:numPr>
        <w:kinsoku/>
        <w:wordWrap/>
        <w:overflowPunct/>
        <w:topLinePunct w:val="0"/>
        <w:autoSpaceDE/>
        <w:autoSpaceDN/>
        <w:bidi w:val="0"/>
        <w:adjustRightInd/>
        <w:snapToGrid/>
        <w:spacing w:before="80" w:after="80" w:line="240" w:lineRule="auto"/>
        <w:ind w:left="420" w:leftChars="0" w:hanging="420" w:firstLineChars="0"/>
        <w:jc w:val="both"/>
        <w:textAlignment w:val="auto"/>
        <w:rPr>
          <w:rFonts w:hint="eastAsia" w:ascii="宋体" w:hAnsi="宋体" w:eastAsia="宋体" w:cs="宋体"/>
          <w:b/>
          <w:bCs/>
          <w:color w:val="auto"/>
          <w:kern w:val="2"/>
          <w:sz w:val="24"/>
          <w:szCs w:val="24"/>
          <w:highlight w:val="none"/>
          <w:lang w:val="en-US" w:eastAsia="zh-CN" w:bidi="ar-SA"/>
        </w:rPr>
      </w:pPr>
      <w:bookmarkStart w:id="120" w:name="_Toc829"/>
      <w:r>
        <w:rPr>
          <w:rFonts w:hint="eastAsia" w:ascii="宋体" w:hAnsi="宋体" w:eastAsia="宋体" w:cs="宋体"/>
          <w:b/>
          <w:bCs/>
          <w:color w:val="auto"/>
          <w:kern w:val="2"/>
          <w:sz w:val="24"/>
          <w:szCs w:val="24"/>
          <w:highlight w:val="none"/>
          <w:lang w:val="en-US" w:eastAsia="zh-CN" w:bidi="ar-SA"/>
        </w:rPr>
        <w:t>26.开标疑义及回避情形</w:t>
      </w:r>
      <w:bookmarkEnd w:id="118"/>
      <w:bookmarkEnd w:id="119"/>
      <w:bookmarkEnd w:id="120"/>
    </w:p>
    <w:p w14:paraId="37B5B908">
      <w:pPr>
        <w:pStyle w:val="50"/>
        <w:keepNext w:val="0"/>
        <w:keepLines w:val="0"/>
        <w:pageBreakBefore w:val="0"/>
        <w:widowControl w:val="0"/>
        <w:kinsoku/>
        <w:overflowPunct/>
        <w:topLinePunct w:val="0"/>
        <w:autoSpaceDE/>
        <w:autoSpaceDN/>
        <w:bidi w:val="0"/>
        <w:adjustRightInd/>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.1投标人代表对开标过程和开标记录有疑义，以及认为</w:t>
      </w:r>
      <w:r>
        <w:rPr>
          <w:rFonts w:hint="eastAsia" w:cs="宋体"/>
          <w:color w:val="auto"/>
          <w:sz w:val="24"/>
          <w:szCs w:val="24"/>
          <w:highlight w:val="none"/>
          <w:lang w:eastAsia="zh-CN"/>
        </w:rPr>
        <w:t>招标人</w:t>
      </w:r>
      <w:r>
        <w:rPr>
          <w:rFonts w:hint="eastAsia" w:ascii="宋体" w:hAnsi="宋体" w:eastAsia="宋体" w:cs="宋体"/>
          <w:color w:val="auto"/>
          <w:sz w:val="24"/>
          <w:szCs w:val="24"/>
          <w:highlight w:val="none"/>
        </w:rPr>
        <w:t>、</w:t>
      </w:r>
      <w:r>
        <w:rPr>
          <w:rFonts w:hint="eastAsia" w:cs="宋体"/>
          <w:color w:val="auto"/>
          <w:sz w:val="24"/>
          <w:szCs w:val="24"/>
          <w:highlight w:val="none"/>
          <w:lang w:eastAsia="zh-CN"/>
        </w:rPr>
        <w:t>招标代理机构</w:t>
      </w:r>
      <w:r>
        <w:rPr>
          <w:rFonts w:hint="eastAsia" w:ascii="宋体" w:hAnsi="宋体" w:eastAsia="宋体" w:cs="宋体"/>
          <w:color w:val="auto"/>
          <w:sz w:val="24"/>
          <w:szCs w:val="24"/>
          <w:highlight w:val="none"/>
        </w:rPr>
        <w:t>相关工作人员有需要回避的情形的，应在开标会议中提出询问或者回避申请。</w:t>
      </w:r>
      <w:r>
        <w:rPr>
          <w:rFonts w:hint="eastAsia" w:cs="宋体"/>
          <w:color w:val="auto"/>
          <w:sz w:val="24"/>
          <w:szCs w:val="24"/>
          <w:highlight w:val="none"/>
          <w:lang w:eastAsia="zh-CN"/>
        </w:rPr>
        <w:t>招标人</w:t>
      </w:r>
      <w:r>
        <w:rPr>
          <w:rFonts w:hint="eastAsia" w:ascii="宋体" w:hAnsi="宋体" w:eastAsia="宋体" w:cs="宋体"/>
          <w:color w:val="auto"/>
          <w:sz w:val="24"/>
          <w:szCs w:val="24"/>
          <w:highlight w:val="none"/>
        </w:rPr>
        <w:t>、</w:t>
      </w:r>
      <w:r>
        <w:rPr>
          <w:rFonts w:hint="eastAsia" w:cs="宋体"/>
          <w:color w:val="auto"/>
          <w:sz w:val="24"/>
          <w:szCs w:val="24"/>
          <w:highlight w:val="none"/>
          <w:lang w:eastAsia="zh-CN"/>
        </w:rPr>
        <w:t>招标代理机构</w:t>
      </w:r>
      <w:r>
        <w:rPr>
          <w:rFonts w:hint="eastAsia" w:ascii="宋体" w:hAnsi="宋体" w:eastAsia="宋体" w:cs="宋体"/>
          <w:color w:val="auto"/>
          <w:sz w:val="24"/>
          <w:szCs w:val="24"/>
          <w:highlight w:val="none"/>
        </w:rPr>
        <w:t>对投标人授权代表提出的询问或者回避申请应当及时处理。</w:t>
      </w:r>
    </w:p>
    <w:p w14:paraId="15F2CA9A">
      <w:pPr>
        <w:pStyle w:val="50"/>
        <w:keepNext w:val="0"/>
        <w:keepLines w:val="0"/>
        <w:pageBreakBefore w:val="0"/>
        <w:widowControl w:val="0"/>
        <w:kinsoku/>
        <w:overflowPunct/>
        <w:topLinePunct w:val="0"/>
        <w:autoSpaceDE/>
        <w:autoSpaceDN/>
        <w:bidi w:val="0"/>
        <w:adjustRightInd/>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.2投标人未参加开标的，视同认可开标结果。</w:t>
      </w:r>
    </w:p>
    <w:p w14:paraId="30F0AFC6">
      <w:pPr>
        <w:pStyle w:val="4"/>
        <w:keepNext w:val="0"/>
        <w:keepLines w:val="0"/>
        <w:pageBreakBefore w:val="0"/>
        <w:widowControl w:val="0"/>
        <w:numPr>
          <w:ilvl w:val="0"/>
          <w:numId w:val="0"/>
        </w:numPr>
        <w:kinsoku/>
        <w:wordWrap/>
        <w:overflowPunct/>
        <w:topLinePunct w:val="0"/>
        <w:autoSpaceDE/>
        <w:autoSpaceDN/>
        <w:bidi w:val="0"/>
        <w:adjustRightInd/>
        <w:snapToGrid/>
        <w:spacing w:before="120" w:after="120" w:line="240" w:lineRule="auto"/>
        <w:ind w:left="420" w:leftChars="0" w:hanging="420" w:firstLineChars="0"/>
        <w:jc w:val="both"/>
        <w:textAlignment w:val="auto"/>
        <w:rPr>
          <w:rFonts w:hint="eastAsia" w:ascii="宋体" w:hAnsi="宋体" w:eastAsia="宋体" w:cs="宋体"/>
          <w:b/>
          <w:bCs/>
          <w:color w:val="auto"/>
          <w:kern w:val="2"/>
          <w:sz w:val="24"/>
          <w:szCs w:val="24"/>
          <w:highlight w:val="none"/>
          <w:lang w:val="en-US" w:eastAsia="zh-CN" w:bidi="ar-SA"/>
        </w:rPr>
      </w:pPr>
      <w:bookmarkStart w:id="121" w:name="_Toc155185877"/>
      <w:bookmarkStart w:id="122" w:name="_Toc140132785"/>
      <w:bookmarkStart w:id="123" w:name="_Toc163492854"/>
      <w:bookmarkStart w:id="124" w:name="_Toc28318"/>
      <w:r>
        <w:rPr>
          <w:rFonts w:hint="eastAsia" w:ascii="宋体" w:hAnsi="宋体" w:eastAsia="宋体" w:cs="宋体"/>
          <w:b/>
          <w:bCs/>
          <w:color w:val="auto"/>
          <w:kern w:val="2"/>
          <w:sz w:val="24"/>
          <w:szCs w:val="24"/>
          <w:highlight w:val="none"/>
          <w:lang w:val="en-US" w:eastAsia="zh-CN" w:bidi="ar-SA"/>
        </w:rPr>
        <w:t>（六）资格审查</w:t>
      </w:r>
      <w:bookmarkEnd w:id="121"/>
      <w:bookmarkEnd w:id="122"/>
      <w:bookmarkEnd w:id="123"/>
      <w:bookmarkEnd w:id="124"/>
    </w:p>
    <w:p w14:paraId="201474BE">
      <w:pPr>
        <w:pStyle w:val="5"/>
        <w:keepNext w:val="0"/>
        <w:keepLines w:val="0"/>
        <w:pageBreakBefore w:val="0"/>
        <w:widowControl w:val="0"/>
        <w:numPr>
          <w:ilvl w:val="0"/>
          <w:numId w:val="0"/>
        </w:numPr>
        <w:kinsoku/>
        <w:wordWrap/>
        <w:overflowPunct/>
        <w:topLinePunct w:val="0"/>
        <w:autoSpaceDE/>
        <w:autoSpaceDN/>
        <w:bidi w:val="0"/>
        <w:adjustRightInd/>
        <w:snapToGrid/>
        <w:spacing w:before="80" w:after="80" w:line="240" w:lineRule="auto"/>
        <w:ind w:left="420" w:leftChars="0" w:hanging="420" w:firstLineChars="0"/>
        <w:jc w:val="both"/>
        <w:textAlignment w:val="auto"/>
        <w:rPr>
          <w:rFonts w:hint="eastAsia" w:ascii="宋体" w:hAnsi="宋体" w:eastAsia="宋体" w:cs="宋体"/>
          <w:b/>
          <w:bCs/>
          <w:color w:val="auto"/>
          <w:kern w:val="2"/>
          <w:sz w:val="24"/>
          <w:szCs w:val="24"/>
          <w:highlight w:val="none"/>
          <w:lang w:val="en-US" w:eastAsia="zh-CN" w:bidi="ar-SA"/>
        </w:rPr>
      </w:pPr>
      <w:bookmarkStart w:id="125" w:name="_Toc163492855"/>
      <w:bookmarkStart w:id="126" w:name="_Toc8772"/>
      <w:r>
        <w:rPr>
          <w:rFonts w:hint="eastAsia" w:ascii="宋体" w:hAnsi="宋体" w:eastAsia="宋体" w:cs="宋体"/>
          <w:b/>
          <w:bCs/>
          <w:color w:val="auto"/>
          <w:kern w:val="2"/>
          <w:sz w:val="24"/>
          <w:szCs w:val="24"/>
          <w:highlight w:val="none"/>
          <w:lang w:val="en-US" w:eastAsia="zh-CN" w:bidi="ar-SA"/>
        </w:rPr>
        <w:t>27.资格审查及审查主体</w:t>
      </w:r>
      <w:bookmarkEnd w:id="125"/>
      <w:bookmarkEnd w:id="126"/>
    </w:p>
    <w:p w14:paraId="5840A678">
      <w:pPr>
        <w:pStyle w:val="50"/>
        <w:keepNext w:val="0"/>
        <w:keepLines w:val="0"/>
        <w:pageBreakBefore w:val="0"/>
        <w:widowControl w:val="0"/>
        <w:kinsoku/>
        <w:overflowPunct/>
        <w:topLinePunct w:val="0"/>
        <w:autoSpaceDE/>
        <w:autoSpaceDN/>
        <w:bidi w:val="0"/>
        <w:adjustRightInd/>
        <w:jc w:val="both"/>
        <w:textAlignment w:val="auto"/>
        <w:rPr>
          <w:rFonts w:hint="eastAsia" w:ascii="宋体" w:hAnsi="宋体" w:eastAsia="宋体" w:cs="宋体"/>
          <w:color w:val="auto"/>
          <w:sz w:val="24"/>
          <w:szCs w:val="24"/>
          <w:highlight w:val="none"/>
        </w:rPr>
      </w:pPr>
      <w:bookmarkStart w:id="127" w:name="_Toc140132786"/>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.1</w:t>
      </w:r>
      <w:bookmarkEnd w:id="127"/>
      <w:r>
        <w:rPr>
          <w:rFonts w:hint="eastAsia" w:ascii="宋体" w:hAnsi="宋体" w:eastAsia="宋体" w:cs="宋体"/>
          <w:color w:val="auto"/>
          <w:sz w:val="24"/>
          <w:szCs w:val="24"/>
          <w:highlight w:val="none"/>
        </w:rPr>
        <w:t>开标结束后，</w:t>
      </w:r>
      <w:r>
        <w:rPr>
          <w:rFonts w:hint="eastAsia" w:cs="宋体"/>
          <w:color w:val="auto"/>
          <w:sz w:val="24"/>
          <w:szCs w:val="24"/>
          <w:highlight w:val="none"/>
          <w:lang w:eastAsia="zh-CN"/>
        </w:rPr>
        <w:t>招标人</w:t>
      </w:r>
      <w:r>
        <w:rPr>
          <w:rFonts w:hint="eastAsia" w:ascii="宋体" w:hAnsi="宋体" w:eastAsia="宋体" w:cs="宋体"/>
          <w:color w:val="auto"/>
          <w:sz w:val="24"/>
          <w:szCs w:val="24"/>
          <w:highlight w:val="none"/>
        </w:rPr>
        <w:t>或者</w:t>
      </w:r>
      <w:r>
        <w:rPr>
          <w:rFonts w:hint="eastAsia" w:cs="宋体"/>
          <w:color w:val="auto"/>
          <w:sz w:val="24"/>
          <w:szCs w:val="24"/>
          <w:highlight w:val="none"/>
          <w:lang w:eastAsia="zh-CN"/>
        </w:rPr>
        <w:t>招标代理机构</w:t>
      </w:r>
      <w:r>
        <w:rPr>
          <w:rFonts w:hint="eastAsia" w:ascii="宋体" w:hAnsi="宋体" w:eastAsia="宋体" w:cs="宋体"/>
          <w:color w:val="auto"/>
          <w:sz w:val="24"/>
          <w:szCs w:val="24"/>
          <w:highlight w:val="none"/>
        </w:rPr>
        <w:t>应当依法对投标人的资格进行审查。</w:t>
      </w:r>
    </w:p>
    <w:p w14:paraId="51AA6FAD">
      <w:pPr>
        <w:pStyle w:val="50"/>
        <w:keepNext w:val="0"/>
        <w:keepLines w:val="0"/>
        <w:pageBreakBefore w:val="0"/>
        <w:widowControl w:val="0"/>
        <w:kinsoku/>
        <w:overflowPunct/>
        <w:topLinePunct w:val="0"/>
        <w:autoSpaceDE/>
        <w:autoSpaceDN/>
        <w:bidi w:val="0"/>
        <w:adjustRightInd/>
        <w:jc w:val="both"/>
        <w:textAlignment w:val="auto"/>
        <w:rPr>
          <w:rFonts w:hint="eastAsia" w:ascii="宋体" w:hAnsi="宋体" w:eastAsia="宋体" w:cs="宋体"/>
          <w:color w:val="auto"/>
          <w:sz w:val="24"/>
          <w:szCs w:val="24"/>
          <w:highlight w:val="none"/>
        </w:rPr>
      </w:pPr>
      <w:bookmarkStart w:id="128" w:name="_Toc140132787"/>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.2资格审查按“第四章</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资格审查”的规定进行。</w:t>
      </w:r>
      <w:bookmarkEnd w:id="128"/>
    </w:p>
    <w:p w14:paraId="25DAD2BA">
      <w:pPr>
        <w:pStyle w:val="50"/>
        <w:keepNext w:val="0"/>
        <w:keepLines w:val="0"/>
        <w:pageBreakBefore w:val="0"/>
        <w:widowControl w:val="0"/>
        <w:kinsoku/>
        <w:overflowPunct/>
        <w:topLinePunct w:val="0"/>
        <w:autoSpaceDE/>
        <w:autoSpaceDN/>
        <w:bidi w:val="0"/>
        <w:adjustRightInd/>
        <w:jc w:val="both"/>
        <w:textAlignment w:val="auto"/>
        <w:rPr>
          <w:rFonts w:hint="eastAsia" w:ascii="宋体" w:hAnsi="宋体" w:eastAsia="宋体" w:cs="宋体"/>
          <w:color w:val="auto"/>
          <w:sz w:val="24"/>
          <w:szCs w:val="24"/>
          <w:highlight w:val="none"/>
        </w:rPr>
      </w:pPr>
      <w:bookmarkStart w:id="129" w:name="_Toc140132788"/>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.3资格审查结束后，应及时对资格审查结果进行复核，对资格审查错误进行及时纠正并记录。</w:t>
      </w:r>
      <w:bookmarkEnd w:id="129"/>
    </w:p>
    <w:p w14:paraId="622ADAB5">
      <w:pPr>
        <w:pStyle w:val="50"/>
        <w:keepNext w:val="0"/>
        <w:keepLines w:val="0"/>
        <w:pageBreakBefore w:val="0"/>
        <w:widowControl w:val="0"/>
        <w:kinsoku/>
        <w:overflowPunct/>
        <w:topLinePunct w:val="0"/>
        <w:autoSpaceDE/>
        <w:autoSpaceDN/>
        <w:bidi w:val="0"/>
        <w:adjustRightInd/>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27.4</w:t>
      </w:r>
      <w:r>
        <w:rPr>
          <w:rFonts w:hint="eastAsia" w:ascii="宋体" w:hAnsi="宋体" w:eastAsia="宋体" w:cs="宋体"/>
          <w:color w:val="auto"/>
          <w:sz w:val="24"/>
          <w:szCs w:val="24"/>
          <w:highlight w:val="none"/>
        </w:rPr>
        <w:t>资格审查合格投标人不足3家的，不得评标。</w:t>
      </w:r>
    </w:p>
    <w:p w14:paraId="4C3239F8">
      <w:pPr>
        <w:pStyle w:val="4"/>
        <w:keepNext w:val="0"/>
        <w:keepLines w:val="0"/>
        <w:pageBreakBefore w:val="0"/>
        <w:widowControl w:val="0"/>
        <w:numPr>
          <w:ilvl w:val="0"/>
          <w:numId w:val="0"/>
        </w:numPr>
        <w:kinsoku/>
        <w:wordWrap/>
        <w:overflowPunct/>
        <w:topLinePunct w:val="0"/>
        <w:autoSpaceDE/>
        <w:autoSpaceDN/>
        <w:bidi w:val="0"/>
        <w:adjustRightInd/>
        <w:snapToGrid/>
        <w:spacing w:before="120" w:after="120" w:line="240" w:lineRule="auto"/>
        <w:ind w:left="420" w:leftChars="0" w:hanging="420" w:firstLineChars="0"/>
        <w:jc w:val="both"/>
        <w:textAlignment w:val="auto"/>
        <w:rPr>
          <w:rFonts w:hint="eastAsia" w:ascii="宋体" w:hAnsi="宋体" w:eastAsia="宋体" w:cs="宋体"/>
          <w:b/>
          <w:bCs/>
          <w:color w:val="auto"/>
          <w:kern w:val="2"/>
          <w:sz w:val="24"/>
          <w:szCs w:val="24"/>
          <w:highlight w:val="none"/>
          <w:lang w:val="en-US" w:eastAsia="zh-CN" w:bidi="ar-SA"/>
        </w:rPr>
      </w:pPr>
      <w:bookmarkStart w:id="130" w:name="_Toc28643"/>
      <w:bookmarkStart w:id="131" w:name="_Toc163492856"/>
      <w:bookmarkStart w:id="132" w:name="_Toc155185878"/>
      <w:bookmarkStart w:id="133" w:name="_Toc140132789"/>
      <w:r>
        <w:rPr>
          <w:rFonts w:hint="eastAsia" w:ascii="宋体" w:hAnsi="宋体" w:eastAsia="宋体" w:cs="宋体"/>
          <w:b/>
          <w:bCs/>
          <w:color w:val="auto"/>
          <w:kern w:val="2"/>
          <w:sz w:val="24"/>
          <w:szCs w:val="24"/>
          <w:highlight w:val="none"/>
          <w:lang w:val="en-US" w:eastAsia="zh-CN" w:bidi="ar-SA"/>
        </w:rPr>
        <w:t>（七）评标</w:t>
      </w:r>
      <w:bookmarkEnd w:id="130"/>
      <w:bookmarkEnd w:id="131"/>
      <w:bookmarkEnd w:id="132"/>
      <w:bookmarkEnd w:id="133"/>
    </w:p>
    <w:p w14:paraId="609D448E">
      <w:pPr>
        <w:pStyle w:val="5"/>
        <w:keepNext w:val="0"/>
        <w:keepLines w:val="0"/>
        <w:pageBreakBefore w:val="0"/>
        <w:widowControl w:val="0"/>
        <w:numPr>
          <w:ilvl w:val="0"/>
          <w:numId w:val="0"/>
        </w:numPr>
        <w:kinsoku/>
        <w:wordWrap/>
        <w:overflowPunct/>
        <w:topLinePunct w:val="0"/>
        <w:autoSpaceDE/>
        <w:autoSpaceDN/>
        <w:bidi w:val="0"/>
        <w:adjustRightInd/>
        <w:snapToGrid/>
        <w:spacing w:before="80" w:after="80" w:line="240" w:lineRule="auto"/>
        <w:ind w:left="420" w:leftChars="0" w:hanging="420" w:firstLineChars="0"/>
        <w:jc w:val="both"/>
        <w:textAlignment w:val="auto"/>
        <w:rPr>
          <w:rFonts w:hint="eastAsia" w:ascii="宋体" w:hAnsi="宋体" w:eastAsia="宋体" w:cs="宋体"/>
          <w:b/>
          <w:bCs/>
          <w:color w:val="auto"/>
          <w:kern w:val="2"/>
          <w:sz w:val="24"/>
          <w:szCs w:val="24"/>
          <w:highlight w:val="none"/>
          <w:lang w:val="en-US" w:eastAsia="zh-CN" w:bidi="ar-SA"/>
        </w:rPr>
      </w:pPr>
      <w:bookmarkStart w:id="134" w:name="_Toc12158"/>
      <w:bookmarkStart w:id="135" w:name="_Toc140132790"/>
      <w:bookmarkStart w:id="136" w:name="_Toc163492857"/>
      <w:r>
        <w:rPr>
          <w:rFonts w:hint="eastAsia" w:ascii="宋体" w:hAnsi="宋体" w:eastAsia="宋体" w:cs="宋体"/>
          <w:b/>
          <w:bCs/>
          <w:color w:val="auto"/>
          <w:kern w:val="2"/>
          <w:sz w:val="24"/>
          <w:szCs w:val="24"/>
          <w:highlight w:val="none"/>
          <w:lang w:val="en-US" w:eastAsia="zh-CN" w:bidi="ar-SA"/>
        </w:rPr>
        <w:t>28.评标委员会</w:t>
      </w:r>
      <w:bookmarkEnd w:id="134"/>
      <w:bookmarkEnd w:id="135"/>
      <w:bookmarkEnd w:id="136"/>
    </w:p>
    <w:p w14:paraId="3F28D968">
      <w:pPr>
        <w:pStyle w:val="50"/>
        <w:keepNext w:val="0"/>
        <w:keepLines w:val="0"/>
        <w:pageBreakBefore w:val="0"/>
        <w:widowControl w:val="0"/>
        <w:kinsoku/>
        <w:overflowPunct/>
        <w:topLinePunct w:val="0"/>
        <w:autoSpaceDE/>
        <w:autoSpaceDN/>
        <w:bidi w:val="0"/>
        <w:adjustRightInd/>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.1 评标由</w:t>
      </w:r>
      <w:r>
        <w:rPr>
          <w:rFonts w:hint="eastAsia" w:cs="宋体"/>
          <w:color w:val="auto"/>
          <w:sz w:val="24"/>
          <w:szCs w:val="24"/>
          <w:highlight w:val="none"/>
          <w:lang w:eastAsia="zh-CN"/>
        </w:rPr>
        <w:t>招标人</w:t>
      </w:r>
      <w:r>
        <w:rPr>
          <w:rFonts w:hint="eastAsia" w:ascii="宋体" w:hAnsi="宋体" w:eastAsia="宋体" w:cs="宋体"/>
          <w:color w:val="auto"/>
          <w:sz w:val="24"/>
          <w:szCs w:val="24"/>
          <w:highlight w:val="none"/>
        </w:rPr>
        <w:t>依法组建的评标委员会负责。评标委员会由</w:t>
      </w:r>
      <w:r>
        <w:rPr>
          <w:rFonts w:hint="eastAsia" w:cs="宋体"/>
          <w:color w:val="auto"/>
          <w:sz w:val="24"/>
          <w:szCs w:val="24"/>
          <w:highlight w:val="none"/>
          <w:lang w:eastAsia="zh-CN"/>
        </w:rPr>
        <w:t>招标人</w:t>
      </w:r>
      <w:r>
        <w:rPr>
          <w:rFonts w:hint="eastAsia" w:ascii="宋体" w:hAnsi="宋体" w:eastAsia="宋体" w:cs="宋体"/>
          <w:color w:val="auto"/>
          <w:sz w:val="24"/>
          <w:szCs w:val="24"/>
          <w:highlight w:val="none"/>
        </w:rPr>
        <w:t>代表和评审专家组成</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成员人数应当为5</w:t>
      </w:r>
      <w:r>
        <w:rPr>
          <w:rFonts w:hint="eastAsia" w:ascii="宋体" w:hAnsi="宋体" w:eastAsia="宋体" w:cs="宋体"/>
          <w:color w:val="auto"/>
          <w:sz w:val="24"/>
          <w:szCs w:val="24"/>
          <w:highlight w:val="none"/>
        </w:rPr>
        <w:t>人以上单数，其中</w:t>
      </w:r>
      <w:r>
        <w:rPr>
          <w:rFonts w:hint="eastAsia" w:ascii="宋体" w:hAnsi="宋体" w:eastAsia="宋体" w:cs="宋体"/>
          <w:color w:val="auto"/>
          <w:sz w:val="24"/>
          <w:szCs w:val="24"/>
          <w:highlight w:val="none"/>
          <w:lang w:val="en-US" w:eastAsia="zh-CN"/>
        </w:rPr>
        <w:t>评审</w:t>
      </w:r>
      <w:r>
        <w:rPr>
          <w:rFonts w:hint="eastAsia" w:ascii="宋体" w:hAnsi="宋体" w:eastAsia="宋体" w:cs="宋体"/>
          <w:color w:val="auto"/>
          <w:sz w:val="24"/>
          <w:szCs w:val="24"/>
          <w:highlight w:val="none"/>
        </w:rPr>
        <w:t>专家不</w:t>
      </w:r>
      <w:r>
        <w:rPr>
          <w:rFonts w:hint="eastAsia" w:ascii="宋体" w:hAnsi="宋体" w:eastAsia="宋体" w:cs="宋体"/>
          <w:color w:val="auto"/>
          <w:sz w:val="24"/>
          <w:szCs w:val="24"/>
          <w:highlight w:val="none"/>
          <w:lang w:val="en-US" w:eastAsia="zh-CN"/>
        </w:rPr>
        <w:t>得</w:t>
      </w:r>
      <w:r>
        <w:rPr>
          <w:rFonts w:hint="eastAsia" w:ascii="宋体" w:hAnsi="宋体" w:eastAsia="宋体" w:cs="宋体"/>
          <w:color w:val="auto"/>
          <w:sz w:val="24"/>
          <w:szCs w:val="24"/>
          <w:highlight w:val="none"/>
        </w:rPr>
        <w:t>少于</w:t>
      </w:r>
      <w:r>
        <w:rPr>
          <w:rFonts w:hint="eastAsia" w:ascii="宋体" w:hAnsi="宋体" w:eastAsia="宋体" w:cs="宋体"/>
          <w:color w:val="auto"/>
          <w:sz w:val="24"/>
          <w:szCs w:val="24"/>
          <w:highlight w:val="none"/>
          <w:lang w:val="en-US" w:eastAsia="zh-CN"/>
        </w:rPr>
        <w:t>成员总数的</w:t>
      </w:r>
      <w:r>
        <w:rPr>
          <w:rFonts w:hint="eastAsia" w:ascii="宋体" w:hAnsi="宋体" w:eastAsia="宋体" w:cs="宋体"/>
          <w:color w:val="auto"/>
          <w:sz w:val="24"/>
          <w:szCs w:val="24"/>
          <w:highlight w:val="none"/>
        </w:rPr>
        <w:t>三分之二。</w:t>
      </w:r>
      <w:r>
        <w:rPr>
          <w:rFonts w:hint="eastAsia" w:cs="宋体"/>
          <w:color w:val="auto"/>
          <w:sz w:val="24"/>
          <w:szCs w:val="24"/>
          <w:highlight w:val="none"/>
          <w:lang w:val="en-US" w:eastAsia="zh-CN"/>
        </w:rPr>
        <w:t>招标人</w:t>
      </w:r>
      <w:r>
        <w:rPr>
          <w:rFonts w:hint="eastAsia" w:ascii="宋体" w:hAnsi="宋体" w:eastAsia="宋体" w:cs="宋体"/>
          <w:color w:val="auto"/>
          <w:sz w:val="24"/>
          <w:szCs w:val="24"/>
          <w:highlight w:val="none"/>
          <w:lang w:val="en-US" w:eastAsia="zh-CN"/>
        </w:rPr>
        <w:t>或者</w:t>
      </w:r>
      <w:r>
        <w:rPr>
          <w:rFonts w:hint="eastAsia" w:cs="宋体"/>
          <w:color w:val="auto"/>
          <w:sz w:val="24"/>
          <w:szCs w:val="24"/>
          <w:highlight w:val="none"/>
          <w:lang w:val="en-US" w:eastAsia="zh-CN"/>
        </w:rPr>
        <w:t>招标代理机构</w:t>
      </w:r>
      <w:r>
        <w:rPr>
          <w:rFonts w:hint="eastAsia" w:ascii="宋体" w:hAnsi="宋体" w:eastAsia="宋体" w:cs="宋体"/>
          <w:color w:val="auto"/>
          <w:sz w:val="24"/>
          <w:szCs w:val="24"/>
          <w:highlight w:val="none"/>
          <w:lang w:val="en-US" w:eastAsia="zh-CN"/>
        </w:rPr>
        <w:t>应当从省级以上财政部门设立的政府采购评审专家库中，通过随机方式抽取评审专家。</w:t>
      </w:r>
    </w:p>
    <w:p w14:paraId="298E309B">
      <w:pPr>
        <w:pStyle w:val="50"/>
        <w:keepNext w:val="0"/>
        <w:keepLines w:val="0"/>
        <w:pageBreakBefore w:val="0"/>
        <w:widowControl w:val="0"/>
        <w:kinsoku/>
        <w:overflowPunct/>
        <w:topLinePunct w:val="0"/>
        <w:autoSpaceDE/>
        <w:autoSpaceDN/>
        <w:bidi w:val="0"/>
        <w:adjustRightInd/>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28.2 采购项目符合下列情形之一的，评标委员会成员人数应当为7人以上单数：</w:t>
      </w:r>
    </w:p>
    <w:p w14:paraId="5177ADD7">
      <w:pPr>
        <w:pStyle w:val="50"/>
        <w:keepNext w:val="0"/>
        <w:keepLines w:val="0"/>
        <w:pageBreakBefore w:val="0"/>
        <w:widowControl w:val="0"/>
        <w:kinsoku/>
        <w:overflowPunct/>
        <w:topLinePunct w:val="0"/>
        <w:autoSpaceDE/>
        <w:autoSpaceDN/>
        <w:bidi w:val="0"/>
        <w:adjustRightInd/>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（1）采购预算金额在1000万元以上；</w:t>
      </w:r>
    </w:p>
    <w:p w14:paraId="170EFBCD">
      <w:pPr>
        <w:pStyle w:val="50"/>
        <w:keepNext w:val="0"/>
        <w:keepLines w:val="0"/>
        <w:pageBreakBefore w:val="0"/>
        <w:widowControl w:val="0"/>
        <w:kinsoku/>
        <w:overflowPunct/>
        <w:topLinePunct w:val="0"/>
        <w:autoSpaceDE/>
        <w:autoSpaceDN/>
        <w:bidi w:val="0"/>
        <w:adjustRightInd/>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（2）技术复杂；</w:t>
      </w:r>
    </w:p>
    <w:p w14:paraId="2F07C85E">
      <w:pPr>
        <w:pStyle w:val="50"/>
        <w:keepNext w:val="0"/>
        <w:keepLines w:val="0"/>
        <w:pageBreakBefore w:val="0"/>
        <w:widowControl w:val="0"/>
        <w:kinsoku/>
        <w:overflowPunct/>
        <w:topLinePunct w:val="0"/>
        <w:autoSpaceDE/>
        <w:autoSpaceDN/>
        <w:bidi w:val="0"/>
        <w:adjustRightInd/>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（3）社会影响较大。</w:t>
      </w:r>
    </w:p>
    <w:p w14:paraId="252EE42E">
      <w:pPr>
        <w:pStyle w:val="50"/>
        <w:keepNext w:val="0"/>
        <w:keepLines w:val="0"/>
        <w:pageBreakBefore w:val="0"/>
        <w:widowControl w:val="0"/>
        <w:kinsoku/>
        <w:overflowPunct/>
        <w:topLinePunct w:val="0"/>
        <w:autoSpaceDE/>
        <w:autoSpaceDN/>
        <w:bidi w:val="0"/>
        <w:adjustRightInd/>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28.3评审专家对本单位的采购项目只能作为</w:t>
      </w:r>
      <w:r>
        <w:rPr>
          <w:rFonts w:hint="eastAsia" w:cs="宋体"/>
          <w:color w:val="auto"/>
          <w:sz w:val="24"/>
          <w:szCs w:val="24"/>
          <w:highlight w:val="none"/>
          <w:lang w:val="en-US" w:eastAsia="zh-CN"/>
        </w:rPr>
        <w:t>招标人</w:t>
      </w:r>
      <w:r>
        <w:rPr>
          <w:rFonts w:hint="eastAsia" w:ascii="宋体" w:hAnsi="宋体" w:eastAsia="宋体" w:cs="宋体"/>
          <w:color w:val="auto"/>
          <w:sz w:val="24"/>
          <w:szCs w:val="24"/>
          <w:highlight w:val="none"/>
          <w:lang w:val="en-US" w:eastAsia="zh-CN"/>
        </w:rPr>
        <w:t>代表参与评标，对技术复杂、专业性强的采购项目，通过随机方式难以确定合适评审专家的，经主管预算单位同意，</w:t>
      </w:r>
      <w:r>
        <w:rPr>
          <w:rFonts w:hint="eastAsia" w:cs="宋体"/>
          <w:color w:val="auto"/>
          <w:sz w:val="24"/>
          <w:szCs w:val="24"/>
          <w:highlight w:val="none"/>
          <w:lang w:val="en-US" w:eastAsia="zh-CN"/>
        </w:rPr>
        <w:t>招标人</w:t>
      </w:r>
      <w:r>
        <w:rPr>
          <w:rFonts w:hint="eastAsia" w:ascii="宋体" w:hAnsi="宋体" w:eastAsia="宋体" w:cs="宋体"/>
          <w:color w:val="auto"/>
          <w:sz w:val="24"/>
          <w:szCs w:val="24"/>
          <w:highlight w:val="none"/>
          <w:lang w:val="en-US" w:eastAsia="zh-CN"/>
        </w:rPr>
        <w:t>可以自行选定相应专业领域的评审专家。</w:t>
      </w:r>
      <w:r>
        <w:rPr>
          <w:rFonts w:hint="eastAsia" w:cs="宋体"/>
          <w:color w:val="auto"/>
          <w:sz w:val="24"/>
          <w:szCs w:val="24"/>
          <w:highlight w:val="none"/>
          <w:lang w:val="en-US" w:eastAsia="zh-CN"/>
        </w:rPr>
        <w:t>招标代理机构</w:t>
      </w:r>
      <w:r>
        <w:rPr>
          <w:rFonts w:hint="eastAsia" w:ascii="宋体" w:hAnsi="宋体" w:eastAsia="宋体" w:cs="宋体"/>
          <w:color w:val="auto"/>
          <w:sz w:val="24"/>
          <w:szCs w:val="24"/>
          <w:highlight w:val="none"/>
          <w:lang w:val="en-US" w:eastAsia="zh-CN"/>
        </w:rPr>
        <w:t>工作人员不得参加由本机构代理的政府采购项目的评标。</w:t>
      </w:r>
    </w:p>
    <w:p w14:paraId="4A611CE2">
      <w:pPr>
        <w:pStyle w:val="50"/>
        <w:keepNext w:val="0"/>
        <w:keepLines w:val="0"/>
        <w:pageBreakBefore w:val="0"/>
        <w:widowControl w:val="0"/>
        <w:kinsoku/>
        <w:overflowPunct/>
        <w:topLinePunct w:val="0"/>
        <w:autoSpaceDE/>
        <w:autoSpaceDN/>
        <w:bidi w:val="0"/>
        <w:adjustRightInd/>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28.4评标委员会成员名单在评标结果公告前应当保密。</w:t>
      </w:r>
    </w:p>
    <w:p w14:paraId="1BD080D0">
      <w:pPr>
        <w:pStyle w:val="50"/>
        <w:keepNext w:val="0"/>
        <w:keepLines w:val="0"/>
        <w:pageBreakBefore w:val="0"/>
        <w:widowControl w:val="0"/>
        <w:kinsoku/>
        <w:overflowPunct/>
        <w:topLinePunct w:val="0"/>
        <w:autoSpaceDE/>
        <w:autoSpaceDN/>
        <w:bidi w:val="0"/>
        <w:adjustRightInd/>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28.5评标中因评标委员会成员缺席、回避或者健康等特殊原因导致评标委员会组成不符合本办法规定的，</w:t>
      </w:r>
      <w:r>
        <w:rPr>
          <w:rFonts w:hint="eastAsia" w:cs="宋体"/>
          <w:color w:val="auto"/>
          <w:sz w:val="24"/>
          <w:szCs w:val="24"/>
          <w:highlight w:val="none"/>
          <w:lang w:val="en-US" w:eastAsia="zh-CN"/>
        </w:rPr>
        <w:t>招标人</w:t>
      </w:r>
      <w:r>
        <w:rPr>
          <w:rFonts w:hint="eastAsia" w:ascii="宋体" w:hAnsi="宋体" w:eastAsia="宋体" w:cs="宋体"/>
          <w:color w:val="auto"/>
          <w:sz w:val="24"/>
          <w:szCs w:val="24"/>
          <w:highlight w:val="none"/>
          <w:lang w:val="en-US" w:eastAsia="zh-CN"/>
        </w:rPr>
        <w:t>或者</w:t>
      </w:r>
      <w:r>
        <w:rPr>
          <w:rFonts w:hint="eastAsia" w:cs="宋体"/>
          <w:color w:val="auto"/>
          <w:sz w:val="24"/>
          <w:szCs w:val="24"/>
          <w:highlight w:val="none"/>
          <w:lang w:val="en-US" w:eastAsia="zh-CN"/>
        </w:rPr>
        <w:t>招标代理机构</w:t>
      </w:r>
      <w:r>
        <w:rPr>
          <w:rFonts w:hint="eastAsia" w:ascii="宋体" w:hAnsi="宋体" w:eastAsia="宋体" w:cs="宋体"/>
          <w:color w:val="auto"/>
          <w:sz w:val="24"/>
          <w:szCs w:val="24"/>
          <w:highlight w:val="none"/>
          <w:lang w:val="en-US" w:eastAsia="zh-CN"/>
        </w:rPr>
        <w:t>应当依法补足后继续评标。被更换的评标委员会成员所作出的评标意见无效。</w:t>
      </w:r>
    </w:p>
    <w:p w14:paraId="42BEA4A1">
      <w:pPr>
        <w:pStyle w:val="50"/>
        <w:keepNext w:val="0"/>
        <w:keepLines w:val="0"/>
        <w:pageBreakBefore w:val="0"/>
        <w:widowControl w:val="0"/>
        <w:kinsoku/>
        <w:overflowPunct/>
        <w:topLinePunct w:val="0"/>
        <w:autoSpaceDE/>
        <w:autoSpaceDN/>
        <w:bidi w:val="0"/>
        <w:adjustRightInd/>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28.6无法及时补足评标委员会成员的，</w:t>
      </w:r>
      <w:r>
        <w:rPr>
          <w:rFonts w:hint="eastAsia" w:cs="宋体"/>
          <w:color w:val="auto"/>
          <w:sz w:val="24"/>
          <w:szCs w:val="24"/>
          <w:highlight w:val="none"/>
          <w:lang w:val="en-US" w:eastAsia="zh-CN"/>
        </w:rPr>
        <w:t>招标人</w:t>
      </w:r>
      <w:r>
        <w:rPr>
          <w:rFonts w:hint="eastAsia" w:ascii="宋体" w:hAnsi="宋体" w:eastAsia="宋体" w:cs="宋体"/>
          <w:color w:val="auto"/>
          <w:sz w:val="24"/>
          <w:szCs w:val="24"/>
          <w:highlight w:val="none"/>
          <w:lang w:val="en-US" w:eastAsia="zh-CN"/>
        </w:rPr>
        <w:t>或者</w:t>
      </w:r>
      <w:r>
        <w:rPr>
          <w:rFonts w:hint="eastAsia" w:cs="宋体"/>
          <w:color w:val="auto"/>
          <w:sz w:val="24"/>
          <w:szCs w:val="24"/>
          <w:highlight w:val="none"/>
          <w:lang w:val="en-US" w:eastAsia="zh-CN"/>
        </w:rPr>
        <w:t>招标代理机构</w:t>
      </w:r>
      <w:r>
        <w:rPr>
          <w:rFonts w:hint="eastAsia" w:ascii="宋体" w:hAnsi="宋体" w:eastAsia="宋体" w:cs="宋体"/>
          <w:color w:val="auto"/>
          <w:sz w:val="24"/>
          <w:szCs w:val="24"/>
          <w:highlight w:val="none"/>
          <w:lang w:val="en-US" w:eastAsia="zh-CN"/>
        </w:rPr>
        <w:t>应当停止评标活动，封存所有投标文件和开标、评标资料，依法重新组建评标委员会进行评标。原评标委员会所作出的评标意见无效。</w:t>
      </w:r>
    </w:p>
    <w:p w14:paraId="34D3C262">
      <w:pPr>
        <w:pStyle w:val="50"/>
        <w:keepNext w:val="0"/>
        <w:keepLines w:val="0"/>
        <w:pageBreakBefore w:val="0"/>
        <w:widowControl w:val="0"/>
        <w:kinsoku/>
        <w:overflowPunct/>
        <w:topLinePunct w:val="0"/>
        <w:autoSpaceDE/>
        <w:autoSpaceDN/>
        <w:bidi w:val="0"/>
        <w:adjustRightInd/>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 xml:space="preserve"> 评标委员会成员有下列情形之一的，应当回避：</w:t>
      </w:r>
    </w:p>
    <w:p w14:paraId="41B2C705">
      <w:pPr>
        <w:pStyle w:val="50"/>
        <w:keepNext w:val="0"/>
        <w:keepLines w:val="0"/>
        <w:pageBreakBefore w:val="0"/>
        <w:widowControl w:val="0"/>
        <w:kinsoku/>
        <w:overflowPunct/>
        <w:topLinePunct w:val="0"/>
        <w:autoSpaceDE/>
        <w:autoSpaceDN/>
        <w:bidi w:val="0"/>
        <w:adjustRightInd/>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（1）参加采购活动前3年内与投标人存在劳动关系；</w:t>
      </w:r>
    </w:p>
    <w:p w14:paraId="7E521327">
      <w:pPr>
        <w:pStyle w:val="50"/>
        <w:keepNext w:val="0"/>
        <w:keepLines w:val="0"/>
        <w:pageBreakBefore w:val="0"/>
        <w:widowControl w:val="0"/>
        <w:kinsoku/>
        <w:overflowPunct/>
        <w:topLinePunct w:val="0"/>
        <w:autoSpaceDE/>
        <w:autoSpaceDN/>
        <w:bidi w:val="0"/>
        <w:adjustRightInd/>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（2）参加采购活动前3年内担任投标人的董事、监事；</w:t>
      </w:r>
    </w:p>
    <w:p w14:paraId="1B193AB2">
      <w:pPr>
        <w:pStyle w:val="50"/>
        <w:keepNext w:val="0"/>
        <w:keepLines w:val="0"/>
        <w:pageBreakBefore w:val="0"/>
        <w:widowControl w:val="0"/>
        <w:kinsoku/>
        <w:overflowPunct/>
        <w:topLinePunct w:val="0"/>
        <w:autoSpaceDE/>
        <w:autoSpaceDN/>
        <w:bidi w:val="0"/>
        <w:adjustRightInd/>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（3）参加采购活动前3年内是投标人的控股股东或实际控制人；</w:t>
      </w:r>
    </w:p>
    <w:p w14:paraId="592BA6DE">
      <w:pPr>
        <w:pStyle w:val="50"/>
        <w:keepNext w:val="0"/>
        <w:keepLines w:val="0"/>
        <w:pageBreakBefore w:val="0"/>
        <w:widowControl w:val="0"/>
        <w:kinsoku/>
        <w:overflowPunct/>
        <w:topLinePunct w:val="0"/>
        <w:autoSpaceDE/>
        <w:autoSpaceDN/>
        <w:bidi w:val="0"/>
        <w:adjustRightInd/>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（4）与投标人的法定代表人或者负责人有夫妻、直系血亲、三代以内旁系血亲或者近姻亲关系；</w:t>
      </w:r>
    </w:p>
    <w:p w14:paraId="5FEF6B6C">
      <w:pPr>
        <w:pStyle w:val="50"/>
        <w:keepNext w:val="0"/>
        <w:keepLines w:val="0"/>
        <w:pageBreakBefore w:val="0"/>
        <w:widowControl w:val="0"/>
        <w:kinsoku/>
        <w:overflowPunct/>
        <w:topLinePunct w:val="0"/>
        <w:autoSpaceDE/>
        <w:autoSpaceDN/>
        <w:bidi w:val="0"/>
        <w:adjustRightInd/>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（5）与投标人有其他可能影响采购活动公平、公正进行的关系。</w:t>
      </w:r>
    </w:p>
    <w:p w14:paraId="48BD9A1A">
      <w:pPr>
        <w:pStyle w:val="5"/>
        <w:keepNext w:val="0"/>
        <w:keepLines w:val="0"/>
        <w:pageBreakBefore w:val="0"/>
        <w:widowControl w:val="0"/>
        <w:numPr>
          <w:ilvl w:val="0"/>
          <w:numId w:val="0"/>
        </w:numPr>
        <w:kinsoku/>
        <w:wordWrap/>
        <w:overflowPunct/>
        <w:topLinePunct w:val="0"/>
        <w:autoSpaceDE/>
        <w:autoSpaceDN/>
        <w:bidi w:val="0"/>
        <w:adjustRightInd/>
        <w:snapToGrid/>
        <w:spacing w:before="80" w:after="80" w:line="240" w:lineRule="auto"/>
        <w:ind w:left="420" w:leftChars="0" w:hanging="420" w:firstLineChars="0"/>
        <w:jc w:val="both"/>
        <w:textAlignment w:val="auto"/>
        <w:rPr>
          <w:rFonts w:hint="eastAsia" w:ascii="宋体" w:hAnsi="宋体" w:eastAsia="宋体" w:cs="宋体"/>
          <w:b/>
          <w:bCs/>
          <w:color w:val="auto"/>
          <w:kern w:val="2"/>
          <w:sz w:val="24"/>
          <w:szCs w:val="24"/>
          <w:highlight w:val="none"/>
          <w:lang w:val="en-US" w:eastAsia="zh-CN" w:bidi="ar-SA"/>
        </w:rPr>
      </w:pPr>
      <w:bookmarkStart w:id="137" w:name="_Toc140132791"/>
      <w:bookmarkStart w:id="138" w:name="_Toc163492858"/>
      <w:bookmarkStart w:id="139" w:name="_Toc4280"/>
      <w:r>
        <w:rPr>
          <w:rFonts w:hint="eastAsia" w:ascii="宋体" w:hAnsi="宋体" w:eastAsia="宋体" w:cs="宋体"/>
          <w:b/>
          <w:bCs/>
          <w:color w:val="auto"/>
          <w:kern w:val="2"/>
          <w:sz w:val="24"/>
          <w:szCs w:val="24"/>
          <w:highlight w:val="none"/>
          <w:lang w:val="en-US" w:eastAsia="zh-CN" w:bidi="ar-SA"/>
        </w:rPr>
        <w:t>29.评标</w:t>
      </w:r>
      <w:bookmarkEnd w:id="137"/>
      <w:bookmarkEnd w:id="138"/>
      <w:bookmarkEnd w:id="139"/>
    </w:p>
    <w:p w14:paraId="4038F5D3">
      <w:pPr>
        <w:pStyle w:val="50"/>
        <w:keepNext w:val="0"/>
        <w:keepLines w:val="0"/>
        <w:pageBreakBefore w:val="0"/>
        <w:widowControl w:val="0"/>
        <w:kinsoku/>
        <w:overflowPunct/>
        <w:topLinePunct w:val="0"/>
        <w:autoSpaceDE/>
        <w:autoSpaceDN/>
        <w:bidi w:val="0"/>
        <w:adjustRightInd/>
        <w:jc w:val="both"/>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29</w:t>
      </w: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 xml:space="preserve"> 评标方法分为综合评分法和</w:t>
      </w:r>
      <w:r>
        <w:rPr>
          <w:rFonts w:hint="eastAsia" w:ascii="宋体" w:hAnsi="宋体" w:eastAsia="宋体" w:cs="宋体"/>
          <w:color w:val="auto"/>
          <w:sz w:val="24"/>
          <w:szCs w:val="24"/>
          <w:highlight w:val="none"/>
        </w:rPr>
        <w:t>最低评标价法</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本项目评标</w:t>
      </w:r>
      <w:r>
        <w:rPr>
          <w:rFonts w:hint="eastAsia" w:ascii="宋体" w:hAnsi="宋体" w:eastAsia="宋体" w:cs="宋体"/>
          <w:color w:val="auto"/>
          <w:sz w:val="24"/>
          <w:szCs w:val="24"/>
          <w:highlight w:val="none"/>
          <w:lang w:val="en-US" w:eastAsia="zh-CN"/>
        </w:rPr>
        <w:t>方法详见</w:t>
      </w:r>
      <w:r>
        <w:rPr>
          <w:rFonts w:hint="eastAsia" w:ascii="宋体" w:hAnsi="宋体" w:eastAsia="宋体" w:cs="宋体"/>
          <w:color w:val="auto"/>
          <w:sz w:val="24"/>
          <w:szCs w:val="24"/>
          <w:highlight w:val="none"/>
        </w:rPr>
        <w:t>“投标人须知前附表”</w:t>
      </w:r>
      <w:r>
        <w:rPr>
          <w:rFonts w:hint="eastAsia" w:ascii="宋体" w:hAnsi="宋体" w:eastAsia="宋体" w:cs="宋体"/>
          <w:color w:val="auto"/>
          <w:sz w:val="24"/>
          <w:szCs w:val="24"/>
          <w:highlight w:val="none"/>
          <w:lang w:eastAsia="zh-CN"/>
        </w:rPr>
        <w:t>。</w:t>
      </w:r>
    </w:p>
    <w:p w14:paraId="69D95F29">
      <w:pPr>
        <w:pStyle w:val="5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9.1.1</w:t>
      </w:r>
      <w:r>
        <w:rPr>
          <w:rFonts w:hint="eastAsia" w:ascii="宋体" w:hAnsi="宋体" w:eastAsia="宋体" w:cs="宋体"/>
          <w:color w:val="auto"/>
          <w:sz w:val="24"/>
          <w:szCs w:val="24"/>
          <w:highlight w:val="none"/>
        </w:rPr>
        <w:t>综合评分法，是指投标文件满足招标文件全部实质性要求</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且按照评审因素的量化指标评审得分最高的投标人为中标候选人的评标方法。</w:t>
      </w:r>
    </w:p>
    <w:p w14:paraId="66F20698">
      <w:pPr>
        <w:pStyle w:val="50"/>
        <w:keepNext w:val="0"/>
        <w:keepLines w:val="0"/>
        <w:pageBreakBefore w:val="0"/>
        <w:widowControl w:val="0"/>
        <w:kinsoku/>
        <w:overflowPunct/>
        <w:topLinePunct w:val="0"/>
        <w:autoSpaceDE/>
        <w:autoSpaceDN/>
        <w:bidi w:val="0"/>
        <w:adjustRightInd/>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29.1.2.</w:t>
      </w:r>
      <w:r>
        <w:rPr>
          <w:rFonts w:hint="eastAsia" w:ascii="宋体" w:hAnsi="宋体" w:eastAsia="宋体" w:cs="宋体"/>
          <w:color w:val="auto"/>
          <w:sz w:val="24"/>
          <w:szCs w:val="24"/>
          <w:highlight w:val="none"/>
        </w:rPr>
        <w:t>最低评标价法，是指投标文件满足招标文件全部实质性要求</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且投标报价最低的投标人为中标候选人的评标方法。</w:t>
      </w:r>
    </w:p>
    <w:p w14:paraId="69490C03">
      <w:pPr>
        <w:pStyle w:val="50"/>
        <w:keepNext w:val="0"/>
        <w:keepLines w:val="0"/>
        <w:pageBreakBefore w:val="0"/>
        <w:widowControl w:val="0"/>
        <w:kinsoku/>
        <w:overflowPunct/>
        <w:topLinePunct w:val="0"/>
        <w:autoSpaceDE/>
        <w:autoSpaceDN/>
        <w:bidi w:val="0"/>
        <w:adjustRightInd/>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29</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 xml:space="preserve">2 </w:t>
      </w:r>
      <w:r>
        <w:rPr>
          <w:rFonts w:hint="eastAsia" w:ascii="宋体" w:hAnsi="宋体" w:eastAsia="宋体" w:cs="宋体"/>
          <w:color w:val="auto"/>
          <w:sz w:val="24"/>
          <w:szCs w:val="24"/>
          <w:highlight w:val="none"/>
        </w:rPr>
        <w:t>评标委员会按照“第五章</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评标</w:t>
      </w:r>
      <w:r>
        <w:rPr>
          <w:rFonts w:hint="eastAsia" w:ascii="宋体" w:hAnsi="宋体" w:eastAsia="宋体" w:cs="宋体"/>
          <w:color w:val="auto"/>
          <w:sz w:val="24"/>
          <w:szCs w:val="24"/>
          <w:highlight w:val="none"/>
          <w:lang w:val="en-US" w:eastAsia="zh-CN"/>
        </w:rPr>
        <w:t>方</w:t>
      </w:r>
      <w:r>
        <w:rPr>
          <w:rFonts w:hint="eastAsia" w:ascii="宋体" w:hAnsi="宋体" w:eastAsia="宋体" w:cs="宋体"/>
          <w:color w:val="auto"/>
          <w:sz w:val="24"/>
          <w:szCs w:val="24"/>
          <w:highlight w:val="none"/>
        </w:rPr>
        <w:t>法及标准”</w:t>
      </w:r>
      <w:r>
        <w:rPr>
          <w:rFonts w:hint="eastAsia" w:ascii="宋体" w:hAnsi="宋体" w:eastAsia="宋体" w:cs="宋体"/>
          <w:color w:val="auto"/>
          <w:sz w:val="24"/>
          <w:szCs w:val="24"/>
          <w:highlight w:val="none"/>
          <w:lang w:val="en-US" w:eastAsia="zh-CN"/>
        </w:rPr>
        <w:t>的</w:t>
      </w:r>
      <w:r>
        <w:rPr>
          <w:rFonts w:hint="eastAsia" w:ascii="宋体" w:hAnsi="宋体" w:eastAsia="宋体" w:cs="宋体"/>
          <w:color w:val="auto"/>
          <w:sz w:val="24"/>
          <w:szCs w:val="24"/>
          <w:highlight w:val="none"/>
        </w:rPr>
        <w:t>规定对投标文件进行评审。“第五章</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评标</w:t>
      </w:r>
      <w:r>
        <w:rPr>
          <w:rFonts w:hint="eastAsia" w:ascii="宋体" w:hAnsi="宋体" w:eastAsia="宋体" w:cs="宋体"/>
          <w:color w:val="auto"/>
          <w:sz w:val="24"/>
          <w:szCs w:val="24"/>
          <w:highlight w:val="none"/>
          <w:lang w:val="en-US" w:eastAsia="zh-CN"/>
        </w:rPr>
        <w:t>方</w:t>
      </w:r>
      <w:r>
        <w:rPr>
          <w:rFonts w:hint="eastAsia" w:ascii="宋体" w:hAnsi="宋体" w:eastAsia="宋体" w:cs="宋体"/>
          <w:color w:val="auto"/>
          <w:sz w:val="24"/>
          <w:szCs w:val="24"/>
          <w:highlight w:val="none"/>
        </w:rPr>
        <w:t>法及标准”没有规定的方法、评审因素和标准，不作为评标依据。</w:t>
      </w:r>
    </w:p>
    <w:p w14:paraId="17F79E71">
      <w:pPr>
        <w:pStyle w:val="50"/>
        <w:keepNext w:val="0"/>
        <w:keepLines w:val="0"/>
        <w:pageBreakBefore w:val="0"/>
        <w:widowControl w:val="0"/>
        <w:kinsoku/>
        <w:overflowPunct/>
        <w:topLinePunct w:val="0"/>
        <w:autoSpaceDE/>
        <w:autoSpaceDN/>
        <w:bidi w:val="0"/>
        <w:adjustRightInd/>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29</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 xml:space="preserve">3 </w:t>
      </w:r>
      <w:r>
        <w:rPr>
          <w:rFonts w:hint="eastAsia" w:ascii="宋体" w:hAnsi="宋体" w:eastAsia="宋体" w:cs="宋体"/>
          <w:color w:val="auto"/>
          <w:sz w:val="24"/>
          <w:szCs w:val="24"/>
          <w:highlight w:val="none"/>
        </w:rPr>
        <w:t>评标委员会按“投标人须知前附表”规定的中标候选人数量在评标报告中向</w:t>
      </w:r>
      <w:r>
        <w:rPr>
          <w:rFonts w:hint="eastAsia" w:cs="宋体"/>
          <w:color w:val="auto"/>
          <w:sz w:val="24"/>
          <w:szCs w:val="24"/>
          <w:highlight w:val="none"/>
          <w:lang w:eastAsia="zh-CN"/>
        </w:rPr>
        <w:t>招标人</w:t>
      </w:r>
      <w:r>
        <w:rPr>
          <w:rFonts w:hint="eastAsia" w:ascii="宋体" w:hAnsi="宋体" w:eastAsia="宋体" w:cs="宋体"/>
          <w:color w:val="auto"/>
          <w:sz w:val="24"/>
          <w:szCs w:val="24"/>
          <w:highlight w:val="none"/>
        </w:rPr>
        <w:t>推荐中标候选人。</w:t>
      </w:r>
    </w:p>
    <w:p w14:paraId="4330B7AD">
      <w:pPr>
        <w:pStyle w:val="50"/>
        <w:keepNext w:val="0"/>
        <w:keepLines w:val="0"/>
        <w:pageBreakBefore w:val="0"/>
        <w:widowControl w:val="0"/>
        <w:kinsoku/>
        <w:overflowPunct/>
        <w:topLinePunct w:val="0"/>
        <w:autoSpaceDE/>
        <w:autoSpaceDN/>
        <w:bidi w:val="0"/>
        <w:adjustRightInd/>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29.4 开标之后，直到签订合同止，凡是属于审查、澄清、评价和比较投标的有关资料以及定标意向等，均不得向投标人或者其他与评标无关的人员透露。</w:t>
      </w:r>
    </w:p>
    <w:p w14:paraId="26BE14C9">
      <w:pPr>
        <w:pStyle w:val="50"/>
        <w:keepNext w:val="0"/>
        <w:keepLines w:val="0"/>
        <w:pageBreakBefore w:val="0"/>
        <w:widowControl w:val="0"/>
        <w:kinsoku/>
        <w:overflowPunct/>
        <w:topLinePunct w:val="0"/>
        <w:autoSpaceDE/>
        <w:autoSpaceDN/>
        <w:bidi w:val="0"/>
        <w:adjustRightInd/>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29.5 在确定中标人之前，投标人试图在投标文件审查、澄清、比较和评标时对评标委员会、</w:t>
      </w:r>
      <w:r>
        <w:rPr>
          <w:rFonts w:hint="eastAsia" w:cs="宋体"/>
          <w:color w:val="auto"/>
          <w:sz w:val="24"/>
          <w:szCs w:val="24"/>
          <w:highlight w:val="none"/>
          <w:lang w:val="en-US" w:eastAsia="zh-CN"/>
        </w:rPr>
        <w:t>招标人</w:t>
      </w:r>
      <w:r>
        <w:rPr>
          <w:rFonts w:hint="eastAsia" w:ascii="宋体" w:hAnsi="宋体" w:eastAsia="宋体" w:cs="宋体"/>
          <w:color w:val="auto"/>
          <w:sz w:val="24"/>
          <w:szCs w:val="24"/>
          <w:highlight w:val="none"/>
          <w:lang w:val="en-US" w:eastAsia="zh-CN"/>
        </w:rPr>
        <w:t>和</w:t>
      </w:r>
      <w:r>
        <w:rPr>
          <w:rFonts w:hint="eastAsia" w:cs="宋体"/>
          <w:color w:val="auto"/>
          <w:sz w:val="24"/>
          <w:szCs w:val="24"/>
          <w:highlight w:val="none"/>
          <w:lang w:val="en-US" w:eastAsia="zh-CN"/>
        </w:rPr>
        <w:t>招标代理机构</w:t>
      </w:r>
      <w:r>
        <w:rPr>
          <w:rFonts w:hint="eastAsia" w:ascii="宋体" w:hAnsi="宋体" w:eastAsia="宋体" w:cs="宋体"/>
          <w:color w:val="auto"/>
          <w:sz w:val="24"/>
          <w:szCs w:val="24"/>
          <w:highlight w:val="none"/>
          <w:lang w:val="en-US" w:eastAsia="zh-CN"/>
        </w:rPr>
        <w:t>施加任何影响都可能导致其</w:t>
      </w:r>
      <w:r>
        <w:rPr>
          <w:rFonts w:hint="eastAsia" w:ascii="宋体" w:hAnsi="宋体" w:eastAsia="宋体" w:cs="宋体"/>
          <w:b/>
          <w:bCs/>
          <w:color w:val="auto"/>
          <w:sz w:val="24"/>
          <w:szCs w:val="24"/>
          <w:highlight w:val="none"/>
          <w:lang w:val="en-US" w:eastAsia="zh-CN"/>
        </w:rPr>
        <w:t>投标无效</w:t>
      </w:r>
      <w:r>
        <w:rPr>
          <w:rFonts w:hint="eastAsia" w:ascii="宋体" w:hAnsi="宋体" w:eastAsia="宋体" w:cs="宋体"/>
          <w:color w:val="auto"/>
          <w:sz w:val="24"/>
          <w:szCs w:val="24"/>
          <w:highlight w:val="none"/>
          <w:lang w:val="en-US" w:eastAsia="zh-CN"/>
        </w:rPr>
        <w:t>。</w:t>
      </w:r>
    </w:p>
    <w:p w14:paraId="517E9AAB">
      <w:pPr>
        <w:pStyle w:val="50"/>
        <w:keepNext w:val="0"/>
        <w:keepLines w:val="0"/>
        <w:pageBreakBefore w:val="0"/>
        <w:widowControl w:val="0"/>
        <w:kinsoku/>
        <w:overflowPunct/>
        <w:topLinePunct w:val="0"/>
        <w:autoSpaceDE/>
        <w:autoSpaceDN/>
        <w:bidi w:val="0"/>
        <w:adjustRightInd/>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29.6 电子招投标的应急措施</w:t>
      </w:r>
    </w:p>
    <w:p w14:paraId="729A7B8C">
      <w:pPr>
        <w:pStyle w:val="50"/>
        <w:keepNext w:val="0"/>
        <w:keepLines w:val="0"/>
        <w:pageBreakBefore w:val="0"/>
        <w:widowControl w:val="0"/>
        <w:kinsoku/>
        <w:overflowPunct/>
        <w:topLinePunct w:val="0"/>
        <w:autoSpaceDE/>
        <w:autoSpaceDN/>
        <w:bidi w:val="0"/>
        <w:adjustRightInd/>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29.6.1电子开标、评标如出现下列原因，导致系统无法正常运行或无法正常评标时，应采取应急措施。</w:t>
      </w:r>
    </w:p>
    <w:p w14:paraId="5B03AABD">
      <w:pPr>
        <w:pStyle w:val="50"/>
        <w:keepNext w:val="0"/>
        <w:keepLines w:val="0"/>
        <w:pageBreakBefore w:val="0"/>
        <w:widowControl w:val="0"/>
        <w:kinsoku/>
        <w:overflowPunct/>
        <w:topLinePunct w:val="0"/>
        <w:autoSpaceDE/>
        <w:autoSpaceDN/>
        <w:bidi w:val="0"/>
        <w:adjustRightInd/>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（1）系统服务器发生故障，无法访问或无法使用系统；</w:t>
      </w:r>
    </w:p>
    <w:p w14:paraId="4CC3A9A7">
      <w:pPr>
        <w:pStyle w:val="50"/>
        <w:keepNext w:val="0"/>
        <w:keepLines w:val="0"/>
        <w:pageBreakBefore w:val="0"/>
        <w:widowControl w:val="0"/>
        <w:kinsoku/>
        <w:overflowPunct/>
        <w:topLinePunct w:val="0"/>
        <w:autoSpaceDE/>
        <w:autoSpaceDN/>
        <w:bidi w:val="0"/>
        <w:adjustRightInd/>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（2）系统的软件或数据库出现错误，不能进行正常操作；</w:t>
      </w:r>
    </w:p>
    <w:p w14:paraId="456C2959">
      <w:pPr>
        <w:pStyle w:val="50"/>
        <w:keepNext w:val="0"/>
        <w:keepLines w:val="0"/>
        <w:pageBreakBefore w:val="0"/>
        <w:widowControl w:val="0"/>
        <w:kinsoku/>
        <w:overflowPunct/>
        <w:topLinePunct w:val="0"/>
        <w:autoSpaceDE/>
        <w:autoSpaceDN/>
        <w:bidi w:val="0"/>
        <w:adjustRightInd/>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（3）系统发现有安全漏洞，有潜在的泄密危险；</w:t>
      </w:r>
    </w:p>
    <w:p w14:paraId="57971030">
      <w:pPr>
        <w:pStyle w:val="50"/>
        <w:keepNext w:val="0"/>
        <w:keepLines w:val="0"/>
        <w:pageBreakBefore w:val="0"/>
        <w:widowControl w:val="0"/>
        <w:kinsoku/>
        <w:overflowPunct/>
        <w:topLinePunct w:val="0"/>
        <w:autoSpaceDE/>
        <w:autoSpaceDN/>
        <w:bidi w:val="0"/>
        <w:adjustRightInd/>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（4）病毒发作或受到外来病毒的攻击；</w:t>
      </w:r>
    </w:p>
    <w:p w14:paraId="5410898C">
      <w:pPr>
        <w:pStyle w:val="50"/>
        <w:keepNext w:val="0"/>
        <w:keepLines w:val="0"/>
        <w:pageBreakBefore w:val="0"/>
        <w:widowControl w:val="0"/>
        <w:kinsoku/>
        <w:overflowPunct/>
        <w:topLinePunct w:val="0"/>
        <w:autoSpaceDE/>
        <w:autoSpaceDN/>
        <w:bidi w:val="0"/>
        <w:adjustRightInd/>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（5）出现其他不可抗拒的客观原因造成开评标系统无法正常使用。</w:t>
      </w:r>
    </w:p>
    <w:p w14:paraId="248983DE">
      <w:pPr>
        <w:pStyle w:val="50"/>
        <w:keepNext w:val="0"/>
        <w:keepLines w:val="0"/>
        <w:pageBreakBefore w:val="0"/>
        <w:widowControl w:val="0"/>
        <w:kinsoku/>
        <w:overflowPunct/>
        <w:topLinePunct w:val="0"/>
        <w:autoSpaceDE/>
        <w:autoSpaceDN/>
        <w:bidi w:val="0"/>
        <w:adjustRightInd/>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出现上述情况时，应对未开标的暂停开标。已在系统内开标、评标的立即停止。采取应急措施时，必须对原有资料及信息作出妥善保密处理。</w:t>
      </w:r>
    </w:p>
    <w:p w14:paraId="259A1657">
      <w:pPr>
        <w:pStyle w:val="50"/>
        <w:keepNext w:val="0"/>
        <w:keepLines w:val="0"/>
        <w:pageBreakBefore w:val="0"/>
        <w:widowControl w:val="0"/>
        <w:kinsoku/>
        <w:overflowPunct/>
        <w:topLinePunct w:val="0"/>
        <w:autoSpaceDE/>
        <w:autoSpaceDN/>
        <w:bidi w:val="0"/>
        <w:adjustRightInd/>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29.6.2因系统原因导致投标人均无法解密电子投标文件时，</w:t>
      </w:r>
      <w:r>
        <w:rPr>
          <w:rFonts w:hint="eastAsia" w:cs="宋体"/>
          <w:color w:val="auto"/>
          <w:sz w:val="24"/>
          <w:szCs w:val="24"/>
          <w:highlight w:val="none"/>
          <w:lang w:val="en-US" w:eastAsia="zh-CN"/>
        </w:rPr>
        <w:t>招标代理机构</w:t>
      </w:r>
      <w:r>
        <w:rPr>
          <w:rFonts w:hint="eastAsia" w:ascii="宋体" w:hAnsi="宋体" w:eastAsia="宋体" w:cs="宋体"/>
          <w:color w:val="auto"/>
          <w:sz w:val="24"/>
          <w:szCs w:val="24"/>
          <w:highlight w:val="none"/>
          <w:lang w:val="en-US" w:eastAsia="zh-CN"/>
        </w:rPr>
        <w:t>可在开标现场直接导入投标人在投标截止时间前递交的未加密的电子投标文件进行开标、评标。</w:t>
      </w:r>
    </w:p>
    <w:p w14:paraId="57E3DC27">
      <w:pPr>
        <w:pStyle w:val="50"/>
        <w:keepNext w:val="0"/>
        <w:keepLines w:val="0"/>
        <w:pageBreakBefore w:val="0"/>
        <w:widowControl w:val="0"/>
        <w:kinsoku/>
        <w:overflowPunct/>
        <w:topLinePunct w:val="0"/>
        <w:autoSpaceDE/>
        <w:autoSpaceDN/>
        <w:bidi w:val="0"/>
        <w:adjustRightInd/>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29.7 投标人瑕疵滞后发现的处理规则</w:t>
      </w:r>
    </w:p>
    <w:p w14:paraId="7882952A">
      <w:pPr>
        <w:pStyle w:val="50"/>
        <w:keepNext w:val="0"/>
        <w:keepLines w:val="0"/>
        <w:pageBreakBefore w:val="0"/>
        <w:widowControl w:val="0"/>
        <w:kinsoku/>
        <w:overflowPunct/>
        <w:topLinePunct w:val="0"/>
        <w:autoSpaceDE/>
        <w:autoSpaceDN/>
        <w:bidi w:val="0"/>
        <w:adjustRightInd/>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29.7.1无论基于何种原因，各项本应作</w:t>
      </w:r>
      <w:r>
        <w:rPr>
          <w:rFonts w:hint="eastAsia" w:ascii="宋体" w:hAnsi="宋体" w:eastAsia="宋体" w:cs="宋体"/>
          <w:b/>
          <w:bCs/>
          <w:color w:val="auto"/>
          <w:sz w:val="24"/>
          <w:szCs w:val="24"/>
          <w:highlight w:val="none"/>
          <w:lang w:val="en-US" w:eastAsia="zh-CN"/>
        </w:rPr>
        <w:t>无效投标</w:t>
      </w:r>
      <w:r>
        <w:rPr>
          <w:rFonts w:hint="eastAsia" w:ascii="宋体" w:hAnsi="宋体" w:eastAsia="宋体" w:cs="宋体"/>
          <w:color w:val="auto"/>
          <w:sz w:val="24"/>
          <w:szCs w:val="24"/>
          <w:highlight w:val="none"/>
          <w:lang w:val="en-US" w:eastAsia="zh-CN"/>
        </w:rPr>
        <w:t>处理的情形即便未被及时发现而使该投标人进入初审、综合评审或其他后续程序，包括已经签订合同的情形，一旦该投标人的投标作无效投标处理或该投标人的此前评议结果被取消，其现有的位置将被其他投标人依序替代，相关的一切损失均由该投标人承担。</w:t>
      </w:r>
    </w:p>
    <w:p w14:paraId="14BD098F">
      <w:pPr>
        <w:pStyle w:val="4"/>
        <w:keepNext w:val="0"/>
        <w:keepLines w:val="0"/>
        <w:pageBreakBefore w:val="0"/>
        <w:widowControl w:val="0"/>
        <w:numPr>
          <w:ilvl w:val="0"/>
          <w:numId w:val="0"/>
        </w:numPr>
        <w:kinsoku/>
        <w:wordWrap/>
        <w:overflowPunct/>
        <w:topLinePunct w:val="0"/>
        <w:autoSpaceDE/>
        <w:autoSpaceDN/>
        <w:bidi w:val="0"/>
        <w:adjustRightInd/>
        <w:snapToGrid/>
        <w:spacing w:before="120" w:after="120" w:line="240" w:lineRule="auto"/>
        <w:ind w:left="420" w:leftChars="0" w:hanging="420" w:firstLineChars="0"/>
        <w:jc w:val="both"/>
        <w:textAlignment w:val="auto"/>
        <w:rPr>
          <w:rFonts w:hint="eastAsia" w:ascii="宋体" w:hAnsi="宋体" w:eastAsia="宋体" w:cs="宋体"/>
          <w:b/>
          <w:bCs/>
          <w:color w:val="auto"/>
          <w:kern w:val="2"/>
          <w:sz w:val="24"/>
          <w:szCs w:val="24"/>
          <w:highlight w:val="none"/>
          <w:lang w:val="en-US" w:eastAsia="zh-CN" w:bidi="ar-SA"/>
        </w:rPr>
      </w:pPr>
      <w:bookmarkStart w:id="140" w:name="_Toc163492859"/>
      <w:bookmarkStart w:id="141" w:name="_Toc155185879"/>
      <w:bookmarkStart w:id="142" w:name="_Toc140132792"/>
      <w:bookmarkStart w:id="143" w:name="_Toc157"/>
      <w:r>
        <w:rPr>
          <w:rFonts w:hint="eastAsia" w:ascii="宋体" w:hAnsi="宋体" w:eastAsia="宋体" w:cs="宋体"/>
          <w:b/>
          <w:bCs/>
          <w:color w:val="auto"/>
          <w:kern w:val="2"/>
          <w:sz w:val="24"/>
          <w:szCs w:val="24"/>
          <w:highlight w:val="none"/>
          <w:lang w:val="en-US" w:eastAsia="zh-CN" w:bidi="ar-SA"/>
        </w:rPr>
        <w:t>（八）中标</w:t>
      </w:r>
      <w:bookmarkEnd w:id="140"/>
      <w:bookmarkEnd w:id="141"/>
      <w:bookmarkEnd w:id="142"/>
      <w:bookmarkEnd w:id="143"/>
    </w:p>
    <w:p w14:paraId="01B9BB02">
      <w:pPr>
        <w:pStyle w:val="5"/>
        <w:keepNext w:val="0"/>
        <w:keepLines w:val="0"/>
        <w:pageBreakBefore w:val="0"/>
        <w:widowControl w:val="0"/>
        <w:numPr>
          <w:ilvl w:val="0"/>
          <w:numId w:val="0"/>
        </w:numPr>
        <w:kinsoku/>
        <w:wordWrap/>
        <w:overflowPunct/>
        <w:topLinePunct w:val="0"/>
        <w:autoSpaceDE/>
        <w:autoSpaceDN/>
        <w:bidi w:val="0"/>
        <w:adjustRightInd/>
        <w:snapToGrid/>
        <w:spacing w:before="80" w:after="80" w:line="240" w:lineRule="auto"/>
        <w:ind w:left="420" w:leftChars="0" w:hanging="420" w:firstLineChars="0"/>
        <w:jc w:val="both"/>
        <w:textAlignment w:val="auto"/>
        <w:rPr>
          <w:rFonts w:hint="eastAsia" w:ascii="宋体" w:hAnsi="宋体" w:eastAsia="宋体" w:cs="宋体"/>
          <w:b/>
          <w:bCs/>
          <w:color w:val="auto"/>
          <w:kern w:val="2"/>
          <w:sz w:val="24"/>
          <w:szCs w:val="24"/>
          <w:highlight w:val="none"/>
          <w:lang w:val="en-US" w:eastAsia="zh-CN" w:bidi="ar-SA"/>
        </w:rPr>
      </w:pPr>
      <w:bookmarkStart w:id="144" w:name="_Toc23329"/>
      <w:bookmarkStart w:id="145" w:name="_Toc140132793"/>
      <w:bookmarkStart w:id="146" w:name="_Toc163492860"/>
      <w:r>
        <w:rPr>
          <w:rFonts w:hint="eastAsia" w:ascii="宋体" w:hAnsi="宋体" w:eastAsia="宋体" w:cs="宋体"/>
          <w:b/>
          <w:bCs/>
          <w:color w:val="auto"/>
          <w:kern w:val="2"/>
          <w:sz w:val="24"/>
          <w:szCs w:val="24"/>
          <w:highlight w:val="none"/>
          <w:lang w:val="en-US" w:eastAsia="zh-CN" w:bidi="ar-SA"/>
        </w:rPr>
        <w:t>30.确定中标人</w:t>
      </w:r>
      <w:bookmarkEnd w:id="144"/>
      <w:bookmarkEnd w:id="145"/>
      <w:bookmarkEnd w:id="146"/>
    </w:p>
    <w:p w14:paraId="77DD9DD5">
      <w:pPr>
        <w:keepNext w:val="0"/>
        <w:keepLines w:val="0"/>
        <w:pageBreakBefore w:val="0"/>
        <w:widowControl w:val="0"/>
        <w:suppressLineNumbers w:val="0"/>
        <w:kinsoku/>
        <w:overflowPunct/>
        <w:topLinePunct w:val="0"/>
        <w:autoSpaceDE/>
        <w:autoSpaceDN/>
        <w:bidi w:val="0"/>
        <w:adjustRightInd/>
        <w:ind w:firstLine="480" w:firstLineChars="200"/>
        <w:jc w:val="both"/>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sz w:val="24"/>
          <w:szCs w:val="24"/>
          <w:highlight w:val="none"/>
          <w:lang w:val="en-US" w:eastAsia="zh-CN"/>
        </w:rPr>
        <w:t>30.1</w:t>
      </w:r>
      <w:r>
        <w:rPr>
          <w:rFonts w:hint="eastAsia" w:cs="宋体"/>
          <w:color w:val="auto"/>
          <w:kern w:val="0"/>
          <w:sz w:val="24"/>
          <w:szCs w:val="24"/>
          <w:highlight w:val="none"/>
          <w:lang w:val="en-US" w:eastAsia="zh-CN" w:bidi="ar"/>
        </w:rPr>
        <w:t>招标人</w:t>
      </w:r>
      <w:r>
        <w:rPr>
          <w:rFonts w:hint="eastAsia" w:ascii="宋体" w:hAnsi="宋体" w:eastAsia="宋体" w:cs="宋体"/>
          <w:color w:val="auto"/>
          <w:kern w:val="0"/>
          <w:sz w:val="24"/>
          <w:szCs w:val="24"/>
          <w:highlight w:val="none"/>
          <w:lang w:val="en-US" w:eastAsia="zh-CN" w:bidi="ar"/>
        </w:rPr>
        <w:t>将在评标报告确定的中标候选人名单中按顺序确定中标人，中标候选人并列的，按照</w:t>
      </w:r>
      <w:r>
        <w:rPr>
          <w:rFonts w:hint="eastAsia" w:ascii="宋体" w:hAnsi="宋体" w:eastAsia="宋体" w:cs="宋体"/>
          <w:color w:val="auto"/>
          <w:sz w:val="24"/>
          <w:szCs w:val="24"/>
          <w:highlight w:val="none"/>
        </w:rPr>
        <w:t>“投标人须知前附表”</w:t>
      </w:r>
      <w:r>
        <w:rPr>
          <w:rFonts w:hint="eastAsia" w:ascii="宋体" w:hAnsi="宋体" w:eastAsia="宋体" w:cs="宋体"/>
          <w:color w:val="auto"/>
          <w:kern w:val="0"/>
          <w:sz w:val="24"/>
          <w:szCs w:val="24"/>
          <w:highlight w:val="none"/>
          <w:lang w:val="en-US" w:eastAsia="zh-CN" w:bidi="ar"/>
        </w:rPr>
        <w:t>确定中标人；招标文件未规定的，采取随机抽取的方式确定。</w:t>
      </w:r>
      <w:r>
        <w:rPr>
          <w:rFonts w:hint="eastAsia" w:cs="宋体"/>
          <w:color w:val="auto"/>
          <w:kern w:val="0"/>
          <w:sz w:val="24"/>
          <w:szCs w:val="24"/>
          <w:highlight w:val="none"/>
          <w:lang w:val="en-US" w:eastAsia="zh-CN" w:bidi="ar"/>
        </w:rPr>
        <w:t>招标人</w:t>
      </w:r>
      <w:r>
        <w:rPr>
          <w:rFonts w:hint="eastAsia" w:ascii="宋体" w:hAnsi="宋体" w:eastAsia="宋体" w:cs="宋体"/>
          <w:color w:val="auto"/>
          <w:kern w:val="0"/>
          <w:sz w:val="24"/>
          <w:szCs w:val="24"/>
          <w:highlight w:val="none"/>
          <w:lang w:val="en-US" w:eastAsia="zh-CN" w:bidi="ar"/>
        </w:rPr>
        <w:t>是否委托评标委员会直接确定中标人，见</w:t>
      </w:r>
      <w:r>
        <w:rPr>
          <w:rFonts w:hint="eastAsia" w:ascii="宋体" w:hAnsi="宋体" w:eastAsia="宋体" w:cs="宋体"/>
          <w:color w:val="auto"/>
          <w:sz w:val="24"/>
          <w:szCs w:val="24"/>
          <w:highlight w:val="none"/>
        </w:rPr>
        <w:t>“投标人须知前附表”</w:t>
      </w:r>
      <w:r>
        <w:rPr>
          <w:rFonts w:hint="eastAsia" w:ascii="宋体" w:hAnsi="宋体" w:eastAsia="宋体" w:cs="宋体"/>
          <w:color w:val="auto"/>
          <w:kern w:val="0"/>
          <w:sz w:val="24"/>
          <w:szCs w:val="24"/>
          <w:highlight w:val="none"/>
          <w:lang w:val="en-US" w:eastAsia="zh-CN" w:bidi="ar"/>
        </w:rPr>
        <w:t>。</w:t>
      </w:r>
    </w:p>
    <w:p w14:paraId="319BECBD">
      <w:pPr>
        <w:pStyle w:val="5"/>
        <w:keepNext w:val="0"/>
        <w:keepLines w:val="0"/>
        <w:pageBreakBefore w:val="0"/>
        <w:widowControl w:val="0"/>
        <w:numPr>
          <w:ilvl w:val="0"/>
          <w:numId w:val="0"/>
        </w:numPr>
        <w:kinsoku/>
        <w:wordWrap/>
        <w:overflowPunct/>
        <w:topLinePunct w:val="0"/>
        <w:autoSpaceDE/>
        <w:autoSpaceDN/>
        <w:bidi w:val="0"/>
        <w:adjustRightInd/>
        <w:snapToGrid/>
        <w:spacing w:before="80" w:after="80" w:line="240" w:lineRule="auto"/>
        <w:ind w:left="420" w:leftChars="0" w:hanging="420" w:firstLineChars="0"/>
        <w:jc w:val="both"/>
        <w:textAlignment w:val="auto"/>
        <w:rPr>
          <w:rFonts w:hint="eastAsia" w:ascii="宋体" w:hAnsi="宋体" w:eastAsia="宋体" w:cs="宋体"/>
          <w:b/>
          <w:bCs/>
          <w:color w:val="auto"/>
          <w:kern w:val="2"/>
          <w:sz w:val="24"/>
          <w:szCs w:val="24"/>
          <w:highlight w:val="none"/>
          <w:lang w:val="en-US" w:eastAsia="zh-CN" w:bidi="ar-SA"/>
        </w:rPr>
      </w:pPr>
      <w:bookmarkStart w:id="147" w:name="_Toc140132794"/>
      <w:bookmarkStart w:id="148" w:name="_Toc24110"/>
      <w:bookmarkStart w:id="149" w:name="_Toc163492861"/>
      <w:r>
        <w:rPr>
          <w:rFonts w:hint="eastAsia" w:ascii="宋体" w:hAnsi="宋体" w:eastAsia="宋体" w:cs="宋体"/>
          <w:b/>
          <w:bCs/>
          <w:color w:val="auto"/>
          <w:kern w:val="2"/>
          <w:sz w:val="24"/>
          <w:szCs w:val="24"/>
          <w:highlight w:val="none"/>
          <w:lang w:val="en-US" w:eastAsia="zh-CN" w:bidi="ar-SA"/>
        </w:rPr>
        <w:t>31.中标结果公告</w:t>
      </w:r>
      <w:bookmarkEnd w:id="147"/>
      <w:bookmarkEnd w:id="148"/>
      <w:bookmarkEnd w:id="149"/>
    </w:p>
    <w:p w14:paraId="7F9FE693">
      <w:pPr>
        <w:pStyle w:val="50"/>
        <w:keepNext w:val="0"/>
        <w:keepLines w:val="0"/>
        <w:pageBreakBefore w:val="0"/>
        <w:widowControl w:val="0"/>
        <w:kinsoku/>
        <w:overflowPunct/>
        <w:topLinePunct w:val="0"/>
        <w:autoSpaceDE/>
        <w:autoSpaceDN/>
        <w:bidi w:val="0"/>
        <w:adjustRightInd/>
        <w:jc w:val="both"/>
        <w:textAlignment w:val="auto"/>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3</w:t>
      </w:r>
      <w:r>
        <w:rPr>
          <w:rFonts w:hint="eastAsia" w:ascii="宋体" w:hAnsi="宋体" w:eastAsia="宋体" w:cs="宋体"/>
          <w:bCs/>
          <w:color w:val="auto"/>
          <w:sz w:val="24"/>
          <w:szCs w:val="24"/>
          <w:highlight w:val="none"/>
          <w:lang w:val="en-US" w:eastAsia="zh-CN"/>
        </w:rPr>
        <w:t>1</w:t>
      </w:r>
      <w:r>
        <w:rPr>
          <w:rFonts w:hint="eastAsia" w:ascii="宋体" w:hAnsi="宋体" w:eastAsia="宋体" w:cs="宋体"/>
          <w:color w:val="auto"/>
          <w:sz w:val="24"/>
          <w:szCs w:val="24"/>
          <w:highlight w:val="none"/>
        </w:rPr>
        <w:t>.1</w:t>
      </w:r>
      <w:r>
        <w:rPr>
          <w:rFonts w:hint="eastAsia" w:cs="宋体"/>
          <w:color w:val="auto"/>
          <w:sz w:val="24"/>
          <w:szCs w:val="24"/>
          <w:highlight w:val="none"/>
          <w:lang w:val="en-US" w:eastAsia="zh-CN"/>
        </w:rPr>
        <w:t>招标人</w:t>
      </w:r>
      <w:r>
        <w:rPr>
          <w:rFonts w:hint="eastAsia" w:ascii="宋体" w:hAnsi="宋体" w:eastAsia="宋体" w:cs="宋体"/>
          <w:color w:val="auto"/>
          <w:sz w:val="24"/>
          <w:szCs w:val="24"/>
          <w:highlight w:val="none"/>
          <w:lang w:val="en-US" w:eastAsia="zh-CN"/>
        </w:rPr>
        <w:t>或</w:t>
      </w:r>
      <w:r>
        <w:rPr>
          <w:rFonts w:hint="eastAsia" w:cs="宋体"/>
          <w:color w:val="auto"/>
          <w:sz w:val="24"/>
          <w:szCs w:val="24"/>
          <w:highlight w:val="none"/>
          <w:lang w:eastAsia="zh-CN"/>
        </w:rPr>
        <w:t>招标代理机构</w:t>
      </w:r>
      <w:r>
        <w:rPr>
          <w:rFonts w:hint="eastAsia" w:ascii="宋体" w:hAnsi="宋体" w:eastAsia="宋体" w:cs="宋体"/>
          <w:color w:val="auto"/>
          <w:sz w:val="24"/>
          <w:szCs w:val="24"/>
          <w:highlight w:val="none"/>
        </w:rPr>
        <w:t>应当自中标人确定之日起2个工作日内，在</w:t>
      </w:r>
      <w:r>
        <w:rPr>
          <w:rFonts w:hint="eastAsia" w:ascii="宋体" w:hAnsi="宋体" w:eastAsia="宋体" w:cs="宋体"/>
          <w:color w:val="auto"/>
          <w:sz w:val="24"/>
          <w:szCs w:val="24"/>
          <w:highlight w:val="none"/>
          <w:lang w:val="en-US" w:eastAsia="zh-CN"/>
        </w:rPr>
        <w:t>发布招标公告的同一</w:t>
      </w:r>
      <w:r>
        <w:rPr>
          <w:rFonts w:hint="eastAsia" w:ascii="宋体" w:hAnsi="宋体" w:eastAsia="宋体" w:cs="宋体"/>
          <w:color w:val="auto"/>
          <w:sz w:val="24"/>
          <w:szCs w:val="24"/>
          <w:highlight w:val="none"/>
        </w:rPr>
        <w:t>媒体上发布中标结果公告，</w:t>
      </w:r>
      <w:r>
        <w:rPr>
          <w:rFonts w:hint="eastAsia" w:ascii="宋体" w:hAnsi="宋体" w:eastAsia="宋体" w:cs="宋体"/>
          <w:color w:val="auto"/>
          <w:sz w:val="24"/>
          <w:szCs w:val="24"/>
          <w:highlight w:val="none"/>
          <w:lang w:val="en-US" w:eastAsia="zh-CN"/>
        </w:rPr>
        <w:t>同时向中标人</w:t>
      </w:r>
      <w:r>
        <w:rPr>
          <w:rFonts w:hint="eastAsia" w:ascii="宋体" w:hAnsi="宋体" w:eastAsia="宋体" w:cs="宋体"/>
          <w:color w:val="auto"/>
          <w:sz w:val="24"/>
          <w:szCs w:val="24"/>
          <w:highlight w:val="none"/>
        </w:rPr>
        <w:t>发出中标通知书</w:t>
      </w:r>
      <w:r>
        <w:rPr>
          <w:rFonts w:hint="eastAsia" w:ascii="宋体" w:hAnsi="宋体" w:eastAsia="宋体" w:cs="宋体"/>
          <w:color w:val="auto"/>
          <w:sz w:val="24"/>
          <w:szCs w:val="24"/>
          <w:highlight w:val="none"/>
          <w:lang w:eastAsia="zh-CN"/>
        </w:rPr>
        <w:t>。招标文件随中标结果同时公告，</w:t>
      </w:r>
      <w:r>
        <w:rPr>
          <w:rFonts w:hint="eastAsia" w:ascii="宋体" w:hAnsi="宋体" w:eastAsia="宋体" w:cs="宋体"/>
          <w:color w:val="auto"/>
          <w:sz w:val="24"/>
          <w:szCs w:val="24"/>
          <w:highlight w:val="none"/>
        </w:rPr>
        <w:t>中标结果公告期限为1个工作日。</w:t>
      </w:r>
    </w:p>
    <w:p w14:paraId="084F72A2">
      <w:pPr>
        <w:pStyle w:val="50"/>
        <w:keepNext w:val="0"/>
        <w:keepLines w:val="0"/>
        <w:pageBreakBefore w:val="0"/>
        <w:widowControl w:val="0"/>
        <w:kinsoku/>
        <w:overflowPunct/>
        <w:topLinePunct w:val="0"/>
        <w:autoSpaceDE/>
        <w:autoSpaceDN/>
        <w:bidi w:val="0"/>
        <w:adjustRightInd/>
        <w:jc w:val="both"/>
        <w:textAlignment w:val="auto"/>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rPr>
        <w:t>3</w:t>
      </w:r>
      <w:r>
        <w:rPr>
          <w:rFonts w:hint="eastAsia" w:ascii="宋体" w:hAnsi="宋体" w:eastAsia="宋体" w:cs="宋体"/>
          <w:bCs/>
          <w:color w:val="auto"/>
          <w:sz w:val="24"/>
          <w:szCs w:val="24"/>
          <w:highlight w:val="none"/>
          <w:lang w:val="en-US" w:eastAsia="zh-CN"/>
        </w:rPr>
        <w:t>1</w:t>
      </w:r>
      <w:r>
        <w:rPr>
          <w:rFonts w:hint="eastAsia" w:ascii="宋体" w:hAnsi="宋体" w:eastAsia="宋体" w:cs="宋体"/>
          <w:bCs/>
          <w:color w:val="auto"/>
          <w:sz w:val="24"/>
          <w:szCs w:val="24"/>
          <w:highlight w:val="none"/>
        </w:rPr>
        <w:t>.2</w:t>
      </w:r>
      <w:r>
        <w:rPr>
          <w:rFonts w:hint="eastAsia" w:ascii="宋体" w:hAnsi="宋体" w:eastAsia="宋体" w:cs="宋体"/>
          <w:bCs/>
          <w:color w:val="auto"/>
          <w:sz w:val="24"/>
          <w:szCs w:val="24"/>
          <w:highlight w:val="none"/>
          <w:lang w:eastAsia="zh-CN"/>
        </w:rPr>
        <w:t>中标供应商为中小企业</w:t>
      </w:r>
      <w:r>
        <w:rPr>
          <w:rFonts w:hint="eastAsia" w:ascii="宋体" w:hAnsi="宋体" w:eastAsia="宋体" w:cs="宋体"/>
          <w:bCs/>
          <w:color w:val="auto"/>
          <w:sz w:val="24"/>
          <w:szCs w:val="24"/>
          <w:highlight w:val="none"/>
          <w:lang w:val="en-US" w:eastAsia="zh-CN"/>
        </w:rPr>
        <w:t>享受中小企业扶持政策的</w:t>
      </w:r>
      <w:r>
        <w:rPr>
          <w:rFonts w:hint="eastAsia" w:ascii="宋体" w:hAnsi="宋体" w:eastAsia="宋体" w:cs="宋体"/>
          <w:bCs/>
          <w:color w:val="auto"/>
          <w:sz w:val="24"/>
          <w:szCs w:val="24"/>
          <w:highlight w:val="none"/>
          <w:lang w:eastAsia="zh-CN"/>
        </w:rPr>
        <w:t>，其“中小企业声明函”随中标结果同时公告。中标供应商为残疾人福利性单位的，其“残疾人福利性单位声明函”随中标结果同时公告。</w:t>
      </w:r>
    </w:p>
    <w:p w14:paraId="46DDD47E">
      <w:pPr>
        <w:pStyle w:val="50"/>
        <w:keepNext w:val="0"/>
        <w:keepLines w:val="0"/>
        <w:pageBreakBefore w:val="0"/>
        <w:widowControl w:val="0"/>
        <w:kinsoku/>
        <w:overflowPunct/>
        <w:topLinePunct w:val="0"/>
        <w:autoSpaceDE/>
        <w:autoSpaceDN/>
        <w:bidi w:val="0"/>
        <w:adjustRightInd/>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31.3</w:t>
      </w:r>
      <w:r>
        <w:rPr>
          <w:rFonts w:hint="eastAsia" w:ascii="宋体" w:hAnsi="宋体" w:eastAsia="宋体" w:cs="宋体"/>
          <w:color w:val="auto"/>
          <w:sz w:val="24"/>
          <w:szCs w:val="24"/>
          <w:highlight w:val="none"/>
        </w:rPr>
        <w:t>项目采购采用最低评标价法的，公告中标结果时同时公告因落实政府采购政策等原因进行价格扣除后中标供应商的评审报价；项目采购采用综合评分法的，公告中标结果时同时公告中标供应商的评审总得分。</w:t>
      </w:r>
    </w:p>
    <w:p w14:paraId="6B66482B">
      <w:pPr>
        <w:pStyle w:val="5"/>
        <w:keepNext w:val="0"/>
        <w:keepLines w:val="0"/>
        <w:pageBreakBefore w:val="0"/>
        <w:widowControl w:val="0"/>
        <w:numPr>
          <w:ilvl w:val="0"/>
          <w:numId w:val="0"/>
        </w:numPr>
        <w:kinsoku/>
        <w:wordWrap/>
        <w:overflowPunct/>
        <w:topLinePunct w:val="0"/>
        <w:autoSpaceDE/>
        <w:autoSpaceDN/>
        <w:bidi w:val="0"/>
        <w:adjustRightInd/>
        <w:snapToGrid/>
        <w:spacing w:before="80" w:after="80" w:line="240" w:lineRule="auto"/>
        <w:ind w:left="420" w:leftChars="0" w:hanging="420" w:firstLineChars="0"/>
        <w:jc w:val="both"/>
        <w:textAlignment w:val="auto"/>
        <w:rPr>
          <w:rFonts w:hint="eastAsia" w:ascii="宋体" w:hAnsi="宋体" w:eastAsia="宋体" w:cs="宋体"/>
          <w:b/>
          <w:bCs/>
          <w:color w:val="auto"/>
          <w:kern w:val="2"/>
          <w:sz w:val="24"/>
          <w:szCs w:val="24"/>
          <w:highlight w:val="none"/>
          <w:lang w:val="en-US" w:eastAsia="zh-CN" w:bidi="ar-SA"/>
        </w:rPr>
      </w:pPr>
      <w:bookmarkStart w:id="150" w:name="_Toc163492862"/>
      <w:bookmarkStart w:id="151" w:name="_Toc10669"/>
      <w:bookmarkStart w:id="152" w:name="_Toc140132795"/>
      <w:r>
        <w:rPr>
          <w:rFonts w:hint="eastAsia" w:ascii="宋体" w:hAnsi="宋体" w:eastAsia="宋体" w:cs="宋体"/>
          <w:b/>
          <w:bCs/>
          <w:color w:val="auto"/>
          <w:kern w:val="2"/>
          <w:sz w:val="24"/>
          <w:szCs w:val="24"/>
          <w:highlight w:val="none"/>
          <w:lang w:val="en-US" w:eastAsia="zh-CN" w:bidi="ar-SA"/>
        </w:rPr>
        <w:t>32.中标通知</w:t>
      </w:r>
      <w:bookmarkEnd w:id="150"/>
      <w:bookmarkEnd w:id="151"/>
      <w:bookmarkEnd w:id="152"/>
    </w:p>
    <w:p w14:paraId="161D3D5D">
      <w:pPr>
        <w:pStyle w:val="50"/>
        <w:keepNext w:val="0"/>
        <w:keepLines w:val="0"/>
        <w:pageBreakBefore w:val="0"/>
        <w:widowControl w:val="0"/>
        <w:kinsoku/>
        <w:overflowPunct/>
        <w:topLinePunct w:val="0"/>
        <w:autoSpaceDE/>
        <w:autoSpaceDN/>
        <w:bidi w:val="0"/>
        <w:adjustRightInd/>
        <w:jc w:val="both"/>
        <w:textAlignment w:val="auto"/>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3</w:t>
      </w:r>
      <w:r>
        <w:rPr>
          <w:rFonts w:hint="eastAsia" w:ascii="宋体" w:hAnsi="宋体" w:eastAsia="宋体" w:cs="宋体"/>
          <w:bCs/>
          <w:color w:val="auto"/>
          <w:sz w:val="24"/>
          <w:szCs w:val="24"/>
          <w:highlight w:val="none"/>
          <w:lang w:val="en-US" w:eastAsia="zh-CN"/>
        </w:rPr>
        <w:t>2</w:t>
      </w:r>
      <w:r>
        <w:rPr>
          <w:rFonts w:hint="eastAsia" w:ascii="宋体" w:hAnsi="宋体" w:eastAsia="宋体" w:cs="宋体"/>
          <w:color w:val="auto"/>
          <w:sz w:val="24"/>
          <w:szCs w:val="24"/>
          <w:highlight w:val="none"/>
        </w:rPr>
        <w:t>.1</w:t>
      </w:r>
      <w:r>
        <w:rPr>
          <w:rFonts w:hint="eastAsia" w:cs="宋体"/>
          <w:color w:val="auto"/>
          <w:sz w:val="24"/>
          <w:szCs w:val="24"/>
          <w:highlight w:val="none"/>
          <w:lang w:eastAsia="zh-CN"/>
        </w:rPr>
        <w:t>招标人</w:t>
      </w:r>
      <w:r>
        <w:rPr>
          <w:rFonts w:hint="eastAsia" w:ascii="宋体" w:hAnsi="宋体" w:eastAsia="宋体" w:cs="宋体"/>
          <w:color w:val="auto"/>
          <w:sz w:val="24"/>
          <w:szCs w:val="24"/>
          <w:highlight w:val="none"/>
        </w:rPr>
        <w:t>和</w:t>
      </w:r>
      <w:r>
        <w:rPr>
          <w:rFonts w:hint="eastAsia" w:cs="宋体"/>
          <w:color w:val="auto"/>
          <w:sz w:val="24"/>
          <w:szCs w:val="24"/>
          <w:highlight w:val="none"/>
          <w:lang w:eastAsia="zh-CN"/>
        </w:rPr>
        <w:t>招标代理机构</w:t>
      </w:r>
      <w:r>
        <w:rPr>
          <w:rFonts w:hint="eastAsia" w:ascii="宋体" w:hAnsi="宋体" w:eastAsia="宋体" w:cs="宋体"/>
          <w:color w:val="auto"/>
          <w:sz w:val="24"/>
          <w:szCs w:val="24"/>
          <w:highlight w:val="none"/>
        </w:rPr>
        <w:t>以书面形式向中标人发出中标通知书，同时将招标结果通知未中标的投标人。对未通过资格审查的投标人，应当告知其未通过的原因；采用综合评分法评审的，还应当告知未中标人本人的评审得分与排序。</w:t>
      </w:r>
    </w:p>
    <w:p w14:paraId="1B4D5046">
      <w:pPr>
        <w:pStyle w:val="50"/>
        <w:keepNext w:val="0"/>
        <w:keepLines w:val="0"/>
        <w:pageBreakBefore w:val="0"/>
        <w:widowControl w:val="0"/>
        <w:kinsoku/>
        <w:overflowPunct/>
        <w:topLinePunct w:val="0"/>
        <w:autoSpaceDE/>
        <w:autoSpaceDN/>
        <w:bidi w:val="0"/>
        <w:adjustRightInd/>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32.2中标通知书对</w:t>
      </w:r>
      <w:r>
        <w:rPr>
          <w:rFonts w:hint="eastAsia" w:cs="宋体"/>
          <w:color w:val="auto"/>
          <w:sz w:val="24"/>
          <w:szCs w:val="24"/>
          <w:highlight w:val="none"/>
          <w:lang w:val="en-US" w:eastAsia="zh-CN"/>
        </w:rPr>
        <w:t>招标人</w:t>
      </w:r>
      <w:r>
        <w:rPr>
          <w:rFonts w:hint="eastAsia" w:ascii="宋体" w:hAnsi="宋体" w:eastAsia="宋体" w:cs="宋体"/>
          <w:color w:val="auto"/>
          <w:sz w:val="24"/>
          <w:szCs w:val="24"/>
          <w:highlight w:val="none"/>
          <w:lang w:val="en-US" w:eastAsia="zh-CN"/>
        </w:rPr>
        <w:t>和中标供应商均具有法律效力。中标通知书发出后，</w:t>
      </w:r>
      <w:r>
        <w:rPr>
          <w:rFonts w:hint="eastAsia" w:cs="宋体"/>
          <w:color w:val="auto"/>
          <w:sz w:val="24"/>
          <w:szCs w:val="24"/>
          <w:highlight w:val="none"/>
          <w:lang w:val="en-US" w:eastAsia="zh-CN"/>
        </w:rPr>
        <w:t>招标人</w:t>
      </w:r>
      <w:r>
        <w:rPr>
          <w:rFonts w:hint="eastAsia" w:ascii="宋体" w:hAnsi="宋体" w:eastAsia="宋体" w:cs="宋体"/>
          <w:color w:val="auto"/>
          <w:sz w:val="24"/>
          <w:szCs w:val="24"/>
          <w:highlight w:val="none"/>
          <w:lang w:val="en-US" w:eastAsia="zh-CN"/>
        </w:rPr>
        <w:t>改变中标结果的，或者中标供应商放弃中标项目的，应当依法承担法律责任。</w:t>
      </w:r>
    </w:p>
    <w:p w14:paraId="4EF4662D">
      <w:pPr>
        <w:pStyle w:val="4"/>
        <w:keepNext w:val="0"/>
        <w:keepLines w:val="0"/>
        <w:pageBreakBefore w:val="0"/>
        <w:widowControl w:val="0"/>
        <w:numPr>
          <w:ilvl w:val="0"/>
          <w:numId w:val="0"/>
        </w:numPr>
        <w:kinsoku/>
        <w:wordWrap/>
        <w:overflowPunct/>
        <w:topLinePunct w:val="0"/>
        <w:autoSpaceDE/>
        <w:autoSpaceDN/>
        <w:bidi w:val="0"/>
        <w:adjustRightInd/>
        <w:snapToGrid/>
        <w:spacing w:before="120" w:after="120" w:line="240" w:lineRule="auto"/>
        <w:ind w:left="420" w:leftChars="0" w:hanging="420" w:firstLineChars="0"/>
        <w:jc w:val="both"/>
        <w:textAlignment w:val="auto"/>
        <w:rPr>
          <w:rFonts w:hint="eastAsia" w:ascii="宋体" w:hAnsi="宋体" w:eastAsia="宋体" w:cs="宋体"/>
          <w:b/>
          <w:bCs/>
          <w:color w:val="auto"/>
          <w:kern w:val="2"/>
          <w:sz w:val="24"/>
          <w:szCs w:val="24"/>
          <w:highlight w:val="none"/>
          <w:lang w:val="en-US" w:eastAsia="zh-CN" w:bidi="ar-SA"/>
        </w:rPr>
      </w:pPr>
      <w:bookmarkStart w:id="153" w:name="_Toc163492863"/>
      <w:bookmarkStart w:id="154" w:name="_Toc25579"/>
      <w:r>
        <w:rPr>
          <w:rFonts w:hint="eastAsia" w:ascii="宋体" w:hAnsi="宋体" w:eastAsia="宋体" w:cs="宋体"/>
          <w:b/>
          <w:bCs/>
          <w:color w:val="auto"/>
          <w:kern w:val="2"/>
          <w:sz w:val="24"/>
          <w:szCs w:val="24"/>
          <w:highlight w:val="none"/>
          <w:lang w:val="en-US" w:eastAsia="zh-CN" w:bidi="ar-SA"/>
        </w:rPr>
        <w:t>（九）签订</w:t>
      </w:r>
      <w:bookmarkStart w:id="155" w:name="_Toc155185880"/>
      <w:bookmarkStart w:id="156" w:name="_Toc140132796"/>
      <w:r>
        <w:rPr>
          <w:rFonts w:hint="eastAsia" w:ascii="宋体" w:hAnsi="宋体" w:eastAsia="宋体" w:cs="宋体"/>
          <w:b/>
          <w:bCs/>
          <w:color w:val="auto"/>
          <w:kern w:val="2"/>
          <w:sz w:val="24"/>
          <w:szCs w:val="24"/>
          <w:highlight w:val="none"/>
          <w:lang w:val="en-US" w:eastAsia="zh-CN" w:bidi="ar-SA"/>
        </w:rPr>
        <w:t>合同</w:t>
      </w:r>
      <w:bookmarkEnd w:id="153"/>
      <w:bookmarkEnd w:id="154"/>
      <w:bookmarkEnd w:id="155"/>
      <w:bookmarkEnd w:id="156"/>
    </w:p>
    <w:p w14:paraId="573A5441">
      <w:pPr>
        <w:pStyle w:val="5"/>
        <w:keepNext w:val="0"/>
        <w:keepLines w:val="0"/>
        <w:pageBreakBefore w:val="0"/>
        <w:widowControl w:val="0"/>
        <w:numPr>
          <w:ilvl w:val="0"/>
          <w:numId w:val="0"/>
        </w:numPr>
        <w:kinsoku/>
        <w:wordWrap/>
        <w:overflowPunct/>
        <w:topLinePunct w:val="0"/>
        <w:autoSpaceDE/>
        <w:autoSpaceDN/>
        <w:bidi w:val="0"/>
        <w:adjustRightInd/>
        <w:snapToGrid/>
        <w:spacing w:before="80" w:after="80" w:line="240" w:lineRule="auto"/>
        <w:ind w:left="420" w:leftChars="0" w:hanging="420" w:firstLineChars="0"/>
        <w:jc w:val="both"/>
        <w:textAlignment w:val="auto"/>
        <w:rPr>
          <w:rFonts w:hint="eastAsia" w:ascii="宋体" w:hAnsi="宋体" w:eastAsia="宋体" w:cs="宋体"/>
          <w:b/>
          <w:bCs/>
          <w:color w:val="auto"/>
          <w:kern w:val="2"/>
          <w:sz w:val="24"/>
          <w:szCs w:val="24"/>
          <w:highlight w:val="none"/>
          <w:lang w:val="en-US" w:eastAsia="zh-CN" w:bidi="ar-SA"/>
        </w:rPr>
      </w:pPr>
      <w:bookmarkStart w:id="157" w:name="_Toc20208"/>
      <w:bookmarkStart w:id="158" w:name="_Toc140132797"/>
      <w:bookmarkStart w:id="159" w:name="_Toc163492864"/>
      <w:r>
        <w:rPr>
          <w:rFonts w:hint="eastAsia" w:ascii="宋体" w:hAnsi="宋体" w:eastAsia="宋体" w:cs="宋体"/>
          <w:b/>
          <w:bCs/>
          <w:color w:val="auto"/>
          <w:kern w:val="2"/>
          <w:sz w:val="24"/>
          <w:szCs w:val="24"/>
          <w:highlight w:val="none"/>
          <w:lang w:val="en-US" w:eastAsia="zh-CN" w:bidi="ar-SA"/>
        </w:rPr>
        <w:t>33.履约保证金</w:t>
      </w:r>
      <w:bookmarkEnd w:id="157"/>
      <w:bookmarkEnd w:id="158"/>
      <w:bookmarkEnd w:id="159"/>
    </w:p>
    <w:p w14:paraId="09215F7B">
      <w:pPr>
        <w:pStyle w:val="50"/>
        <w:keepNext w:val="0"/>
        <w:keepLines w:val="0"/>
        <w:pageBreakBefore w:val="0"/>
        <w:widowControl w:val="0"/>
        <w:kinsoku/>
        <w:overflowPunct/>
        <w:topLinePunct w:val="0"/>
        <w:autoSpaceDE/>
        <w:autoSpaceDN/>
        <w:bidi w:val="0"/>
        <w:adjustRightInd/>
        <w:jc w:val="both"/>
        <w:textAlignment w:val="auto"/>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3</w:t>
      </w:r>
      <w:r>
        <w:rPr>
          <w:rFonts w:hint="eastAsia" w:ascii="宋体" w:hAnsi="宋体" w:eastAsia="宋体" w:cs="宋体"/>
          <w:bCs/>
          <w:color w:val="auto"/>
          <w:sz w:val="24"/>
          <w:szCs w:val="24"/>
          <w:highlight w:val="none"/>
          <w:lang w:val="en-US" w:eastAsia="zh-CN"/>
        </w:rPr>
        <w:t>3</w:t>
      </w:r>
      <w:r>
        <w:rPr>
          <w:rFonts w:hint="eastAsia" w:ascii="宋体" w:hAnsi="宋体" w:eastAsia="宋体" w:cs="宋体"/>
          <w:color w:val="auto"/>
          <w:sz w:val="24"/>
          <w:szCs w:val="24"/>
          <w:highlight w:val="none"/>
        </w:rPr>
        <w:t>.1在签订合同前，中标人应按“投标人须知前附表”规定的金额、担保形式和</w:t>
      </w:r>
      <w:r>
        <w:rPr>
          <w:rFonts w:hint="eastAsia" w:cs="宋体"/>
          <w:color w:val="auto"/>
          <w:sz w:val="24"/>
          <w:szCs w:val="24"/>
          <w:highlight w:val="none"/>
          <w:lang w:eastAsia="zh-CN"/>
        </w:rPr>
        <w:t>招标人</w:t>
      </w:r>
      <w:r>
        <w:rPr>
          <w:rFonts w:hint="eastAsia" w:ascii="宋体" w:hAnsi="宋体" w:eastAsia="宋体" w:cs="宋体"/>
          <w:color w:val="auto"/>
          <w:sz w:val="24"/>
          <w:szCs w:val="24"/>
          <w:highlight w:val="none"/>
        </w:rPr>
        <w:t>认可的履约担保格式向</w:t>
      </w:r>
      <w:r>
        <w:rPr>
          <w:rFonts w:hint="eastAsia" w:cs="宋体"/>
          <w:color w:val="auto"/>
          <w:sz w:val="24"/>
          <w:szCs w:val="24"/>
          <w:highlight w:val="none"/>
          <w:lang w:eastAsia="zh-CN"/>
        </w:rPr>
        <w:t>招标人</w:t>
      </w:r>
      <w:r>
        <w:rPr>
          <w:rFonts w:hint="eastAsia" w:ascii="宋体" w:hAnsi="宋体" w:eastAsia="宋体" w:cs="宋体"/>
          <w:color w:val="auto"/>
          <w:sz w:val="24"/>
          <w:szCs w:val="24"/>
          <w:highlight w:val="none"/>
        </w:rPr>
        <w:t>提交履约保证金。</w:t>
      </w:r>
    </w:p>
    <w:p w14:paraId="6F5EBF32">
      <w:pPr>
        <w:pStyle w:val="50"/>
        <w:keepNext w:val="0"/>
        <w:keepLines w:val="0"/>
        <w:pageBreakBefore w:val="0"/>
        <w:widowControl w:val="0"/>
        <w:kinsoku/>
        <w:overflowPunct/>
        <w:topLinePunct w:val="0"/>
        <w:autoSpaceDE/>
        <w:autoSpaceDN/>
        <w:bidi w:val="0"/>
        <w:adjustRightInd/>
        <w:jc w:val="both"/>
        <w:textAlignment w:val="auto"/>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3</w:t>
      </w:r>
      <w:r>
        <w:rPr>
          <w:rFonts w:hint="eastAsia" w:ascii="宋体" w:hAnsi="宋体" w:eastAsia="宋体" w:cs="宋体"/>
          <w:bCs/>
          <w:color w:val="auto"/>
          <w:sz w:val="24"/>
          <w:szCs w:val="24"/>
          <w:highlight w:val="none"/>
          <w:lang w:val="en-US" w:eastAsia="zh-CN"/>
        </w:rPr>
        <w:t>3</w:t>
      </w:r>
      <w:r>
        <w:rPr>
          <w:rFonts w:hint="eastAsia" w:ascii="宋体" w:hAnsi="宋体" w:eastAsia="宋体" w:cs="宋体"/>
          <w:color w:val="auto"/>
          <w:sz w:val="24"/>
          <w:szCs w:val="24"/>
          <w:highlight w:val="none"/>
        </w:rPr>
        <w:t>.2中标人不能按本章第3</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.1项要求提交履约担保的，视为放弃中标，给</w:t>
      </w:r>
      <w:r>
        <w:rPr>
          <w:rFonts w:hint="eastAsia" w:cs="宋体"/>
          <w:color w:val="auto"/>
          <w:sz w:val="24"/>
          <w:szCs w:val="24"/>
          <w:highlight w:val="none"/>
          <w:lang w:eastAsia="zh-CN"/>
        </w:rPr>
        <w:t>招标人</w:t>
      </w:r>
      <w:r>
        <w:rPr>
          <w:rFonts w:hint="eastAsia" w:ascii="宋体" w:hAnsi="宋体" w:eastAsia="宋体" w:cs="宋体"/>
          <w:color w:val="auto"/>
          <w:sz w:val="24"/>
          <w:szCs w:val="24"/>
          <w:highlight w:val="none"/>
        </w:rPr>
        <w:t>造成损失的，中标人还应当承担民事责任。</w:t>
      </w:r>
    </w:p>
    <w:p w14:paraId="61189C7D">
      <w:pPr>
        <w:pStyle w:val="5"/>
        <w:keepNext w:val="0"/>
        <w:keepLines w:val="0"/>
        <w:pageBreakBefore w:val="0"/>
        <w:widowControl w:val="0"/>
        <w:numPr>
          <w:ilvl w:val="0"/>
          <w:numId w:val="0"/>
        </w:numPr>
        <w:kinsoku/>
        <w:wordWrap/>
        <w:overflowPunct/>
        <w:topLinePunct w:val="0"/>
        <w:autoSpaceDE/>
        <w:autoSpaceDN/>
        <w:bidi w:val="0"/>
        <w:adjustRightInd/>
        <w:snapToGrid/>
        <w:spacing w:before="80" w:after="80" w:line="240" w:lineRule="auto"/>
        <w:ind w:left="420" w:leftChars="0" w:hanging="420" w:firstLineChars="0"/>
        <w:jc w:val="both"/>
        <w:textAlignment w:val="auto"/>
        <w:rPr>
          <w:rFonts w:hint="eastAsia" w:ascii="宋体" w:hAnsi="宋体" w:eastAsia="宋体" w:cs="宋体"/>
          <w:b/>
          <w:bCs/>
          <w:color w:val="auto"/>
          <w:kern w:val="2"/>
          <w:sz w:val="24"/>
          <w:szCs w:val="24"/>
          <w:highlight w:val="none"/>
          <w:lang w:val="en-US" w:eastAsia="zh-CN" w:bidi="ar-SA"/>
        </w:rPr>
      </w:pPr>
      <w:bookmarkStart w:id="160" w:name="_Toc12503"/>
      <w:bookmarkStart w:id="161" w:name="_Toc163492865"/>
      <w:bookmarkStart w:id="162" w:name="_Toc140132798"/>
      <w:r>
        <w:rPr>
          <w:rFonts w:hint="eastAsia" w:ascii="宋体" w:hAnsi="宋体" w:eastAsia="宋体" w:cs="宋体"/>
          <w:b/>
          <w:bCs/>
          <w:color w:val="auto"/>
          <w:kern w:val="2"/>
          <w:sz w:val="24"/>
          <w:szCs w:val="24"/>
          <w:highlight w:val="none"/>
          <w:lang w:val="en-US" w:eastAsia="zh-CN" w:bidi="ar-SA"/>
        </w:rPr>
        <w:t>34.签订合同</w:t>
      </w:r>
      <w:bookmarkEnd w:id="160"/>
      <w:bookmarkEnd w:id="161"/>
      <w:bookmarkEnd w:id="162"/>
    </w:p>
    <w:p w14:paraId="3949CD06">
      <w:pPr>
        <w:pStyle w:val="50"/>
        <w:keepNext w:val="0"/>
        <w:keepLines w:val="0"/>
        <w:pageBreakBefore w:val="0"/>
        <w:widowControl w:val="0"/>
        <w:kinsoku/>
        <w:overflowPunct/>
        <w:topLinePunct w:val="0"/>
        <w:autoSpaceDE/>
        <w:autoSpaceDN/>
        <w:bidi w:val="0"/>
        <w:adjustRightInd/>
        <w:jc w:val="both"/>
        <w:textAlignment w:val="auto"/>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3</w:t>
      </w:r>
      <w:r>
        <w:rPr>
          <w:rFonts w:hint="eastAsia" w:ascii="宋体" w:hAnsi="宋体" w:eastAsia="宋体" w:cs="宋体"/>
          <w:bCs/>
          <w:color w:val="auto"/>
          <w:sz w:val="24"/>
          <w:szCs w:val="24"/>
          <w:highlight w:val="none"/>
          <w:lang w:val="en-US" w:eastAsia="zh-CN"/>
        </w:rPr>
        <w:t>4</w:t>
      </w:r>
      <w:r>
        <w:rPr>
          <w:rFonts w:hint="eastAsia" w:ascii="宋体" w:hAnsi="宋体" w:eastAsia="宋体" w:cs="宋体"/>
          <w:color w:val="auto"/>
          <w:sz w:val="24"/>
          <w:szCs w:val="24"/>
          <w:highlight w:val="none"/>
        </w:rPr>
        <w:t xml:space="preserve">.1 </w:t>
      </w:r>
      <w:r>
        <w:rPr>
          <w:rFonts w:hint="eastAsia" w:cs="宋体"/>
          <w:color w:val="auto"/>
          <w:sz w:val="24"/>
          <w:szCs w:val="24"/>
          <w:highlight w:val="none"/>
          <w:lang w:eastAsia="zh-CN"/>
        </w:rPr>
        <w:t>招标人</w:t>
      </w:r>
      <w:r>
        <w:rPr>
          <w:rFonts w:hint="eastAsia" w:ascii="宋体" w:hAnsi="宋体" w:eastAsia="宋体" w:cs="宋体"/>
          <w:color w:val="auto"/>
          <w:sz w:val="24"/>
          <w:szCs w:val="24"/>
          <w:highlight w:val="none"/>
        </w:rPr>
        <w:t>和中标人应当自中标通知书发出之日起</w:t>
      </w:r>
      <w:r>
        <w:rPr>
          <w:rFonts w:hint="eastAsia" w:ascii="宋体" w:hAnsi="宋体" w:eastAsia="宋体" w:cs="宋体"/>
          <w:color w:val="auto"/>
          <w:sz w:val="24"/>
          <w:szCs w:val="24"/>
          <w:highlight w:val="none"/>
          <w:lang w:val="en-US" w:eastAsia="zh-CN"/>
        </w:rPr>
        <w:t>25</w:t>
      </w:r>
      <w:r>
        <w:rPr>
          <w:rFonts w:hint="eastAsia" w:ascii="宋体" w:hAnsi="宋体" w:eastAsia="宋体" w:cs="宋体"/>
          <w:color w:val="auto"/>
          <w:sz w:val="24"/>
          <w:szCs w:val="24"/>
          <w:highlight w:val="none"/>
        </w:rPr>
        <w:t>天内，根据招标文件和中标人的投标文件订立书面合同。</w:t>
      </w:r>
      <w:r>
        <w:rPr>
          <w:rFonts w:hint="eastAsia" w:cs="宋体"/>
          <w:color w:val="auto"/>
          <w:sz w:val="24"/>
          <w:szCs w:val="24"/>
          <w:highlight w:val="none"/>
          <w:lang w:eastAsia="zh-CN"/>
        </w:rPr>
        <w:t>招标人</w:t>
      </w:r>
      <w:r>
        <w:rPr>
          <w:rFonts w:hint="eastAsia" w:ascii="宋体" w:hAnsi="宋体" w:eastAsia="宋体" w:cs="宋体"/>
          <w:color w:val="auto"/>
          <w:sz w:val="24"/>
          <w:szCs w:val="24"/>
          <w:highlight w:val="none"/>
        </w:rPr>
        <w:t>因不可抗力原因迟延签订合同的，应当自不可抗力事由消除之日起7日内完成合同签订事宜。所签订的合同不得对招标文件和中标人投标文件作实质性修改。中标人无正当理由拒签合同，给</w:t>
      </w:r>
      <w:r>
        <w:rPr>
          <w:rFonts w:hint="eastAsia" w:cs="宋体"/>
          <w:color w:val="auto"/>
          <w:sz w:val="24"/>
          <w:szCs w:val="24"/>
          <w:highlight w:val="none"/>
          <w:lang w:eastAsia="zh-CN"/>
        </w:rPr>
        <w:t>招标人</w:t>
      </w:r>
      <w:r>
        <w:rPr>
          <w:rFonts w:hint="eastAsia" w:ascii="宋体" w:hAnsi="宋体" w:eastAsia="宋体" w:cs="宋体"/>
          <w:color w:val="auto"/>
          <w:sz w:val="24"/>
          <w:szCs w:val="24"/>
          <w:highlight w:val="none"/>
        </w:rPr>
        <w:t>造成损失的，中标人还应当承担民事责任。</w:t>
      </w:r>
    </w:p>
    <w:p w14:paraId="6D5F135A">
      <w:pPr>
        <w:pStyle w:val="50"/>
        <w:keepNext w:val="0"/>
        <w:keepLines w:val="0"/>
        <w:pageBreakBefore w:val="0"/>
        <w:widowControl w:val="0"/>
        <w:kinsoku/>
        <w:overflowPunct/>
        <w:topLinePunct w:val="0"/>
        <w:autoSpaceDE/>
        <w:autoSpaceDN/>
        <w:bidi w:val="0"/>
        <w:adjustRightInd/>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34.2 中标人拒绝与</w:t>
      </w:r>
      <w:r>
        <w:rPr>
          <w:rFonts w:hint="eastAsia" w:cs="宋体"/>
          <w:color w:val="auto"/>
          <w:sz w:val="24"/>
          <w:szCs w:val="24"/>
          <w:highlight w:val="none"/>
          <w:lang w:val="en-US" w:eastAsia="zh-CN"/>
        </w:rPr>
        <w:t>招标人</w:t>
      </w:r>
      <w:r>
        <w:rPr>
          <w:rFonts w:hint="eastAsia" w:ascii="宋体" w:hAnsi="宋体" w:eastAsia="宋体" w:cs="宋体"/>
          <w:color w:val="auto"/>
          <w:sz w:val="24"/>
          <w:szCs w:val="24"/>
          <w:highlight w:val="none"/>
          <w:lang w:val="en-US" w:eastAsia="zh-CN"/>
        </w:rPr>
        <w:t>签订合同的，</w:t>
      </w:r>
      <w:r>
        <w:rPr>
          <w:rFonts w:hint="eastAsia" w:cs="宋体"/>
          <w:color w:val="auto"/>
          <w:sz w:val="24"/>
          <w:szCs w:val="24"/>
          <w:highlight w:val="none"/>
          <w:lang w:val="en-US" w:eastAsia="zh-CN"/>
        </w:rPr>
        <w:t>招标人</w:t>
      </w:r>
      <w:r>
        <w:rPr>
          <w:rFonts w:hint="eastAsia" w:ascii="宋体" w:hAnsi="宋体" w:eastAsia="宋体" w:cs="宋体"/>
          <w:color w:val="auto"/>
          <w:sz w:val="24"/>
          <w:szCs w:val="24"/>
          <w:highlight w:val="none"/>
          <w:lang w:val="en-US" w:eastAsia="zh-CN"/>
        </w:rPr>
        <w:t>可以按照评标报告推荐的中标候选人名单排序，确定下一候选人为中标人，也可以重新开展政府采购活动。</w:t>
      </w:r>
    </w:p>
    <w:p w14:paraId="53090FB4">
      <w:pPr>
        <w:pStyle w:val="50"/>
        <w:keepNext w:val="0"/>
        <w:keepLines w:val="0"/>
        <w:pageBreakBefore w:val="0"/>
        <w:widowControl w:val="0"/>
        <w:kinsoku/>
        <w:overflowPunct/>
        <w:topLinePunct w:val="0"/>
        <w:autoSpaceDE/>
        <w:autoSpaceDN/>
        <w:bidi w:val="0"/>
        <w:adjustRightInd/>
        <w:jc w:val="both"/>
        <w:textAlignment w:val="auto"/>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3</w:t>
      </w:r>
      <w:r>
        <w:rPr>
          <w:rFonts w:hint="eastAsia" w:ascii="宋体" w:hAnsi="宋体" w:eastAsia="宋体" w:cs="宋体"/>
          <w:bCs/>
          <w:color w:val="auto"/>
          <w:sz w:val="24"/>
          <w:szCs w:val="24"/>
          <w:highlight w:val="none"/>
          <w:lang w:val="en-US" w:eastAsia="zh-CN"/>
        </w:rPr>
        <w:t>4</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 xml:space="preserve"> </w:t>
      </w:r>
      <w:r>
        <w:rPr>
          <w:rFonts w:hint="eastAsia" w:cs="宋体"/>
          <w:color w:val="auto"/>
          <w:sz w:val="24"/>
          <w:szCs w:val="24"/>
          <w:highlight w:val="none"/>
          <w:lang w:eastAsia="zh-CN"/>
        </w:rPr>
        <w:t>招标人</w:t>
      </w:r>
      <w:r>
        <w:rPr>
          <w:rFonts w:hint="eastAsia" w:ascii="宋体" w:hAnsi="宋体" w:eastAsia="宋体" w:cs="宋体"/>
          <w:color w:val="auto"/>
          <w:sz w:val="24"/>
          <w:szCs w:val="24"/>
          <w:highlight w:val="none"/>
        </w:rPr>
        <w:t>和中标人不得向对方提出任何不合理的要求，作为签订合同的条件，双方不得私下订立背离合同实质性内容的协议。</w:t>
      </w:r>
    </w:p>
    <w:p w14:paraId="14E6BA85">
      <w:pPr>
        <w:pStyle w:val="50"/>
        <w:keepNext w:val="0"/>
        <w:keepLines w:val="0"/>
        <w:pageBreakBefore w:val="0"/>
        <w:widowControl w:val="0"/>
        <w:kinsoku/>
        <w:overflowPunct/>
        <w:topLinePunct w:val="0"/>
        <w:autoSpaceDE/>
        <w:autoSpaceDN/>
        <w:bidi w:val="0"/>
        <w:adjustRightInd/>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34.4 联合体中标的，联合体各方应当共同与</w:t>
      </w:r>
      <w:r>
        <w:rPr>
          <w:rFonts w:hint="eastAsia" w:cs="宋体"/>
          <w:color w:val="auto"/>
          <w:sz w:val="24"/>
          <w:szCs w:val="24"/>
          <w:highlight w:val="none"/>
          <w:lang w:val="en-US" w:eastAsia="zh-CN"/>
        </w:rPr>
        <w:t>招标人</w:t>
      </w:r>
      <w:r>
        <w:rPr>
          <w:rFonts w:hint="eastAsia" w:ascii="宋体" w:hAnsi="宋体" w:eastAsia="宋体" w:cs="宋体"/>
          <w:color w:val="auto"/>
          <w:sz w:val="24"/>
          <w:szCs w:val="24"/>
          <w:highlight w:val="none"/>
          <w:lang w:val="en-US" w:eastAsia="zh-CN"/>
        </w:rPr>
        <w:t>签订合同，就采购合同约定的事项向</w:t>
      </w:r>
      <w:r>
        <w:rPr>
          <w:rFonts w:hint="eastAsia" w:cs="宋体"/>
          <w:color w:val="auto"/>
          <w:sz w:val="24"/>
          <w:szCs w:val="24"/>
          <w:highlight w:val="none"/>
          <w:lang w:val="en-US" w:eastAsia="zh-CN"/>
        </w:rPr>
        <w:t>招标人</w:t>
      </w:r>
      <w:r>
        <w:rPr>
          <w:rFonts w:hint="eastAsia" w:ascii="宋体" w:hAnsi="宋体" w:eastAsia="宋体" w:cs="宋体"/>
          <w:color w:val="auto"/>
          <w:sz w:val="24"/>
          <w:szCs w:val="24"/>
          <w:highlight w:val="none"/>
          <w:lang w:val="en-US" w:eastAsia="zh-CN"/>
        </w:rPr>
        <w:t>承担连带责任。</w:t>
      </w:r>
    </w:p>
    <w:p w14:paraId="1D3849CE">
      <w:pPr>
        <w:pStyle w:val="50"/>
        <w:keepNext w:val="0"/>
        <w:keepLines w:val="0"/>
        <w:pageBreakBefore w:val="0"/>
        <w:widowControl w:val="0"/>
        <w:kinsoku/>
        <w:overflowPunct/>
        <w:topLinePunct w:val="0"/>
        <w:autoSpaceDE/>
        <w:autoSpaceDN/>
        <w:bidi w:val="0"/>
        <w:adjustRightInd/>
        <w:jc w:val="both"/>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color w:val="auto"/>
          <w:sz w:val="24"/>
          <w:szCs w:val="24"/>
          <w:highlight w:val="none"/>
          <w:lang w:val="en-US" w:eastAsia="zh-CN"/>
        </w:rPr>
        <w:t>34.5 本项目的非主体、非关键性工作是否允许分包，见“投标人须知前附表”。</w:t>
      </w:r>
      <w:r>
        <w:rPr>
          <w:rFonts w:hint="eastAsia" w:cs="宋体"/>
          <w:color w:val="auto"/>
          <w:sz w:val="24"/>
          <w:szCs w:val="24"/>
          <w:highlight w:val="none"/>
          <w:lang w:val="en-US" w:eastAsia="zh-CN"/>
        </w:rPr>
        <w:t>招标人</w:t>
      </w:r>
      <w:r>
        <w:rPr>
          <w:rFonts w:hint="eastAsia" w:ascii="宋体" w:hAnsi="宋体" w:eastAsia="宋体" w:cs="宋体"/>
          <w:color w:val="auto"/>
          <w:sz w:val="24"/>
          <w:szCs w:val="24"/>
          <w:highlight w:val="none"/>
          <w:lang w:val="en-US" w:eastAsia="zh-CN"/>
        </w:rPr>
        <w:t>允许采用分包方式履行合同的，中标人可以依法在中标后将中标项目的非主体、非关键性工作采取分包方式履行合同。政府采购合同分包履行的，应当在投标文件中载明分包承担主体，分包承担主体应当具备相应资质条件且不得再次分包，否则</w:t>
      </w:r>
      <w:r>
        <w:rPr>
          <w:rFonts w:hint="eastAsia" w:ascii="宋体" w:hAnsi="宋体" w:eastAsia="宋体" w:cs="宋体"/>
          <w:b/>
          <w:bCs/>
          <w:color w:val="auto"/>
          <w:sz w:val="24"/>
          <w:szCs w:val="24"/>
          <w:highlight w:val="none"/>
          <w:lang w:val="en-US" w:eastAsia="zh-CN"/>
        </w:rPr>
        <w:t>投标无效</w:t>
      </w:r>
      <w:r>
        <w:rPr>
          <w:rFonts w:hint="eastAsia" w:ascii="宋体" w:hAnsi="宋体" w:eastAsia="宋体" w:cs="宋体"/>
          <w:color w:val="auto"/>
          <w:sz w:val="24"/>
          <w:szCs w:val="24"/>
          <w:highlight w:val="none"/>
          <w:lang w:val="en-US" w:eastAsia="zh-CN"/>
        </w:rPr>
        <w:t>。中标人就采购项目和分包项目向</w:t>
      </w:r>
      <w:r>
        <w:rPr>
          <w:rFonts w:hint="eastAsia" w:cs="宋体"/>
          <w:color w:val="auto"/>
          <w:sz w:val="24"/>
          <w:szCs w:val="24"/>
          <w:highlight w:val="none"/>
          <w:lang w:val="en-US" w:eastAsia="zh-CN"/>
        </w:rPr>
        <w:t>招标人</w:t>
      </w:r>
      <w:r>
        <w:rPr>
          <w:rFonts w:hint="eastAsia" w:ascii="宋体" w:hAnsi="宋体" w:eastAsia="宋体" w:cs="宋体"/>
          <w:color w:val="auto"/>
          <w:sz w:val="24"/>
          <w:szCs w:val="24"/>
          <w:highlight w:val="none"/>
          <w:lang w:val="en-US" w:eastAsia="zh-CN"/>
        </w:rPr>
        <w:t>负责，分包供应商就分包项目承担责任。</w:t>
      </w:r>
      <w:r>
        <w:rPr>
          <w:rFonts w:hint="eastAsia" w:ascii="宋体" w:hAnsi="宋体" w:eastAsia="宋体" w:cs="宋体"/>
          <w:b/>
          <w:bCs/>
          <w:color w:val="auto"/>
          <w:sz w:val="24"/>
          <w:szCs w:val="24"/>
          <w:highlight w:val="none"/>
          <w:lang w:val="en-US" w:eastAsia="zh-CN"/>
        </w:rPr>
        <w:t>政府采购合同不能转包。</w:t>
      </w:r>
    </w:p>
    <w:p w14:paraId="31836881">
      <w:pPr>
        <w:pStyle w:val="50"/>
        <w:keepNext w:val="0"/>
        <w:keepLines w:val="0"/>
        <w:pageBreakBefore w:val="0"/>
        <w:widowControl w:val="0"/>
        <w:kinsoku/>
        <w:overflowPunct/>
        <w:topLinePunct w:val="0"/>
        <w:autoSpaceDE/>
        <w:autoSpaceDN/>
        <w:bidi w:val="0"/>
        <w:adjustRightInd/>
        <w:jc w:val="both"/>
        <w:textAlignment w:val="auto"/>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3</w:t>
      </w:r>
      <w:r>
        <w:rPr>
          <w:rFonts w:hint="eastAsia" w:ascii="宋体" w:hAnsi="宋体" w:eastAsia="宋体" w:cs="宋体"/>
          <w:bCs/>
          <w:color w:val="auto"/>
          <w:sz w:val="24"/>
          <w:szCs w:val="24"/>
          <w:highlight w:val="none"/>
          <w:lang w:val="en-US" w:eastAsia="zh-CN"/>
        </w:rPr>
        <w:t>4</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采购合同履行中，</w:t>
      </w:r>
      <w:r>
        <w:rPr>
          <w:rFonts w:hint="eastAsia" w:cs="宋体"/>
          <w:color w:val="auto"/>
          <w:sz w:val="24"/>
          <w:szCs w:val="24"/>
          <w:highlight w:val="none"/>
          <w:lang w:eastAsia="zh-CN"/>
        </w:rPr>
        <w:t>招标人</w:t>
      </w:r>
      <w:r>
        <w:rPr>
          <w:rFonts w:hint="eastAsia" w:ascii="宋体" w:hAnsi="宋体" w:eastAsia="宋体" w:cs="宋体"/>
          <w:color w:val="auto"/>
          <w:sz w:val="24"/>
          <w:szCs w:val="24"/>
          <w:highlight w:val="none"/>
        </w:rPr>
        <w:t>需追加与合同标的相同的</w:t>
      </w:r>
      <w:r>
        <w:rPr>
          <w:rFonts w:hint="eastAsia" w:ascii="宋体" w:hAnsi="宋体" w:eastAsia="宋体" w:cs="宋体"/>
          <w:color w:val="auto"/>
          <w:sz w:val="24"/>
          <w:szCs w:val="24"/>
          <w:highlight w:val="none"/>
          <w:lang w:val="en-US" w:eastAsia="zh-CN"/>
        </w:rPr>
        <w:t>货物、工程或者服务</w:t>
      </w:r>
      <w:r>
        <w:rPr>
          <w:rFonts w:hint="eastAsia" w:ascii="宋体" w:hAnsi="宋体" w:eastAsia="宋体" w:cs="宋体"/>
          <w:color w:val="auto"/>
          <w:sz w:val="24"/>
          <w:szCs w:val="24"/>
          <w:highlight w:val="none"/>
        </w:rPr>
        <w:t>的，在不改变合同其他条款的前提下，可以与中标人协商签订补充合同，但所有补充合同的采购金额不得超过原合同采购金额的百分之十。</w:t>
      </w:r>
    </w:p>
    <w:p w14:paraId="545E9C50">
      <w:pPr>
        <w:pStyle w:val="50"/>
        <w:keepNext w:val="0"/>
        <w:keepLines w:val="0"/>
        <w:pageBreakBefore w:val="0"/>
        <w:widowControl w:val="0"/>
        <w:kinsoku/>
        <w:overflowPunct/>
        <w:topLinePunct w:val="0"/>
        <w:autoSpaceDE/>
        <w:autoSpaceDN/>
        <w:bidi w:val="0"/>
        <w:adjustRightInd/>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34.7 </w:t>
      </w:r>
      <w:r>
        <w:rPr>
          <w:rFonts w:hint="eastAsia" w:cs="宋体"/>
          <w:color w:val="auto"/>
          <w:sz w:val="24"/>
          <w:szCs w:val="24"/>
          <w:highlight w:val="none"/>
          <w:lang w:val="en-US" w:eastAsia="zh-CN"/>
        </w:rPr>
        <w:t>招标人</w:t>
      </w:r>
      <w:r>
        <w:rPr>
          <w:rFonts w:hint="eastAsia" w:ascii="宋体" w:hAnsi="宋体" w:eastAsia="宋体" w:cs="宋体"/>
          <w:color w:val="auto"/>
          <w:sz w:val="24"/>
          <w:szCs w:val="24"/>
          <w:highlight w:val="none"/>
          <w:lang w:val="en-US" w:eastAsia="zh-CN"/>
        </w:rPr>
        <w:t>应于签订合同之日起2个工作日内在政采云平台备案公示。</w:t>
      </w:r>
    </w:p>
    <w:p w14:paraId="3CA663DD">
      <w:pPr>
        <w:pStyle w:val="4"/>
        <w:keepNext w:val="0"/>
        <w:keepLines w:val="0"/>
        <w:pageBreakBefore w:val="0"/>
        <w:widowControl w:val="0"/>
        <w:numPr>
          <w:ilvl w:val="0"/>
          <w:numId w:val="0"/>
        </w:numPr>
        <w:kinsoku/>
        <w:wordWrap/>
        <w:overflowPunct/>
        <w:topLinePunct w:val="0"/>
        <w:autoSpaceDE/>
        <w:autoSpaceDN/>
        <w:bidi w:val="0"/>
        <w:adjustRightInd/>
        <w:snapToGrid/>
        <w:spacing w:before="120" w:after="120" w:line="240" w:lineRule="auto"/>
        <w:ind w:left="420" w:leftChars="0" w:hanging="420" w:firstLineChars="0"/>
        <w:jc w:val="both"/>
        <w:textAlignment w:val="auto"/>
        <w:rPr>
          <w:rFonts w:hint="eastAsia" w:ascii="宋体" w:hAnsi="宋体" w:eastAsia="宋体" w:cs="宋体"/>
          <w:b/>
          <w:bCs/>
          <w:color w:val="auto"/>
          <w:kern w:val="2"/>
          <w:sz w:val="24"/>
          <w:szCs w:val="24"/>
          <w:highlight w:val="none"/>
          <w:lang w:val="en-US" w:eastAsia="zh-CN" w:bidi="ar-SA"/>
        </w:rPr>
      </w:pPr>
      <w:bookmarkStart w:id="163" w:name="_Toc163492866"/>
      <w:bookmarkStart w:id="164" w:name="_Toc140132799"/>
      <w:bookmarkStart w:id="165" w:name="_Toc4530"/>
      <w:bookmarkStart w:id="166" w:name="_Toc155185881"/>
      <w:r>
        <w:rPr>
          <w:rFonts w:hint="eastAsia" w:ascii="宋体" w:hAnsi="宋体" w:eastAsia="宋体" w:cs="宋体"/>
          <w:b/>
          <w:bCs/>
          <w:color w:val="auto"/>
          <w:kern w:val="2"/>
          <w:sz w:val="24"/>
          <w:szCs w:val="24"/>
          <w:highlight w:val="none"/>
          <w:lang w:val="en-US" w:eastAsia="zh-CN" w:bidi="ar-SA"/>
        </w:rPr>
        <w:t>（十）质疑和投诉</w:t>
      </w:r>
      <w:bookmarkEnd w:id="163"/>
      <w:bookmarkEnd w:id="164"/>
      <w:bookmarkEnd w:id="165"/>
      <w:bookmarkEnd w:id="166"/>
    </w:p>
    <w:p w14:paraId="31D576C0">
      <w:pPr>
        <w:pStyle w:val="5"/>
        <w:keepNext w:val="0"/>
        <w:keepLines w:val="0"/>
        <w:pageBreakBefore w:val="0"/>
        <w:widowControl w:val="0"/>
        <w:numPr>
          <w:ilvl w:val="0"/>
          <w:numId w:val="0"/>
        </w:numPr>
        <w:kinsoku/>
        <w:wordWrap/>
        <w:overflowPunct/>
        <w:topLinePunct w:val="0"/>
        <w:autoSpaceDE/>
        <w:autoSpaceDN/>
        <w:bidi w:val="0"/>
        <w:adjustRightInd/>
        <w:snapToGrid/>
        <w:spacing w:before="80" w:after="80" w:line="240" w:lineRule="auto"/>
        <w:ind w:left="420" w:leftChars="0" w:hanging="420" w:firstLineChars="0"/>
        <w:jc w:val="both"/>
        <w:textAlignment w:val="auto"/>
        <w:rPr>
          <w:rFonts w:hint="eastAsia" w:ascii="宋体" w:hAnsi="宋体" w:eastAsia="宋体" w:cs="宋体"/>
          <w:b/>
          <w:bCs/>
          <w:color w:val="auto"/>
          <w:kern w:val="2"/>
          <w:sz w:val="24"/>
          <w:szCs w:val="24"/>
          <w:highlight w:val="none"/>
          <w:lang w:val="en-US" w:eastAsia="zh-CN" w:bidi="ar-SA"/>
        </w:rPr>
      </w:pPr>
      <w:bookmarkStart w:id="167" w:name="_Toc140132800"/>
      <w:bookmarkStart w:id="168" w:name="_Toc19743"/>
      <w:bookmarkStart w:id="169" w:name="_Toc163492867"/>
      <w:r>
        <w:rPr>
          <w:rFonts w:hint="eastAsia" w:ascii="宋体" w:hAnsi="宋体" w:eastAsia="宋体" w:cs="宋体"/>
          <w:b/>
          <w:bCs/>
          <w:color w:val="auto"/>
          <w:kern w:val="2"/>
          <w:sz w:val="24"/>
          <w:szCs w:val="24"/>
          <w:highlight w:val="none"/>
          <w:lang w:val="en-US" w:eastAsia="zh-CN" w:bidi="ar-SA"/>
        </w:rPr>
        <w:t>35.质疑</w:t>
      </w:r>
      <w:bookmarkEnd w:id="167"/>
      <w:bookmarkEnd w:id="168"/>
      <w:bookmarkEnd w:id="169"/>
    </w:p>
    <w:p w14:paraId="1E2DEC47">
      <w:pPr>
        <w:pStyle w:val="50"/>
        <w:keepNext w:val="0"/>
        <w:keepLines w:val="0"/>
        <w:pageBreakBefore w:val="0"/>
        <w:widowControl w:val="0"/>
        <w:kinsoku/>
        <w:overflowPunct/>
        <w:topLinePunct w:val="0"/>
        <w:autoSpaceDE/>
        <w:autoSpaceDN/>
        <w:bidi w:val="0"/>
        <w:adjustRightInd/>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.1供应商认为采购文件、采购过程、中标结果使自己的权益受到损害的，可以在知道或者应知其权益受到损害之日起7个工作日内，以书面形式向</w:t>
      </w:r>
      <w:r>
        <w:rPr>
          <w:rFonts w:hint="eastAsia" w:cs="宋体"/>
          <w:color w:val="auto"/>
          <w:sz w:val="24"/>
          <w:szCs w:val="24"/>
          <w:highlight w:val="none"/>
          <w:lang w:eastAsia="zh-CN"/>
        </w:rPr>
        <w:t>招标人</w:t>
      </w:r>
      <w:r>
        <w:rPr>
          <w:rFonts w:hint="eastAsia" w:ascii="宋体" w:hAnsi="宋体" w:eastAsia="宋体" w:cs="宋体"/>
          <w:color w:val="auto"/>
          <w:sz w:val="24"/>
          <w:szCs w:val="24"/>
          <w:highlight w:val="none"/>
        </w:rPr>
        <w:t>、</w:t>
      </w:r>
      <w:r>
        <w:rPr>
          <w:rFonts w:hint="eastAsia" w:cs="宋体"/>
          <w:color w:val="auto"/>
          <w:sz w:val="24"/>
          <w:szCs w:val="24"/>
          <w:highlight w:val="none"/>
          <w:lang w:eastAsia="zh-CN"/>
        </w:rPr>
        <w:t>招标代理机构</w:t>
      </w:r>
      <w:r>
        <w:rPr>
          <w:rFonts w:hint="eastAsia" w:ascii="宋体" w:hAnsi="宋体" w:eastAsia="宋体" w:cs="宋体"/>
          <w:color w:val="auto"/>
          <w:sz w:val="24"/>
          <w:szCs w:val="24"/>
          <w:highlight w:val="none"/>
        </w:rPr>
        <w:t>提出质疑</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详见“投标人须知前附表”</w:t>
      </w:r>
      <w:r>
        <w:rPr>
          <w:rFonts w:hint="eastAsia" w:ascii="宋体" w:hAnsi="宋体" w:eastAsia="宋体" w:cs="宋体"/>
          <w:color w:val="auto"/>
          <w:sz w:val="24"/>
          <w:szCs w:val="24"/>
          <w:highlight w:val="none"/>
        </w:rPr>
        <w:t>。供应商在法定质疑期内一次性提出针对同一采购程序环节的质疑。</w:t>
      </w:r>
    </w:p>
    <w:p w14:paraId="77B94803">
      <w:pPr>
        <w:pStyle w:val="50"/>
        <w:keepNext w:val="0"/>
        <w:keepLines w:val="0"/>
        <w:pageBreakBefore w:val="0"/>
        <w:widowControl w:val="0"/>
        <w:kinsoku/>
        <w:overflowPunct/>
        <w:topLinePunct w:val="0"/>
        <w:autoSpaceDE/>
        <w:autoSpaceDN/>
        <w:bidi w:val="0"/>
        <w:adjustRightInd/>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.2提出质疑的供应商（以下简称质疑供应商）应当是参与所质疑项目采购活动的供应商。</w:t>
      </w:r>
    </w:p>
    <w:p w14:paraId="190615C4">
      <w:pPr>
        <w:pStyle w:val="50"/>
        <w:keepNext w:val="0"/>
        <w:keepLines w:val="0"/>
        <w:pageBreakBefore w:val="0"/>
        <w:widowControl w:val="0"/>
        <w:kinsoku/>
        <w:overflowPunct/>
        <w:topLinePunct w:val="0"/>
        <w:autoSpaceDE/>
        <w:autoSpaceDN/>
        <w:bidi w:val="0"/>
        <w:adjustRightInd/>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35.3</w:t>
      </w:r>
      <w:r>
        <w:rPr>
          <w:rFonts w:hint="eastAsia" w:ascii="宋体" w:hAnsi="宋体" w:eastAsia="宋体" w:cs="宋体"/>
          <w:color w:val="auto"/>
          <w:sz w:val="24"/>
          <w:szCs w:val="24"/>
          <w:highlight w:val="none"/>
        </w:rPr>
        <w:t>潜在供应商已依法获取其可质疑的采购文件的，可以对该文件提出质疑。对采购文件提出质疑的，应当在获取采购文件或者采购文件公告期限届满之日起7个工作日内提出。</w:t>
      </w:r>
    </w:p>
    <w:p w14:paraId="4CC8459F">
      <w:pPr>
        <w:pStyle w:val="50"/>
        <w:keepNext w:val="0"/>
        <w:keepLines w:val="0"/>
        <w:pageBreakBefore w:val="0"/>
        <w:widowControl w:val="0"/>
        <w:kinsoku/>
        <w:overflowPunct/>
        <w:topLinePunct w:val="0"/>
        <w:autoSpaceDE/>
        <w:autoSpaceDN/>
        <w:bidi w:val="0"/>
        <w:adjustRightInd/>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35.4</w:t>
      </w:r>
      <w:r>
        <w:rPr>
          <w:rFonts w:hint="eastAsia" w:ascii="宋体" w:hAnsi="宋体" w:eastAsia="宋体" w:cs="宋体"/>
          <w:color w:val="auto"/>
          <w:sz w:val="24"/>
          <w:szCs w:val="24"/>
          <w:highlight w:val="none"/>
        </w:rPr>
        <w:t>供应商提出质疑应当提交质疑函和必要的证明材料。质疑函应当包括下列内容：</w:t>
      </w:r>
    </w:p>
    <w:p w14:paraId="2138EEF8">
      <w:pPr>
        <w:pStyle w:val="50"/>
        <w:keepNext w:val="0"/>
        <w:keepLines w:val="0"/>
        <w:pageBreakBefore w:val="0"/>
        <w:widowControl w:val="0"/>
        <w:kinsoku/>
        <w:overflowPunct/>
        <w:topLinePunct w:val="0"/>
        <w:autoSpaceDE/>
        <w:autoSpaceDN/>
        <w:bidi w:val="0"/>
        <w:adjustRightInd/>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）供应商的姓名或者名称、地址、邮编、联系人及联系电话；</w:t>
      </w:r>
    </w:p>
    <w:p w14:paraId="3AD3DE01">
      <w:pPr>
        <w:pStyle w:val="50"/>
        <w:keepNext w:val="0"/>
        <w:keepLines w:val="0"/>
        <w:pageBreakBefore w:val="0"/>
        <w:widowControl w:val="0"/>
        <w:kinsoku/>
        <w:overflowPunct/>
        <w:topLinePunct w:val="0"/>
        <w:autoSpaceDE/>
        <w:autoSpaceDN/>
        <w:bidi w:val="0"/>
        <w:adjustRightInd/>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）质疑项目的名称、</w:t>
      </w:r>
      <w:r>
        <w:rPr>
          <w:rFonts w:hint="eastAsia" w:ascii="宋体" w:hAnsi="宋体" w:eastAsia="宋体" w:cs="宋体"/>
          <w:color w:val="auto"/>
          <w:sz w:val="24"/>
          <w:szCs w:val="24"/>
          <w:highlight w:val="none"/>
          <w:lang w:val="en-US" w:eastAsia="zh-CN"/>
        </w:rPr>
        <w:t>项目</w:t>
      </w:r>
      <w:r>
        <w:rPr>
          <w:rFonts w:hint="eastAsia" w:ascii="宋体" w:hAnsi="宋体" w:eastAsia="宋体" w:cs="宋体"/>
          <w:color w:val="auto"/>
          <w:sz w:val="24"/>
          <w:szCs w:val="24"/>
          <w:highlight w:val="none"/>
        </w:rPr>
        <w:t>编号</w:t>
      </w:r>
      <w:r>
        <w:rPr>
          <w:rFonts w:hint="eastAsia"/>
          <w:color w:val="auto"/>
          <w:sz w:val="24"/>
          <w:highlight w:val="none"/>
          <w:lang w:val="en-US" w:eastAsia="zh-CN"/>
        </w:rPr>
        <w:t>/包号</w:t>
      </w:r>
      <w:r>
        <w:rPr>
          <w:rFonts w:hint="eastAsia" w:ascii="宋体" w:hAnsi="宋体" w:eastAsia="宋体" w:cs="宋体"/>
          <w:color w:val="auto"/>
          <w:sz w:val="24"/>
          <w:szCs w:val="24"/>
          <w:highlight w:val="none"/>
        </w:rPr>
        <w:t>；</w:t>
      </w:r>
    </w:p>
    <w:p w14:paraId="5E01EDD8">
      <w:pPr>
        <w:pStyle w:val="50"/>
        <w:keepNext w:val="0"/>
        <w:keepLines w:val="0"/>
        <w:pageBreakBefore w:val="0"/>
        <w:widowControl w:val="0"/>
        <w:kinsoku/>
        <w:overflowPunct/>
        <w:topLinePunct w:val="0"/>
        <w:autoSpaceDE/>
        <w:autoSpaceDN/>
        <w:bidi w:val="0"/>
        <w:adjustRightInd/>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）具体、明确的质疑事项和与质疑事项相关的请求；</w:t>
      </w:r>
    </w:p>
    <w:p w14:paraId="74F78BEC">
      <w:pPr>
        <w:pStyle w:val="50"/>
        <w:keepNext w:val="0"/>
        <w:keepLines w:val="0"/>
        <w:pageBreakBefore w:val="0"/>
        <w:widowControl w:val="0"/>
        <w:kinsoku/>
        <w:overflowPunct/>
        <w:topLinePunct w:val="0"/>
        <w:autoSpaceDE/>
        <w:autoSpaceDN/>
        <w:bidi w:val="0"/>
        <w:adjustRightInd/>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）事实依据；</w:t>
      </w:r>
    </w:p>
    <w:p w14:paraId="708BC4E6">
      <w:pPr>
        <w:pStyle w:val="50"/>
        <w:keepNext w:val="0"/>
        <w:keepLines w:val="0"/>
        <w:pageBreakBefore w:val="0"/>
        <w:widowControl w:val="0"/>
        <w:kinsoku/>
        <w:overflowPunct/>
        <w:topLinePunct w:val="0"/>
        <w:autoSpaceDE/>
        <w:autoSpaceDN/>
        <w:bidi w:val="0"/>
        <w:adjustRightInd/>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）必要的法律依据；</w:t>
      </w:r>
    </w:p>
    <w:p w14:paraId="2099AE9F">
      <w:pPr>
        <w:pStyle w:val="50"/>
        <w:keepNext w:val="0"/>
        <w:keepLines w:val="0"/>
        <w:pageBreakBefore w:val="0"/>
        <w:widowControl w:val="0"/>
        <w:kinsoku/>
        <w:overflowPunct/>
        <w:topLinePunct w:val="0"/>
        <w:autoSpaceDE/>
        <w:autoSpaceDN/>
        <w:bidi w:val="0"/>
        <w:adjustRightInd/>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）提出质疑的日期。</w:t>
      </w:r>
    </w:p>
    <w:p w14:paraId="469F9963">
      <w:pPr>
        <w:pStyle w:val="50"/>
        <w:keepNext w:val="0"/>
        <w:keepLines w:val="0"/>
        <w:pageBreakBefore w:val="0"/>
        <w:widowControl w:val="0"/>
        <w:kinsoku/>
        <w:overflowPunct/>
        <w:topLinePunct w:val="0"/>
        <w:autoSpaceDE/>
        <w:autoSpaceDN/>
        <w:bidi w:val="0"/>
        <w:adjustRightInd/>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供应商为自然人的，应当由本人签字；供应商为法人或者其他组织的，应当由法定代表人、主要负责人，或者其授权代表签字或者盖章，并加盖公章。</w:t>
      </w:r>
    </w:p>
    <w:p w14:paraId="4E2C3ED1">
      <w:pPr>
        <w:pStyle w:val="50"/>
        <w:keepNext w:val="0"/>
        <w:keepLines w:val="0"/>
        <w:pageBreakBefore w:val="0"/>
        <w:widowControl w:val="0"/>
        <w:kinsoku/>
        <w:overflowPunct/>
        <w:topLinePunct w:val="0"/>
        <w:autoSpaceDE/>
        <w:autoSpaceDN/>
        <w:bidi w:val="0"/>
        <w:adjustRightInd/>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.5质疑函不符合上述要求的，</w:t>
      </w:r>
      <w:r>
        <w:rPr>
          <w:rFonts w:hint="eastAsia" w:cs="宋体"/>
          <w:color w:val="auto"/>
          <w:sz w:val="24"/>
          <w:szCs w:val="24"/>
          <w:highlight w:val="none"/>
          <w:lang w:eastAsia="zh-CN"/>
        </w:rPr>
        <w:t>招标人</w:t>
      </w:r>
      <w:r>
        <w:rPr>
          <w:rFonts w:hint="eastAsia" w:ascii="宋体" w:hAnsi="宋体" w:eastAsia="宋体" w:cs="宋体"/>
          <w:color w:val="auto"/>
          <w:sz w:val="24"/>
          <w:szCs w:val="24"/>
          <w:highlight w:val="none"/>
        </w:rPr>
        <w:t>或代理机构应书面告知具体事项，质疑人应当按要求进行修改或补充，并在质疑有效期限内提交。</w:t>
      </w:r>
    </w:p>
    <w:p w14:paraId="409A58F7">
      <w:pPr>
        <w:pStyle w:val="50"/>
        <w:keepNext w:val="0"/>
        <w:keepLines w:val="0"/>
        <w:pageBreakBefore w:val="0"/>
        <w:widowControl w:val="0"/>
        <w:kinsoku/>
        <w:overflowPunct/>
        <w:topLinePunct w:val="0"/>
        <w:autoSpaceDE/>
        <w:autoSpaceDN/>
        <w:bidi w:val="0"/>
        <w:adjustRightInd/>
        <w:jc w:val="both"/>
        <w:textAlignment w:val="auto"/>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3</w:t>
      </w:r>
      <w:r>
        <w:rPr>
          <w:rFonts w:hint="eastAsia" w:ascii="宋体" w:hAnsi="宋体" w:eastAsia="宋体" w:cs="宋体"/>
          <w:snapToGrid w:val="0"/>
          <w:color w:val="auto"/>
          <w:sz w:val="24"/>
          <w:szCs w:val="24"/>
          <w:highlight w:val="none"/>
          <w:lang w:val="en-US" w:eastAsia="zh-CN"/>
        </w:rPr>
        <w:t>5</w:t>
      </w:r>
      <w:r>
        <w:rPr>
          <w:rFonts w:hint="eastAsia" w:ascii="宋体" w:hAnsi="宋体" w:eastAsia="宋体" w:cs="宋体"/>
          <w:snapToGrid w:val="0"/>
          <w:color w:val="auto"/>
          <w:sz w:val="24"/>
          <w:szCs w:val="24"/>
          <w:highlight w:val="none"/>
        </w:rPr>
        <w:t>.</w:t>
      </w:r>
      <w:r>
        <w:rPr>
          <w:rFonts w:hint="eastAsia" w:ascii="宋体" w:hAnsi="宋体" w:eastAsia="宋体" w:cs="宋体"/>
          <w:snapToGrid w:val="0"/>
          <w:color w:val="auto"/>
          <w:sz w:val="24"/>
          <w:szCs w:val="24"/>
          <w:highlight w:val="none"/>
          <w:lang w:val="en-US" w:eastAsia="zh-CN"/>
        </w:rPr>
        <w:t>6</w:t>
      </w:r>
      <w:r>
        <w:rPr>
          <w:rFonts w:hint="eastAsia" w:ascii="宋体" w:hAnsi="宋体" w:eastAsia="宋体" w:cs="宋体"/>
          <w:snapToGrid w:val="0"/>
          <w:color w:val="auto"/>
          <w:sz w:val="24"/>
          <w:szCs w:val="24"/>
          <w:highlight w:val="none"/>
        </w:rPr>
        <w:t>投标人进行虚假和恶意</w:t>
      </w:r>
      <w:r>
        <w:rPr>
          <w:rFonts w:hint="eastAsia" w:ascii="宋体" w:hAnsi="宋体" w:eastAsia="宋体" w:cs="宋体"/>
          <w:snapToGrid w:val="0"/>
          <w:color w:val="auto"/>
          <w:sz w:val="24"/>
          <w:szCs w:val="24"/>
          <w:highlight w:val="none"/>
          <w:lang w:val="en-US" w:eastAsia="zh-CN"/>
        </w:rPr>
        <w:t>质疑投诉</w:t>
      </w:r>
      <w:r>
        <w:rPr>
          <w:rFonts w:hint="eastAsia" w:ascii="宋体" w:hAnsi="宋体" w:eastAsia="宋体" w:cs="宋体"/>
          <w:snapToGrid w:val="0"/>
          <w:color w:val="auto"/>
          <w:sz w:val="24"/>
          <w:szCs w:val="24"/>
          <w:highlight w:val="none"/>
        </w:rPr>
        <w:t>的，</w:t>
      </w:r>
      <w:r>
        <w:rPr>
          <w:rFonts w:hint="eastAsia" w:cs="宋体"/>
          <w:snapToGrid w:val="0"/>
          <w:color w:val="auto"/>
          <w:sz w:val="24"/>
          <w:szCs w:val="24"/>
          <w:highlight w:val="none"/>
          <w:lang w:eastAsia="zh-CN"/>
        </w:rPr>
        <w:t>招标代理机构</w:t>
      </w:r>
      <w:r>
        <w:rPr>
          <w:rFonts w:hint="eastAsia" w:ascii="宋体" w:hAnsi="宋体" w:eastAsia="宋体" w:cs="宋体"/>
          <w:snapToGrid w:val="0"/>
          <w:color w:val="auto"/>
          <w:sz w:val="24"/>
          <w:szCs w:val="24"/>
          <w:highlight w:val="none"/>
        </w:rPr>
        <w:t>将提请有关部门将其列入不良记录名单，在一至三年内禁止参加政府采购活动，并将处理决定在相关政府采购媒体上公布。</w:t>
      </w:r>
    </w:p>
    <w:p w14:paraId="5CA45E0E">
      <w:pPr>
        <w:pStyle w:val="50"/>
        <w:keepNext w:val="0"/>
        <w:keepLines w:val="0"/>
        <w:pageBreakBefore w:val="0"/>
        <w:widowControl w:val="0"/>
        <w:kinsoku/>
        <w:overflowPunct/>
        <w:topLinePunct w:val="0"/>
        <w:autoSpaceDE/>
        <w:autoSpaceDN/>
        <w:bidi w:val="0"/>
        <w:adjustRightInd/>
        <w:jc w:val="both"/>
        <w:textAlignment w:val="auto"/>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lang w:val="en-US" w:eastAsia="zh-CN"/>
        </w:rPr>
        <w:t>35.7</w:t>
      </w:r>
      <w:r>
        <w:rPr>
          <w:rFonts w:hint="eastAsia" w:ascii="宋体" w:hAnsi="宋体" w:eastAsia="宋体" w:cs="宋体"/>
          <w:color w:val="auto"/>
          <w:sz w:val="24"/>
          <w:szCs w:val="24"/>
          <w:highlight w:val="none"/>
        </w:rPr>
        <w:t>质疑函</w:t>
      </w:r>
      <w:r>
        <w:rPr>
          <w:rFonts w:hint="eastAsia" w:ascii="宋体" w:hAnsi="宋体" w:eastAsia="宋体" w:cs="宋体"/>
          <w:color w:val="auto"/>
          <w:sz w:val="24"/>
          <w:szCs w:val="24"/>
          <w:highlight w:val="none"/>
          <w:lang w:val="en-US" w:eastAsia="zh-CN"/>
        </w:rPr>
        <w:t>应当使用中文，并采用财政部门制定的范本。</w:t>
      </w:r>
    </w:p>
    <w:p w14:paraId="6A198354">
      <w:pPr>
        <w:pStyle w:val="5"/>
        <w:keepNext w:val="0"/>
        <w:keepLines w:val="0"/>
        <w:pageBreakBefore w:val="0"/>
        <w:widowControl w:val="0"/>
        <w:numPr>
          <w:ilvl w:val="0"/>
          <w:numId w:val="0"/>
        </w:numPr>
        <w:kinsoku/>
        <w:wordWrap/>
        <w:overflowPunct/>
        <w:topLinePunct w:val="0"/>
        <w:autoSpaceDE/>
        <w:autoSpaceDN/>
        <w:bidi w:val="0"/>
        <w:adjustRightInd/>
        <w:snapToGrid/>
        <w:spacing w:before="80" w:after="80" w:line="240" w:lineRule="auto"/>
        <w:ind w:left="420" w:leftChars="0" w:hanging="420" w:firstLineChars="0"/>
        <w:jc w:val="both"/>
        <w:textAlignment w:val="auto"/>
        <w:rPr>
          <w:rFonts w:hint="eastAsia" w:ascii="宋体" w:hAnsi="宋体" w:eastAsia="宋体" w:cs="宋体"/>
          <w:b/>
          <w:bCs/>
          <w:color w:val="auto"/>
          <w:kern w:val="2"/>
          <w:sz w:val="24"/>
          <w:szCs w:val="24"/>
          <w:highlight w:val="none"/>
          <w:lang w:val="en-US" w:eastAsia="zh-CN" w:bidi="ar-SA"/>
        </w:rPr>
      </w:pPr>
      <w:bookmarkStart w:id="170" w:name="_Toc27598"/>
      <w:bookmarkStart w:id="171" w:name="_Toc140132801"/>
      <w:bookmarkStart w:id="172" w:name="_Toc163492868"/>
      <w:r>
        <w:rPr>
          <w:rFonts w:hint="eastAsia" w:ascii="宋体" w:hAnsi="宋体" w:eastAsia="宋体" w:cs="宋体"/>
          <w:b/>
          <w:bCs/>
          <w:color w:val="auto"/>
          <w:kern w:val="2"/>
          <w:sz w:val="24"/>
          <w:szCs w:val="24"/>
          <w:highlight w:val="none"/>
          <w:lang w:val="en-US" w:eastAsia="zh-CN" w:bidi="ar-SA"/>
        </w:rPr>
        <w:t>36.质疑答复</w:t>
      </w:r>
      <w:bookmarkEnd w:id="170"/>
      <w:bookmarkEnd w:id="171"/>
      <w:bookmarkEnd w:id="172"/>
    </w:p>
    <w:p w14:paraId="37FCA27D">
      <w:pPr>
        <w:pStyle w:val="50"/>
        <w:keepNext w:val="0"/>
        <w:keepLines w:val="0"/>
        <w:pageBreakBefore w:val="0"/>
        <w:widowControl w:val="0"/>
        <w:kinsoku/>
        <w:overflowPunct/>
        <w:topLinePunct w:val="0"/>
        <w:autoSpaceDE/>
        <w:autoSpaceDN/>
        <w:bidi w:val="0"/>
        <w:adjustRightInd/>
        <w:jc w:val="both"/>
        <w:textAlignment w:val="auto"/>
        <w:rPr>
          <w:rFonts w:hint="eastAsia" w:ascii="宋体" w:hAnsi="宋体" w:eastAsia="宋体" w:cs="宋体"/>
          <w:color w:val="auto"/>
          <w:sz w:val="24"/>
          <w:szCs w:val="24"/>
          <w:highlight w:val="none"/>
        </w:rPr>
      </w:pPr>
      <w:bookmarkStart w:id="173" w:name="_Toc140132802"/>
      <w:bookmarkStart w:id="174" w:name="_Toc163492869"/>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.1</w:t>
      </w:r>
      <w:r>
        <w:rPr>
          <w:rFonts w:hint="eastAsia" w:cs="宋体"/>
          <w:color w:val="auto"/>
          <w:sz w:val="24"/>
          <w:szCs w:val="24"/>
          <w:highlight w:val="none"/>
          <w:lang w:eastAsia="zh-CN"/>
        </w:rPr>
        <w:t>招标人</w:t>
      </w:r>
      <w:r>
        <w:rPr>
          <w:rFonts w:hint="eastAsia" w:ascii="宋体" w:hAnsi="宋体" w:eastAsia="宋体" w:cs="宋体"/>
          <w:color w:val="auto"/>
          <w:sz w:val="24"/>
          <w:szCs w:val="24"/>
          <w:highlight w:val="none"/>
        </w:rPr>
        <w:t>、</w:t>
      </w:r>
      <w:r>
        <w:rPr>
          <w:rFonts w:hint="eastAsia" w:cs="宋体"/>
          <w:color w:val="auto"/>
          <w:sz w:val="24"/>
          <w:szCs w:val="24"/>
          <w:highlight w:val="none"/>
          <w:lang w:eastAsia="zh-CN"/>
        </w:rPr>
        <w:t>招标代理机构</w:t>
      </w:r>
      <w:r>
        <w:rPr>
          <w:rFonts w:hint="eastAsia" w:ascii="宋体" w:hAnsi="宋体" w:eastAsia="宋体" w:cs="宋体"/>
          <w:color w:val="auto"/>
          <w:sz w:val="24"/>
          <w:szCs w:val="24"/>
          <w:highlight w:val="none"/>
        </w:rPr>
        <w:t>不得拒收质疑供应商在法定质疑期内发出的质疑函，应当在收到质疑函后7个工作日内作出答复，并以书面形式通知质疑供应商和其他有关供应商。</w:t>
      </w:r>
    </w:p>
    <w:p w14:paraId="3C7F6B86">
      <w:pPr>
        <w:pStyle w:val="50"/>
        <w:keepNext w:val="0"/>
        <w:keepLines w:val="0"/>
        <w:pageBreakBefore w:val="0"/>
        <w:widowControl w:val="0"/>
        <w:kinsoku/>
        <w:overflowPunct/>
        <w:topLinePunct w:val="0"/>
        <w:autoSpaceDE/>
        <w:autoSpaceDN/>
        <w:bidi w:val="0"/>
        <w:adjustRightInd/>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36.2供应商对评审过程、中标结果提出质疑的，</w:t>
      </w:r>
      <w:r>
        <w:rPr>
          <w:rFonts w:hint="eastAsia" w:cs="宋体"/>
          <w:color w:val="auto"/>
          <w:sz w:val="24"/>
          <w:szCs w:val="24"/>
          <w:highlight w:val="none"/>
          <w:lang w:val="en-US" w:eastAsia="zh-CN"/>
        </w:rPr>
        <w:t>招标人</w:t>
      </w:r>
      <w:r>
        <w:rPr>
          <w:rFonts w:hint="eastAsia" w:ascii="宋体" w:hAnsi="宋体" w:eastAsia="宋体" w:cs="宋体"/>
          <w:color w:val="auto"/>
          <w:sz w:val="24"/>
          <w:szCs w:val="24"/>
          <w:highlight w:val="none"/>
          <w:lang w:val="en-US" w:eastAsia="zh-CN"/>
        </w:rPr>
        <w:t>、</w:t>
      </w:r>
      <w:r>
        <w:rPr>
          <w:rFonts w:hint="eastAsia" w:cs="宋体"/>
          <w:color w:val="auto"/>
          <w:sz w:val="24"/>
          <w:szCs w:val="24"/>
          <w:highlight w:val="none"/>
          <w:lang w:val="en-US" w:eastAsia="zh-CN"/>
        </w:rPr>
        <w:t>招标代理机构</w:t>
      </w:r>
      <w:r>
        <w:rPr>
          <w:rFonts w:hint="eastAsia" w:ascii="宋体" w:hAnsi="宋体" w:eastAsia="宋体" w:cs="宋体"/>
          <w:color w:val="auto"/>
          <w:sz w:val="24"/>
          <w:szCs w:val="24"/>
          <w:highlight w:val="none"/>
          <w:lang w:val="en-US" w:eastAsia="zh-CN"/>
        </w:rPr>
        <w:t>可以组织原评标委员会协助答复质疑。</w:t>
      </w:r>
    </w:p>
    <w:p w14:paraId="6AD7C64E">
      <w:pPr>
        <w:pStyle w:val="50"/>
        <w:keepNext w:val="0"/>
        <w:keepLines w:val="0"/>
        <w:pageBreakBefore w:val="0"/>
        <w:widowControl w:val="0"/>
        <w:kinsoku/>
        <w:overflowPunct/>
        <w:topLinePunct w:val="0"/>
        <w:autoSpaceDE/>
        <w:autoSpaceDN/>
        <w:bidi w:val="0"/>
        <w:adjustRightInd/>
        <w:jc w:val="both"/>
        <w:textAlignment w:val="auto"/>
        <w:rPr>
          <w:rFonts w:hint="eastAsia"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zh-CN" w:eastAsia="zh-CN"/>
        </w:rPr>
        <w:t>质疑答复应当包括下列内容：</w:t>
      </w:r>
    </w:p>
    <w:p w14:paraId="772BD3FD">
      <w:pPr>
        <w:pStyle w:val="50"/>
        <w:keepNext w:val="0"/>
        <w:keepLines w:val="0"/>
        <w:pageBreakBefore w:val="0"/>
        <w:widowControl w:val="0"/>
        <w:kinsoku/>
        <w:overflowPunct/>
        <w:topLinePunct w:val="0"/>
        <w:autoSpaceDE/>
        <w:autoSpaceDN/>
        <w:bidi w:val="0"/>
        <w:adjustRightInd/>
        <w:jc w:val="both"/>
        <w:textAlignment w:val="auto"/>
        <w:rPr>
          <w:rFonts w:hint="eastAsia"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zh-CN" w:eastAsia="zh-CN"/>
        </w:rPr>
        <w:t>（</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val="zh-CN" w:eastAsia="zh-CN"/>
        </w:rPr>
        <w:t>）质疑供应商的姓名或者名称；</w:t>
      </w:r>
    </w:p>
    <w:p w14:paraId="2371DDE6">
      <w:pPr>
        <w:pStyle w:val="50"/>
        <w:keepNext w:val="0"/>
        <w:keepLines w:val="0"/>
        <w:pageBreakBefore w:val="0"/>
        <w:widowControl w:val="0"/>
        <w:kinsoku/>
        <w:overflowPunct/>
        <w:topLinePunct w:val="0"/>
        <w:autoSpaceDE/>
        <w:autoSpaceDN/>
        <w:bidi w:val="0"/>
        <w:adjustRightInd/>
        <w:jc w:val="both"/>
        <w:textAlignment w:val="auto"/>
        <w:rPr>
          <w:rFonts w:hint="eastAsia"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zh-CN" w:eastAsia="zh-CN"/>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val="zh-CN" w:eastAsia="zh-CN"/>
        </w:rPr>
        <w:t>）收到质疑函的日期、质疑项目名称及</w:t>
      </w:r>
      <w:r>
        <w:rPr>
          <w:rFonts w:hint="eastAsia" w:ascii="宋体" w:hAnsi="宋体" w:eastAsia="宋体" w:cs="宋体"/>
          <w:color w:val="auto"/>
          <w:sz w:val="24"/>
          <w:szCs w:val="24"/>
          <w:highlight w:val="none"/>
          <w:lang w:val="en-US" w:eastAsia="zh-CN"/>
        </w:rPr>
        <w:t>项目</w:t>
      </w:r>
      <w:r>
        <w:rPr>
          <w:rFonts w:hint="eastAsia" w:ascii="宋体" w:hAnsi="宋体" w:eastAsia="宋体" w:cs="宋体"/>
          <w:color w:val="auto"/>
          <w:sz w:val="24"/>
          <w:szCs w:val="24"/>
          <w:highlight w:val="none"/>
          <w:lang w:val="zh-CN" w:eastAsia="zh-CN"/>
        </w:rPr>
        <w:t>编号</w:t>
      </w:r>
      <w:r>
        <w:rPr>
          <w:rFonts w:hint="eastAsia"/>
          <w:color w:val="auto"/>
          <w:sz w:val="24"/>
          <w:highlight w:val="none"/>
          <w:lang w:val="en-US" w:eastAsia="zh-CN"/>
        </w:rPr>
        <w:t>/包号</w:t>
      </w:r>
      <w:r>
        <w:rPr>
          <w:rFonts w:hint="eastAsia" w:ascii="宋体" w:hAnsi="宋体" w:eastAsia="宋体" w:cs="宋体"/>
          <w:color w:val="auto"/>
          <w:sz w:val="24"/>
          <w:szCs w:val="24"/>
          <w:highlight w:val="none"/>
          <w:lang w:val="zh-CN" w:eastAsia="zh-CN"/>
        </w:rPr>
        <w:t>；</w:t>
      </w:r>
    </w:p>
    <w:p w14:paraId="61A320C5">
      <w:pPr>
        <w:pStyle w:val="50"/>
        <w:keepNext w:val="0"/>
        <w:keepLines w:val="0"/>
        <w:pageBreakBefore w:val="0"/>
        <w:widowControl w:val="0"/>
        <w:kinsoku/>
        <w:overflowPunct/>
        <w:topLinePunct w:val="0"/>
        <w:autoSpaceDE/>
        <w:autoSpaceDN/>
        <w:bidi w:val="0"/>
        <w:adjustRightInd/>
        <w:jc w:val="both"/>
        <w:textAlignment w:val="auto"/>
        <w:rPr>
          <w:rFonts w:hint="eastAsia"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zh-CN" w:eastAsia="zh-CN"/>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lang w:val="zh-CN" w:eastAsia="zh-CN"/>
        </w:rPr>
        <w:t>）质疑事项、质疑答复的具体内容、事实依据和法律依据；</w:t>
      </w:r>
    </w:p>
    <w:p w14:paraId="4882CB15">
      <w:pPr>
        <w:pStyle w:val="50"/>
        <w:keepNext w:val="0"/>
        <w:keepLines w:val="0"/>
        <w:pageBreakBefore w:val="0"/>
        <w:widowControl w:val="0"/>
        <w:kinsoku/>
        <w:overflowPunct/>
        <w:topLinePunct w:val="0"/>
        <w:autoSpaceDE/>
        <w:autoSpaceDN/>
        <w:bidi w:val="0"/>
        <w:adjustRightInd/>
        <w:jc w:val="both"/>
        <w:textAlignment w:val="auto"/>
        <w:rPr>
          <w:rFonts w:hint="eastAsia"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zh-CN" w:eastAsia="zh-CN"/>
        </w:rPr>
        <w:t>（</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lang w:val="zh-CN" w:eastAsia="zh-CN"/>
        </w:rPr>
        <w:t>）告知质疑供应商依法投诉的权利；</w:t>
      </w:r>
    </w:p>
    <w:p w14:paraId="33838A45">
      <w:pPr>
        <w:pStyle w:val="50"/>
        <w:keepNext w:val="0"/>
        <w:keepLines w:val="0"/>
        <w:pageBreakBefore w:val="0"/>
        <w:widowControl w:val="0"/>
        <w:kinsoku/>
        <w:overflowPunct/>
        <w:topLinePunct w:val="0"/>
        <w:autoSpaceDE/>
        <w:autoSpaceDN/>
        <w:bidi w:val="0"/>
        <w:adjustRightInd/>
        <w:jc w:val="both"/>
        <w:textAlignment w:val="auto"/>
        <w:rPr>
          <w:rFonts w:hint="eastAsia"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zh-CN" w:eastAsia="zh-CN"/>
        </w:rPr>
        <w:t>（</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lang w:val="zh-CN" w:eastAsia="zh-CN"/>
        </w:rPr>
        <w:t>）质疑答复人名称；</w:t>
      </w:r>
    </w:p>
    <w:p w14:paraId="01068BCA">
      <w:pPr>
        <w:pStyle w:val="50"/>
        <w:keepNext w:val="0"/>
        <w:keepLines w:val="0"/>
        <w:pageBreakBefore w:val="0"/>
        <w:widowControl w:val="0"/>
        <w:kinsoku/>
        <w:overflowPunct/>
        <w:topLinePunct w:val="0"/>
        <w:autoSpaceDE/>
        <w:autoSpaceDN/>
        <w:bidi w:val="0"/>
        <w:adjustRightInd/>
        <w:jc w:val="both"/>
        <w:textAlignment w:val="auto"/>
        <w:rPr>
          <w:rFonts w:hint="eastAsia"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zh-CN" w:eastAsia="zh-CN"/>
        </w:rPr>
        <w:t>（</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lang w:val="zh-CN" w:eastAsia="zh-CN"/>
        </w:rPr>
        <w:t>）答复质疑的日期。</w:t>
      </w:r>
    </w:p>
    <w:p w14:paraId="6DAE1425">
      <w:pPr>
        <w:pStyle w:val="50"/>
        <w:keepNext w:val="0"/>
        <w:keepLines w:val="0"/>
        <w:pageBreakBefore w:val="0"/>
        <w:widowControl w:val="0"/>
        <w:kinsoku/>
        <w:overflowPunct/>
        <w:topLinePunct w:val="0"/>
        <w:autoSpaceDE/>
        <w:autoSpaceDN/>
        <w:bidi w:val="0"/>
        <w:adjustRightInd/>
        <w:jc w:val="both"/>
        <w:textAlignment w:val="auto"/>
        <w:rPr>
          <w:rFonts w:hint="eastAsia"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zh-CN" w:eastAsia="zh-CN"/>
        </w:rPr>
        <w:t>质疑答复的内容不得涉及商业秘密。</w:t>
      </w:r>
    </w:p>
    <w:p w14:paraId="52E9E553">
      <w:pPr>
        <w:pStyle w:val="5"/>
        <w:keepNext w:val="0"/>
        <w:keepLines w:val="0"/>
        <w:pageBreakBefore w:val="0"/>
        <w:widowControl w:val="0"/>
        <w:numPr>
          <w:ilvl w:val="0"/>
          <w:numId w:val="0"/>
        </w:numPr>
        <w:kinsoku/>
        <w:wordWrap/>
        <w:overflowPunct/>
        <w:topLinePunct w:val="0"/>
        <w:autoSpaceDE/>
        <w:autoSpaceDN/>
        <w:bidi w:val="0"/>
        <w:adjustRightInd/>
        <w:snapToGrid/>
        <w:spacing w:before="80" w:after="80" w:line="240" w:lineRule="auto"/>
        <w:ind w:left="420" w:leftChars="0" w:hanging="420" w:firstLineChars="0"/>
        <w:jc w:val="both"/>
        <w:textAlignment w:val="auto"/>
        <w:rPr>
          <w:rFonts w:hint="eastAsia" w:ascii="宋体" w:hAnsi="宋体" w:eastAsia="宋体" w:cs="宋体"/>
          <w:b/>
          <w:bCs/>
          <w:color w:val="auto"/>
          <w:kern w:val="2"/>
          <w:sz w:val="24"/>
          <w:szCs w:val="24"/>
          <w:highlight w:val="none"/>
          <w:lang w:val="en-US" w:eastAsia="zh-CN" w:bidi="ar-SA"/>
        </w:rPr>
      </w:pPr>
      <w:bookmarkStart w:id="175" w:name="_Toc7181"/>
      <w:r>
        <w:rPr>
          <w:rFonts w:hint="eastAsia" w:ascii="宋体" w:hAnsi="宋体" w:eastAsia="宋体" w:cs="宋体"/>
          <w:b/>
          <w:bCs/>
          <w:color w:val="auto"/>
          <w:kern w:val="2"/>
          <w:sz w:val="24"/>
          <w:szCs w:val="24"/>
          <w:highlight w:val="none"/>
          <w:lang w:val="en-US" w:eastAsia="zh-CN" w:bidi="ar-SA"/>
        </w:rPr>
        <w:t>37.投诉</w:t>
      </w:r>
      <w:bookmarkEnd w:id="173"/>
      <w:bookmarkEnd w:id="174"/>
      <w:bookmarkEnd w:id="175"/>
    </w:p>
    <w:p w14:paraId="6B7198F1">
      <w:pPr>
        <w:pStyle w:val="50"/>
        <w:keepNext w:val="0"/>
        <w:keepLines w:val="0"/>
        <w:pageBreakBefore w:val="0"/>
        <w:widowControl w:val="0"/>
        <w:kinsoku/>
        <w:overflowPunct/>
        <w:topLinePunct w:val="0"/>
        <w:autoSpaceDE/>
        <w:autoSpaceDN/>
        <w:bidi w:val="0"/>
        <w:adjustRightInd/>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37.1</w:t>
      </w:r>
      <w:r>
        <w:rPr>
          <w:rFonts w:hint="eastAsia" w:ascii="宋体" w:hAnsi="宋体" w:eastAsia="宋体" w:cs="宋体"/>
          <w:color w:val="auto"/>
          <w:sz w:val="24"/>
          <w:szCs w:val="24"/>
          <w:highlight w:val="none"/>
        </w:rPr>
        <w:t>质疑供应商对</w:t>
      </w:r>
      <w:r>
        <w:rPr>
          <w:rFonts w:hint="eastAsia" w:cs="宋体"/>
          <w:color w:val="auto"/>
          <w:sz w:val="24"/>
          <w:szCs w:val="24"/>
          <w:highlight w:val="none"/>
          <w:lang w:eastAsia="zh-CN"/>
        </w:rPr>
        <w:t>招标人</w:t>
      </w:r>
      <w:r>
        <w:rPr>
          <w:rFonts w:hint="eastAsia" w:ascii="宋体" w:hAnsi="宋体" w:eastAsia="宋体" w:cs="宋体"/>
          <w:color w:val="auto"/>
          <w:sz w:val="24"/>
          <w:szCs w:val="24"/>
          <w:highlight w:val="none"/>
        </w:rPr>
        <w:t>、</w:t>
      </w:r>
      <w:r>
        <w:rPr>
          <w:rFonts w:hint="eastAsia" w:cs="宋体"/>
          <w:color w:val="auto"/>
          <w:sz w:val="24"/>
          <w:szCs w:val="24"/>
          <w:highlight w:val="none"/>
          <w:lang w:eastAsia="zh-CN"/>
        </w:rPr>
        <w:t>招标代理机构</w:t>
      </w:r>
      <w:r>
        <w:rPr>
          <w:rFonts w:hint="eastAsia" w:ascii="宋体" w:hAnsi="宋体" w:eastAsia="宋体" w:cs="宋体"/>
          <w:color w:val="auto"/>
          <w:sz w:val="24"/>
          <w:szCs w:val="24"/>
          <w:highlight w:val="none"/>
        </w:rPr>
        <w:t>的答复不满意，或者</w:t>
      </w:r>
      <w:r>
        <w:rPr>
          <w:rFonts w:hint="eastAsia" w:cs="宋体"/>
          <w:color w:val="auto"/>
          <w:sz w:val="24"/>
          <w:szCs w:val="24"/>
          <w:highlight w:val="none"/>
          <w:lang w:eastAsia="zh-CN"/>
        </w:rPr>
        <w:t>招标人</w:t>
      </w:r>
      <w:r>
        <w:rPr>
          <w:rFonts w:hint="eastAsia" w:ascii="宋体" w:hAnsi="宋体" w:eastAsia="宋体" w:cs="宋体"/>
          <w:color w:val="auto"/>
          <w:sz w:val="24"/>
          <w:szCs w:val="24"/>
          <w:highlight w:val="none"/>
        </w:rPr>
        <w:t>、</w:t>
      </w:r>
      <w:r>
        <w:rPr>
          <w:rFonts w:hint="eastAsia" w:cs="宋体"/>
          <w:color w:val="auto"/>
          <w:sz w:val="24"/>
          <w:szCs w:val="24"/>
          <w:highlight w:val="none"/>
          <w:lang w:eastAsia="zh-CN"/>
        </w:rPr>
        <w:t>招标代理机构</w:t>
      </w:r>
      <w:r>
        <w:rPr>
          <w:rFonts w:hint="eastAsia" w:ascii="宋体" w:hAnsi="宋体" w:eastAsia="宋体" w:cs="宋体"/>
          <w:color w:val="auto"/>
          <w:sz w:val="24"/>
          <w:szCs w:val="24"/>
          <w:highlight w:val="none"/>
        </w:rPr>
        <w:t>未在规定时间内作出答复的，可以在答复期满后15个工作日内向</w:t>
      </w:r>
      <w:r>
        <w:rPr>
          <w:rFonts w:hint="eastAsia" w:ascii="宋体" w:hAnsi="宋体" w:eastAsia="宋体" w:cs="宋体"/>
          <w:color w:val="auto"/>
          <w:sz w:val="24"/>
          <w:szCs w:val="24"/>
          <w:highlight w:val="none"/>
          <w:lang w:val="en-US" w:eastAsia="zh-CN"/>
        </w:rPr>
        <w:t>同级政府采购监督管理部门</w:t>
      </w:r>
      <w:r>
        <w:rPr>
          <w:rFonts w:hint="eastAsia" w:ascii="宋体" w:hAnsi="宋体" w:eastAsia="宋体" w:cs="宋体"/>
          <w:color w:val="auto"/>
          <w:sz w:val="24"/>
          <w:szCs w:val="24"/>
          <w:highlight w:val="none"/>
        </w:rPr>
        <w:t>提起投诉。</w:t>
      </w:r>
    </w:p>
    <w:p w14:paraId="47A2800E">
      <w:pPr>
        <w:pStyle w:val="50"/>
        <w:keepNext w:val="0"/>
        <w:keepLines w:val="0"/>
        <w:pageBreakBefore w:val="0"/>
        <w:widowControl w:val="0"/>
        <w:kinsoku/>
        <w:overflowPunct/>
        <w:topLinePunct w:val="0"/>
        <w:autoSpaceDE/>
        <w:autoSpaceDN/>
        <w:bidi w:val="0"/>
        <w:adjustRightInd/>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37.2</w:t>
      </w:r>
      <w:r>
        <w:rPr>
          <w:rFonts w:hint="eastAsia" w:ascii="宋体" w:hAnsi="宋体" w:eastAsia="宋体" w:cs="宋体"/>
          <w:color w:val="auto"/>
          <w:sz w:val="24"/>
          <w:szCs w:val="24"/>
          <w:highlight w:val="none"/>
        </w:rPr>
        <w:t>投诉人投诉时,应当提交投诉书和必要的证明材料，并按照被投诉</w:t>
      </w:r>
      <w:r>
        <w:rPr>
          <w:rFonts w:hint="eastAsia" w:cs="宋体"/>
          <w:color w:val="auto"/>
          <w:sz w:val="24"/>
          <w:szCs w:val="24"/>
          <w:highlight w:val="none"/>
          <w:lang w:eastAsia="zh-CN"/>
        </w:rPr>
        <w:t>招标人</w:t>
      </w:r>
      <w:r>
        <w:rPr>
          <w:rFonts w:hint="eastAsia" w:ascii="宋体" w:hAnsi="宋体" w:eastAsia="宋体" w:cs="宋体"/>
          <w:color w:val="auto"/>
          <w:sz w:val="24"/>
          <w:szCs w:val="24"/>
          <w:highlight w:val="none"/>
        </w:rPr>
        <w:t>、</w:t>
      </w:r>
      <w:r>
        <w:rPr>
          <w:rFonts w:hint="eastAsia" w:cs="宋体"/>
          <w:color w:val="auto"/>
          <w:sz w:val="24"/>
          <w:szCs w:val="24"/>
          <w:highlight w:val="none"/>
          <w:lang w:eastAsia="zh-CN"/>
        </w:rPr>
        <w:t>招标代理机构</w:t>
      </w:r>
      <w:r>
        <w:rPr>
          <w:rFonts w:hint="eastAsia" w:ascii="宋体" w:hAnsi="宋体" w:eastAsia="宋体" w:cs="宋体"/>
          <w:color w:val="auto"/>
          <w:sz w:val="24"/>
          <w:szCs w:val="24"/>
          <w:highlight w:val="none"/>
        </w:rPr>
        <w:t>（以下简称被投诉人）和与投诉事项有关的供应商数量提供投诉书的副本。投诉书应当包括下列内容：</w:t>
      </w:r>
    </w:p>
    <w:p w14:paraId="58D19CD6">
      <w:pPr>
        <w:pStyle w:val="50"/>
        <w:keepNext w:val="0"/>
        <w:keepLines w:val="0"/>
        <w:pageBreakBefore w:val="0"/>
        <w:widowControl w:val="0"/>
        <w:kinsoku/>
        <w:overflowPunct/>
        <w:topLinePunct w:val="0"/>
        <w:autoSpaceDE/>
        <w:autoSpaceDN/>
        <w:bidi w:val="0"/>
        <w:adjustRightInd/>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）投诉人和被投诉人的姓名或者名称、通讯地址、邮编、联系人及联系电话；</w:t>
      </w:r>
    </w:p>
    <w:p w14:paraId="4B6FE5A8">
      <w:pPr>
        <w:pStyle w:val="50"/>
        <w:keepNext w:val="0"/>
        <w:keepLines w:val="0"/>
        <w:pageBreakBefore w:val="0"/>
        <w:widowControl w:val="0"/>
        <w:kinsoku/>
        <w:overflowPunct/>
        <w:topLinePunct w:val="0"/>
        <w:autoSpaceDE/>
        <w:autoSpaceDN/>
        <w:bidi w:val="0"/>
        <w:adjustRightInd/>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）质疑和质疑答复情况说明及相关证明材料；</w:t>
      </w:r>
    </w:p>
    <w:p w14:paraId="35F7BAEC">
      <w:pPr>
        <w:pStyle w:val="50"/>
        <w:keepNext w:val="0"/>
        <w:keepLines w:val="0"/>
        <w:pageBreakBefore w:val="0"/>
        <w:widowControl w:val="0"/>
        <w:kinsoku/>
        <w:overflowPunct/>
        <w:topLinePunct w:val="0"/>
        <w:autoSpaceDE/>
        <w:autoSpaceDN/>
        <w:bidi w:val="0"/>
        <w:adjustRightInd/>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）具体、明确的投诉事项和与投诉事项相关的投诉请求；</w:t>
      </w:r>
    </w:p>
    <w:p w14:paraId="267B2E28">
      <w:pPr>
        <w:pStyle w:val="50"/>
        <w:keepNext w:val="0"/>
        <w:keepLines w:val="0"/>
        <w:pageBreakBefore w:val="0"/>
        <w:widowControl w:val="0"/>
        <w:kinsoku/>
        <w:overflowPunct/>
        <w:topLinePunct w:val="0"/>
        <w:autoSpaceDE/>
        <w:autoSpaceDN/>
        <w:bidi w:val="0"/>
        <w:adjustRightInd/>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）事实依据；</w:t>
      </w:r>
    </w:p>
    <w:p w14:paraId="18E3C94D">
      <w:pPr>
        <w:pStyle w:val="50"/>
        <w:keepNext w:val="0"/>
        <w:keepLines w:val="0"/>
        <w:pageBreakBefore w:val="0"/>
        <w:widowControl w:val="0"/>
        <w:kinsoku/>
        <w:overflowPunct/>
        <w:topLinePunct w:val="0"/>
        <w:autoSpaceDE/>
        <w:autoSpaceDN/>
        <w:bidi w:val="0"/>
        <w:adjustRightInd/>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）法律依据；</w:t>
      </w:r>
    </w:p>
    <w:p w14:paraId="789D39EB">
      <w:pPr>
        <w:pStyle w:val="50"/>
        <w:keepNext w:val="0"/>
        <w:keepLines w:val="0"/>
        <w:pageBreakBefore w:val="0"/>
        <w:widowControl w:val="0"/>
        <w:kinsoku/>
        <w:overflowPunct/>
        <w:topLinePunct w:val="0"/>
        <w:autoSpaceDE/>
        <w:autoSpaceDN/>
        <w:bidi w:val="0"/>
        <w:adjustRightInd/>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）提起投诉的日期。</w:t>
      </w:r>
    </w:p>
    <w:p w14:paraId="57B8DFA9">
      <w:pPr>
        <w:pStyle w:val="50"/>
        <w:keepNext w:val="0"/>
        <w:keepLines w:val="0"/>
        <w:pageBreakBefore w:val="0"/>
        <w:widowControl w:val="0"/>
        <w:kinsoku/>
        <w:overflowPunct/>
        <w:topLinePunct w:val="0"/>
        <w:autoSpaceDE/>
        <w:autoSpaceDN/>
        <w:bidi w:val="0"/>
        <w:adjustRightInd/>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投诉人为自然人的，应当由本人签字；投诉人为法人或者其他组织的，应当由法定代表人、主要负责人，或者其授权代表签字或者盖章，并加盖公章。</w:t>
      </w:r>
    </w:p>
    <w:p w14:paraId="33BA52E9">
      <w:pPr>
        <w:pStyle w:val="50"/>
        <w:keepNext w:val="0"/>
        <w:keepLines w:val="0"/>
        <w:pageBreakBefore w:val="0"/>
        <w:widowControl w:val="0"/>
        <w:kinsoku/>
        <w:overflowPunct/>
        <w:topLinePunct w:val="0"/>
        <w:autoSpaceDE/>
        <w:autoSpaceDN/>
        <w:bidi w:val="0"/>
        <w:adjustRightInd/>
        <w:jc w:val="both"/>
        <w:textAlignment w:val="auto"/>
        <w:rPr>
          <w:rFonts w:hint="eastAsia" w:ascii="宋体" w:hAnsi="宋体" w:eastAsia="宋体" w:cs="宋体"/>
          <w:bCs/>
          <w:color w:val="auto"/>
          <w:sz w:val="24"/>
          <w:szCs w:val="24"/>
          <w:highlight w:val="none"/>
        </w:rPr>
      </w:pPr>
      <w:r>
        <w:rPr>
          <w:rFonts w:hint="eastAsia" w:ascii="宋体" w:hAnsi="宋体" w:eastAsia="宋体" w:cs="宋体"/>
          <w:color w:val="auto"/>
          <w:sz w:val="24"/>
          <w:szCs w:val="24"/>
          <w:highlight w:val="none"/>
          <w:lang w:val="en-US" w:eastAsia="zh-CN"/>
        </w:rPr>
        <w:t>37.3</w:t>
      </w:r>
      <w:r>
        <w:rPr>
          <w:rFonts w:hint="eastAsia" w:ascii="宋体" w:hAnsi="宋体" w:eastAsia="宋体" w:cs="宋体"/>
          <w:color w:val="auto"/>
          <w:sz w:val="24"/>
          <w:szCs w:val="24"/>
          <w:highlight w:val="none"/>
        </w:rPr>
        <w:t>供应商</w:t>
      </w:r>
      <w:r>
        <w:rPr>
          <w:rFonts w:hint="eastAsia" w:ascii="宋体" w:hAnsi="宋体" w:eastAsia="宋体" w:cs="宋体"/>
          <w:color w:val="auto"/>
          <w:sz w:val="24"/>
          <w:szCs w:val="24"/>
          <w:highlight w:val="none"/>
          <w:lang w:val="en-US" w:eastAsia="zh-CN"/>
        </w:rPr>
        <w:t>质疑、</w:t>
      </w:r>
      <w:r>
        <w:rPr>
          <w:rFonts w:hint="eastAsia" w:ascii="宋体" w:hAnsi="宋体" w:eastAsia="宋体" w:cs="宋体"/>
          <w:color w:val="auto"/>
          <w:sz w:val="24"/>
          <w:szCs w:val="24"/>
          <w:highlight w:val="none"/>
        </w:rPr>
        <w:t>投诉</w:t>
      </w:r>
      <w:r>
        <w:rPr>
          <w:rFonts w:hint="eastAsia" w:ascii="宋体" w:hAnsi="宋体" w:eastAsia="宋体" w:cs="宋体"/>
          <w:color w:val="auto"/>
          <w:sz w:val="24"/>
          <w:szCs w:val="24"/>
          <w:highlight w:val="none"/>
          <w:lang w:val="en-US" w:eastAsia="zh-CN"/>
        </w:rPr>
        <w:t>应当有明确的请求和必要的证明材料</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供应商投诉的事项不得超出</w:t>
      </w:r>
      <w:r>
        <w:rPr>
          <w:rFonts w:hint="eastAsia" w:ascii="宋体" w:hAnsi="宋体" w:eastAsia="宋体" w:cs="宋体"/>
          <w:color w:val="auto"/>
          <w:sz w:val="24"/>
          <w:szCs w:val="24"/>
          <w:highlight w:val="none"/>
          <w:lang w:val="en-US" w:eastAsia="zh-CN"/>
        </w:rPr>
        <w:t>已</w:t>
      </w:r>
      <w:r>
        <w:rPr>
          <w:rFonts w:hint="eastAsia" w:ascii="宋体" w:hAnsi="宋体" w:eastAsia="宋体" w:cs="宋体"/>
          <w:color w:val="auto"/>
          <w:sz w:val="24"/>
          <w:szCs w:val="24"/>
          <w:highlight w:val="none"/>
        </w:rPr>
        <w:t>质疑事项的范围，但基于质疑答复内容提出的投诉事项除外</w:t>
      </w:r>
      <w:r>
        <w:rPr>
          <w:rFonts w:hint="eastAsia" w:ascii="宋体" w:hAnsi="宋体" w:eastAsia="宋体" w:cs="宋体"/>
          <w:bCs/>
          <w:color w:val="auto"/>
          <w:sz w:val="24"/>
          <w:szCs w:val="24"/>
          <w:highlight w:val="none"/>
        </w:rPr>
        <w:t>。</w:t>
      </w:r>
    </w:p>
    <w:p w14:paraId="48E4456D">
      <w:pPr>
        <w:pStyle w:val="50"/>
        <w:keepNext w:val="0"/>
        <w:keepLines w:val="0"/>
        <w:pageBreakBefore w:val="0"/>
        <w:widowControl w:val="0"/>
        <w:kinsoku/>
        <w:overflowPunct/>
        <w:topLinePunct w:val="0"/>
        <w:autoSpaceDE/>
        <w:autoSpaceDN/>
        <w:bidi w:val="0"/>
        <w:adjustRightInd/>
        <w:jc w:val="both"/>
        <w:textAlignment w:val="auto"/>
        <w:rPr>
          <w:rFonts w:hint="eastAsia" w:ascii="宋体" w:hAnsi="宋体" w:eastAsia="宋体" w:cs="宋体"/>
          <w:bCs/>
          <w:color w:val="auto"/>
          <w:sz w:val="24"/>
          <w:szCs w:val="24"/>
          <w:highlight w:val="none"/>
        </w:rPr>
      </w:pPr>
      <w:r>
        <w:rPr>
          <w:rFonts w:hint="eastAsia" w:ascii="宋体" w:hAnsi="宋体" w:eastAsia="宋体" w:cs="宋体"/>
          <w:snapToGrid w:val="0"/>
          <w:color w:val="auto"/>
          <w:sz w:val="24"/>
          <w:szCs w:val="24"/>
          <w:highlight w:val="none"/>
          <w:lang w:val="en-US" w:eastAsia="zh-CN"/>
        </w:rPr>
        <w:t>37.4</w:t>
      </w:r>
      <w:r>
        <w:rPr>
          <w:rFonts w:hint="eastAsia" w:ascii="宋体" w:hAnsi="宋体" w:eastAsia="宋体" w:cs="宋体"/>
          <w:color w:val="auto"/>
          <w:sz w:val="24"/>
          <w:szCs w:val="24"/>
          <w:highlight w:val="none"/>
          <w:lang w:val="en-US" w:eastAsia="zh-CN"/>
        </w:rPr>
        <w:t>投诉书应当使用中文，并采用财政部门制定的范本。</w:t>
      </w:r>
    </w:p>
    <w:p w14:paraId="50E902AF">
      <w:pPr>
        <w:pStyle w:val="4"/>
        <w:keepNext w:val="0"/>
        <w:keepLines w:val="0"/>
        <w:pageBreakBefore w:val="0"/>
        <w:widowControl w:val="0"/>
        <w:numPr>
          <w:ilvl w:val="0"/>
          <w:numId w:val="0"/>
        </w:numPr>
        <w:kinsoku/>
        <w:wordWrap/>
        <w:overflowPunct/>
        <w:topLinePunct w:val="0"/>
        <w:autoSpaceDE/>
        <w:autoSpaceDN/>
        <w:bidi w:val="0"/>
        <w:adjustRightInd/>
        <w:snapToGrid/>
        <w:spacing w:before="120" w:after="120" w:line="240" w:lineRule="auto"/>
        <w:ind w:left="420" w:leftChars="0" w:hanging="420" w:firstLineChars="0"/>
        <w:jc w:val="both"/>
        <w:textAlignment w:val="auto"/>
        <w:rPr>
          <w:rFonts w:hint="eastAsia" w:ascii="宋体" w:hAnsi="宋体" w:eastAsia="宋体" w:cs="宋体"/>
          <w:b/>
          <w:bCs/>
          <w:color w:val="auto"/>
          <w:kern w:val="2"/>
          <w:sz w:val="24"/>
          <w:szCs w:val="24"/>
          <w:highlight w:val="none"/>
          <w:lang w:val="en-US" w:eastAsia="zh-CN" w:bidi="ar-SA"/>
        </w:rPr>
      </w:pPr>
      <w:bookmarkStart w:id="176" w:name="_Toc10455"/>
      <w:bookmarkStart w:id="177" w:name="_Toc163492870"/>
      <w:bookmarkStart w:id="178" w:name="_Toc155185882"/>
      <w:bookmarkStart w:id="179" w:name="_Toc140132803"/>
      <w:r>
        <w:rPr>
          <w:rFonts w:hint="eastAsia" w:ascii="宋体" w:hAnsi="宋体" w:eastAsia="宋体" w:cs="宋体"/>
          <w:b/>
          <w:bCs/>
          <w:color w:val="auto"/>
          <w:kern w:val="2"/>
          <w:sz w:val="24"/>
          <w:szCs w:val="24"/>
          <w:highlight w:val="none"/>
          <w:lang w:val="en-US" w:eastAsia="zh-CN" w:bidi="ar-SA"/>
        </w:rPr>
        <w:t>（十一）采购代理服务费</w:t>
      </w:r>
      <w:bookmarkEnd w:id="176"/>
      <w:bookmarkEnd w:id="177"/>
      <w:bookmarkEnd w:id="178"/>
      <w:bookmarkEnd w:id="179"/>
    </w:p>
    <w:p w14:paraId="11585552">
      <w:pPr>
        <w:pStyle w:val="5"/>
        <w:keepNext w:val="0"/>
        <w:keepLines w:val="0"/>
        <w:pageBreakBefore w:val="0"/>
        <w:widowControl w:val="0"/>
        <w:numPr>
          <w:ilvl w:val="0"/>
          <w:numId w:val="0"/>
        </w:numPr>
        <w:kinsoku/>
        <w:wordWrap/>
        <w:overflowPunct/>
        <w:topLinePunct w:val="0"/>
        <w:autoSpaceDE/>
        <w:autoSpaceDN/>
        <w:bidi w:val="0"/>
        <w:adjustRightInd/>
        <w:snapToGrid/>
        <w:spacing w:before="80" w:after="80" w:line="240" w:lineRule="auto"/>
        <w:ind w:left="420" w:leftChars="0" w:hanging="420" w:firstLineChars="0"/>
        <w:jc w:val="both"/>
        <w:textAlignment w:val="auto"/>
        <w:rPr>
          <w:rFonts w:hint="eastAsia" w:ascii="宋体" w:hAnsi="宋体" w:eastAsia="宋体" w:cs="宋体"/>
          <w:b/>
          <w:bCs/>
          <w:color w:val="auto"/>
          <w:kern w:val="2"/>
          <w:sz w:val="24"/>
          <w:szCs w:val="24"/>
          <w:highlight w:val="none"/>
          <w:lang w:val="en-US" w:eastAsia="zh-CN" w:bidi="ar-SA"/>
        </w:rPr>
      </w:pPr>
      <w:bookmarkStart w:id="180" w:name="_Toc8855"/>
      <w:bookmarkStart w:id="181" w:name="_Toc140132804"/>
      <w:bookmarkStart w:id="182" w:name="_Toc163492871"/>
      <w:r>
        <w:rPr>
          <w:rFonts w:hint="eastAsia" w:ascii="宋体" w:hAnsi="宋体" w:eastAsia="宋体" w:cs="宋体"/>
          <w:b/>
          <w:bCs/>
          <w:color w:val="auto"/>
          <w:kern w:val="2"/>
          <w:sz w:val="24"/>
          <w:szCs w:val="24"/>
          <w:highlight w:val="none"/>
          <w:lang w:val="en-US" w:eastAsia="zh-CN" w:bidi="ar-SA"/>
        </w:rPr>
        <w:t>38.收取方式和标准</w:t>
      </w:r>
      <w:bookmarkEnd w:id="180"/>
      <w:bookmarkEnd w:id="181"/>
      <w:bookmarkEnd w:id="182"/>
    </w:p>
    <w:p w14:paraId="02D33D02">
      <w:pPr>
        <w:pStyle w:val="50"/>
        <w:keepNext w:val="0"/>
        <w:keepLines w:val="0"/>
        <w:pageBreakBefore w:val="0"/>
        <w:widowControl w:val="0"/>
        <w:kinsoku/>
        <w:overflowPunct/>
        <w:topLinePunct w:val="0"/>
        <w:autoSpaceDE/>
        <w:autoSpaceDN/>
        <w:bidi w:val="0"/>
        <w:adjustRightInd/>
        <w:jc w:val="both"/>
        <w:textAlignment w:val="auto"/>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3</w:t>
      </w:r>
      <w:r>
        <w:rPr>
          <w:rFonts w:hint="eastAsia" w:ascii="宋体" w:hAnsi="宋体" w:eastAsia="宋体" w:cs="宋体"/>
          <w:bCs/>
          <w:color w:val="auto"/>
          <w:sz w:val="24"/>
          <w:szCs w:val="24"/>
          <w:highlight w:val="none"/>
          <w:lang w:val="en-US" w:eastAsia="zh-CN"/>
        </w:rPr>
        <w:t>8</w:t>
      </w:r>
      <w:r>
        <w:rPr>
          <w:rFonts w:hint="eastAsia" w:ascii="宋体" w:hAnsi="宋体" w:eastAsia="宋体" w:cs="宋体"/>
          <w:color w:val="auto"/>
          <w:sz w:val="24"/>
          <w:szCs w:val="24"/>
          <w:highlight w:val="none"/>
        </w:rPr>
        <w:t>.1</w:t>
      </w:r>
      <w:r>
        <w:rPr>
          <w:rFonts w:hint="eastAsia" w:cs="宋体"/>
          <w:color w:val="auto"/>
          <w:sz w:val="24"/>
          <w:szCs w:val="24"/>
          <w:highlight w:val="none"/>
          <w:lang w:eastAsia="zh-CN"/>
        </w:rPr>
        <w:t>招标代理机构</w:t>
      </w:r>
      <w:r>
        <w:rPr>
          <w:rFonts w:hint="eastAsia" w:ascii="宋体" w:hAnsi="宋体" w:eastAsia="宋体" w:cs="宋体"/>
          <w:color w:val="auto"/>
          <w:sz w:val="24"/>
          <w:szCs w:val="24"/>
          <w:highlight w:val="none"/>
        </w:rPr>
        <w:t>按“投标人须知前附表”规定的方式和标准收取采购代理服务费。</w:t>
      </w:r>
    </w:p>
    <w:p w14:paraId="65B20034">
      <w:pPr>
        <w:pStyle w:val="4"/>
        <w:keepNext w:val="0"/>
        <w:keepLines w:val="0"/>
        <w:pageBreakBefore w:val="0"/>
        <w:widowControl w:val="0"/>
        <w:numPr>
          <w:ilvl w:val="0"/>
          <w:numId w:val="0"/>
        </w:numPr>
        <w:kinsoku/>
        <w:wordWrap/>
        <w:overflowPunct/>
        <w:topLinePunct w:val="0"/>
        <w:autoSpaceDE/>
        <w:autoSpaceDN/>
        <w:bidi w:val="0"/>
        <w:adjustRightInd/>
        <w:snapToGrid/>
        <w:spacing w:before="120" w:after="120" w:line="240" w:lineRule="auto"/>
        <w:ind w:left="420" w:leftChars="0" w:hanging="420" w:firstLineChars="0"/>
        <w:jc w:val="both"/>
        <w:textAlignment w:val="auto"/>
        <w:rPr>
          <w:rFonts w:hint="eastAsia" w:ascii="宋体" w:hAnsi="宋体" w:eastAsia="宋体" w:cs="宋体"/>
          <w:b/>
          <w:bCs/>
          <w:color w:val="auto"/>
          <w:kern w:val="2"/>
          <w:sz w:val="24"/>
          <w:szCs w:val="24"/>
          <w:highlight w:val="none"/>
          <w:lang w:val="en-US" w:eastAsia="zh-CN" w:bidi="ar-SA"/>
        </w:rPr>
      </w:pPr>
      <w:bookmarkStart w:id="183" w:name="_Toc163492872"/>
      <w:bookmarkStart w:id="184" w:name="_Toc140132805"/>
      <w:bookmarkStart w:id="185" w:name="_Toc10992"/>
      <w:bookmarkStart w:id="186" w:name="_Toc155185883"/>
      <w:r>
        <w:rPr>
          <w:rFonts w:hint="eastAsia" w:ascii="宋体" w:hAnsi="宋体" w:eastAsia="宋体" w:cs="宋体"/>
          <w:b/>
          <w:bCs/>
          <w:color w:val="auto"/>
          <w:kern w:val="2"/>
          <w:sz w:val="24"/>
          <w:szCs w:val="24"/>
          <w:highlight w:val="none"/>
          <w:lang w:val="en-US" w:eastAsia="zh-CN" w:bidi="ar-SA"/>
        </w:rPr>
        <w:t>（十二）无效投标和废标</w:t>
      </w:r>
      <w:bookmarkEnd w:id="183"/>
      <w:bookmarkEnd w:id="184"/>
      <w:bookmarkEnd w:id="185"/>
      <w:bookmarkEnd w:id="186"/>
    </w:p>
    <w:p w14:paraId="78695CD5">
      <w:pPr>
        <w:pStyle w:val="5"/>
        <w:keepNext w:val="0"/>
        <w:keepLines w:val="0"/>
        <w:pageBreakBefore w:val="0"/>
        <w:widowControl w:val="0"/>
        <w:numPr>
          <w:ilvl w:val="0"/>
          <w:numId w:val="0"/>
        </w:numPr>
        <w:kinsoku/>
        <w:wordWrap/>
        <w:overflowPunct/>
        <w:topLinePunct w:val="0"/>
        <w:autoSpaceDE/>
        <w:autoSpaceDN/>
        <w:bidi w:val="0"/>
        <w:adjustRightInd/>
        <w:snapToGrid/>
        <w:spacing w:before="80" w:after="80" w:line="240" w:lineRule="auto"/>
        <w:ind w:left="420" w:leftChars="0" w:hanging="420" w:firstLineChars="0"/>
        <w:jc w:val="both"/>
        <w:textAlignment w:val="auto"/>
        <w:rPr>
          <w:rFonts w:hint="eastAsia" w:ascii="宋体" w:hAnsi="宋体" w:eastAsia="宋体" w:cs="宋体"/>
          <w:b/>
          <w:bCs/>
          <w:color w:val="auto"/>
          <w:kern w:val="2"/>
          <w:sz w:val="24"/>
          <w:szCs w:val="24"/>
          <w:highlight w:val="none"/>
          <w:lang w:val="en-US" w:eastAsia="zh-CN" w:bidi="ar-SA"/>
        </w:rPr>
      </w:pPr>
      <w:bookmarkStart w:id="187" w:name="_Toc28487"/>
      <w:bookmarkStart w:id="188" w:name="_Toc163492873"/>
      <w:bookmarkStart w:id="189" w:name="_Toc140132806"/>
      <w:r>
        <w:rPr>
          <w:rFonts w:hint="eastAsia" w:ascii="宋体" w:hAnsi="宋体" w:eastAsia="宋体" w:cs="宋体"/>
          <w:b/>
          <w:bCs/>
          <w:color w:val="auto"/>
          <w:kern w:val="2"/>
          <w:sz w:val="24"/>
          <w:szCs w:val="24"/>
          <w:highlight w:val="none"/>
          <w:lang w:val="en-US" w:eastAsia="zh-CN" w:bidi="ar-SA"/>
        </w:rPr>
        <w:t>39.无效投标</w:t>
      </w:r>
      <w:bookmarkEnd w:id="187"/>
      <w:bookmarkEnd w:id="188"/>
      <w:bookmarkEnd w:id="189"/>
    </w:p>
    <w:p w14:paraId="2721B2F4">
      <w:pPr>
        <w:pStyle w:val="50"/>
        <w:keepNext w:val="0"/>
        <w:keepLines w:val="0"/>
        <w:pageBreakBefore w:val="0"/>
        <w:widowControl w:val="0"/>
        <w:kinsoku/>
        <w:overflowPunct/>
        <w:topLinePunct w:val="0"/>
        <w:autoSpaceDE/>
        <w:autoSpaceDN/>
        <w:bidi w:val="0"/>
        <w:adjustRightInd/>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39</w:t>
      </w:r>
      <w:r>
        <w:rPr>
          <w:rFonts w:hint="eastAsia" w:ascii="宋体" w:hAnsi="宋体" w:eastAsia="宋体" w:cs="宋体"/>
          <w:color w:val="auto"/>
          <w:sz w:val="24"/>
          <w:szCs w:val="24"/>
          <w:highlight w:val="none"/>
        </w:rPr>
        <w:t>.1投标文件存在“第四章</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资格审查”、“第五章</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评标</w:t>
      </w:r>
      <w:r>
        <w:rPr>
          <w:rFonts w:hint="eastAsia" w:ascii="宋体" w:hAnsi="宋体" w:eastAsia="宋体" w:cs="宋体"/>
          <w:color w:val="auto"/>
          <w:sz w:val="24"/>
          <w:szCs w:val="24"/>
          <w:highlight w:val="none"/>
          <w:lang w:val="en-US" w:eastAsia="zh-CN"/>
        </w:rPr>
        <w:t>方</w:t>
      </w:r>
      <w:r>
        <w:rPr>
          <w:rFonts w:hint="eastAsia" w:ascii="宋体" w:hAnsi="宋体" w:eastAsia="宋体" w:cs="宋体"/>
          <w:color w:val="auto"/>
          <w:sz w:val="24"/>
          <w:szCs w:val="24"/>
          <w:highlight w:val="none"/>
        </w:rPr>
        <w:t>法及标准”</w:t>
      </w:r>
      <w:r>
        <w:rPr>
          <w:rFonts w:hint="eastAsia" w:ascii="宋体" w:hAnsi="宋体" w:eastAsia="宋体" w:cs="宋体"/>
          <w:color w:val="auto"/>
          <w:sz w:val="24"/>
          <w:szCs w:val="24"/>
          <w:highlight w:val="none"/>
          <w:lang w:val="en-US" w:eastAsia="zh-CN"/>
        </w:rPr>
        <w:t>及本招标文件</w:t>
      </w:r>
      <w:r>
        <w:rPr>
          <w:rFonts w:hint="eastAsia" w:ascii="宋体" w:hAnsi="宋体" w:eastAsia="宋体" w:cs="宋体"/>
          <w:color w:val="auto"/>
          <w:sz w:val="24"/>
          <w:szCs w:val="24"/>
          <w:highlight w:val="none"/>
        </w:rPr>
        <w:t>规定的投标无效情形的，其</w:t>
      </w:r>
      <w:r>
        <w:rPr>
          <w:rFonts w:hint="eastAsia" w:ascii="宋体" w:hAnsi="宋体" w:eastAsia="宋体" w:cs="宋体"/>
          <w:b/>
          <w:bCs/>
          <w:color w:val="auto"/>
          <w:sz w:val="24"/>
          <w:szCs w:val="24"/>
          <w:highlight w:val="none"/>
        </w:rPr>
        <w:t>投标无效</w:t>
      </w:r>
      <w:r>
        <w:rPr>
          <w:rFonts w:hint="eastAsia" w:ascii="宋体" w:hAnsi="宋体" w:eastAsia="宋体" w:cs="宋体"/>
          <w:color w:val="auto"/>
          <w:sz w:val="24"/>
          <w:szCs w:val="24"/>
          <w:highlight w:val="none"/>
        </w:rPr>
        <w:t>。</w:t>
      </w:r>
    </w:p>
    <w:p w14:paraId="52E9251D">
      <w:pPr>
        <w:pStyle w:val="5"/>
        <w:keepNext w:val="0"/>
        <w:keepLines w:val="0"/>
        <w:pageBreakBefore w:val="0"/>
        <w:widowControl w:val="0"/>
        <w:numPr>
          <w:ilvl w:val="0"/>
          <w:numId w:val="0"/>
        </w:numPr>
        <w:kinsoku/>
        <w:wordWrap/>
        <w:overflowPunct/>
        <w:topLinePunct w:val="0"/>
        <w:autoSpaceDE/>
        <w:autoSpaceDN/>
        <w:bidi w:val="0"/>
        <w:adjustRightInd/>
        <w:snapToGrid/>
        <w:spacing w:before="80" w:after="80" w:line="240" w:lineRule="auto"/>
        <w:ind w:left="420" w:leftChars="0" w:hanging="420" w:firstLineChars="0"/>
        <w:jc w:val="both"/>
        <w:textAlignment w:val="auto"/>
        <w:rPr>
          <w:rFonts w:hint="eastAsia" w:ascii="宋体" w:hAnsi="宋体" w:eastAsia="宋体" w:cs="宋体"/>
          <w:b/>
          <w:bCs/>
          <w:color w:val="auto"/>
          <w:kern w:val="2"/>
          <w:sz w:val="24"/>
          <w:szCs w:val="24"/>
          <w:highlight w:val="none"/>
          <w:lang w:val="en-US" w:eastAsia="zh-CN" w:bidi="ar-SA"/>
        </w:rPr>
      </w:pPr>
      <w:bookmarkStart w:id="190" w:name="_Toc140132807"/>
      <w:bookmarkStart w:id="191" w:name="_Toc3980"/>
      <w:bookmarkStart w:id="192" w:name="_Toc163492874"/>
      <w:r>
        <w:rPr>
          <w:rFonts w:hint="eastAsia" w:ascii="宋体" w:hAnsi="宋体" w:eastAsia="宋体" w:cs="宋体"/>
          <w:b/>
          <w:bCs/>
          <w:color w:val="auto"/>
          <w:kern w:val="2"/>
          <w:sz w:val="24"/>
          <w:szCs w:val="24"/>
          <w:highlight w:val="none"/>
          <w:lang w:val="en-US" w:eastAsia="zh-CN" w:bidi="ar-SA"/>
        </w:rPr>
        <w:t>40.废标</w:t>
      </w:r>
      <w:bookmarkEnd w:id="190"/>
      <w:bookmarkEnd w:id="191"/>
      <w:bookmarkEnd w:id="192"/>
    </w:p>
    <w:p w14:paraId="44005169">
      <w:pPr>
        <w:pStyle w:val="50"/>
        <w:keepNext w:val="0"/>
        <w:keepLines w:val="0"/>
        <w:pageBreakBefore w:val="0"/>
        <w:widowControl w:val="0"/>
        <w:kinsoku/>
        <w:overflowPunct/>
        <w:topLinePunct w:val="0"/>
        <w:autoSpaceDE/>
        <w:autoSpaceDN/>
        <w:bidi w:val="0"/>
        <w:adjustRightInd/>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r>
        <w:rPr>
          <w:rFonts w:hint="eastAsia" w:ascii="宋体" w:hAnsi="宋体" w:eastAsia="宋体" w:cs="宋体"/>
          <w:color w:val="auto"/>
          <w:sz w:val="24"/>
          <w:szCs w:val="24"/>
          <w:highlight w:val="none"/>
          <w:lang w:val="en-US" w:eastAsia="zh-CN"/>
        </w:rPr>
        <w:t>0</w:t>
      </w:r>
      <w:r>
        <w:rPr>
          <w:rFonts w:hint="eastAsia" w:ascii="宋体" w:hAnsi="宋体" w:eastAsia="宋体" w:cs="宋体"/>
          <w:color w:val="auto"/>
          <w:sz w:val="24"/>
          <w:szCs w:val="24"/>
          <w:highlight w:val="none"/>
        </w:rPr>
        <w:t>.1在招标采购中出现有“第五章</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评标</w:t>
      </w:r>
      <w:r>
        <w:rPr>
          <w:rFonts w:hint="eastAsia" w:ascii="宋体" w:hAnsi="宋体" w:eastAsia="宋体" w:cs="宋体"/>
          <w:color w:val="auto"/>
          <w:sz w:val="24"/>
          <w:szCs w:val="24"/>
          <w:highlight w:val="none"/>
          <w:lang w:val="en-US" w:eastAsia="zh-CN"/>
        </w:rPr>
        <w:t>方</w:t>
      </w:r>
      <w:r>
        <w:rPr>
          <w:rFonts w:hint="eastAsia" w:ascii="宋体" w:hAnsi="宋体" w:eastAsia="宋体" w:cs="宋体"/>
          <w:color w:val="auto"/>
          <w:sz w:val="24"/>
          <w:szCs w:val="24"/>
          <w:highlight w:val="none"/>
        </w:rPr>
        <w:t>法及标准”</w:t>
      </w:r>
      <w:r>
        <w:rPr>
          <w:rFonts w:hint="eastAsia" w:ascii="宋体" w:hAnsi="宋体" w:eastAsia="宋体" w:cs="宋体"/>
          <w:color w:val="auto"/>
          <w:sz w:val="24"/>
          <w:szCs w:val="24"/>
          <w:highlight w:val="none"/>
          <w:lang w:val="en-US" w:eastAsia="zh-CN"/>
        </w:rPr>
        <w:t>及本招标文件</w:t>
      </w:r>
      <w:r>
        <w:rPr>
          <w:rFonts w:hint="eastAsia" w:ascii="宋体" w:hAnsi="宋体" w:eastAsia="宋体" w:cs="宋体"/>
          <w:color w:val="auto"/>
          <w:sz w:val="24"/>
          <w:szCs w:val="24"/>
          <w:highlight w:val="none"/>
        </w:rPr>
        <w:t>规定的废标情形的，应予以</w:t>
      </w:r>
      <w:r>
        <w:rPr>
          <w:rFonts w:hint="eastAsia" w:ascii="宋体" w:hAnsi="宋体" w:eastAsia="宋体" w:cs="宋体"/>
          <w:b/>
          <w:bCs/>
          <w:color w:val="auto"/>
          <w:sz w:val="24"/>
          <w:szCs w:val="24"/>
          <w:highlight w:val="none"/>
        </w:rPr>
        <w:t>废标</w:t>
      </w:r>
      <w:r>
        <w:rPr>
          <w:rFonts w:hint="eastAsia" w:ascii="宋体" w:hAnsi="宋体" w:eastAsia="宋体" w:cs="宋体"/>
          <w:color w:val="auto"/>
          <w:sz w:val="24"/>
          <w:szCs w:val="24"/>
          <w:highlight w:val="none"/>
          <w:lang w:eastAsia="zh-CN"/>
        </w:rPr>
        <w:t>。</w:t>
      </w:r>
    </w:p>
    <w:p w14:paraId="1E04D6B2">
      <w:pPr>
        <w:pStyle w:val="4"/>
        <w:keepNext w:val="0"/>
        <w:keepLines w:val="0"/>
        <w:pageBreakBefore w:val="0"/>
        <w:widowControl w:val="0"/>
        <w:numPr>
          <w:ilvl w:val="0"/>
          <w:numId w:val="0"/>
        </w:numPr>
        <w:kinsoku/>
        <w:wordWrap/>
        <w:overflowPunct/>
        <w:topLinePunct w:val="0"/>
        <w:autoSpaceDE/>
        <w:autoSpaceDN/>
        <w:bidi w:val="0"/>
        <w:adjustRightInd/>
        <w:snapToGrid/>
        <w:spacing w:before="120" w:after="120" w:line="240" w:lineRule="auto"/>
        <w:ind w:left="420" w:leftChars="0" w:hanging="420" w:firstLineChars="0"/>
        <w:jc w:val="both"/>
        <w:textAlignment w:val="auto"/>
        <w:rPr>
          <w:rFonts w:hint="eastAsia" w:ascii="宋体" w:hAnsi="宋体" w:eastAsia="宋体" w:cs="宋体"/>
          <w:b/>
          <w:bCs/>
          <w:color w:val="auto"/>
          <w:kern w:val="2"/>
          <w:sz w:val="24"/>
          <w:szCs w:val="24"/>
          <w:highlight w:val="none"/>
          <w:lang w:val="en-US" w:eastAsia="zh-CN" w:bidi="ar-SA"/>
        </w:rPr>
      </w:pPr>
      <w:bookmarkStart w:id="193" w:name="_Toc140132766"/>
      <w:bookmarkStart w:id="194" w:name="_Toc163492875"/>
      <w:bookmarkStart w:id="195" w:name="_Toc5781"/>
      <w:bookmarkStart w:id="196" w:name="_Toc140132808"/>
      <w:bookmarkStart w:id="197" w:name="_Toc155185884"/>
      <w:r>
        <w:rPr>
          <w:rFonts w:hint="eastAsia" w:ascii="宋体" w:hAnsi="宋体" w:eastAsia="宋体" w:cs="宋体"/>
          <w:b/>
          <w:bCs/>
          <w:color w:val="auto"/>
          <w:kern w:val="2"/>
          <w:sz w:val="24"/>
          <w:szCs w:val="24"/>
          <w:highlight w:val="none"/>
          <w:lang w:val="en-US" w:eastAsia="zh-CN" w:bidi="ar-SA"/>
        </w:rPr>
        <w:t>（十三）落实政府采购政策</w:t>
      </w:r>
      <w:bookmarkEnd w:id="193"/>
      <w:bookmarkEnd w:id="194"/>
      <w:r>
        <w:rPr>
          <w:rFonts w:hint="eastAsia" w:ascii="宋体" w:hAnsi="宋体" w:eastAsia="宋体" w:cs="宋体"/>
          <w:b/>
          <w:bCs/>
          <w:color w:val="auto"/>
          <w:kern w:val="2"/>
          <w:sz w:val="24"/>
          <w:szCs w:val="24"/>
          <w:highlight w:val="none"/>
          <w:lang w:val="en-US" w:eastAsia="zh-CN" w:bidi="ar-SA"/>
        </w:rPr>
        <w:t>（包括但不限于下列具体政策要求）</w:t>
      </w:r>
      <w:bookmarkEnd w:id="195"/>
    </w:p>
    <w:p w14:paraId="01954893">
      <w:pPr>
        <w:pStyle w:val="5"/>
        <w:keepNext w:val="0"/>
        <w:keepLines w:val="0"/>
        <w:pageBreakBefore w:val="0"/>
        <w:widowControl w:val="0"/>
        <w:numPr>
          <w:ilvl w:val="0"/>
          <w:numId w:val="0"/>
        </w:numPr>
        <w:kinsoku/>
        <w:wordWrap/>
        <w:overflowPunct/>
        <w:topLinePunct w:val="0"/>
        <w:autoSpaceDE/>
        <w:autoSpaceDN/>
        <w:bidi w:val="0"/>
        <w:adjustRightInd/>
        <w:snapToGrid/>
        <w:spacing w:before="80" w:after="80" w:line="240" w:lineRule="auto"/>
        <w:ind w:left="420" w:leftChars="0" w:hanging="420" w:firstLineChars="0"/>
        <w:jc w:val="both"/>
        <w:textAlignment w:val="auto"/>
        <w:rPr>
          <w:rFonts w:hint="eastAsia" w:ascii="宋体" w:hAnsi="宋体" w:eastAsia="宋体" w:cs="宋体"/>
          <w:b/>
          <w:bCs/>
          <w:color w:val="auto"/>
          <w:kern w:val="2"/>
          <w:sz w:val="24"/>
          <w:szCs w:val="28"/>
          <w:highlight w:val="none"/>
          <w:lang w:val="en-US" w:eastAsia="zh-CN" w:bidi="ar-SA"/>
        </w:rPr>
      </w:pPr>
      <w:bookmarkStart w:id="198" w:name="_Toc163492876"/>
      <w:r>
        <w:rPr>
          <w:rFonts w:hint="eastAsia" w:ascii="宋体" w:hAnsi="宋体" w:eastAsia="宋体" w:cs="宋体"/>
          <w:b/>
          <w:bCs/>
          <w:color w:val="auto"/>
          <w:kern w:val="2"/>
          <w:sz w:val="24"/>
          <w:szCs w:val="28"/>
          <w:highlight w:val="none"/>
          <w:lang w:val="en-US" w:eastAsia="zh-CN" w:bidi="ar-SA"/>
        </w:rPr>
        <w:t>41.</w:t>
      </w:r>
      <w:r>
        <w:rPr>
          <w:rFonts w:hint="eastAsia" w:ascii="宋体" w:hAnsi="宋体" w:cs="宋体"/>
          <w:b/>
          <w:bCs/>
          <w:color w:val="auto"/>
          <w:kern w:val="2"/>
          <w:sz w:val="24"/>
          <w:szCs w:val="28"/>
          <w:highlight w:val="none"/>
          <w:lang w:val="en-US" w:eastAsia="zh-CN" w:bidi="ar-SA"/>
        </w:rPr>
        <w:t>本</w:t>
      </w:r>
      <w:r>
        <w:rPr>
          <w:rFonts w:hint="eastAsia" w:ascii="宋体" w:hAnsi="宋体" w:eastAsia="宋体" w:cs="宋体"/>
          <w:b/>
          <w:bCs/>
          <w:color w:val="auto"/>
          <w:kern w:val="2"/>
          <w:sz w:val="24"/>
          <w:szCs w:val="28"/>
          <w:highlight w:val="none"/>
          <w:lang w:val="en-US" w:eastAsia="zh-CN" w:bidi="ar-SA"/>
        </w:rPr>
        <w:t>国产品和进口产品</w:t>
      </w:r>
      <w:bookmarkEnd w:id="198"/>
    </w:p>
    <w:p w14:paraId="53E9DEC3">
      <w:pPr>
        <w:pStyle w:val="50"/>
        <w:keepNext w:val="0"/>
        <w:keepLines w:val="0"/>
        <w:pageBreakBefore w:val="0"/>
        <w:widowControl w:val="0"/>
        <w:kinsoku/>
        <w:overflowPunct/>
        <w:topLinePunct w:val="0"/>
        <w:autoSpaceDE/>
        <w:autoSpaceDN/>
        <w:bidi w:val="0"/>
        <w:adjustRightInd/>
        <w:jc w:val="both"/>
        <w:textAlignment w:val="auto"/>
        <w:rPr>
          <w:rFonts w:hint="eastAsia"/>
          <w:snapToGrid w:val="0"/>
          <w:color w:val="auto"/>
          <w:sz w:val="24"/>
          <w:highlight w:val="none"/>
          <w:lang w:val="en-US" w:eastAsia="zh-CN"/>
        </w:rPr>
      </w:pPr>
      <w:r>
        <w:rPr>
          <w:rFonts w:hint="eastAsia"/>
          <w:snapToGrid w:val="0"/>
          <w:color w:val="auto"/>
          <w:sz w:val="24"/>
          <w:highlight w:val="none"/>
          <w:lang w:val="en-US" w:eastAsia="zh-CN"/>
        </w:rPr>
        <w:t>41.1本国产品标准及支持政策</w:t>
      </w:r>
    </w:p>
    <w:p w14:paraId="4DD19534">
      <w:pPr>
        <w:pStyle w:val="50"/>
        <w:keepNext w:val="0"/>
        <w:keepLines w:val="0"/>
        <w:pageBreakBefore w:val="0"/>
        <w:widowControl w:val="0"/>
        <w:kinsoku/>
        <w:overflowPunct/>
        <w:topLinePunct w:val="0"/>
        <w:autoSpaceDE/>
        <w:autoSpaceDN/>
        <w:bidi w:val="0"/>
        <w:adjustRightInd/>
        <w:jc w:val="both"/>
        <w:textAlignment w:val="auto"/>
        <w:rPr>
          <w:rFonts w:hint="eastAsia"/>
          <w:snapToGrid w:val="0"/>
          <w:color w:val="auto"/>
          <w:sz w:val="24"/>
          <w:highlight w:val="none"/>
          <w:lang w:val="en-US" w:eastAsia="zh-CN"/>
        </w:rPr>
      </w:pPr>
      <w:r>
        <w:rPr>
          <w:rFonts w:hint="eastAsia"/>
          <w:snapToGrid w:val="0"/>
          <w:color w:val="auto"/>
          <w:sz w:val="24"/>
          <w:highlight w:val="none"/>
          <w:lang w:val="en-US" w:eastAsia="zh-CN"/>
        </w:rPr>
        <w:t>41.1.1产品需在中华人民共和国关境内（含保税区、综合保税区等海关特殊监管区域）完成从原材料、组件到成品的制造、加工或组装，从而产生新的产品属性。仅进行包装、贴牌、简单处理等不改变产品核心属性的操作，不视为境内生产。</w:t>
      </w:r>
    </w:p>
    <w:p w14:paraId="292EA530">
      <w:pPr>
        <w:pStyle w:val="50"/>
        <w:keepNext w:val="0"/>
        <w:keepLines w:val="0"/>
        <w:pageBreakBefore w:val="0"/>
        <w:widowControl w:val="0"/>
        <w:kinsoku/>
        <w:overflowPunct/>
        <w:topLinePunct w:val="0"/>
        <w:autoSpaceDE/>
        <w:autoSpaceDN/>
        <w:bidi w:val="0"/>
        <w:adjustRightInd/>
        <w:jc w:val="both"/>
        <w:textAlignment w:val="auto"/>
        <w:rPr>
          <w:rFonts w:hint="default"/>
          <w:snapToGrid w:val="0"/>
          <w:color w:val="auto"/>
          <w:sz w:val="24"/>
          <w:highlight w:val="none"/>
          <w:lang w:val="en-US" w:eastAsia="zh-CN"/>
        </w:rPr>
      </w:pPr>
      <w:r>
        <w:rPr>
          <w:rFonts w:hint="eastAsia"/>
          <w:snapToGrid w:val="0"/>
          <w:color w:val="auto"/>
          <w:sz w:val="24"/>
          <w:highlight w:val="none"/>
          <w:lang w:val="en-US" w:eastAsia="zh-CN"/>
        </w:rPr>
        <w:t>41.1.2产品在境内生产的组件成本应达到财政部会同相关部门确定的总成本规定比例(具体产品目录及比例标准按国家后续发布的规定执行)。在分产品目</w:t>
      </w:r>
      <w:r>
        <w:rPr>
          <w:rFonts w:hint="eastAsia"/>
          <w:iCs/>
          <w:snapToGrid w:val="0"/>
          <w:color w:val="auto"/>
          <w:spacing w:val="-6"/>
          <w:sz w:val="24"/>
          <w:highlight w:val="none"/>
          <w:lang w:val="en-US" w:eastAsia="zh-CN"/>
        </w:rPr>
        <w:t>录及比例标准正式实施前的过渡期内，符合境内生产条件的产品，可视同本国产</w:t>
      </w:r>
      <w:r>
        <w:rPr>
          <w:rFonts w:hint="eastAsia"/>
          <w:snapToGrid w:val="0"/>
          <w:color w:val="auto"/>
          <w:sz w:val="24"/>
          <w:highlight w:val="none"/>
          <w:lang w:val="en-US" w:eastAsia="zh-CN"/>
        </w:rPr>
        <w:t>品。</w:t>
      </w:r>
    </w:p>
    <w:p w14:paraId="6E7DADD2">
      <w:pPr>
        <w:pStyle w:val="50"/>
        <w:keepNext w:val="0"/>
        <w:keepLines w:val="0"/>
        <w:pageBreakBefore w:val="0"/>
        <w:widowControl w:val="0"/>
        <w:kinsoku/>
        <w:overflowPunct/>
        <w:topLinePunct w:val="0"/>
        <w:autoSpaceDE/>
        <w:autoSpaceDN/>
        <w:bidi w:val="0"/>
        <w:adjustRightInd/>
        <w:jc w:val="both"/>
        <w:textAlignment w:val="auto"/>
        <w:rPr>
          <w:rFonts w:hint="default"/>
          <w:snapToGrid w:val="0"/>
          <w:color w:val="auto"/>
          <w:sz w:val="24"/>
          <w:highlight w:val="none"/>
          <w:lang w:val="en-US" w:eastAsia="zh-CN"/>
        </w:rPr>
      </w:pPr>
      <w:r>
        <w:rPr>
          <w:rFonts w:hint="eastAsia"/>
          <w:snapToGrid w:val="0"/>
          <w:color w:val="auto"/>
          <w:sz w:val="24"/>
          <w:highlight w:val="none"/>
          <w:lang w:val="en-US" w:eastAsia="zh-CN"/>
        </w:rPr>
        <w:t>41.1.3对国家相关部门后续发布的特定产品清单内的产品，除满足上述条件外，还需同时满足关键组件境内生产、关键工序境内完成等特定要求。</w:t>
      </w:r>
    </w:p>
    <w:p w14:paraId="23A6BD4E">
      <w:pPr>
        <w:pStyle w:val="50"/>
        <w:keepNext w:val="0"/>
        <w:keepLines w:val="0"/>
        <w:pageBreakBefore w:val="0"/>
        <w:widowControl w:val="0"/>
        <w:kinsoku/>
        <w:overflowPunct/>
        <w:topLinePunct w:val="0"/>
        <w:autoSpaceDE/>
        <w:autoSpaceDN/>
        <w:bidi w:val="0"/>
        <w:adjustRightInd/>
        <w:jc w:val="both"/>
        <w:textAlignment w:val="auto"/>
        <w:rPr>
          <w:rFonts w:hint="eastAsia"/>
          <w:snapToGrid w:val="0"/>
          <w:color w:val="auto"/>
          <w:sz w:val="24"/>
          <w:highlight w:val="none"/>
          <w:lang w:val="en-US" w:eastAsia="zh-CN"/>
        </w:rPr>
      </w:pPr>
      <w:r>
        <w:rPr>
          <w:rFonts w:hint="eastAsia"/>
          <w:snapToGrid w:val="0"/>
          <w:color w:val="auto"/>
          <w:sz w:val="24"/>
          <w:highlight w:val="none"/>
          <w:lang w:val="en-US" w:eastAsia="zh-CN"/>
        </w:rPr>
        <w:t>41.1.4</w:t>
      </w:r>
      <w:r>
        <w:rPr>
          <w:rFonts w:hint="eastAsia" w:eastAsia="宋体"/>
          <w:snapToGrid w:val="0"/>
          <w:color w:val="auto"/>
          <w:sz w:val="24"/>
          <w:highlight w:val="none"/>
          <w:lang w:val="en-US" w:eastAsia="zh-CN"/>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5B845C4A">
      <w:pPr>
        <w:pStyle w:val="50"/>
        <w:keepNext w:val="0"/>
        <w:keepLines w:val="0"/>
        <w:pageBreakBefore w:val="0"/>
        <w:widowControl w:val="0"/>
        <w:kinsoku/>
        <w:overflowPunct/>
        <w:topLinePunct w:val="0"/>
        <w:autoSpaceDE/>
        <w:autoSpaceDN/>
        <w:bidi w:val="0"/>
        <w:adjustRightInd/>
        <w:jc w:val="both"/>
        <w:textAlignment w:val="auto"/>
        <w:rPr>
          <w:rFonts w:hint="eastAsia"/>
          <w:snapToGrid w:val="0"/>
          <w:color w:val="auto"/>
          <w:sz w:val="24"/>
          <w:highlight w:val="none"/>
          <w:lang w:val="en-US" w:eastAsia="zh-CN"/>
        </w:rPr>
      </w:pPr>
      <w:r>
        <w:rPr>
          <w:rFonts w:hint="eastAsia"/>
          <w:snapToGrid w:val="0"/>
          <w:color w:val="auto"/>
          <w:sz w:val="24"/>
          <w:highlight w:val="none"/>
          <w:lang w:val="en-US" w:eastAsia="zh-CN"/>
        </w:rPr>
        <w:t>41.1.5供应商对其提供的产品出具《关于符合本国产品标准的声明函》（样式见附件1，以下简称《声明函》）或财政部会同有关部门规定的有关证明文件。出具符合要求的《声明函》或有关证明文件的，该产品视为本国产品。</w:t>
      </w:r>
    </w:p>
    <w:p w14:paraId="53BEA44F">
      <w:pPr>
        <w:pStyle w:val="50"/>
        <w:keepNext w:val="0"/>
        <w:keepLines w:val="0"/>
        <w:pageBreakBefore w:val="0"/>
        <w:widowControl w:val="0"/>
        <w:kinsoku/>
        <w:overflowPunct/>
        <w:topLinePunct w:val="0"/>
        <w:autoSpaceDE/>
        <w:autoSpaceDN/>
        <w:bidi w:val="0"/>
        <w:adjustRightInd/>
        <w:jc w:val="both"/>
        <w:textAlignment w:val="auto"/>
        <w:rPr>
          <w:rFonts w:hint="eastAsia"/>
          <w:snapToGrid w:val="0"/>
          <w:color w:val="auto"/>
          <w:sz w:val="24"/>
          <w:highlight w:val="none"/>
          <w:lang w:val="en-US" w:eastAsia="zh-CN"/>
        </w:rPr>
      </w:pPr>
      <w:r>
        <w:rPr>
          <w:rFonts w:hint="eastAsia" w:eastAsia="宋体"/>
          <w:snapToGrid w:val="0"/>
          <w:color w:val="auto"/>
          <w:sz w:val="24"/>
          <w:highlight w:val="none"/>
          <w:lang w:val="en-US" w:eastAsia="zh-CN"/>
        </w:rPr>
        <w:t>医疗器械产品，取得药品监督管理部门授予的准字号医疗器械注册证的，</w:t>
      </w:r>
      <w:r>
        <w:rPr>
          <w:rFonts w:hint="eastAsia"/>
          <w:snapToGrid w:val="0"/>
          <w:color w:val="auto"/>
          <w:sz w:val="24"/>
          <w:highlight w:val="none"/>
          <w:lang w:val="en-US" w:eastAsia="zh-CN"/>
        </w:rPr>
        <w:t>视为符合本国产品标准。</w:t>
      </w:r>
    </w:p>
    <w:p w14:paraId="73F489D5">
      <w:pPr>
        <w:pStyle w:val="50"/>
        <w:keepNext w:val="0"/>
        <w:keepLines w:val="0"/>
        <w:pageBreakBefore w:val="0"/>
        <w:widowControl w:val="0"/>
        <w:kinsoku/>
        <w:overflowPunct/>
        <w:topLinePunct w:val="0"/>
        <w:autoSpaceDE/>
        <w:autoSpaceDN/>
        <w:bidi w:val="0"/>
        <w:adjustRightInd/>
        <w:jc w:val="both"/>
        <w:textAlignment w:val="auto"/>
        <w:rPr>
          <w:rFonts w:hint="eastAsia" w:eastAsia="宋体"/>
          <w:snapToGrid w:val="0"/>
          <w:color w:val="auto"/>
          <w:sz w:val="24"/>
          <w:highlight w:val="none"/>
          <w:lang w:val="en-US" w:eastAsia="zh-CN"/>
        </w:rPr>
      </w:pPr>
      <w:r>
        <w:rPr>
          <w:rFonts w:hint="eastAsia" w:eastAsia="宋体"/>
          <w:snapToGrid w:val="0"/>
          <w:color w:val="auto"/>
          <w:sz w:val="24"/>
          <w:highlight w:val="none"/>
          <w:lang w:val="en-US" w:eastAsia="zh-CN"/>
        </w:rPr>
        <w:t>41.1.6采购标的仅包含单一产品时，政府采购活动中既有本国产品又有非本国产品参与竞争的，供应商对其提供的产品出具《关于符合本国产品标准的声明函》，依法对本国产品给予价格评审优惠，对本国产品的报价给予20%的价格扣除，用扣除后的价格参与评审</w:t>
      </w:r>
      <w:r>
        <w:rPr>
          <w:rFonts w:hint="eastAsia"/>
          <w:snapToGrid w:val="0"/>
          <w:color w:val="auto"/>
          <w:sz w:val="24"/>
          <w:highlight w:val="none"/>
          <w:lang w:val="en-US" w:eastAsia="zh-CN"/>
        </w:rPr>
        <w:t>。</w:t>
      </w:r>
    </w:p>
    <w:p w14:paraId="238F6E82">
      <w:pPr>
        <w:pStyle w:val="50"/>
        <w:keepNext w:val="0"/>
        <w:keepLines w:val="0"/>
        <w:pageBreakBefore w:val="0"/>
        <w:widowControl w:val="0"/>
        <w:kinsoku/>
        <w:overflowPunct/>
        <w:topLinePunct w:val="0"/>
        <w:autoSpaceDE/>
        <w:autoSpaceDN/>
        <w:bidi w:val="0"/>
        <w:adjustRightInd/>
        <w:jc w:val="both"/>
        <w:textAlignment w:val="auto"/>
        <w:rPr>
          <w:rFonts w:hint="default" w:eastAsia="宋体"/>
          <w:snapToGrid w:val="0"/>
          <w:color w:val="auto"/>
          <w:sz w:val="24"/>
          <w:highlight w:val="none"/>
          <w:lang w:val="en-US" w:eastAsia="zh-CN"/>
        </w:rPr>
      </w:pPr>
      <w:r>
        <w:rPr>
          <w:rFonts w:hint="eastAsia"/>
          <w:snapToGrid w:val="0"/>
          <w:color w:val="auto"/>
          <w:sz w:val="24"/>
          <w:highlight w:val="none"/>
          <w:lang w:val="en-US" w:eastAsia="zh-CN"/>
        </w:rPr>
        <w:t>41.1.7采购标的中含有多种产品，政府采购活动中既有本国产品又有非本国产品参与竞争的，供应商为该采购项目或者采购包提供的符合本国产品标准的产品成本之和占该供应商提供的全部产品成本之和的比例达到80%以上时，且供应商在投标（响应）文件中对此作出承诺，出具《本国产品成本占比承诺函》（样式见附件2，以下简称《承诺函》），则依法对该供应商提供的全部产品给予价格评审优惠，即对该供应商提供的全部产品的总报价给予20%的价格扣除，用扣除后的价格参与评审。若供应商所投产品均符合本国产品标准，且已提供《声明函》，可不填写《承诺函》。</w:t>
      </w:r>
    </w:p>
    <w:p w14:paraId="060C5631">
      <w:pPr>
        <w:pStyle w:val="50"/>
        <w:keepNext w:val="0"/>
        <w:keepLines w:val="0"/>
        <w:pageBreakBefore w:val="0"/>
        <w:widowControl w:val="0"/>
        <w:kinsoku/>
        <w:overflowPunct/>
        <w:topLinePunct w:val="0"/>
        <w:autoSpaceDE/>
        <w:autoSpaceDN/>
        <w:bidi w:val="0"/>
        <w:adjustRightInd/>
        <w:jc w:val="both"/>
        <w:textAlignment w:val="auto"/>
        <w:rPr>
          <w:rFonts w:hint="eastAsia"/>
          <w:snapToGrid w:val="0"/>
          <w:color w:val="auto"/>
          <w:sz w:val="24"/>
          <w:highlight w:val="none"/>
          <w:lang w:val="en-US" w:eastAsia="zh-CN"/>
        </w:rPr>
      </w:pPr>
      <w:r>
        <w:rPr>
          <w:rFonts w:hint="eastAsia"/>
          <w:snapToGrid w:val="0"/>
          <w:color w:val="auto"/>
          <w:sz w:val="24"/>
          <w:highlight w:val="none"/>
          <w:lang w:val="en-US" w:eastAsia="zh-CN"/>
        </w:rPr>
        <w:t>41.1.8对于仅有本国产品参与竞争的政府采购项目，本国产品不享受价格扣除评审优惠。</w:t>
      </w:r>
    </w:p>
    <w:p w14:paraId="5D6E3AA2">
      <w:pPr>
        <w:pStyle w:val="50"/>
        <w:keepNext w:val="0"/>
        <w:keepLines w:val="0"/>
        <w:pageBreakBefore w:val="0"/>
        <w:widowControl w:val="0"/>
        <w:kinsoku/>
        <w:overflowPunct/>
        <w:topLinePunct w:val="0"/>
        <w:autoSpaceDE/>
        <w:autoSpaceDN/>
        <w:bidi w:val="0"/>
        <w:adjustRightInd/>
        <w:jc w:val="both"/>
        <w:textAlignment w:val="auto"/>
        <w:rPr>
          <w:rFonts w:hint="default" w:eastAsia="宋体"/>
          <w:snapToGrid w:val="0"/>
          <w:color w:val="auto"/>
          <w:sz w:val="24"/>
          <w:highlight w:val="none"/>
          <w:lang w:val="en-US" w:eastAsia="zh-CN"/>
        </w:rPr>
      </w:pPr>
      <w:r>
        <w:rPr>
          <w:rFonts w:hint="eastAsia"/>
          <w:snapToGrid w:val="0"/>
          <w:color w:val="auto"/>
          <w:sz w:val="24"/>
          <w:highlight w:val="none"/>
          <w:lang w:val="en-US" w:eastAsia="zh-CN"/>
        </w:rPr>
        <w:t>41.2进口产品</w:t>
      </w:r>
    </w:p>
    <w:p w14:paraId="115A506C">
      <w:pPr>
        <w:pStyle w:val="50"/>
        <w:keepNext w:val="0"/>
        <w:keepLines w:val="0"/>
        <w:pageBreakBefore w:val="0"/>
        <w:widowControl w:val="0"/>
        <w:kinsoku/>
        <w:overflowPunct/>
        <w:topLinePunct w:val="0"/>
        <w:autoSpaceDE/>
        <w:autoSpaceDN/>
        <w:bidi w:val="0"/>
        <w:adjustRightInd/>
        <w:jc w:val="both"/>
        <w:textAlignment w:val="auto"/>
        <w:rPr>
          <w:rFonts w:hint="eastAsia" w:eastAsia="宋体"/>
          <w:snapToGrid w:val="0"/>
          <w:color w:val="auto"/>
          <w:sz w:val="24"/>
          <w:highlight w:val="none"/>
        </w:rPr>
      </w:pPr>
      <w:r>
        <w:rPr>
          <w:rFonts w:hint="eastAsia" w:eastAsia="宋体"/>
          <w:snapToGrid w:val="0"/>
          <w:color w:val="auto"/>
          <w:sz w:val="24"/>
          <w:highlight w:val="none"/>
          <w:lang w:val="en-US" w:eastAsia="zh-CN"/>
        </w:rPr>
        <w:t>41.2.1凡在海关特殊监管区域内企业生产或加工（包括从境外进口料件）销往境内其他地区的产品，不作为政府采购项下进口产品。对从境外进入海关特殊监管区域，再经办理报关手续后从海关特殊监管区进入境内其他地区的产品，应当认定为进口产品。项目若涉及采购进口产品的，具体要求详见“第三章 采购需求”。</w:t>
      </w:r>
    </w:p>
    <w:p w14:paraId="3D705356">
      <w:pPr>
        <w:pStyle w:val="50"/>
        <w:keepNext w:val="0"/>
        <w:keepLines w:val="0"/>
        <w:pageBreakBefore w:val="0"/>
        <w:widowControl w:val="0"/>
        <w:kinsoku/>
        <w:overflowPunct/>
        <w:topLinePunct w:val="0"/>
        <w:autoSpaceDE/>
        <w:autoSpaceDN/>
        <w:bidi w:val="0"/>
        <w:adjustRightInd/>
        <w:jc w:val="both"/>
        <w:textAlignment w:val="auto"/>
        <w:rPr>
          <w:rFonts w:hint="eastAsia" w:ascii="宋体" w:hAnsi="宋体" w:eastAsia="宋体" w:cs="宋体"/>
          <w:snapToGrid w:val="0"/>
          <w:color w:val="auto"/>
          <w:sz w:val="24"/>
          <w:szCs w:val="24"/>
          <w:highlight w:val="none"/>
          <w:lang w:val="en-US" w:eastAsia="zh-CN"/>
        </w:rPr>
      </w:pPr>
      <w:r>
        <w:rPr>
          <w:rFonts w:hint="eastAsia" w:ascii="宋体" w:hAnsi="宋体" w:eastAsia="宋体" w:cs="宋体"/>
          <w:snapToGrid w:val="0"/>
          <w:color w:val="auto"/>
          <w:sz w:val="24"/>
          <w:szCs w:val="24"/>
          <w:highlight w:val="none"/>
          <w:lang w:val="en-US" w:eastAsia="zh-CN"/>
        </w:rPr>
        <w:t>41.2</w:t>
      </w:r>
      <w:r>
        <w:rPr>
          <w:rFonts w:hint="eastAsia" w:cs="宋体"/>
          <w:snapToGrid w:val="0"/>
          <w:color w:val="auto"/>
          <w:sz w:val="24"/>
          <w:szCs w:val="24"/>
          <w:highlight w:val="none"/>
          <w:lang w:val="en-US" w:eastAsia="zh-CN"/>
        </w:rPr>
        <w:t>.2</w:t>
      </w:r>
      <w:r>
        <w:rPr>
          <w:rFonts w:hint="eastAsia" w:ascii="宋体" w:hAnsi="宋体" w:eastAsia="宋体" w:cs="宋体"/>
          <w:snapToGrid w:val="0"/>
          <w:color w:val="auto"/>
          <w:sz w:val="24"/>
          <w:szCs w:val="24"/>
          <w:highlight w:val="none"/>
          <w:lang w:val="en-US" w:eastAsia="zh-CN"/>
        </w:rPr>
        <w:t xml:space="preserve">进口产品指通过中国海关报关验放进入中国境内且产自关境外的产品，包括已经进入中国境内的进口产品。 </w:t>
      </w:r>
    </w:p>
    <w:p w14:paraId="752FBDDF">
      <w:pPr>
        <w:pStyle w:val="50"/>
        <w:keepNext w:val="0"/>
        <w:keepLines w:val="0"/>
        <w:pageBreakBefore w:val="0"/>
        <w:widowControl w:val="0"/>
        <w:kinsoku/>
        <w:overflowPunct/>
        <w:topLinePunct w:val="0"/>
        <w:autoSpaceDE/>
        <w:autoSpaceDN/>
        <w:bidi w:val="0"/>
        <w:adjustRightInd/>
        <w:jc w:val="both"/>
        <w:textAlignment w:val="auto"/>
        <w:rPr>
          <w:rFonts w:hint="eastAsia" w:ascii="宋体" w:hAnsi="宋体" w:eastAsia="宋体" w:cs="宋体"/>
          <w:snapToGrid w:val="0"/>
          <w:color w:val="auto"/>
          <w:sz w:val="24"/>
          <w:szCs w:val="24"/>
          <w:highlight w:val="none"/>
          <w:lang w:val="en-US" w:eastAsia="zh-CN"/>
        </w:rPr>
      </w:pPr>
      <w:r>
        <w:rPr>
          <w:rFonts w:hint="eastAsia" w:ascii="宋体" w:hAnsi="宋体" w:eastAsia="宋体" w:cs="宋体"/>
          <w:snapToGrid w:val="0"/>
          <w:color w:val="auto"/>
          <w:sz w:val="24"/>
          <w:szCs w:val="24"/>
          <w:highlight w:val="none"/>
          <w:lang w:val="en-US" w:eastAsia="zh-CN"/>
        </w:rPr>
        <w:t>41.</w:t>
      </w:r>
      <w:r>
        <w:rPr>
          <w:rFonts w:hint="eastAsia" w:cs="宋体"/>
          <w:snapToGrid w:val="0"/>
          <w:color w:val="auto"/>
          <w:sz w:val="24"/>
          <w:szCs w:val="24"/>
          <w:highlight w:val="none"/>
          <w:lang w:val="en-US" w:eastAsia="zh-CN"/>
        </w:rPr>
        <w:t>2.</w:t>
      </w:r>
      <w:r>
        <w:rPr>
          <w:rFonts w:hint="eastAsia" w:ascii="宋体" w:hAnsi="宋体" w:eastAsia="宋体" w:cs="宋体"/>
          <w:snapToGrid w:val="0"/>
          <w:color w:val="auto"/>
          <w:sz w:val="24"/>
          <w:szCs w:val="24"/>
          <w:highlight w:val="none"/>
          <w:lang w:val="en-US" w:eastAsia="zh-CN"/>
        </w:rPr>
        <w:t>3若采购需求中写明允许采购进口产品，投标人应保证所投产品可履行合法报通关手续进入中国关境内。</w:t>
      </w:r>
    </w:p>
    <w:p w14:paraId="115E79B0">
      <w:pPr>
        <w:pStyle w:val="50"/>
        <w:keepNext w:val="0"/>
        <w:keepLines w:val="0"/>
        <w:pageBreakBefore w:val="0"/>
        <w:widowControl w:val="0"/>
        <w:kinsoku/>
        <w:overflowPunct/>
        <w:topLinePunct w:val="0"/>
        <w:autoSpaceDE/>
        <w:autoSpaceDN/>
        <w:bidi w:val="0"/>
        <w:adjustRightInd/>
        <w:jc w:val="both"/>
        <w:textAlignment w:val="auto"/>
        <w:rPr>
          <w:rFonts w:hint="eastAsia" w:ascii="宋体" w:hAnsi="宋体" w:eastAsia="宋体" w:cs="宋体"/>
          <w:snapToGrid w:val="0"/>
          <w:color w:val="auto"/>
          <w:sz w:val="24"/>
          <w:szCs w:val="24"/>
          <w:highlight w:val="none"/>
          <w:lang w:val="en-US" w:eastAsia="zh-CN"/>
        </w:rPr>
      </w:pPr>
      <w:r>
        <w:rPr>
          <w:rFonts w:hint="eastAsia" w:ascii="宋体" w:hAnsi="宋体" w:eastAsia="宋体" w:cs="宋体"/>
          <w:snapToGrid w:val="0"/>
          <w:color w:val="auto"/>
          <w:sz w:val="24"/>
          <w:szCs w:val="24"/>
          <w:highlight w:val="none"/>
          <w:lang w:val="en-US" w:eastAsia="zh-CN"/>
        </w:rPr>
        <w:t>41.</w:t>
      </w:r>
      <w:r>
        <w:rPr>
          <w:rFonts w:hint="eastAsia" w:cs="宋体"/>
          <w:snapToGrid w:val="0"/>
          <w:color w:val="auto"/>
          <w:sz w:val="24"/>
          <w:szCs w:val="24"/>
          <w:highlight w:val="none"/>
          <w:lang w:val="en-US" w:eastAsia="zh-CN"/>
        </w:rPr>
        <w:t>2.</w:t>
      </w:r>
      <w:r>
        <w:rPr>
          <w:rFonts w:hint="eastAsia" w:ascii="宋体" w:hAnsi="宋体" w:eastAsia="宋体" w:cs="宋体"/>
          <w:snapToGrid w:val="0"/>
          <w:color w:val="auto"/>
          <w:sz w:val="24"/>
          <w:szCs w:val="24"/>
          <w:highlight w:val="none"/>
          <w:lang w:val="en-US" w:eastAsia="zh-CN"/>
        </w:rPr>
        <w:t>4若采购需求中未写明允许采购进口产品，如投标人所投产品为进口产品，其投标将被认定为</w:t>
      </w:r>
      <w:r>
        <w:rPr>
          <w:rFonts w:hint="eastAsia" w:ascii="宋体" w:hAnsi="宋体" w:eastAsia="宋体" w:cs="宋体"/>
          <w:b/>
          <w:bCs/>
          <w:snapToGrid w:val="0"/>
          <w:color w:val="auto"/>
          <w:sz w:val="24"/>
          <w:szCs w:val="24"/>
          <w:highlight w:val="none"/>
          <w:lang w:val="en-US" w:eastAsia="zh-CN"/>
        </w:rPr>
        <w:t>投标无效</w:t>
      </w:r>
      <w:r>
        <w:rPr>
          <w:rFonts w:hint="eastAsia" w:ascii="宋体" w:hAnsi="宋体" w:eastAsia="宋体" w:cs="宋体"/>
          <w:snapToGrid w:val="0"/>
          <w:color w:val="auto"/>
          <w:sz w:val="24"/>
          <w:szCs w:val="24"/>
          <w:highlight w:val="none"/>
          <w:lang w:val="en-US" w:eastAsia="zh-CN"/>
        </w:rPr>
        <w:t>。</w:t>
      </w:r>
    </w:p>
    <w:p w14:paraId="12FE5080">
      <w:pPr>
        <w:pStyle w:val="5"/>
        <w:keepNext w:val="0"/>
        <w:keepLines w:val="0"/>
        <w:pageBreakBefore w:val="0"/>
        <w:widowControl w:val="0"/>
        <w:numPr>
          <w:ilvl w:val="0"/>
          <w:numId w:val="0"/>
        </w:numPr>
        <w:kinsoku/>
        <w:wordWrap/>
        <w:overflowPunct/>
        <w:topLinePunct w:val="0"/>
        <w:autoSpaceDE/>
        <w:autoSpaceDN/>
        <w:bidi w:val="0"/>
        <w:adjustRightInd/>
        <w:snapToGrid/>
        <w:spacing w:before="80" w:after="80" w:line="240" w:lineRule="auto"/>
        <w:ind w:left="420" w:leftChars="0" w:hanging="420" w:firstLineChars="0"/>
        <w:jc w:val="both"/>
        <w:textAlignment w:val="auto"/>
        <w:rPr>
          <w:rFonts w:hint="eastAsia" w:ascii="宋体" w:hAnsi="宋体" w:eastAsia="宋体" w:cs="宋体"/>
          <w:b/>
          <w:bCs/>
          <w:color w:val="auto"/>
          <w:kern w:val="2"/>
          <w:sz w:val="24"/>
          <w:szCs w:val="24"/>
          <w:highlight w:val="none"/>
          <w:lang w:val="en-US" w:eastAsia="zh-CN" w:bidi="ar-SA"/>
        </w:rPr>
      </w:pPr>
      <w:bookmarkStart w:id="199" w:name="_Toc3821"/>
      <w:bookmarkStart w:id="200" w:name="_Toc163492877"/>
      <w:r>
        <w:rPr>
          <w:rFonts w:hint="eastAsia" w:ascii="宋体" w:hAnsi="宋体" w:eastAsia="宋体" w:cs="宋体"/>
          <w:b/>
          <w:bCs/>
          <w:color w:val="auto"/>
          <w:kern w:val="2"/>
          <w:sz w:val="24"/>
          <w:szCs w:val="24"/>
          <w:highlight w:val="none"/>
          <w:lang w:val="en-US" w:eastAsia="zh-CN" w:bidi="ar-SA"/>
        </w:rPr>
        <w:t>42.中小企业、监狱企业及残疾人福利性单位</w:t>
      </w:r>
      <w:bookmarkEnd w:id="199"/>
      <w:bookmarkEnd w:id="200"/>
    </w:p>
    <w:p w14:paraId="062EC15F">
      <w:pPr>
        <w:pStyle w:val="50"/>
        <w:keepNext w:val="0"/>
        <w:keepLines w:val="0"/>
        <w:pageBreakBefore w:val="0"/>
        <w:widowControl w:val="0"/>
        <w:kinsoku/>
        <w:overflowPunct/>
        <w:topLinePunct w:val="0"/>
        <w:autoSpaceDE/>
        <w:autoSpaceDN/>
        <w:bidi w:val="0"/>
        <w:adjustRightInd/>
        <w:jc w:val="both"/>
        <w:textAlignment w:val="auto"/>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lang w:val="en-US" w:eastAsia="zh-CN"/>
        </w:rPr>
        <w:t>42</w:t>
      </w:r>
      <w:r>
        <w:rPr>
          <w:rFonts w:hint="eastAsia" w:ascii="宋体" w:hAnsi="宋体" w:eastAsia="宋体" w:cs="宋体"/>
          <w:snapToGrid w:val="0"/>
          <w:color w:val="auto"/>
          <w:sz w:val="24"/>
          <w:szCs w:val="24"/>
          <w:highlight w:val="none"/>
        </w:rPr>
        <w:t>.</w:t>
      </w:r>
      <w:r>
        <w:rPr>
          <w:rFonts w:hint="eastAsia" w:ascii="宋体" w:hAnsi="宋体" w:eastAsia="宋体" w:cs="宋体"/>
          <w:snapToGrid w:val="0"/>
          <w:color w:val="auto"/>
          <w:sz w:val="24"/>
          <w:szCs w:val="24"/>
          <w:highlight w:val="none"/>
          <w:lang w:val="en-US" w:eastAsia="zh-CN"/>
        </w:rPr>
        <w:t xml:space="preserve">1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关于中小企业的相关规定依据《中华人民共和国中小企业促进法》、《关于进一步加大政府采购支持中小企业力度的通知》（财库〔2022〕19 号）、《政府采购促进中小企业发展管理办法》（财库〔2020〕46 号）、《关于印发中小企业划型标准规定的通知》（工信部联企业〔2011〕300 号）、《金融业企业划型标准规定》（〔2015〕309 号）等国务院批准的中小企业划分标准执行。 </w:t>
      </w:r>
    </w:p>
    <w:p w14:paraId="176E9855">
      <w:pPr>
        <w:pStyle w:val="50"/>
        <w:keepNext w:val="0"/>
        <w:keepLines w:val="0"/>
        <w:pageBreakBefore w:val="0"/>
        <w:widowControl w:val="0"/>
        <w:kinsoku/>
        <w:overflowPunct/>
        <w:topLinePunct w:val="0"/>
        <w:autoSpaceDE/>
        <w:autoSpaceDN/>
        <w:bidi w:val="0"/>
        <w:adjustRightInd/>
        <w:jc w:val="both"/>
        <w:textAlignment w:val="auto"/>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lang w:val="en-US" w:eastAsia="zh-CN"/>
        </w:rPr>
        <w:t>42</w:t>
      </w:r>
      <w:r>
        <w:rPr>
          <w:rFonts w:hint="eastAsia" w:ascii="宋体" w:hAnsi="宋体" w:eastAsia="宋体" w:cs="宋体"/>
          <w:snapToGrid w:val="0"/>
          <w:color w:val="auto"/>
          <w:sz w:val="24"/>
          <w:szCs w:val="24"/>
          <w:highlight w:val="none"/>
        </w:rPr>
        <w:t>.</w:t>
      </w:r>
      <w:r>
        <w:rPr>
          <w:rFonts w:hint="eastAsia" w:ascii="宋体" w:hAnsi="宋体" w:eastAsia="宋体" w:cs="宋体"/>
          <w:snapToGrid w:val="0"/>
          <w:color w:val="auto"/>
          <w:sz w:val="24"/>
          <w:szCs w:val="24"/>
          <w:highlight w:val="none"/>
          <w:lang w:val="en-US" w:eastAsia="zh-CN"/>
        </w:rPr>
        <w:t>2</w:t>
      </w:r>
      <w:r>
        <w:rPr>
          <w:rFonts w:hint="eastAsia" w:ascii="宋体" w:hAnsi="宋体" w:eastAsia="宋体" w:cs="宋体"/>
          <w:snapToGrid w:val="0"/>
          <w:color w:val="auto"/>
          <w:sz w:val="24"/>
          <w:szCs w:val="24"/>
          <w:highlight w:val="none"/>
        </w:rPr>
        <w:t>为促进中小企业发展，依据《关于印发&lt;政府采购促进中小企业发展管理办法&gt;的通知》（财库〔2020〕46号）、《财政部 司法部关于政府采购支持监狱企业发展有关问题的通知》（财库〔2014〕68号）、《关于促进残疾人就业政府采购政策的通知》（财库〔2017〕141号）的规定，本项目供应商如</w:t>
      </w:r>
      <w:r>
        <w:rPr>
          <w:rFonts w:hint="eastAsia" w:ascii="宋体" w:hAnsi="宋体" w:eastAsia="宋体" w:cs="宋体"/>
          <w:snapToGrid w:val="0"/>
          <w:color w:val="auto"/>
          <w:sz w:val="24"/>
          <w:szCs w:val="24"/>
          <w:highlight w:val="none"/>
          <w:lang w:eastAsia="zh-CN"/>
        </w:rPr>
        <w:t>需享受中小企业相关政策的，且</w:t>
      </w:r>
      <w:r>
        <w:rPr>
          <w:rFonts w:hint="eastAsia" w:ascii="宋体" w:hAnsi="宋体" w:eastAsia="宋体" w:cs="宋体"/>
          <w:snapToGrid w:val="0"/>
          <w:color w:val="auto"/>
          <w:sz w:val="24"/>
          <w:szCs w:val="24"/>
          <w:highlight w:val="none"/>
        </w:rPr>
        <w:t>符合上述文件规定的，</w:t>
      </w:r>
      <w:r>
        <w:rPr>
          <w:rFonts w:hint="eastAsia" w:ascii="宋体" w:hAnsi="宋体" w:eastAsia="宋体" w:cs="宋体"/>
          <w:snapToGrid w:val="0"/>
          <w:color w:val="auto"/>
          <w:sz w:val="24"/>
          <w:szCs w:val="24"/>
          <w:highlight w:val="none"/>
          <w:lang w:eastAsia="zh-CN"/>
        </w:rPr>
        <w:t>应按本</w:t>
      </w:r>
      <w:r>
        <w:rPr>
          <w:rFonts w:hint="eastAsia" w:ascii="宋体" w:hAnsi="宋体" w:eastAsia="宋体" w:cs="宋体"/>
          <w:snapToGrid w:val="0"/>
          <w:color w:val="auto"/>
          <w:sz w:val="24"/>
          <w:szCs w:val="24"/>
          <w:highlight w:val="none"/>
          <w:lang w:val="en-US" w:eastAsia="zh-CN"/>
        </w:rPr>
        <w:t>招标</w:t>
      </w:r>
      <w:r>
        <w:rPr>
          <w:rFonts w:hint="eastAsia" w:ascii="宋体" w:hAnsi="宋体" w:eastAsia="宋体" w:cs="宋体"/>
          <w:snapToGrid w:val="0"/>
          <w:color w:val="auto"/>
          <w:sz w:val="24"/>
          <w:szCs w:val="24"/>
          <w:highlight w:val="none"/>
          <w:lang w:eastAsia="zh-CN"/>
        </w:rPr>
        <w:t>文件规定格式</w:t>
      </w:r>
      <w:r>
        <w:rPr>
          <w:rFonts w:hint="eastAsia" w:ascii="宋体" w:hAnsi="宋体" w:eastAsia="宋体" w:cs="宋体"/>
          <w:snapToGrid w:val="0"/>
          <w:color w:val="auto"/>
          <w:sz w:val="24"/>
          <w:szCs w:val="24"/>
          <w:highlight w:val="none"/>
        </w:rPr>
        <w:t>提供</w:t>
      </w:r>
      <w:r>
        <w:rPr>
          <w:rFonts w:hint="eastAsia" w:ascii="宋体" w:hAnsi="宋体" w:eastAsia="宋体" w:cs="宋体"/>
          <w:snapToGrid w:val="0"/>
          <w:color w:val="auto"/>
          <w:sz w:val="24"/>
          <w:szCs w:val="24"/>
          <w:highlight w:val="none"/>
          <w:lang w:eastAsia="zh-CN"/>
        </w:rPr>
        <w:t>“</w:t>
      </w:r>
      <w:r>
        <w:rPr>
          <w:rFonts w:hint="eastAsia" w:ascii="宋体" w:hAnsi="宋体" w:eastAsia="宋体" w:cs="宋体"/>
          <w:snapToGrid w:val="0"/>
          <w:color w:val="auto"/>
          <w:sz w:val="24"/>
          <w:szCs w:val="24"/>
          <w:highlight w:val="none"/>
        </w:rPr>
        <w:t>中小企业声明函</w:t>
      </w:r>
      <w:r>
        <w:rPr>
          <w:rFonts w:hint="eastAsia" w:ascii="宋体" w:hAnsi="宋体" w:eastAsia="宋体" w:cs="宋体"/>
          <w:snapToGrid w:val="0"/>
          <w:color w:val="auto"/>
          <w:sz w:val="24"/>
          <w:szCs w:val="24"/>
          <w:highlight w:val="none"/>
          <w:lang w:eastAsia="zh-CN"/>
        </w:rPr>
        <w:t>”</w:t>
      </w:r>
      <w:r>
        <w:rPr>
          <w:rFonts w:hint="eastAsia" w:ascii="宋体" w:hAnsi="宋体" w:eastAsia="宋体" w:cs="宋体"/>
          <w:snapToGrid w:val="0"/>
          <w:color w:val="auto"/>
          <w:sz w:val="24"/>
          <w:szCs w:val="24"/>
          <w:highlight w:val="none"/>
          <w:lang w:val="en-US" w:eastAsia="zh-CN"/>
        </w:rPr>
        <w:t>或“</w:t>
      </w:r>
      <w:r>
        <w:rPr>
          <w:rFonts w:hint="eastAsia" w:ascii="宋体" w:hAnsi="宋体" w:eastAsia="宋体" w:cs="宋体"/>
          <w:snapToGrid w:val="0"/>
          <w:color w:val="auto"/>
          <w:sz w:val="24"/>
          <w:szCs w:val="24"/>
          <w:highlight w:val="none"/>
        </w:rPr>
        <w:t>监狱企业证明文件</w:t>
      </w:r>
      <w:r>
        <w:rPr>
          <w:rFonts w:hint="eastAsia" w:ascii="宋体" w:hAnsi="宋体" w:eastAsia="宋体" w:cs="宋体"/>
          <w:snapToGrid w:val="0"/>
          <w:color w:val="auto"/>
          <w:sz w:val="24"/>
          <w:szCs w:val="24"/>
          <w:highlight w:val="none"/>
          <w:lang w:eastAsia="zh-CN"/>
        </w:rPr>
        <w:t>”</w:t>
      </w:r>
      <w:r>
        <w:rPr>
          <w:rFonts w:hint="eastAsia" w:ascii="宋体" w:hAnsi="宋体" w:eastAsia="宋体" w:cs="宋体"/>
          <w:snapToGrid w:val="0"/>
          <w:color w:val="auto"/>
          <w:sz w:val="24"/>
          <w:szCs w:val="24"/>
          <w:highlight w:val="none"/>
          <w:lang w:val="en-US" w:eastAsia="zh-CN"/>
        </w:rPr>
        <w:t>或</w:t>
      </w:r>
      <w:r>
        <w:rPr>
          <w:rFonts w:hint="eastAsia" w:ascii="宋体" w:hAnsi="宋体" w:eastAsia="宋体" w:cs="宋体"/>
          <w:snapToGrid w:val="0"/>
          <w:color w:val="auto"/>
          <w:sz w:val="24"/>
          <w:szCs w:val="24"/>
          <w:highlight w:val="none"/>
          <w:lang w:eastAsia="zh-CN"/>
        </w:rPr>
        <w:t>“</w:t>
      </w:r>
      <w:r>
        <w:rPr>
          <w:rFonts w:hint="eastAsia" w:ascii="宋体" w:hAnsi="宋体" w:eastAsia="宋体" w:cs="宋体"/>
          <w:snapToGrid w:val="0"/>
          <w:color w:val="auto"/>
          <w:sz w:val="24"/>
          <w:szCs w:val="24"/>
          <w:highlight w:val="none"/>
        </w:rPr>
        <w:t>残疾人福利性单位声明函</w:t>
      </w:r>
      <w:r>
        <w:rPr>
          <w:rFonts w:hint="eastAsia" w:ascii="宋体" w:hAnsi="宋体" w:eastAsia="宋体" w:cs="宋体"/>
          <w:snapToGrid w:val="0"/>
          <w:color w:val="auto"/>
          <w:sz w:val="24"/>
          <w:szCs w:val="24"/>
          <w:highlight w:val="none"/>
          <w:lang w:eastAsia="zh-CN"/>
        </w:rPr>
        <w:t>”</w:t>
      </w:r>
      <w:r>
        <w:rPr>
          <w:rFonts w:hint="eastAsia" w:ascii="宋体" w:hAnsi="宋体" w:eastAsia="宋体" w:cs="宋体"/>
          <w:snapToGrid w:val="0"/>
          <w:color w:val="auto"/>
          <w:sz w:val="24"/>
          <w:szCs w:val="24"/>
          <w:highlight w:val="none"/>
        </w:rPr>
        <w:t>，评审时，</w:t>
      </w:r>
      <w:r>
        <w:rPr>
          <w:rFonts w:hint="eastAsia" w:ascii="宋体" w:hAnsi="宋体" w:eastAsia="宋体" w:cs="宋体"/>
          <w:snapToGrid w:val="0"/>
          <w:color w:val="auto"/>
          <w:sz w:val="24"/>
          <w:szCs w:val="24"/>
          <w:highlight w:val="none"/>
          <w:lang w:val="en-US" w:eastAsia="zh-CN"/>
        </w:rPr>
        <w:t>评标委员会</w:t>
      </w:r>
      <w:r>
        <w:rPr>
          <w:rFonts w:hint="eastAsia" w:ascii="宋体" w:hAnsi="宋体" w:eastAsia="宋体" w:cs="宋体"/>
          <w:snapToGrid w:val="0"/>
          <w:color w:val="auto"/>
          <w:sz w:val="24"/>
          <w:szCs w:val="24"/>
          <w:highlight w:val="none"/>
        </w:rPr>
        <w:t>将依据</w:t>
      </w:r>
      <w:r>
        <w:rPr>
          <w:rFonts w:hint="eastAsia" w:ascii="宋体" w:hAnsi="宋体" w:eastAsia="宋体" w:cs="宋体"/>
          <w:snapToGrid w:val="0"/>
          <w:color w:val="auto"/>
          <w:sz w:val="24"/>
          <w:szCs w:val="24"/>
          <w:highlight w:val="none"/>
          <w:lang w:eastAsia="zh-CN"/>
        </w:rPr>
        <w:t>本</w:t>
      </w:r>
      <w:r>
        <w:rPr>
          <w:rFonts w:hint="eastAsia" w:ascii="宋体" w:hAnsi="宋体" w:eastAsia="宋体" w:cs="宋体"/>
          <w:snapToGrid w:val="0"/>
          <w:color w:val="auto"/>
          <w:sz w:val="24"/>
          <w:szCs w:val="24"/>
          <w:highlight w:val="none"/>
          <w:lang w:val="en-US" w:eastAsia="zh-CN"/>
        </w:rPr>
        <w:t>招标</w:t>
      </w:r>
      <w:r>
        <w:rPr>
          <w:rFonts w:hint="eastAsia" w:ascii="宋体" w:hAnsi="宋体" w:eastAsia="宋体" w:cs="宋体"/>
          <w:snapToGrid w:val="0"/>
          <w:color w:val="auto"/>
          <w:sz w:val="24"/>
          <w:szCs w:val="24"/>
          <w:highlight w:val="none"/>
          <w:lang w:eastAsia="zh-CN"/>
        </w:rPr>
        <w:t>文件</w:t>
      </w:r>
      <w:r>
        <w:rPr>
          <w:rFonts w:hint="eastAsia" w:ascii="宋体" w:hAnsi="宋体" w:eastAsia="宋体" w:cs="宋体"/>
          <w:snapToGrid w:val="0"/>
          <w:color w:val="auto"/>
          <w:sz w:val="24"/>
          <w:szCs w:val="24"/>
          <w:highlight w:val="none"/>
        </w:rPr>
        <w:t>“</w:t>
      </w:r>
      <w:r>
        <w:rPr>
          <w:rFonts w:hint="eastAsia" w:ascii="宋体" w:hAnsi="宋体" w:eastAsia="宋体" w:cs="宋体"/>
          <w:snapToGrid w:val="0"/>
          <w:color w:val="auto"/>
          <w:sz w:val="24"/>
          <w:szCs w:val="24"/>
          <w:highlight w:val="none"/>
          <w:lang w:val="en-US" w:eastAsia="zh-CN"/>
        </w:rPr>
        <w:t>投标人</w:t>
      </w:r>
      <w:r>
        <w:rPr>
          <w:rFonts w:hint="eastAsia" w:ascii="宋体" w:hAnsi="宋体" w:eastAsia="宋体" w:cs="宋体"/>
          <w:snapToGrid w:val="0"/>
          <w:color w:val="auto"/>
          <w:sz w:val="24"/>
          <w:szCs w:val="24"/>
          <w:highlight w:val="none"/>
        </w:rPr>
        <w:t>须知前附表”规定的报价扣除比例，对供应商报价进行价格扣除，用扣除后的价格参与评审</w:t>
      </w:r>
      <w:r>
        <w:rPr>
          <w:rFonts w:hint="eastAsia" w:ascii="宋体" w:hAnsi="宋体" w:eastAsia="宋体" w:cs="宋体"/>
          <w:snapToGrid w:val="0"/>
          <w:color w:val="auto"/>
          <w:sz w:val="24"/>
          <w:szCs w:val="24"/>
          <w:highlight w:val="none"/>
          <w:lang w:eastAsia="zh-CN"/>
        </w:rPr>
        <w:t>；</w:t>
      </w:r>
      <w:r>
        <w:rPr>
          <w:rFonts w:hint="eastAsia" w:ascii="宋体" w:hAnsi="宋体" w:eastAsia="宋体" w:cs="宋体"/>
          <w:snapToGrid w:val="0"/>
          <w:color w:val="auto"/>
          <w:sz w:val="24"/>
          <w:szCs w:val="24"/>
          <w:highlight w:val="none"/>
          <w:lang w:val="en-US" w:eastAsia="zh-CN"/>
        </w:rPr>
        <w:t>招标</w:t>
      </w:r>
      <w:r>
        <w:rPr>
          <w:rFonts w:hint="eastAsia" w:ascii="宋体" w:hAnsi="宋体" w:eastAsia="宋体" w:cs="宋体"/>
          <w:snapToGrid w:val="0"/>
          <w:color w:val="auto"/>
          <w:sz w:val="24"/>
          <w:szCs w:val="24"/>
          <w:highlight w:val="none"/>
          <w:lang w:eastAsia="zh-CN"/>
        </w:rPr>
        <w:t>公告中明确项目专门面向中小企业采购的，“</w:t>
      </w:r>
      <w:r>
        <w:rPr>
          <w:rFonts w:hint="eastAsia" w:ascii="宋体" w:hAnsi="宋体" w:eastAsia="宋体" w:cs="宋体"/>
          <w:snapToGrid w:val="0"/>
          <w:color w:val="auto"/>
          <w:sz w:val="24"/>
          <w:szCs w:val="24"/>
          <w:highlight w:val="none"/>
        </w:rPr>
        <w:t>中小企业声明函</w:t>
      </w:r>
      <w:r>
        <w:rPr>
          <w:rFonts w:hint="eastAsia" w:ascii="宋体" w:hAnsi="宋体" w:eastAsia="宋体" w:cs="宋体"/>
          <w:snapToGrid w:val="0"/>
          <w:color w:val="auto"/>
          <w:sz w:val="24"/>
          <w:szCs w:val="24"/>
          <w:highlight w:val="none"/>
          <w:lang w:eastAsia="zh-CN"/>
        </w:rPr>
        <w:t>”为资格要求文件，</w:t>
      </w:r>
      <w:r>
        <w:rPr>
          <w:rFonts w:hint="eastAsia" w:ascii="宋体" w:hAnsi="宋体" w:eastAsia="宋体" w:cs="宋体"/>
          <w:snapToGrid w:val="0"/>
          <w:color w:val="auto"/>
          <w:sz w:val="24"/>
          <w:szCs w:val="24"/>
          <w:highlight w:val="none"/>
        </w:rPr>
        <w:t>供应商</w:t>
      </w:r>
      <w:r>
        <w:rPr>
          <w:rFonts w:hint="eastAsia" w:ascii="宋体" w:hAnsi="宋体" w:eastAsia="宋体" w:cs="宋体"/>
          <w:snapToGrid w:val="0"/>
          <w:color w:val="auto"/>
          <w:sz w:val="24"/>
          <w:szCs w:val="24"/>
          <w:highlight w:val="none"/>
          <w:lang w:eastAsia="zh-CN"/>
        </w:rPr>
        <w:t>参与</w:t>
      </w:r>
      <w:r>
        <w:rPr>
          <w:rFonts w:hint="eastAsia" w:ascii="宋体" w:hAnsi="宋体" w:eastAsia="宋体" w:cs="宋体"/>
          <w:snapToGrid w:val="0"/>
          <w:color w:val="auto"/>
          <w:sz w:val="24"/>
          <w:szCs w:val="24"/>
          <w:highlight w:val="none"/>
          <w:lang w:val="en-US" w:eastAsia="zh-CN"/>
        </w:rPr>
        <w:t>投标</w:t>
      </w:r>
      <w:r>
        <w:rPr>
          <w:rFonts w:hint="eastAsia" w:ascii="宋体" w:hAnsi="宋体" w:eastAsia="宋体" w:cs="宋体"/>
          <w:snapToGrid w:val="0"/>
          <w:color w:val="auto"/>
          <w:sz w:val="24"/>
          <w:szCs w:val="24"/>
          <w:highlight w:val="none"/>
          <w:lang w:eastAsia="zh-CN"/>
        </w:rPr>
        <w:t>须按本</w:t>
      </w:r>
      <w:r>
        <w:rPr>
          <w:rFonts w:hint="eastAsia" w:ascii="宋体" w:hAnsi="宋体" w:eastAsia="宋体" w:cs="宋体"/>
          <w:snapToGrid w:val="0"/>
          <w:color w:val="auto"/>
          <w:sz w:val="24"/>
          <w:szCs w:val="24"/>
          <w:highlight w:val="none"/>
          <w:lang w:val="en-US" w:eastAsia="zh-CN"/>
        </w:rPr>
        <w:t>招标</w:t>
      </w:r>
      <w:r>
        <w:rPr>
          <w:rFonts w:hint="eastAsia" w:ascii="宋体" w:hAnsi="宋体" w:eastAsia="宋体" w:cs="宋体"/>
          <w:snapToGrid w:val="0"/>
          <w:color w:val="auto"/>
          <w:sz w:val="24"/>
          <w:szCs w:val="24"/>
          <w:highlight w:val="none"/>
          <w:lang w:eastAsia="zh-CN"/>
        </w:rPr>
        <w:t>文件规定格式</w:t>
      </w:r>
      <w:r>
        <w:rPr>
          <w:rFonts w:hint="eastAsia" w:ascii="宋体" w:hAnsi="宋体" w:eastAsia="宋体" w:cs="宋体"/>
          <w:snapToGrid w:val="0"/>
          <w:color w:val="auto"/>
          <w:sz w:val="24"/>
          <w:szCs w:val="24"/>
          <w:highlight w:val="none"/>
        </w:rPr>
        <w:t>提供</w:t>
      </w:r>
      <w:r>
        <w:rPr>
          <w:rFonts w:hint="eastAsia" w:ascii="宋体" w:hAnsi="宋体" w:eastAsia="宋体" w:cs="宋体"/>
          <w:snapToGrid w:val="0"/>
          <w:color w:val="auto"/>
          <w:sz w:val="24"/>
          <w:szCs w:val="24"/>
          <w:highlight w:val="none"/>
          <w:lang w:eastAsia="zh-CN"/>
        </w:rPr>
        <w:t>“</w:t>
      </w:r>
      <w:r>
        <w:rPr>
          <w:rFonts w:hint="eastAsia" w:ascii="宋体" w:hAnsi="宋体" w:eastAsia="宋体" w:cs="宋体"/>
          <w:snapToGrid w:val="0"/>
          <w:color w:val="auto"/>
          <w:sz w:val="24"/>
          <w:szCs w:val="24"/>
          <w:highlight w:val="none"/>
        </w:rPr>
        <w:t>中小企业声明函</w:t>
      </w:r>
      <w:r>
        <w:rPr>
          <w:rFonts w:hint="eastAsia" w:ascii="宋体" w:hAnsi="宋体" w:eastAsia="宋体" w:cs="宋体"/>
          <w:snapToGrid w:val="0"/>
          <w:color w:val="auto"/>
          <w:sz w:val="24"/>
          <w:szCs w:val="24"/>
          <w:highlight w:val="none"/>
          <w:lang w:eastAsia="zh-CN"/>
        </w:rPr>
        <w:t>”</w:t>
      </w:r>
      <w:r>
        <w:rPr>
          <w:rFonts w:hint="eastAsia" w:ascii="宋体" w:hAnsi="宋体" w:eastAsia="宋体" w:cs="宋体"/>
          <w:snapToGrid w:val="0"/>
          <w:color w:val="auto"/>
          <w:sz w:val="24"/>
          <w:szCs w:val="24"/>
          <w:highlight w:val="none"/>
          <w:lang w:val="en-US" w:eastAsia="zh-CN"/>
        </w:rPr>
        <w:t>或“</w:t>
      </w:r>
      <w:r>
        <w:rPr>
          <w:rFonts w:hint="eastAsia" w:ascii="宋体" w:hAnsi="宋体" w:eastAsia="宋体" w:cs="宋体"/>
          <w:snapToGrid w:val="0"/>
          <w:color w:val="auto"/>
          <w:sz w:val="24"/>
          <w:szCs w:val="24"/>
          <w:highlight w:val="none"/>
        </w:rPr>
        <w:t>监狱企业证明文件</w:t>
      </w:r>
      <w:r>
        <w:rPr>
          <w:rFonts w:hint="eastAsia" w:ascii="宋体" w:hAnsi="宋体" w:eastAsia="宋体" w:cs="宋体"/>
          <w:snapToGrid w:val="0"/>
          <w:color w:val="auto"/>
          <w:sz w:val="24"/>
          <w:szCs w:val="24"/>
          <w:highlight w:val="none"/>
          <w:lang w:eastAsia="zh-CN"/>
        </w:rPr>
        <w:t>”</w:t>
      </w:r>
      <w:r>
        <w:rPr>
          <w:rFonts w:hint="eastAsia" w:ascii="宋体" w:hAnsi="宋体" w:eastAsia="宋体" w:cs="宋体"/>
          <w:snapToGrid w:val="0"/>
          <w:color w:val="auto"/>
          <w:sz w:val="24"/>
          <w:szCs w:val="24"/>
          <w:highlight w:val="none"/>
          <w:lang w:val="en-US" w:eastAsia="zh-CN"/>
        </w:rPr>
        <w:t>或</w:t>
      </w:r>
      <w:r>
        <w:rPr>
          <w:rFonts w:hint="eastAsia" w:ascii="宋体" w:hAnsi="宋体" w:eastAsia="宋体" w:cs="宋体"/>
          <w:snapToGrid w:val="0"/>
          <w:color w:val="auto"/>
          <w:sz w:val="24"/>
          <w:szCs w:val="24"/>
          <w:highlight w:val="none"/>
          <w:lang w:eastAsia="zh-CN"/>
        </w:rPr>
        <w:t>“</w:t>
      </w:r>
      <w:r>
        <w:rPr>
          <w:rFonts w:hint="eastAsia" w:ascii="宋体" w:hAnsi="宋体" w:eastAsia="宋体" w:cs="宋体"/>
          <w:snapToGrid w:val="0"/>
          <w:color w:val="auto"/>
          <w:sz w:val="24"/>
          <w:szCs w:val="24"/>
          <w:highlight w:val="none"/>
        </w:rPr>
        <w:t>残疾人福利性单位声明函</w:t>
      </w:r>
      <w:r>
        <w:rPr>
          <w:rFonts w:hint="eastAsia" w:ascii="宋体" w:hAnsi="宋体" w:eastAsia="宋体" w:cs="宋体"/>
          <w:snapToGrid w:val="0"/>
          <w:color w:val="auto"/>
          <w:sz w:val="24"/>
          <w:szCs w:val="24"/>
          <w:highlight w:val="none"/>
          <w:lang w:eastAsia="zh-CN"/>
        </w:rPr>
        <w:t>”等作为资格证明文件。</w:t>
      </w:r>
      <w:r>
        <w:rPr>
          <w:rFonts w:hint="eastAsia" w:ascii="宋体" w:hAnsi="宋体" w:eastAsia="宋体" w:cs="宋体"/>
          <w:snapToGrid w:val="0"/>
          <w:color w:val="auto"/>
          <w:sz w:val="24"/>
          <w:szCs w:val="24"/>
          <w:highlight w:val="none"/>
          <w:lang w:val="en-US" w:eastAsia="zh-CN"/>
        </w:rPr>
        <w:t xml:space="preserve"> </w:t>
      </w:r>
    </w:p>
    <w:p w14:paraId="5328513C">
      <w:pPr>
        <w:pStyle w:val="50"/>
        <w:keepNext w:val="0"/>
        <w:keepLines w:val="0"/>
        <w:pageBreakBefore w:val="0"/>
        <w:widowControl w:val="0"/>
        <w:kinsoku/>
        <w:overflowPunct/>
        <w:topLinePunct w:val="0"/>
        <w:autoSpaceDE/>
        <w:autoSpaceDN/>
        <w:bidi w:val="0"/>
        <w:adjustRightInd/>
        <w:jc w:val="both"/>
        <w:textAlignment w:val="auto"/>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lang w:val="en-US" w:eastAsia="zh-CN"/>
        </w:rPr>
        <w:t xml:space="preserve">42.3 供应商提供的货物、工程或者服务符合下列情形的，享受中小企业扶持政策： </w:t>
      </w:r>
    </w:p>
    <w:p w14:paraId="6CF7C9FD">
      <w:pPr>
        <w:pStyle w:val="50"/>
        <w:keepNext w:val="0"/>
        <w:keepLines w:val="0"/>
        <w:pageBreakBefore w:val="0"/>
        <w:widowControl w:val="0"/>
        <w:kinsoku/>
        <w:overflowPunct/>
        <w:topLinePunct w:val="0"/>
        <w:autoSpaceDE/>
        <w:autoSpaceDN/>
        <w:bidi w:val="0"/>
        <w:adjustRightInd/>
        <w:jc w:val="both"/>
        <w:textAlignment w:val="auto"/>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lang w:val="en-US" w:eastAsia="zh-CN"/>
        </w:rPr>
        <w:t xml:space="preserve">（1）在货物采购项目中，货物由中小企业制造，即货物由中小企业生产且使用该中小企业商号或者注册商标； </w:t>
      </w:r>
    </w:p>
    <w:p w14:paraId="78930611">
      <w:pPr>
        <w:pStyle w:val="50"/>
        <w:keepNext w:val="0"/>
        <w:keepLines w:val="0"/>
        <w:pageBreakBefore w:val="0"/>
        <w:widowControl w:val="0"/>
        <w:kinsoku/>
        <w:overflowPunct/>
        <w:topLinePunct w:val="0"/>
        <w:autoSpaceDE/>
        <w:autoSpaceDN/>
        <w:bidi w:val="0"/>
        <w:adjustRightInd/>
        <w:jc w:val="both"/>
        <w:textAlignment w:val="auto"/>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lang w:val="en-US" w:eastAsia="zh-CN"/>
        </w:rPr>
        <w:t xml:space="preserve">（2）在工程采购项目中，工程由中小企业承建，即工程施工单位为中小企业； </w:t>
      </w:r>
    </w:p>
    <w:p w14:paraId="5F526954">
      <w:pPr>
        <w:pStyle w:val="50"/>
        <w:keepNext w:val="0"/>
        <w:keepLines w:val="0"/>
        <w:pageBreakBefore w:val="0"/>
        <w:widowControl w:val="0"/>
        <w:kinsoku/>
        <w:overflowPunct/>
        <w:topLinePunct w:val="0"/>
        <w:autoSpaceDE/>
        <w:autoSpaceDN/>
        <w:bidi w:val="0"/>
        <w:adjustRightInd/>
        <w:jc w:val="both"/>
        <w:textAlignment w:val="auto"/>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lang w:val="en-US" w:eastAsia="zh-CN"/>
        </w:rPr>
        <w:t>（3）在服务采购项目中，服务由中小企业承接，即提供服务的人员为中小企业依照《中华人民共和国劳动合同法》订立劳动合同的从业人员。</w:t>
      </w:r>
    </w:p>
    <w:p w14:paraId="4513FFA6">
      <w:pPr>
        <w:pStyle w:val="50"/>
        <w:keepNext w:val="0"/>
        <w:keepLines w:val="0"/>
        <w:pageBreakBefore w:val="0"/>
        <w:widowControl w:val="0"/>
        <w:kinsoku/>
        <w:overflowPunct/>
        <w:topLinePunct w:val="0"/>
        <w:autoSpaceDE/>
        <w:autoSpaceDN/>
        <w:bidi w:val="0"/>
        <w:adjustRightInd/>
        <w:jc w:val="both"/>
        <w:textAlignment w:val="auto"/>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lang w:val="en-US" w:eastAsia="zh-CN"/>
        </w:rPr>
        <w:t xml:space="preserve">42.4 在服务采购项目中，供应商提供的服务既有中小企业承接，也有大型企业承接的，不享受中小企业扶持政策。 </w:t>
      </w:r>
    </w:p>
    <w:p w14:paraId="3D78B263">
      <w:pPr>
        <w:pStyle w:val="50"/>
        <w:keepNext w:val="0"/>
        <w:keepLines w:val="0"/>
        <w:pageBreakBefore w:val="0"/>
        <w:widowControl w:val="0"/>
        <w:kinsoku/>
        <w:overflowPunct/>
        <w:topLinePunct w:val="0"/>
        <w:autoSpaceDE/>
        <w:autoSpaceDN/>
        <w:bidi w:val="0"/>
        <w:adjustRightInd/>
        <w:jc w:val="both"/>
        <w:textAlignment w:val="auto"/>
        <w:rPr>
          <w:rFonts w:hint="eastAsia" w:ascii="宋体" w:hAnsi="宋体" w:eastAsia="宋体" w:cs="宋体"/>
          <w:snapToGrid w:val="0"/>
          <w:color w:val="auto"/>
          <w:sz w:val="24"/>
          <w:szCs w:val="24"/>
          <w:highlight w:val="none"/>
          <w:lang w:val="en-US" w:eastAsia="zh-CN"/>
        </w:rPr>
      </w:pPr>
      <w:r>
        <w:rPr>
          <w:rFonts w:hint="eastAsia" w:ascii="宋体" w:hAnsi="宋体" w:eastAsia="宋体" w:cs="宋体"/>
          <w:snapToGrid w:val="0"/>
          <w:color w:val="auto"/>
          <w:sz w:val="24"/>
          <w:szCs w:val="24"/>
          <w:highlight w:val="none"/>
          <w:lang w:val="en-US" w:eastAsia="zh-CN"/>
        </w:rPr>
        <w:t>42.5 以联合体形式参加政府采购活动，联合体各方均为中小企业的，联合体视同中小企业。其中，联合体各方均为小微企业的，联合体视同小微企业。</w:t>
      </w:r>
    </w:p>
    <w:p w14:paraId="1AD35C8C">
      <w:pPr>
        <w:pStyle w:val="50"/>
        <w:keepNext w:val="0"/>
        <w:keepLines w:val="0"/>
        <w:pageBreakBefore w:val="0"/>
        <w:widowControl w:val="0"/>
        <w:kinsoku/>
        <w:overflowPunct/>
        <w:topLinePunct w:val="0"/>
        <w:autoSpaceDE/>
        <w:autoSpaceDN/>
        <w:bidi w:val="0"/>
        <w:adjustRightInd/>
        <w:jc w:val="both"/>
        <w:textAlignment w:val="auto"/>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lang w:val="en-US" w:eastAsia="zh-CN"/>
        </w:rPr>
        <w:t xml:space="preserve">42.6 在政府采购活动中，监狱企业视同小型、微型企业，享受预留份额、评审中价格扣除等政府采购促进中小企业发展的政府采购政策。监狱企业定义：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 </w:t>
      </w:r>
    </w:p>
    <w:p w14:paraId="29D50D0B">
      <w:pPr>
        <w:pStyle w:val="50"/>
        <w:keepNext w:val="0"/>
        <w:keepLines w:val="0"/>
        <w:pageBreakBefore w:val="0"/>
        <w:widowControl w:val="0"/>
        <w:kinsoku/>
        <w:overflowPunct/>
        <w:topLinePunct w:val="0"/>
        <w:autoSpaceDE/>
        <w:autoSpaceDN/>
        <w:bidi w:val="0"/>
        <w:adjustRightInd/>
        <w:jc w:val="both"/>
        <w:textAlignment w:val="auto"/>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lang w:val="en-US" w:eastAsia="zh-CN"/>
        </w:rPr>
        <w:t xml:space="preserve">42.7 在政府采购活动中，残疾人福利性单位视同小型、微型企业，享受预留份额、评审中价格扣除等促进中小企业发展的政府采购政策。残疾人福利性单位定义：享受政府采购支持政策的残疾人福利性单位应当同时满足以下条件： </w:t>
      </w:r>
    </w:p>
    <w:p w14:paraId="125B3341">
      <w:pPr>
        <w:pStyle w:val="50"/>
        <w:keepNext w:val="0"/>
        <w:keepLines w:val="0"/>
        <w:pageBreakBefore w:val="0"/>
        <w:widowControl w:val="0"/>
        <w:kinsoku/>
        <w:overflowPunct/>
        <w:topLinePunct w:val="0"/>
        <w:autoSpaceDE/>
        <w:autoSpaceDN/>
        <w:bidi w:val="0"/>
        <w:adjustRightInd/>
        <w:jc w:val="both"/>
        <w:textAlignment w:val="auto"/>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lang w:val="en-US" w:eastAsia="zh-CN"/>
        </w:rPr>
        <w:t xml:space="preserve">42.7.1 安置的残疾人占本单位在职职工人数的比例不低于 25% （含 25%），并且安置的残疾人人数不少于 10 人（含 10人）； </w:t>
      </w:r>
    </w:p>
    <w:p w14:paraId="67084133">
      <w:pPr>
        <w:pStyle w:val="50"/>
        <w:keepNext w:val="0"/>
        <w:keepLines w:val="0"/>
        <w:pageBreakBefore w:val="0"/>
        <w:widowControl w:val="0"/>
        <w:kinsoku/>
        <w:overflowPunct/>
        <w:topLinePunct w:val="0"/>
        <w:autoSpaceDE/>
        <w:autoSpaceDN/>
        <w:bidi w:val="0"/>
        <w:adjustRightInd/>
        <w:jc w:val="both"/>
        <w:textAlignment w:val="auto"/>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lang w:val="en-US" w:eastAsia="zh-CN"/>
        </w:rPr>
        <w:t xml:space="preserve">42.7.2 依法与安置的每位残疾人签订了1年以上（含1年）的劳动合同或服务协议； </w:t>
      </w:r>
    </w:p>
    <w:p w14:paraId="76C8B9D5">
      <w:pPr>
        <w:pStyle w:val="50"/>
        <w:keepNext w:val="0"/>
        <w:keepLines w:val="0"/>
        <w:pageBreakBefore w:val="0"/>
        <w:widowControl w:val="0"/>
        <w:kinsoku/>
        <w:overflowPunct/>
        <w:topLinePunct w:val="0"/>
        <w:autoSpaceDE/>
        <w:autoSpaceDN/>
        <w:bidi w:val="0"/>
        <w:adjustRightInd/>
        <w:jc w:val="both"/>
        <w:textAlignment w:val="auto"/>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lang w:val="en-US" w:eastAsia="zh-CN"/>
        </w:rPr>
        <w:t xml:space="preserve">42.7.3 为安置的每位残疾人按月足额缴纳了基本养老保险、基本医疗保险、失业保险、工伤保险和生育保险等社会保险费； </w:t>
      </w:r>
    </w:p>
    <w:p w14:paraId="26D3C518">
      <w:pPr>
        <w:pStyle w:val="50"/>
        <w:keepNext w:val="0"/>
        <w:keepLines w:val="0"/>
        <w:pageBreakBefore w:val="0"/>
        <w:widowControl w:val="0"/>
        <w:kinsoku/>
        <w:overflowPunct/>
        <w:topLinePunct w:val="0"/>
        <w:autoSpaceDE/>
        <w:autoSpaceDN/>
        <w:bidi w:val="0"/>
        <w:adjustRightInd/>
        <w:jc w:val="both"/>
        <w:textAlignment w:val="auto"/>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lang w:val="en-US" w:eastAsia="zh-CN"/>
        </w:rPr>
        <w:t xml:space="preserve">42.7.4 通过银行等金融机构向安置的每位残疾人，按月支付了不低于单位所在区县适用的经省级人民政府批准的月最低工资标准的工资； </w:t>
      </w:r>
    </w:p>
    <w:p w14:paraId="70590D60">
      <w:pPr>
        <w:pStyle w:val="50"/>
        <w:keepNext w:val="0"/>
        <w:keepLines w:val="0"/>
        <w:pageBreakBefore w:val="0"/>
        <w:widowControl w:val="0"/>
        <w:kinsoku/>
        <w:overflowPunct/>
        <w:topLinePunct w:val="0"/>
        <w:autoSpaceDE/>
        <w:autoSpaceDN/>
        <w:bidi w:val="0"/>
        <w:adjustRightInd/>
        <w:jc w:val="both"/>
        <w:textAlignment w:val="auto"/>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lang w:val="en-US" w:eastAsia="zh-CN"/>
        </w:rPr>
        <w:t xml:space="preserve">42.7.5 提供本单位制造的货物、承担的工程或者服务（以下简称产品），或者提供其他残疾人福利性单位制造的货物（不包括使用非残疾人福利性单位注册商标的货物）； </w:t>
      </w:r>
    </w:p>
    <w:p w14:paraId="7E857EF9">
      <w:pPr>
        <w:pStyle w:val="50"/>
        <w:keepNext w:val="0"/>
        <w:keepLines w:val="0"/>
        <w:pageBreakBefore w:val="0"/>
        <w:widowControl w:val="0"/>
        <w:kinsoku/>
        <w:overflowPunct/>
        <w:topLinePunct w:val="0"/>
        <w:autoSpaceDE/>
        <w:autoSpaceDN/>
        <w:bidi w:val="0"/>
        <w:adjustRightInd/>
        <w:jc w:val="both"/>
        <w:textAlignment w:val="auto"/>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lang w:val="en-US" w:eastAsia="zh-CN"/>
        </w:rPr>
        <w:t xml:space="preserve">42.7.6 前款所称残疾人是指法定劳动年龄内，持有《中华人民共和国残疾人证》或者《中华人民共和国残疾军人证（1 至 8 级）》的自然人，包括具有劳动条件和劳动意愿的精神残疾人。在职职工人数是指与残疾人福利性单位建立劳动关系并依法签订劳动合同或服务协议的雇员人数。 </w:t>
      </w:r>
    </w:p>
    <w:p w14:paraId="26BDE6E9">
      <w:pPr>
        <w:pStyle w:val="50"/>
        <w:keepNext w:val="0"/>
        <w:keepLines w:val="0"/>
        <w:pageBreakBefore w:val="0"/>
        <w:widowControl w:val="0"/>
        <w:kinsoku/>
        <w:overflowPunct/>
        <w:topLinePunct w:val="0"/>
        <w:autoSpaceDE/>
        <w:autoSpaceDN/>
        <w:bidi w:val="0"/>
        <w:adjustRightInd/>
        <w:jc w:val="both"/>
        <w:textAlignment w:val="auto"/>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lang w:val="en-US" w:eastAsia="zh-CN"/>
        </w:rPr>
        <w:t xml:space="preserve">42.8 本项目是否专门面向中小企业预留采购份额见“第一章 </w:t>
      </w:r>
      <w:r>
        <w:rPr>
          <w:rFonts w:hint="eastAsia" w:ascii="宋体" w:hAnsi="宋体" w:eastAsia="宋体" w:cs="宋体"/>
          <w:color w:val="auto"/>
          <w:sz w:val="24"/>
          <w:szCs w:val="24"/>
          <w:highlight w:val="none"/>
          <w:lang w:val="en-US" w:eastAsia="zh-CN"/>
        </w:rPr>
        <w:t>招标公告</w:t>
      </w:r>
      <w:r>
        <w:rPr>
          <w:rFonts w:hint="eastAsia" w:ascii="宋体" w:hAnsi="宋体" w:eastAsia="宋体" w:cs="宋体"/>
          <w:snapToGrid w:val="0"/>
          <w:color w:val="auto"/>
          <w:sz w:val="24"/>
          <w:szCs w:val="24"/>
          <w:highlight w:val="none"/>
          <w:lang w:val="en-US" w:eastAsia="zh-CN"/>
        </w:rPr>
        <w:t>”。    42.9 采购标的对应的中小企业划分标准所属行业见“投标人须知前附表”。    42.10 小微企业价格评审优惠的政策调整：见“投标人须知前附表”及“第五章 评标方法及标准”。</w:t>
      </w:r>
    </w:p>
    <w:p w14:paraId="09C8D48A">
      <w:pPr>
        <w:pStyle w:val="5"/>
        <w:keepNext w:val="0"/>
        <w:keepLines w:val="0"/>
        <w:pageBreakBefore w:val="0"/>
        <w:widowControl w:val="0"/>
        <w:numPr>
          <w:ilvl w:val="0"/>
          <w:numId w:val="0"/>
        </w:numPr>
        <w:kinsoku/>
        <w:wordWrap/>
        <w:overflowPunct/>
        <w:topLinePunct w:val="0"/>
        <w:autoSpaceDE/>
        <w:autoSpaceDN/>
        <w:bidi w:val="0"/>
        <w:adjustRightInd/>
        <w:snapToGrid/>
        <w:spacing w:before="80" w:after="80" w:line="240" w:lineRule="auto"/>
        <w:ind w:left="420" w:leftChars="0" w:hanging="420" w:firstLineChars="0"/>
        <w:jc w:val="both"/>
        <w:textAlignment w:val="auto"/>
        <w:rPr>
          <w:rFonts w:hint="eastAsia" w:ascii="宋体" w:hAnsi="宋体" w:eastAsia="宋体" w:cs="宋体"/>
          <w:b/>
          <w:bCs/>
          <w:color w:val="auto"/>
          <w:kern w:val="2"/>
          <w:sz w:val="24"/>
          <w:szCs w:val="24"/>
          <w:highlight w:val="none"/>
          <w:lang w:val="en-US" w:eastAsia="zh-CN" w:bidi="ar-SA"/>
        </w:rPr>
      </w:pPr>
      <w:bookmarkStart w:id="201" w:name="_Toc18531"/>
      <w:bookmarkStart w:id="202" w:name="_Toc163492878"/>
      <w:r>
        <w:rPr>
          <w:rFonts w:hint="eastAsia" w:ascii="宋体" w:hAnsi="宋体" w:eastAsia="宋体" w:cs="宋体"/>
          <w:b/>
          <w:bCs/>
          <w:color w:val="auto"/>
          <w:kern w:val="2"/>
          <w:sz w:val="24"/>
          <w:szCs w:val="24"/>
          <w:highlight w:val="none"/>
          <w:lang w:val="en-US" w:eastAsia="zh-CN" w:bidi="ar-SA"/>
        </w:rPr>
        <w:t>43.政府采购节能产品、环境标志产品</w:t>
      </w:r>
      <w:bookmarkEnd w:id="201"/>
      <w:bookmarkEnd w:id="202"/>
    </w:p>
    <w:p w14:paraId="3BE2357F">
      <w:pPr>
        <w:pStyle w:val="50"/>
        <w:keepNext w:val="0"/>
        <w:keepLines w:val="0"/>
        <w:pageBreakBefore w:val="0"/>
        <w:widowControl w:val="0"/>
        <w:kinsoku/>
        <w:overflowPunct/>
        <w:topLinePunct w:val="0"/>
        <w:autoSpaceDE/>
        <w:autoSpaceDN/>
        <w:bidi w:val="0"/>
        <w:adjustRightInd/>
        <w:jc w:val="both"/>
        <w:textAlignment w:val="auto"/>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lang w:val="en-US" w:eastAsia="zh-CN"/>
        </w:rPr>
        <w:t>43.1 政府采购节能产品、环境标志产品实施品目清单管理。财政部、发展改革委、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关于政府采购节能产品、环境标志产品的相关规定依据《关于调整优化节能产品、环境标志产品政府采购执行机制的通知》（财库〔2019〕9 号）、《关于印发环境标志产品政府采购品目清单的通知》（财库〔2019〕18号）、《关于印发节能产品政府采购品目清单的通知》（财库〔2019〕19号）的规定。</w:t>
      </w:r>
    </w:p>
    <w:p w14:paraId="43D70B3A">
      <w:pPr>
        <w:pStyle w:val="50"/>
        <w:keepNext w:val="0"/>
        <w:keepLines w:val="0"/>
        <w:pageBreakBefore w:val="0"/>
        <w:widowControl w:val="0"/>
        <w:kinsoku/>
        <w:overflowPunct/>
        <w:topLinePunct w:val="0"/>
        <w:autoSpaceDE/>
        <w:autoSpaceDN/>
        <w:bidi w:val="0"/>
        <w:adjustRightInd/>
        <w:jc w:val="both"/>
        <w:textAlignment w:val="auto"/>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lang w:val="en-US" w:eastAsia="zh-CN"/>
        </w:rPr>
        <w:t xml:space="preserve">43.2 </w:t>
      </w:r>
      <w:r>
        <w:rPr>
          <w:rFonts w:hint="eastAsia" w:cs="宋体"/>
          <w:snapToGrid w:val="0"/>
          <w:color w:val="auto"/>
          <w:sz w:val="24"/>
          <w:szCs w:val="24"/>
          <w:highlight w:val="none"/>
          <w:lang w:val="en-US" w:eastAsia="zh-CN"/>
        </w:rPr>
        <w:t>招标人</w:t>
      </w:r>
      <w:r>
        <w:rPr>
          <w:rFonts w:hint="eastAsia" w:ascii="宋体" w:hAnsi="宋体" w:eastAsia="宋体" w:cs="宋体"/>
          <w:snapToGrid w:val="0"/>
          <w:color w:val="auto"/>
          <w:sz w:val="24"/>
          <w:szCs w:val="24"/>
          <w:highlight w:val="none"/>
          <w:lang w:val="en-US" w:eastAsia="zh-CN"/>
        </w:rPr>
        <w:t>拟采购的产品属于品目清单范围的，</w:t>
      </w:r>
      <w:r>
        <w:rPr>
          <w:rFonts w:hint="eastAsia" w:cs="宋体"/>
          <w:snapToGrid w:val="0"/>
          <w:color w:val="auto"/>
          <w:sz w:val="24"/>
          <w:szCs w:val="24"/>
          <w:highlight w:val="none"/>
          <w:lang w:val="en-US" w:eastAsia="zh-CN"/>
        </w:rPr>
        <w:t>招标人</w:t>
      </w:r>
      <w:r>
        <w:rPr>
          <w:rFonts w:hint="eastAsia" w:ascii="宋体" w:hAnsi="宋体" w:eastAsia="宋体" w:cs="宋体"/>
          <w:snapToGrid w:val="0"/>
          <w:color w:val="auto"/>
          <w:sz w:val="24"/>
          <w:szCs w:val="24"/>
          <w:highlight w:val="none"/>
          <w:lang w:val="en-US" w:eastAsia="zh-CN"/>
        </w:rPr>
        <w:t>及其委托的</w:t>
      </w:r>
      <w:r>
        <w:rPr>
          <w:rFonts w:hint="eastAsia" w:cs="宋体"/>
          <w:snapToGrid w:val="0"/>
          <w:color w:val="auto"/>
          <w:sz w:val="24"/>
          <w:szCs w:val="24"/>
          <w:highlight w:val="none"/>
          <w:lang w:val="en-US" w:eastAsia="zh-CN"/>
        </w:rPr>
        <w:t>招标代理机构</w:t>
      </w:r>
      <w:r>
        <w:rPr>
          <w:rFonts w:hint="eastAsia" w:ascii="宋体" w:hAnsi="宋体" w:eastAsia="宋体" w:cs="宋体"/>
          <w:snapToGrid w:val="0"/>
          <w:color w:val="auto"/>
          <w:sz w:val="24"/>
          <w:szCs w:val="24"/>
          <w:highlight w:val="none"/>
          <w:lang w:val="en-US" w:eastAsia="zh-CN"/>
        </w:rPr>
        <w:t xml:space="preserve">依据国家确定的认证机构出具的、处于有效期之内的节能产品、环境标志产品认证证书，对获得证书的产品实施政府优先采购或强制采购。 </w:t>
      </w:r>
    </w:p>
    <w:p w14:paraId="693A5386">
      <w:pPr>
        <w:pStyle w:val="50"/>
        <w:keepNext w:val="0"/>
        <w:keepLines w:val="0"/>
        <w:pageBreakBefore w:val="0"/>
        <w:widowControl w:val="0"/>
        <w:kinsoku/>
        <w:overflowPunct/>
        <w:topLinePunct w:val="0"/>
        <w:autoSpaceDE/>
        <w:autoSpaceDN/>
        <w:bidi w:val="0"/>
        <w:adjustRightInd/>
        <w:jc w:val="both"/>
        <w:textAlignment w:val="auto"/>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lang w:val="en-US" w:eastAsia="zh-CN"/>
        </w:rPr>
        <w:t>43.3 如本项目采购产品属于实施政府强制采购品目清单范围的节能产品，则投标人所报产品必须获得国家确定的认证机构出具的、处于有效期之内的节能产品认证证书，否则</w:t>
      </w:r>
      <w:r>
        <w:rPr>
          <w:rFonts w:hint="eastAsia" w:ascii="宋体" w:hAnsi="宋体" w:eastAsia="宋体" w:cs="宋体"/>
          <w:b/>
          <w:bCs/>
          <w:snapToGrid w:val="0"/>
          <w:color w:val="auto"/>
          <w:sz w:val="24"/>
          <w:szCs w:val="24"/>
          <w:highlight w:val="none"/>
          <w:lang w:val="en-US" w:eastAsia="zh-CN"/>
        </w:rPr>
        <w:t>投标无效</w:t>
      </w:r>
      <w:r>
        <w:rPr>
          <w:rFonts w:hint="eastAsia" w:ascii="宋体" w:hAnsi="宋体" w:eastAsia="宋体" w:cs="宋体"/>
          <w:snapToGrid w:val="0"/>
          <w:color w:val="auto"/>
          <w:sz w:val="24"/>
          <w:szCs w:val="24"/>
          <w:highlight w:val="none"/>
          <w:lang w:val="en-US" w:eastAsia="zh-CN"/>
        </w:rPr>
        <w:t xml:space="preserve">。 </w:t>
      </w:r>
    </w:p>
    <w:p w14:paraId="363462DE">
      <w:pPr>
        <w:pStyle w:val="50"/>
        <w:keepNext w:val="0"/>
        <w:keepLines w:val="0"/>
        <w:pageBreakBefore w:val="0"/>
        <w:widowControl w:val="0"/>
        <w:kinsoku/>
        <w:overflowPunct/>
        <w:topLinePunct w:val="0"/>
        <w:autoSpaceDE/>
        <w:autoSpaceDN/>
        <w:bidi w:val="0"/>
        <w:adjustRightInd/>
        <w:jc w:val="both"/>
        <w:textAlignment w:val="auto"/>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lang w:val="en-US" w:eastAsia="zh-CN"/>
        </w:rPr>
        <w:t>43.4 非政府强制采购的节能产品或环境标志产品，依据品目清单和认证证书实施政府优先采购。优先采购的具体规定见“第五章 评标方法及标准”（如涉及）。</w:t>
      </w:r>
    </w:p>
    <w:p w14:paraId="40D08A92">
      <w:pPr>
        <w:pStyle w:val="50"/>
        <w:keepNext w:val="0"/>
        <w:keepLines w:val="0"/>
        <w:pageBreakBefore w:val="0"/>
        <w:widowControl w:val="0"/>
        <w:kinsoku/>
        <w:overflowPunct/>
        <w:topLinePunct w:val="0"/>
        <w:autoSpaceDE/>
        <w:autoSpaceDN/>
        <w:bidi w:val="0"/>
        <w:adjustRightInd/>
        <w:jc w:val="both"/>
        <w:textAlignment w:val="auto"/>
        <w:rPr>
          <w:rFonts w:hint="eastAsia" w:ascii="宋体" w:hAnsi="宋体" w:eastAsia="宋体" w:cs="宋体"/>
          <w:color w:val="auto"/>
          <w:sz w:val="24"/>
          <w:szCs w:val="24"/>
          <w:highlight w:val="none"/>
        </w:rPr>
      </w:pPr>
      <w:r>
        <w:rPr>
          <w:rFonts w:hint="eastAsia" w:ascii="宋体" w:hAnsi="宋体" w:eastAsia="宋体" w:cs="宋体"/>
          <w:snapToGrid w:val="0"/>
          <w:color w:val="auto"/>
          <w:sz w:val="24"/>
          <w:szCs w:val="24"/>
          <w:highlight w:val="none"/>
          <w:lang w:val="en-US" w:eastAsia="zh-CN"/>
        </w:rPr>
        <w:t xml:space="preserve">43.5 </w:t>
      </w:r>
      <w:r>
        <w:rPr>
          <w:rFonts w:hint="eastAsia" w:ascii="宋体" w:hAnsi="宋体" w:eastAsia="宋体" w:cs="宋体"/>
          <w:snapToGrid w:val="0"/>
          <w:color w:val="auto"/>
          <w:sz w:val="24"/>
          <w:szCs w:val="24"/>
          <w:highlight w:val="none"/>
        </w:rPr>
        <w:t>投标人所投产品如属于节能产品政府采购品目清单、环境标志产品政府采购品目清单范围的，须提供国家确定的认证机构出具的、处于有效期内的产品认证证书，认证证书的产品型号与所投产品不一致的，视为未提供。属于政府强制采购产品的，已作为投标时强制性要求不再给予</w:t>
      </w:r>
      <w:r>
        <w:rPr>
          <w:rFonts w:hint="eastAsia" w:ascii="宋体" w:hAnsi="宋体" w:eastAsia="宋体" w:cs="宋体"/>
          <w:snapToGrid w:val="0"/>
          <w:color w:val="auto"/>
          <w:sz w:val="24"/>
          <w:szCs w:val="24"/>
          <w:highlight w:val="none"/>
          <w:lang w:val="en-US" w:eastAsia="zh-CN"/>
        </w:rPr>
        <w:t>评审优惠</w:t>
      </w:r>
      <w:r>
        <w:rPr>
          <w:rFonts w:hint="eastAsia" w:ascii="宋体" w:hAnsi="宋体" w:eastAsia="宋体" w:cs="宋体"/>
          <w:snapToGrid w:val="0"/>
          <w:color w:val="auto"/>
          <w:sz w:val="24"/>
          <w:szCs w:val="24"/>
          <w:highlight w:val="none"/>
        </w:rPr>
        <w:t>，未提供认证证书的视为</w:t>
      </w:r>
      <w:r>
        <w:rPr>
          <w:rFonts w:hint="eastAsia" w:ascii="宋体" w:hAnsi="宋体" w:eastAsia="宋体" w:cs="宋体"/>
          <w:b/>
          <w:bCs/>
          <w:snapToGrid w:val="0"/>
          <w:color w:val="auto"/>
          <w:sz w:val="24"/>
          <w:szCs w:val="24"/>
          <w:highlight w:val="none"/>
          <w:lang w:val="en-US" w:eastAsia="zh-CN"/>
        </w:rPr>
        <w:t>投标</w:t>
      </w:r>
      <w:r>
        <w:rPr>
          <w:rFonts w:hint="eastAsia" w:ascii="宋体" w:hAnsi="宋体" w:eastAsia="宋体" w:cs="宋体"/>
          <w:b/>
          <w:bCs/>
          <w:snapToGrid w:val="0"/>
          <w:color w:val="auto"/>
          <w:sz w:val="24"/>
          <w:szCs w:val="24"/>
          <w:highlight w:val="none"/>
        </w:rPr>
        <w:t>无效</w:t>
      </w:r>
      <w:r>
        <w:rPr>
          <w:rFonts w:hint="eastAsia" w:ascii="宋体" w:hAnsi="宋体" w:eastAsia="宋体" w:cs="宋体"/>
          <w:snapToGrid w:val="0"/>
          <w:color w:val="auto"/>
          <w:sz w:val="24"/>
          <w:szCs w:val="24"/>
          <w:highlight w:val="none"/>
        </w:rPr>
        <w:t>。属于</w:t>
      </w:r>
      <w:r>
        <w:rPr>
          <w:rFonts w:hint="eastAsia" w:ascii="宋体" w:hAnsi="宋体" w:eastAsia="宋体" w:cs="宋体"/>
          <w:snapToGrid w:val="0"/>
          <w:color w:val="auto"/>
          <w:sz w:val="24"/>
          <w:szCs w:val="24"/>
          <w:highlight w:val="none"/>
          <w:lang w:val="en-US" w:eastAsia="zh-CN"/>
        </w:rPr>
        <w:t>优先采购</w:t>
      </w:r>
      <w:r>
        <w:rPr>
          <w:rFonts w:hint="eastAsia" w:ascii="宋体" w:hAnsi="宋体" w:eastAsia="宋体" w:cs="宋体"/>
          <w:snapToGrid w:val="0"/>
          <w:color w:val="auto"/>
          <w:sz w:val="24"/>
          <w:szCs w:val="24"/>
          <w:highlight w:val="none"/>
        </w:rPr>
        <w:t>节能产品政府采购品目清单、环境标志产品政府采购品目清单</w:t>
      </w:r>
      <w:r>
        <w:rPr>
          <w:rFonts w:hint="eastAsia" w:ascii="宋体" w:hAnsi="宋体" w:eastAsia="宋体" w:cs="宋体"/>
          <w:snapToGrid w:val="0"/>
          <w:color w:val="auto"/>
          <w:sz w:val="24"/>
          <w:szCs w:val="24"/>
          <w:highlight w:val="none"/>
          <w:lang w:eastAsia="zh-CN"/>
        </w:rPr>
        <w:t>、</w:t>
      </w:r>
      <w:r>
        <w:rPr>
          <w:rFonts w:hint="eastAsia" w:ascii="宋体" w:hAnsi="宋体" w:eastAsia="宋体" w:cs="宋体"/>
          <w:snapToGrid w:val="0"/>
          <w:color w:val="auto"/>
          <w:sz w:val="24"/>
          <w:szCs w:val="24"/>
          <w:highlight w:val="none"/>
          <w:lang w:val="en-US" w:eastAsia="zh-CN"/>
        </w:rPr>
        <w:t>创新产品</w:t>
      </w:r>
      <w:r>
        <w:rPr>
          <w:rFonts w:hint="eastAsia" w:ascii="宋体" w:hAnsi="宋体" w:eastAsia="宋体" w:cs="宋体"/>
          <w:snapToGrid w:val="0"/>
          <w:color w:val="auto"/>
          <w:sz w:val="24"/>
          <w:szCs w:val="24"/>
          <w:highlight w:val="none"/>
        </w:rPr>
        <w:t>范围，按照“</w:t>
      </w:r>
      <w:r>
        <w:rPr>
          <w:rFonts w:hint="eastAsia" w:ascii="宋体" w:hAnsi="宋体" w:eastAsia="宋体" w:cs="宋体"/>
          <w:color w:val="auto"/>
          <w:sz w:val="24"/>
          <w:szCs w:val="24"/>
          <w:highlight w:val="none"/>
          <w:lang w:val="en-US" w:eastAsia="zh-CN"/>
        </w:rPr>
        <w:t>第五章 评标方法及标准</w:t>
      </w:r>
      <w:r>
        <w:rPr>
          <w:rFonts w:hint="eastAsia" w:ascii="宋体" w:hAnsi="宋体" w:eastAsia="宋体" w:cs="宋体"/>
          <w:snapToGrid w:val="0"/>
          <w:color w:val="auto"/>
          <w:sz w:val="24"/>
          <w:szCs w:val="24"/>
          <w:highlight w:val="none"/>
        </w:rPr>
        <w:t>”中相关规定</w:t>
      </w:r>
      <w:r>
        <w:rPr>
          <w:rFonts w:hint="eastAsia" w:ascii="宋体" w:hAnsi="宋体" w:eastAsia="宋体" w:cs="宋体"/>
          <w:color w:val="auto"/>
          <w:sz w:val="24"/>
          <w:szCs w:val="24"/>
          <w:highlight w:val="none"/>
          <w:lang w:val="en-US" w:eastAsia="zh-CN"/>
        </w:rPr>
        <w:t>在</w:t>
      </w:r>
      <w:r>
        <w:rPr>
          <w:rFonts w:hint="eastAsia" w:ascii="宋体" w:hAnsi="宋体" w:eastAsia="宋体" w:cs="宋体"/>
          <w:snapToGrid w:val="0"/>
          <w:color w:val="auto"/>
          <w:sz w:val="24"/>
          <w:szCs w:val="24"/>
          <w:highlight w:val="none"/>
          <w:lang w:val="en-US" w:eastAsia="zh-CN"/>
        </w:rPr>
        <w:t>评审时给予优惠，具</w:t>
      </w:r>
      <w:r>
        <w:rPr>
          <w:rFonts w:hint="eastAsia" w:ascii="宋体" w:hAnsi="宋体" w:eastAsia="宋体" w:cs="宋体"/>
          <w:color w:val="auto"/>
          <w:sz w:val="24"/>
          <w:szCs w:val="24"/>
          <w:highlight w:val="none"/>
          <w:lang w:val="en-US" w:eastAsia="zh-CN"/>
        </w:rPr>
        <w:t>体详见</w:t>
      </w:r>
      <w:r>
        <w:rPr>
          <w:rFonts w:hint="eastAsia" w:ascii="宋体" w:hAnsi="宋体" w:eastAsia="宋体" w:cs="宋体"/>
          <w:snapToGrid w:val="0"/>
          <w:color w:val="auto"/>
          <w:sz w:val="24"/>
          <w:szCs w:val="24"/>
          <w:highlight w:val="none"/>
          <w:lang w:val="en-US" w:eastAsia="zh-CN"/>
        </w:rPr>
        <w:t>“投标人须知前附表”及</w:t>
      </w:r>
      <w:r>
        <w:rPr>
          <w:rFonts w:hint="eastAsia" w:ascii="宋体" w:hAnsi="宋体" w:eastAsia="宋体" w:cs="宋体"/>
          <w:color w:val="auto"/>
          <w:sz w:val="24"/>
          <w:szCs w:val="24"/>
          <w:highlight w:val="none"/>
          <w:lang w:val="en-US" w:eastAsia="zh-CN"/>
        </w:rPr>
        <w:t>“第五章 评标方法及标准”</w:t>
      </w:r>
      <w:r>
        <w:rPr>
          <w:rFonts w:hint="eastAsia" w:ascii="宋体" w:hAnsi="宋体" w:eastAsia="宋体" w:cs="宋体"/>
          <w:color w:val="auto"/>
          <w:sz w:val="24"/>
          <w:szCs w:val="24"/>
          <w:highlight w:val="none"/>
        </w:rPr>
        <w:t>。</w:t>
      </w:r>
    </w:p>
    <w:p w14:paraId="67A9C81B">
      <w:pPr>
        <w:pStyle w:val="5"/>
        <w:keepNext w:val="0"/>
        <w:keepLines w:val="0"/>
        <w:pageBreakBefore w:val="0"/>
        <w:widowControl w:val="0"/>
        <w:numPr>
          <w:ilvl w:val="0"/>
          <w:numId w:val="0"/>
        </w:numPr>
        <w:kinsoku/>
        <w:wordWrap/>
        <w:overflowPunct/>
        <w:topLinePunct w:val="0"/>
        <w:autoSpaceDE/>
        <w:autoSpaceDN/>
        <w:bidi w:val="0"/>
        <w:adjustRightInd/>
        <w:snapToGrid/>
        <w:spacing w:before="80" w:after="80" w:line="240" w:lineRule="auto"/>
        <w:ind w:left="420" w:leftChars="0" w:hanging="420" w:firstLineChars="0"/>
        <w:jc w:val="both"/>
        <w:textAlignment w:val="auto"/>
        <w:rPr>
          <w:rFonts w:hint="eastAsia" w:ascii="宋体" w:hAnsi="宋体" w:eastAsia="宋体" w:cs="宋体"/>
          <w:b/>
          <w:bCs/>
          <w:color w:val="auto"/>
          <w:kern w:val="2"/>
          <w:sz w:val="24"/>
          <w:szCs w:val="24"/>
          <w:highlight w:val="none"/>
          <w:lang w:val="en-US" w:eastAsia="zh-CN" w:bidi="ar-SA"/>
        </w:rPr>
      </w:pPr>
      <w:bookmarkStart w:id="203" w:name="_Toc20976"/>
      <w:bookmarkStart w:id="204" w:name="_Toc163492879"/>
      <w:r>
        <w:rPr>
          <w:rFonts w:hint="eastAsia" w:ascii="宋体" w:hAnsi="宋体" w:eastAsia="宋体" w:cs="宋体"/>
          <w:b/>
          <w:bCs/>
          <w:color w:val="auto"/>
          <w:kern w:val="2"/>
          <w:sz w:val="24"/>
          <w:szCs w:val="24"/>
          <w:highlight w:val="none"/>
          <w:lang w:val="en-US" w:eastAsia="zh-CN" w:bidi="ar-SA"/>
        </w:rPr>
        <w:t>44.正版软件</w:t>
      </w:r>
      <w:bookmarkEnd w:id="203"/>
      <w:r>
        <w:rPr>
          <w:rFonts w:hint="eastAsia" w:ascii="宋体" w:hAnsi="宋体" w:eastAsia="宋体" w:cs="宋体"/>
          <w:b/>
          <w:bCs/>
          <w:color w:val="auto"/>
          <w:kern w:val="2"/>
          <w:sz w:val="24"/>
          <w:szCs w:val="24"/>
          <w:highlight w:val="none"/>
          <w:lang w:val="en-US" w:eastAsia="zh-CN" w:bidi="ar-SA"/>
        </w:rPr>
        <w:t xml:space="preserve">  </w:t>
      </w:r>
    </w:p>
    <w:p w14:paraId="45AFFF55">
      <w:pPr>
        <w:pStyle w:val="50"/>
        <w:keepNext w:val="0"/>
        <w:keepLines w:val="0"/>
        <w:pageBreakBefore w:val="0"/>
        <w:widowControl w:val="0"/>
        <w:kinsoku/>
        <w:overflowPunct/>
        <w:topLinePunct w:val="0"/>
        <w:autoSpaceDE/>
        <w:autoSpaceDN/>
        <w:bidi w:val="0"/>
        <w:adjustRightInd/>
        <w:snapToGrid/>
        <w:jc w:val="both"/>
        <w:textAlignment w:val="auto"/>
        <w:rPr>
          <w:rFonts w:hint="eastAsia" w:ascii="宋体" w:hAnsi="宋体" w:eastAsia="宋体" w:cs="宋体"/>
          <w:snapToGrid w:val="0"/>
          <w:color w:val="auto"/>
          <w:sz w:val="24"/>
          <w:szCs w:val="24"/>
          <w:highlight w:val="none"/>
          <w:lang w:val="en-US" w:eastAsia="zh-CN"/>
        </w:rPr>
      </w:pPr>
      <w:r>
        <w:rPr>
          <w:rFonts w:hint="eastAsia" w:ascii="宋体" w:hAnsi="宋体" w:eastAsia="宋体" w:cs="宋体"/>
          <w:snapToGrid w:val="0"/>
          <w:color w:val="auto"/>
          <w:sz w:val="24"/>
          <w:szCs w:val="24"/>
          <w:highlight w:val="none"/>
          <w:lang w:val="en-US" w:eastAsia="zh-CN"/>
        </w:rPr>
        <w:t>44.1 各级政府部门在购置计算机办公设备时，必须采购预装正版操作系统软件的计算机产品，相关规定依据《国家版权局、信息产业部、财政部、国务院机关事务管理局关于政府部门购置计算机办公设备必须采购已预装正版操作系统软件产品的通知》（国权联〔2006〕1 号）、《国务院办公厅关于进一步做好政府机关使用正版软件工作的通知》（国办发〔2010〕47 号）、《国务院办公厅关于印发政府机关使用正版软件管理办法的通知》国办发〔2013〕88号。</w:t>
      </w:r>
    </w:p>
    <w:p w14:paraId="648A6A88">
      <w:pPr>
        <w:pStyle w:val="5"/>
        <w:keepNext w:val="0"/>
        <w:keepLines w:val="0"/>
        <w:pageBreakBefore w:val="0"/>
        <w:widowControl w:val="0"/>
        <w:numPr>
          <w:ilvl w:val="0"/>
          <w:numId w:val="0"/>
        </w:numPr>
        <w:kinsoku/>
        <w:wordWrap/>
        <w:overflowPunct/>
        <w:topLinePunct w:val="0"/>
        <w:autoSpaceDE/>
        <w:autoSpaceDN/>
        <w:bidi w:val="0"/>
        <w:adjustRightInd/>
        <w:snapToGrid/>
        <w:spacing w:before="80" w:after="80" w:line="240" w:lineRule="auto"/>
        <w:ind w:left="420" w:leftChars="0" w:hanging="420" w:firstLineChars="0"/>
        <w:jc w:val="both"/>
        <w:textAlignment w:val="auto"/>
        <w:rPr>
          <w:rFonts w:hint="eastAsia" w:ascii="宋体" w:hAnsi="宋体" w:eastAsia="宋体" w:cs="宋体"/>
          <w:b/>
          <w:bCs/>
          <w:color w:val="auto"/>
          <w:kern w:val="2"/>
          <w:sz w:val="24"/>
          <w:szCs w:val="24"/>
          <w:highlight w:val="none"/>
          <w:lang w:val="en-US" w:eastAsia="zh-CN" w:bidi="ar-SA"/>
        </w:rPr>
      </w:pPr>
      <w:bookmarkStart w:id="205" w:name="_Toc3951"/>
      <w:r>
        <w:rPr>
          <w:rFonts w:hint="eastAsia" w:ascii="宋体" w:hAnsi="宋体" w:eastAsia="宋体" w:cs="宋体"/>
          <w:b/>
          <w:bCs/>
          <w:color w:val="auto"/>
          <w:kern w:val="2"/>
          <w:sz w:val="24"/>
          <w:szCs w:val="24"/>
          <w:highlight w:val="none"/>
          <w:lang w:val="en-US" w:eastAsia="zh-CN" w:bidi="ar-SA"/>
        </w:rPr>
        <w:t>45.网络安全专用产品</w:t>
      </w:r>
      <w:bookmarkEnd w:id="205"/>
      <w:r>
        <w:rPr>
          <w:rFonts w:hint="eastAsia" w:ascii="宋体" w:hAnsi="宋体" w:eastAsia="宋体" w:cs="宋体"/>
          <w:b/>
          <w:bCs/>
          <w:color w:val="auto"/>
          <w:kern w:val="2"/>
          <w:sz w:val="24"/>
          <w:szCs w:val="24"/>
          <w:highlight w:val="none"/>
          <w:lang w:val="en-US" w:eastAsia="zh-CN" w:bidi="ar-SA"/>
        </w:rPr>
        <w:t xml:space="preserve">   </w:t>
      </w:r>
    </w:p>
    <w:p w14:paraId="32BF3BAA">
      <w:pPr>
        <w:pStyle w:val="50"/>
        <w:keepNext w:val="0"/>
        <w:keepLines w:val="0"/>
        <w:pageBreakBefore w:val="0"/>
        <w:widowControl w:val="0"/>
        <w:kinsoku/>
        <w:overflowPunct/>
        <w:topLinePunct w:val="0"/>
        <w:autoSpaceDE/>
        <w:autoSpaceDN/>
        <w:bidi w:val="0"/>
        <w:adjustRightInd/>
        <w:jc w:val="both"/>
        <w:textAlignment w:val="auto"/>
        <w:rPr>
          <w:rFonts w:hint="eastAsia" w:ascii="宋体" w:hAnsi="宋体" w:eastAsia="宋体" w:cs="宋体"/>
          <w:snapToGrid w:val="0"/>
          <w:color w:val="auto"/>
          <w:sz w:val="24"/>
          <w:szCs w:val="24"/>
          <w:highlight w:val="none"/>
          <w:lang w:val="en-US" w:eastAsia="zh-CN"/>
        </w:rPr>
      </w:pPr>
      <w:r>
        <w:rPr>
          <w:rFonts w:hint="eastAsia" w:ascii="宋体" w:hAnsi="宋体" w:eastAsia="宋体" w:cs="宋体"/>
          <w:snapToGrid w:val="0"/>
          <w:color w:val="auto"/>
          <w:sz w:val="24"/>
          <w:szCs w:val="24"/>
          <w:highlight w:val="none"/>
          <w:lang w:val="en-US" w:eastAsia="zh-CN"/>
        </w:rPr>
        <w:t>45.1本项目中如涉及网络关键设备或网络安全专用产品的，应严格执行国家互联网信息办公室、工业和信息化部、公安部、财政部和国家认证认可监督管理委员会 2023年第 1 号《关于调整网络安全专用产品安全管理有关事项的公告》及国家互联网信息办公室、工业和信息化部、公安部和国家认证认可监督管理委员会 2023 年第 2号《关于调整&lt;网络关键设备和网络安全专用产品目录&gt;的公告》等相关文件要求，所投标（响应）设备或产品至少符合以下条件之一：一是已由具备资格的机构安全认证合格或安全检测符合要求；二是已获得《计算机信息系统安全专用产品销售许可证》，且在有效期内。</w:t>
      </w:r>
      <w:r>
        <w:rPr>
          <w:rFonts w:hint="eastAsia" w:cs="宋体"/>
          <w:snapToGrid w:val="0"/>
          <w:color w:val="auto"/>
          <w:sz w:val="24"/>
          <w:szCs w:val="24"/>
          <w:highlight w:val="none"/>
          <w:lang w:val="en-US" w:eastAsia="zh-CN"/>
        </w:rPr>
        <w:t>招标人</w:t>
      </w:r>
      <w:r>
        <w:rPr>
          <w:rFonts w:hint="eastAsia" w:ascii="宋体" w:hAnsi="宋体" w:eastAsia="宋体" w:cs="宋体"/>
          <w:snapToGrid w:val="0"/>
          <w:color w:val="auto"/>
          <w:sz w:val="24"/>
          <w:szCs w:val="24"/>
          <w:highlight w:val="none"/>
          <w:lang w:val="en-US" w:eastAsia="zh-CN"/>
        </w:rPr>
        <w:t>、中标(成交)人双方签订合同及验收环节，应包含上述网络安全要求的条款。</w:t>
      </w:r>
    </w:p>
    <w:p w14:paraId="4B76D63D">
      <w:pPr>
        <w:pStyle w:val="50"/>
        <w:keepNext w:val="0"/>
        <w:keepLines w:val="0"/>
        <w:pageBreakBefore w:val="0"/>
        <w:widowControl w:val="0"/>
        <w:kinsoku/>
        <w:overflowPunct/>
        <w:topLinePunct w:val="0"/>
        <w:autoSpaceDE/>
        <w:autoSpaceDN/>
        <w:bidi w:val="0"/>
        <w:adjustRightInd/>
        <w:jc w:val="both"/>
        <w:textAlignment w:val="auto"/>
        <w:rPr>
          <w:rFonts w:hint="eastAsia" w:ascii="宋体" w:hAnsi="宋体" w:eastAsia="宋体" w:cs="宋体"/>
          <w:snapToGrid w:val="0"/>
          <w:color w:val="auto"/>
          <w:sz w:val="24"/>
          <w:szCs w:val="24"/>
          <w:highlight w:val="none"/>
          <w:lang w:val="en-US" w:eastAsia="zh-CN"/>
        </w:rPr>
      </w:pPr>
      <w:r>
        <w:rPr>
          <w:rFonts w:hint="eastAsia" w:ascii="宋体" w:hAnsi="宋体" w:eastAsia="宋体" w:cs="宋体"/>
          <w:snapToGrid w:val="0"/>
          <w:color w:val="auto"/>
          <w:sz w:val="24"/>
          <w:szCs w:val="24"/>
          <w:highlight w:val="none"/>
          <w:lang w:val="en-US" w:eastAsia="zh-CN"/>
        </w:rPr>
        <w:t>45.2本项目中如涉及国家强制性产品认证证书（CCC 认证证书）、电信设备进网许可证、无线电发射设备核准证等市场准入类资质的，应严格执行国家相关法律法规的要求。</w:t>
      </w:r>
      <w:r>
        <w:rPr>
          <w:rFonts w:hint="eastAsia" w:cs="宋体"/>
          <w:snapToGrid w:val="0"/>
          <w:color w:val="auto"/>
          <w:sz w:val="24"/>
          <w:szCs w:val="24"/>
          <w:highlight w:val="none"/>
          <w:lang w:val="en-US" w:eastAsia="zh-CN"/>
        </w:rPr>
        <w:t>招标人</w:t>
      </w:r>
      <w:r>
        <w:rPr>
          <w:rFonts w:hint="eastAsia" w:ascii="宋体" w:hAnsi="宋体" w:eastAsia="宋体" w:cs="宋体"/>
          <w:snapToGrid w:val="0"/>
          <w:color w:val="auto"/>
          <w:sz w:val="24"/>
          <w:szCs w:val="24"/>
          <w:highlight w:val="none"/>
          <w:lang w:val="en-US" w:eastAsia="zh-CN"/>
        </w:rPr>
        <w:t xml:space="preserve">、中标(成交)人双方签订合同及验收环节，应包含上述市场准入类资质要求的条款。 </w:t>
      </w:r>
    </w:p>
    <w:p w14:paraId="35933B97">
      <w:pPr>
        <w:pStyle w:val="5"/>
        <w:keepNext w:val="0"/>
        <w:keepLines w:val="0"/>
        <w:pageBreakBefore w:val="0"/>
        <w:widowControl w:val="0"/>
        <w:numPr>
          <w:ilvl w:val="0"/>
          <w:numId w:val="0"/>
        </w:numPr>
        <w:kinsoku/>
        <w:wordWrap/>
        <w:overflowPunct/>
        <w:topLinePunct w:val="0"/>
        <w:autoSpaceDE/>
        <w:autoSpaceDN/>
        <w:bidi w:val="0"/>
        <w:adjustRightInd/>
        <w:snapToGrid/>
        <w:spacing w:before="80" w:after="80" w:line="240" w:lineRule="auto"/>
        <w:ind w:left="420" w:leftChars="0" w:hanging="420" w:firstLineChars="0"/>
        <w:jc w:val="both"/>
        <w:textAlignment w:val="auto"/>
        <w:rPr>
          <w:rFonts w:hint="eastAsia" w:ascii="宋体" w:hAnsi="宋体" w:eastAsia="宋体" w:cs="宋体"/>
          <w:b/>
          <w:bCs/>
          <w:color w:val="auto"/>
          <w:kern w:val="2"/>
          <w:sz w:val="24"/>
          <w:szCs w:val="24"/>
          <w:highlight w:val="none"/>
          <w:lang w:val="en-US" w:eastAsia="zh-CN" w:bidi="ar-SA"/>
        </w:rPr>
      </w:pPr>
      <w:bookmarkStart w:id="206" w:name="_Toc5298"/>
      <w:r>
        <w:rPr>
          <w:rFonts w:hint="eastAsia" w:ascii="宋体" w:hAnsi="宋体" w:eastAsia="宋体" w:cs="宋体"/>
          <w:b/>
          <w:bCs/>
          <w:color w:val="auto"/>
          <w:kern w:val="2"/>
          <w:sz w:val="24"/>
          <w:szCs w:val="24"/>
          <w:highlight w:val="none"/>
          <w:lang w:val="en-US" w:eastAsia="zh-CN" w:bidi="ar-SA"/>
        </w:rPr>
        <w:t>46.采购需求标准</w:t>
      </w:r>
      <w:bookmarkEnd w:id="206"/>
      <w:r>
        <w:rPr>
          <w:rFonts w:hint="eastAsia" w:ascii="宋体" w:hAnsi="宋体" w:eastAsia="宋体" w:cs="宋体"/>
          <w:b/>
          <w:bCs/>
          <w:color w:val="auto"/>
          <w:kern w:val="2"/>
          <w:sz w:val="24"/>
          <w:szCs w:val="24"/>
          <w:highlight w:val="none"/>
          <w:lang w:val="en-US" w:eastAsia="zh-CN" w:bidi="ar-SA"/>
        </w:rPr>
        <w:t xml:space="preserve">   </w:t>
      </w:r>
    </w:p>
    <w:p w14:paraId="645E2513">
      <w:pPr>
        <w:pStyle w:val="50"/>
        <w:keepNext w:val="0"/>
        <w:keepLines w:val="0"/>
        <w:pageBreakBefore w:val="0"/>
        <w:widowControl w:val="0"/>
        <w:kinsoku/>
        <w:overflowPunct/>
        <w:topLinePunct w:val="0"/>
        <w:autoSpaceDE/>
        <w:autoSpaceDN/>
        <w:bidi w:val="0"/>
        <w:adjustRightInd/>
        <w:jc w:val="both"/>
        <w:textAlignment w:val="auto"/>
        <w:rPr>
          <w:rFonts w:hint="eastAsia" w:ascii="宋体" w:hAnsi="宋体" w:eastAsia="宋体" w:cs="宋体"/>
          <w:snapToGrid w:val="0"/>
          <w:color w:val="auto"/>
          <w:sz w:val="24"/>
          <w:szCs w:val="24"/>
          <w:highlight w:val="none"/>
          <w:lang w:val="en-US" w:eastAsia="zh-CN"/>
        </w:rPr>
      </w:pPr>
      <w:r>
        <w:rPr>
          <w:rFonts w:hint="eastAsia" w:ascii="宋体" w:hAnsi="宋体" w:eastAsia="宋体" w:cs="宋体"/>
          <w:snapToGrid w:val="0"/>
          <w:color w:val="auto"/>
          <w:sz w:val="24"/>
          <w:szCs w:val="24"/>
          <w:highlight w:val="none"/>
          <w:lang w:val="en-US" w:eastAsia="zh-CN"/>
        </w:rPr>
        <w:t xml:space="preserve">46.1 商品包装、快递包装政府采购需求标准（试行） </w:t>
      </w:r>
    </w:p>
    <w:p w14:paraId="31D208E2">
      <w:pPr>
        <w:pStyle w:val="50"/>
        <w:keepNext w:val="0"/>
        <w:keepLines w:val="0"/>
        <w:pageBreakBefore w:val="0"/>
        <w:widowControl w:val="0"/>
        <w:kinsoku/>
        <w:overflowPunct/>
        <w:topLinePunct w:val="0"/>
        <w:autoSpaceDE/>
        <w:autoSpaceDN/>
        <w:bidi w:val="0"/>
        <w:adjustRightInd/>
        <w:jc w:val="both"/>
        <w:textAlignment w:val="auto"/>
        <w:rPr>
          <w:rFonts w:hint="eastAsia" w:ascii="宋体" w:hAnsi="宋体" w:eastAsia="宋体" w:cs="宋体"/>
          <w:snapToGrid w:val="0"/>
          <w:color w:val="auto"/>
          <w:sz w:val="24"/>
          <w:szCs w:val="24"/>
          <w:highlight w:val="none"/>
          <w:lang w:val="en-US" w:eastAsia="zh-CN"/>
        </w:rPr>
      </w:pPr>
      <w:r>
        <w:rPr>
          <w:rFonts w:hint="eastAsia" w:ascii="宋体" w:hAnsi="宋体" w:eastAsia="宋体" w:cs="宋体"/>
          <w:snapToGrid w:val="0"/>
          <w:color w:val="auto"/>
          <w:sz w:val="24"/>
          <w:szCs w:val="24"/>
          <w:highlight w:val="none"/>
          <w:lang w:val="en-US" w:eastAsia="zh-CN"/>
        </w:rPr>
        <w:t xml:space="preserve">为助力打好污染防治攻坚战，推广使用绿色包装，根据财政部关于印发《商品包装政府采购需求标准（试行）》、《快递包装政府采购需求标准（试行）》的通知（财办库〔2020〕123 号），本项目如涉及商品包装和快递包装的，则其具体要求见第三章《采购需求》。 </w:t>
      </w:r>
    </w:p>
    <w:p w14:paraId="17B8A3F4">
      <w:pPr>
        <w:pStyle w:val="50"/>
        <w:keepNext w:val="0"/>
        <w:keepLines w:val="0"/>
        <w:pageBreakBefore w:val="0"/>
        <w:widowControl w:val="0"/>
        <w:kinsoku/>
        <w:overflowPunct/>
        <w:topLinePunct w:val="0"/>
        <w:autoSpaceDE/>
        <w:autoSpaceDN/>
        <w:bidi w:val="0"/>
        <w:adjustRightInd/>
        <w:jc w:val="both"/>
        <w:textAlignment w:val="auto"/>
        <w:rPr>
          <w:rFonts w:hint="eastAsia" w:ascii="宋体" w:hAnsi="宋体" w:eastAsia="宋体" w:cs="宋体"/>
          <w:snapToGrid w:val="0"/>
          <w:color w:val="auto"/>
          <w:sz w:val="24"/>
          <w:szCs w:val="24"/>
          <w:highlight w:val="none"/>
          <w:lang w:val="en-US" w:eastAsia="zh-CN"/>
        </w:rPr>
      </w:pPr>
      <w:r>
        <w:rPr>
          <w:rFonts w:hint="eastAsia" w:ascii="宋体" w:hAnsi="宋体" w:eastAsia="宋体" w:cs="宋体"/>
          <w:snapToGrid w:val="0"/>
          <w:color w:val="auto"/>
          <w:sz w:val="24"/>
          <w:szCs w:val="24"/>
          <w:highlight w:val="none"/>
          <w:lang w:val="en-US" w:eastAsia="zh-CN"/>
        </w:rPr>
        <w:t xml:space="preserve">46.2 绿色数据中心政府采购需求标准（试行） </w:t>
      </w:r>
    </w:p>
    <w:p w14:paraId="30AE8BB8">
      <w:pPr>
        <w:pStyle w:val="50"/>
        <w:keepNext w:val="0"/>
        <w:keepLines w:val="0"/>
        <w:pageBreakBefore w:val="0"/>
        <w:widowControl w:val="0"/>
        <w:kinsoku/>
        <w:overflowPunct/>
        <w:topLinePunct w:val="0"/>
        <w:autoSpaceDE/>
        <w:autoSpaceDN/>
        <w:bidi w:val="0"/>
        <w:adjustRightInd/>
        <w:jc w:val="both"/>
        <w:textAlignment w:val="auto"/>
        <w:rPr>
          <w:rFonts w:hint="eastAsia" w:ascii="宋体" w:hAnsi="宋体" w:eastAsia="宋体" w:cs="宋体"/>
          <w:snapToGrid w:val="0"/>
          <w:color w:val="auto"/>
          <w:sz w:val="24"/>
          <w:szCs w:val="24"/>
          <w:highlight w:val="none"/>
          <w:lang w:val="en-US" w:eastAsia="zh-CN"/>
        </w:rPr>
      </w:pPr>
      <w:r>
        <w:rPr>
          <w:rFonts w:hint="eastAsia" w:ascii="宋体" w:hAnsi="宋体" w:eastAsia="宋体" w:cs="宋体"/>
          <w:snapToGrid w:val="0"/>
          <w:color w:val="auto"/>
          <w:sz w:val="24"/>
          <w:szCs w:val="24"/>
          <w:highlight w:val="none"/>
          <w:lang w:val="en-US" w:eastAsia="zh-CN"/>
        </w:rPr>
        <w:t xml:space="preserve">为加快数据中心绿色转型，根据财政部 生态环境部 工业和信息化部关于印发《绿色数据中心政府采购需求标准（试行）》的通知（财库〔2023〕7 号），本项目如涉及绿色数据中心，则具体要求见第三章《采购需求》。 </w:t>
      </w:r>
    </w:p>
    <w:p w14:paraId="1B434599">
      <w:pPr>
        <w:pStyle w:val="50"/>
        <w:keepNext w:val="0"/>
        <w:keepLines w:val="0"/>
        <w:pageBreakBefore w:val="0"/>
        <w:widowControl w:val="0"/>
        <w:kinsoku/>
        <w:overflowPunct/>
        <w:topLinePunct w:val="0"/>
        <w:autoSpaceDE/>
        <w:autoSpaceDN/>
        <w:bidi w:val="0"/>
        <w:adjustRightInd/>
        <w:jc w:val="both"/>
        <w:textAlignment w:val="auto"/>
        <w:rPr>
          <w:rFonts w:hint="eastAsia" w:ascii="宋体" w:hAnsi="宋体" w:eastAsia="宋体" w:cs="宋体"/>
          <w:snapToGrid w:val="0"/>
          <w:color w:val="auto"/>
          <w:sz w:val="24"/>
          <w:szCs w:val="24"/>
          <w:highlight w:val="none"/>
          <w:lang w:val="en-US" w:eastAsia="zh-CN"/>
        </w:rPr>
      </w:pPr>
      <w:r>
        <w:rPr>
          <w:rFonts w:hint="eastAsia" w:ascii="宋体" w:hAnsi="宋体" w:eastAsia="宋体" w:cs="宋体"/>
          <w:snapToGrid w:val="0"/>
          <w:color w:val="auto"/>
          <w:sz w:val="24"/>
          <w:szCs w:val="24"/>
          <w:highlight w:val="none"/>
          <w:lang w:val="en-US" w:eastAsia="zh-CN"/>
        </w:rPr>
        <w:t>46.3台式计算机政府采购需求标准</w:t>
      </w:r>
    </w:p>
    <w:p w14:paraId="43FE0149">
      <w:pPr>
        <w:pStyle w:val="50"/>
        <w:keepNext w:val="0"/>
        <w:keepLines w:val="0"/>
        <w:pageBreakBefore w:val="0"/>
        <w:widowControl w:val="0"/>
        <w:kinsoku/>
        <w:overflowPunct/>
        <w:topLinePunct w:val="0"/>
        <w:autoSpaceDE/>
        <w:autoSpaceDN/>
        <w:bidi w:val="0"/>
        <w:adjustRightInd/>
        <w:jc w:val="both"/>
        <w:textAlignment w:val="auto"/>
        <w:rPr>
          <w:rFonts w:hint="eastAsia" w:ascii="宋体" w:hAnsi="宋体" w:eastAsia="宋体" w:cs="宋体"/>
          <w:snapToGrid w:val="0"/>
          <w:color w:val="auto"/>
          <w:sz w:val="24"/>
          <w:szCs w:val="24"/>
          <w:highlight w:val="none"/>
          <w:lang w:val="en-US" w:eastAsia="zh-CN"/>
        </w:rPr>
      </w:pPr>
      <w:r>
        <w:rPr>
          <w:rFonts w:hint="eastAsia" w:ascii="宋体" w:hAnsi="宋体" w:eastAsia="宋体" w:cs="宋体"/>
          <w:snapToGrid w:val="0"/>
          <w:color w:val="auto"/>
          <w:sz w:val="24"/>
          <w:szCs w:val="24"/>
          <w:highlight w:val="none"/>
          <w:lang w:val="en-US" w:eastAsia="zh-CN"/>
        </w:rPr>
        <w:t>为提高台式计算机政府采购需求管理的科学化、规范化水平，进一步落实政府采购公平竞争原则，优化营商环境，营造良好的产业生态，财政部 工业和信息化部关于印发《台式计算机政府采购需求标准（2023年版）》的通知（财库〔2023〕29号），本项目如涉及台式计算机采购，则具体要求见第三章《采购需求》。</w:t>
      </w:r>
    </w:p>
    <w:p w14:paraId="599A5253">
      <w:pPr>
        <w:pStyle w:val="50"/>
        <w:keepNext w:val="0"/>
        <w:keepLines w:val="0"/>
        <w:pageBreakBefore w:val="0"/>
        <w:widowControl w:val="0"/>
        <w:kinsoku/>
        <w:overflowPunct/>
        <w:topLinePunct w:val="0"/>
        <w:autoSpaceDE/>
        <w:autoSpaceDN/>
        <w:bidi w:val="0"/>
        <w:adjustRightInd/>
        <w:jc w:val="both"/>
        <w:textAlignment w:val="auto"/>
        <w:rPr>
          <w:rFonts w:hint="eastAsia" w:ascii="宋体" w:hAnsi="宋体" w:eastAsia="宋体" w:cs="宋体"/>
          <w:snapToGrid w:val="0"/>
          <w:color w:val="auto"/>
          <w:sz w:val="24"/>
          <w:szCs w:val="24"/>
          <w:highlight w:val="none"/>
          <w:lang w:val="en-US" w:eastAsia="zh-CN"/>
        </w:rPr>
      </w:pPr>
      <w:r>
        <w:rPr>
          <w:rFonts w:hint="eastAsia" w:ascii="宋体" w:hAnsi="宋体" w:eastAsia="宋体" w:cs="宋体"/>
          <w:snapToGrid w:val="0"/>
          <w:color w:val="auto"/>
          <w:sz w:val="24"/>
          <w:szCs w:val="24"/>
          <w:highlight w:val="none"/>
          <w:lang w:val="en-US" w:eastAsia="zh-CN"/>
        </w:rPr>
        <w:t>46.4便携式计算机政府采购需求标准</w:t>
      </w:r>
    </w:p>
    <w:p w14:paraId="7C293A30">
      <w:pPr>
        <w:pStyle w:val="50"/>
        <w:keepNext w:val="0"/>
        <w:keepLines w:val="0"/>
        <w:pageBreakBefore w:val="0"/>
        <w:widowControl w:val="0"/>
        <w:kinsoku/>
        <w:overflowPunct/>
        <w:topLinePunct w:val="0"/>
        <w:autoSpaceDE/>
        <w:autoSpaceDN/>
        <w:bidi w:val="0"/>
        <w:adjustRightInd/>
        <w:jc w:val="both"/>
        <w:textAlignment w:val="auto"/>
        <w:rPr>
          <w:rFonts w:hint="eastAsia" w:ascii="宋体" w:hAnsi="宋体" w:eastAsia="宋体" w:cs="宋体"/>
          <w:snapToGrid w:val="0"/>
          <w:color w:val="auto"/>
          <w:sz w:val="24"/>
          <w:szCs w:val="24"/>
          <w:highlight w:val="none"/>
          <w:lang w:val="en-US" w:eastAsia="zh-CN"/>
        </w:rPr>
      </w:pPr>
      <w:r>
        <w:rPr>
          <w:rFonts w:hint="eastAsia" w:ascii="宋体" w:hAnsi="宋体" w:eastAsia="宋体" w:cs="宋体"/>
          <w:snapToGrid w:val="0"/>
          <w:color w:val="auto"/>
          <w:sz w:val="24"/>
          <w:szCs w:val="24"/>
          <w:highlight w:val="none"/>
          <w:lang w:val="en-US" w:eastAsia="zh-CN"/>
        </w:rPr>
        <w:t>为提高便携式计算机政府采购需求管理的科学化、规范化水平，进一步落实政府采购公平竞争原则，优化营商环境，营造良好的产业生态，财政部 工业和信息化部关于印发《便携式计算机政府采购需求标准（2023年版）》的通知（财库〔2023〕30号），本项目如涉及便携式计算机采购，则具体要求见第三章《采购需求》。</w:t>
      </w:r>
    </w:p>
    <w:p w14:paraId="496CFDAC">
      <w:pPr>
        <w:pStyle w:val="50"/>
        <w:keepNext w:val="0"/>
        <w:keepLines w:val="0"/>
        <w:pageBreakBefore w:val="0"/>
        <w:widowControl w:val="0"/>
        <w:kinsoku/>
        <w:overflowPunct/>
        <w:topLinePunct w:val="0"/>
        <w:autoSpaceDE/>
        <w:autoSpaceDN/>
        <w:bidi w:val="0"/>
        <w:adjustRightInd/>
        <w:jc w:val="both"/>
        <w:textAlignment w:val="auto"/>
        <w:rPr>
          <w:rFonts w:hint="eastAsia" w:ascii="宋体" w:hAnsi="宋体" w:eastAsia="宋体" w:cs="宋体"/>
          <w:snapToGrid w:val="0"/>
          <w:color w:val="auto"/>
          <w:sz w:val="24"/>
          <w:szCs w:val="24"/>
          <w:highlight w:val="none"/>
          <w:lang w:val="en-US" w:eastAsia="zh-CN"/>
        </w:rPr>
      </w:pPr>
      <w:r>
        <w:rPr>
          <w:rFonts w:hint="eastAsia" w:ascii="宋体" w:hAnsi="宋体" w:eastAsia="宋体" w:cs="宋体"/>
          <w:snapToGrid w:val="0"/>
          <w:color w:val="auto"/>
          <w:sz w:val="24"/>
          <w:szCs w:val="24"/>
          <w:highlight w:val="none"/>
          <w:lang w:val="en-US" w:eastAsia="zh-CN"/>
        </w:rPr>
        <w:t>46.5一体式计算机政府采购需求标准</w:t>
      </w:r>
    </w:p>
    <w:p w14:paraId="05A1DB74">
      <w:pPr>
        <w:pStyle w:val="50"/>
        <w:keepNext w:val="0"/>
        <w:keepLines w:val="0"/>
        <w:pageBreakBefore w:val="0"/>
        <w:widowControl w:val="0"/>
        <w:kinsoku/>
        <w:overflowPunct/>
        <w:topLinePunct w:val="0"/>
        <w:autoSpaceDE/>
        <w:autoSpaceDN/>
        <w:bidi w:val="0"/>
        <w:adjustRightInd/>
        <w:jc w:val="both"/>
        <w:textAlignment w:val="auto"/>
        <w:rPr>
          <w:rFonts w:hint="eastAsia" w:ascii="宋体" w:hAnsi="宋体" w:eastAsia="宋体" w:cs="宋体"/>
          <w:snapToGrid w:val="0"/>
          <w:color w:val="auto"/>
          <w:sz w:val="24"/>
          <w:szCs w:val="24"/>
          <w:highlight w:val="none"/>
          <w:lang w:val="en-US" w:eastAsia="zh-CN"/>
        </w:rPr>
      </w:pPr>
      <w:r>
        <w:rPr>
          <w:rFonts w:hint="eastAsia" w:ascii="宋体" w:hAnsi="宋体" w:eastAsia="宋体" w:cs="宋体"/>
          <w:snapToGrid w:val="0"/>
          <w:color w:val="auto"/>
          <w:sz w:val="24"/>
          <w:szCs w:val="24"/>
          <w:highlight w:val="none"/>
          <w:lang w:val="en-US" w:eastAsia="zh-CN"/>
        </w:rPr>
        <w:t>为提高一体式计算机政府采购需求管理的科学化、规范化水平，进一步落实政府采购公平竞争原则，优化营商环境，营造良好的产业生态，财政部 工业和信息化部关于印发《一体式计算机政府采购需求标准（2023年版）》的通知（财库〔2023〕31号），本项目如涉及一体式计算机采购，则具体要求见第三章《采购需求》。</w:t>
      </w:r>
    </w:p>
    <w:p w14:paraId="1FDD1DA7">
      <w:pPr>
        <w:pStyle w:val="50"/>
        <w:keepNext w:val="0"/>
        <w:keepLines w:val="0"/>
        <w:pageBreakBefore w:val="0"/>
        <w:widowControl w:val="0"/>
        <w:kinsoku/>
        <w:overflowPunct/>
        <w:topLinePunct w:val="0"/>
        <w:autoSpaceDE/>
        <w:autoSpaceDN/>
        <w:bidi w:val="0"/>
        <w:adjustRightInd/>
        <w:jc w:val="both"/>
        <w:textAlignment w:val="auto"/>
        <w:rPr>
          <w:rFonts w:hint="eastAsia" w:ascii="宋体" w:hAnsi="宋体" w:eastAsia="宋体" w:cs="宋体"/>
          <w:snapToGrid w:val="0"/>
          <w:color w:val="auto"/>
          <w:sz w:val="24"/>
          <w:szCs w:val="24"/>
          <w:highlight w:val="none"/>
          <w:lang w:val="en-US" w:eastAsia="zh-CN"/>
        </w:rPr>
      </w:pPr>
      <w:r>
        <w:rPr>
          <w:rFonts w:hint="eastAsia" w:ascii="宋体" w:hAnsi="宋体" w:eastAsia="宋体" w:cs="宋体"/>
          <w:snapToGrid w:val="0"/>
          <w:color w:val="auto"/>
          <w:sz w:val="24"/>
          <w:szCs w:val="24"/>
          <w:highlight w:val="none"/>
          <w:lang w:val="en-US" w:eastAsia="zh-CN"/>
        </w:rPr>
        <w:t>46.6工作站政府采购需求标准</w:t>
      </w:r>
    </w:p>
    <w:p w14:paraId="0CA5B531">
      <w:pPr>
        <w:pStyle w:val="50"/>
        <w:keepNext w:val="0"/>
        <w:keepLines w:val="0"/>
        <w:pageBreakBefore w:val="0"/>
        <w:widowControl w:val="0"/>
        <w:kinsoku/>
        <w:overflowPunct/>
        <w:topLinePunct w:val="0"/>
        <w:autoSpaceDE/>
        <w:autoSpaceDN/>
        <w:bidi w:val="0"/>
        <w:adjustRightInd/>
        <w:jc w:val="both"/>
        <w:textAlignment w:val="auto"/>
        <w:rPr>
          <w:rFonts w:hint="eastAsia" w:ascii="宋体" w:hAnsi="宋体" w:eastAsia="宋体" w:cs="宋体"/>
          <w:snapToGrid w:val="0"/>
          <w:color w:val="auto"/>
          <w:sz w:val="24"/>
          <w:szCs w:val="24"/>
          <w:highlight w:val="none"/>
          <w:lang w:val="en-US" w:eastAsia="zh-CN"/>
        </w:rPr>
      </w:pPr>
      <w:r>
        <w:rPr>
          <w:rFonts w:hint="eastAsia" w:ascii="宋体" w:hAnsi="宋体" w:eastAsia="宋体" w:cs="宋体"/>
          <w:snapToGrid w:val="0"/>
          <w:color w:val="auto"/>
          <w:sz w:val="24"/>
          <w:szCs w:val="24"/>
          <w:highlight w:val="none"/>
          <w:lang w:val="en-US" w:eastAsia="zh-CN"/>
        </w:rPr>
        <w:t>为提高工作站政府采购需求管理的科学化、规范化水平，进一步落实政府采购公平竞争原则，优化营商环境，营造良好的产业生态，财政部 工业和信息化部关于印发《工作站政府采购需求标准（2023年版）》的通知（财库〔2023〕32号），本项目如涉及工作站采购，则具体要求见第三章《采购需求》。</w:t>
      </w:r>
    </w:p>
    <w:p w14:paraId="3A768B8B">
      <w:pPr>
        <w:pStyle w:val="50"/>
        <w:keepNext w:val="0"/>
        <w:keepLines w:val="0"/>
        <w:pageBreakBefore w:val="0"/>
        <w:widowControl w:val="0"/>
        <w:kinsoku/>
        <w:overflowPunct/>
        <w:topLinePunct w:val="0"/>
        <w:autoSpaceDE/>
        <w:autoSpaceDN/>
        <w:bidi w:val="0"/>
        <w:adjustRightInd/>
        <w:jc w:val="both"/>
        <w:textAlignment w:val="auto"/>
        <w:rPr>
          <w:rFonts w:hint="eastAsia" w:ascii="宋体" w:hAnsi="宋体" w:eastAsia="宋体" w:cs="宋体"/>
          <w:snapToGrid w:val="0"/>
          <w:color w:val="auto"/>
          <w:sz w:val="24"/>
          <w:szCs w:val="24"/>
          <w:highlight w:val="none"/>
          <w:lang w:val="en-US" w:eastAsia="zh-CN"/>
        </w:rPr>
      </w:pPr>
      <w:r>
        <w:rPr>
          <w:rFonts w:hint="eastAsia" w:ascii="宋体" w:hAnsi="宋体" w:eastAsia="宋体" w:cs="宋体"/>
          <w:snapToGrid w:val="0"/>
          <w:color w:val="auto"/>
          <w:sz w:val="24"/>
          <w:szCs w:val="24"/>
          <w:highlight w:val="none"/>
          <w:lang w:val="en-US" w:eastAsia="zh-CN"/>
        </w:rPr>
        <w:t>46.7通用服务器政府采购需求标准</w:t>
      </w:r>
    </w:p>
    <w:p w14:paraId="79D000CB">
      <w:pPr>
        <w:pStyle w:val="50"/>
        <w:keepNext w:val="0"/>
        <w:keepLines w:val="0"/>
        <w:pageBreakBefore w:val="0"/>
        <w:widowControl w:val="0"/>
        <w:kinsoku/>
        <w:overflowPunct/>
        <w:topLinePunct w:val="0"/>
        <w:autoSpaceDE/>
        <w:autoSpaceDN/>
        <w:bidi w:val="0"/>
        <w:adjustRightInd/>
        <w:jc w:val="both"/>
        <w:textAlignment w:val="auto"/>
        <w:rPr>
          <w:rFonts w:hint="eastAsia" w:ascii="宋体" w:hAnsi="宋体" w:eastAsia="宋体" w:cs="宋体"/>
          <w:snapToGrid w:val="0"/>
          <w:color w:val="auto"/>
          <w:sz w:val="24"/>
          <w:szCs w:val="24"/>
          <w:highlight w:val="none"/>
          <w:lang w:val="en-US" w:eastAsia="zh-CN"/>
        </w:rPr>
      </w:pPr>
      <w:r>
        <w:rPr>
          <w:rFonts w:hint="eastAsia" w:ascii="宋体" w:hAnsi="宋体" w:eastAsia="宋体" w:cs="宋体"/>
          <w:snapToGrid w:val="0"/>
          <w:color w:val="auto"/>
          <w:sz w:val="24"/>
          <w:szCs w:val="24"/>
          <w:highlight w:val="none"/>
          <w:lang w:val="en-US" w:eastAsia="zh-CN"/>
        </w:rPr>
        <w:t>为提高通用服务器政府采购需求管理的科学化、规范化水平，进一步落实政府采购公平竞争原则，优化营商环境，营造良好的产业生态，财政部 工业和信息化部关于印发《通用服务器政府采购需求标准（2023年版）》的通知（财库〔2023〕33号），本项目如涉及通用服务器采购，则具体要求见第三章《采购需求》。</w:t>
      </w:r>
    </w:p>
    <w:p w14:paraId="516E04C7">
      <w:pPr>
        <w:pStyle w:val="50"/>
        <w:keepNext w:val="0"/>
        <w:keepLines w:val="0"/>
        <w:pageBreakBefore w:val="0"/>
        <w:widowControl w:val="0"/>
        <w:kinsoku/>
        <w:overflowPunct/>
        <w:topLinePunct w:val="0"/>
        <w:autoSpaceDE/>
        <w:autoSpaceDN/>
        <w:bidi w:val="0"/>
        <w:adjustRightInd/>
        <w:jc w:val="both"/>
        <w:textAlignment w:val="auto"/>
        <w:rPr>
          <w:rFonts w:hint="eastAsia" w:ascii="宋体" w:hAnsi="宋体" w:eastAsia="宋体" w:cs="宋体"/>
          <w:snapToGrid w:val="0"/>
          <w:color w:val="auto"/>
          <w:sz w:val="24"/>
          <w:szCs w:val="24"/>
          <w:highlight w:val="none"/>
          <w:lang w:val="en-US" w:eastAsia="zh-CN"/>
        </w:rPr>
      </w:pPr>
      <w:r>
        <w:rPr>
          <w:rFonts w:hint="eastAsia" w:ascii="宋体" w:hAnsi="宋体" w:eastAsia="宋体" w:cs="宋体"/>
          <w:snapToGrid w:val="0"/>
          <w:color w:val="auto"/>
          <w:sz w:val="24"/>
          <w:szCs w:val="24"/>
          <w:highlight w:val="none"/>
          <w:lang w:val="en-US" w:eastAsia="zh-CN"/>
        </w:rPr>
        <w:t>46.8操作系统政府采购需求标准</w:t>
      </w:r>
    </w:p>
    <w:p w14:paraId="26855D88">
      <w:pPr>
        <w:pStyle w:val="50"/>
        <w:keepNext w:val="0"/>
        <w:keepLines w:val="0"/>
        <w:pageBreakBefore w:val="0"/>
        <w:widowControl w:val="0"/>
        <w:kinsoku/>
        <w:overflowPunct/>
        <w:topLinePunct w:val="0"/>
        <w:autoSpaceDE/>
        <w:autoSpaceDN/>
        <w:bidi w:val="0"/>
        <w:adjustRightInd/>
        <w:jc w:val="both"/>
        <w:textAlignment w:val="auto"/>
        <w:rPr>
          <w:rFonts w:hint="eastAsia" w:ascii="宋体" w:hAnsi="宋体" w:eastAsia="宋体" w:cs="宋体"/>
          <w:snapToGrid w:val="0"/>
          <w:color w:val="auto"/>
          <w:sz w:val="24"/>
          <w:szCs w:val="24"/>
          <w:highlight w:val="none"/>
          <w:lang w:val="en-US" w:eastAsia="zh-CN"/>
        </w:rPr>
      </w:pPr>
      <w:r>
        <w:rPr>
          <w:rFonts w:hint="eastAsia" w:ascii="宋体" w:hAnsi="宋体" w:eastAsia="宋体" w:cs="宋体"/>
          <w:snapToGrid w:val="0"/>
          <w:color w:val="auto"/>
          <w:sz w:val="24"/>
          <w:szCs w:val="24"/>
          <w:highlight w:val="none"/>
          <w:lang w:val="en-US" w:eastAsia="zh-CN"/>
        </w:rPr>
        <w:t>为提高操作系统政府采购需求管理的科学化、规范化水平，进一步落实政府采购公平竞争原则，优化营商环境，营造良好的产业生态，财政部 工业和信息化部关于印发《操作系统政府采购需求标准（2023年版）》的通知（财库〔2023〕34号），本项目如涉及操作系统采购，则具体要求见第三章《采购需求》。</w:t>
      </w:r>
    </w:p>
    <w:p w14:paraId="07C5EB3B">
      <w:pPr>
        <w:pStyle w:val="50"/>
        <w:keepNext w:val="0"/>
        <w:keepLines w:val="0"/>
        <w:pageBreakBefore w:val="0"/>
        <w:widowControl w:val="0"/>
        <w:kinsoku/>
        <w:overflowPunct/>
        <w:topLinePunct w:val="0"/>
        <w:autoSpaceDE/>
        <w:autoSpaceDN/>
        <w:bidi w:val="0"/>
        <w:adjustRightInd/>
        <w:jc w:val="both"/>
        <w:textAlignment w:val="auto"/>
        <w:rPr>
          <w:rFonts w:hint="eastAsia" w:ascii="宋体" w:hAnsi="宋体" w:eastAsia="宋体" w:cs="宋体"/>
          <w:snapToGrid w:val="0"/>
          <w:color w:val="auto"/>
          <w:sz w:val="24"/>
          <w:szCs w:val="24"/>
          <w:highlight w:val="none"/>
          <w:lang w:val="en-US" w:eastAsia="zh-CN"/>
        </w:rPr>
      </w:pPr>
      <w:r>
        <w:rPr>
          <w:rFonts w:hint="eastAsia" w:ascii="宋体" w:hAnsi="宋体" w:eastAsia="宋体" w:cs="宋体"/>
          <w:snapToGrid w:val="0"/>
          <w:color w:val="auto"/>
          <w:sz w:val="24"/>
          <w:szCs w:val="24"/>
          <w:highlight w:val="none"/>
          <w:lang w:val="en-US" w:eastAsia="zh-CN"/>
        </w:rPr>
        <w:t>46.9数据库政府采购需求标准</w:t>
      </w:r>
    </w:p>
    <w:p w14:paraId="0D3D1BAF">
      <w:pPr>
        <w:pStyle w:val="50"/>
        <w:keepNext w:val="0"/>
        <w:keepLines w:val="0"/>
        <w:pageBreakBefore w:val="0"/>
        <w:widowControl w:val="0"/>
        <w:kinsoku/>
        <w:overflowPunct/>
        <w:topLinePunct w:val="0"/>
        <w:autoSpaceDE/>
        <w:autoSpaceDN/>
        <w:bidi w:val="0"/>
        <w:adjustRightInd/>
        <w:jc w:val="both"/>
        <w:textAlignment w:val="auto"/>
        <w:rPr>
          <w:rFonts w:hint="eastAsia" w:ascii="宋体" w:hAnsi="宋体" w:eastAsia="宋体" w:cs="宋体"/>
          <w:snapToGrid w:val="0"/>
          <w:color w:val="auto"/>
          <w:sz w:val="24"/>
          <w:szCs w:val="24"/>
          <w:highlight w:val="none"/>
          <w:lang w:val="en-US" w:eastAsia="zh-CN"/>
        </w:rPr>
      </w:pPr>
      <w:r>
        <w:rPr>
          <w:rFonts w:hint="eastAsia" w:ascii="宋体" w:hAnsi="宋体" w:eastAsia="宋体" w:cs="宋体"/>
          <w:snapToGrid w:val="0"/>
          <w:color w:val="auto"/>
          <w:sz w:val="24"/>
          <w:szCs w:val="24"/>
          <w:highlight w:val="none"/>
          <w:lang w:val="en-US" w:eastAsia="zh-CN"/>
        </w:rPr>
        <w:t>为提高数据库政府采购需求管理的科学化、规范化水平，进一步落实政府采购公平竞争原则，优化营商环境，营造良好的产业生态，财政部 工业和信息化部关于印发《数据库政府采购需求标准（2023年版）》的通知（财库〔2023〕35号），本项目如涉及数据库采购，则具体要求见第三章《采购需求》。</w:t>
      </w:r>
    </w:p>
    <w:p w14:paraId="67369492">
      <w:pPr>
        <w:pStyle w:val="50"/>
        <w:keepNext w:val="0"/>
        <w:keepLines w:val="0"/>
        <w:pageBreakBefore w:val="0"/>
        <w:widowControl w:val="0"/>
        <w:kinsoku/>
        <w:overflowPunct/>
        <w:topLinePunct w:val="0"/>
        <w:autoSpaceDE/>
        <w:autoSpaceDN/>
        <w:bidi w:val="0"/>
        <w:adjustRightInd/>
        <w:jc w:val="both"/>
        <w:textAlignment w:val="auto"/>
        <w:rPr>
          <w:rFonts w:hint="eastAsia" w:ascii="宋体" w:hAnsi="宋体" w:eastAsia="宋体" w:cs="宋体"/>
          <w:snapToGrid w:val="0"/>
          <w:color w:val="auto"/>
          <w:sz w:val="24"/>
          <w:szCs w:val="24"/>
          <w:highlight w:val="none"/>
          <w:lang w:val="en-US" w:eastAsia="zh-CN"/>
        </w:rPr>
      </w:pPr>
      <w:r>
        <w:rPr>
          <w:rFonts w:hint="eastAsia" w:ascii="宋体" w:hAnsi="宋体" w:eastAsia="宋体" w:cs="宋体"/>
          <w:snapToGrid w:val="0"/>
          <w:color w:val="auto"/>
          <w:sz w:val="24"/>
          <w:szCs w:val="24"/>
          <w:highlight w:val="none"/>
          <w:lang w:val="en-US" w:eastAsia="zh-CN"/>
        </w:rPr>
        <w:t>46.10物业管理服务政府采购需求标准（办公场所类）（试行）</w:t>
      </w:r>
    </w:p>
    <w:p w14:paraId="4B5E06D7">
      <w:pPr>
        <w:pStyle w:val="50"/>
        <w:keepNext w:val="0"/>
        <w:keepLines w:val="0"/>
        <w:pageBreakBefore w:val="0"/>
        <w:widowControl w:val="0"/>
        <w:kinsoku/>
        <w:overflowPunct/>
        <w:topLinePunct w:val="0"/>
        <w:autoSpaceDE/>
        <w:autoSpaceDN/>
        <w:bidi w:val="0"/>
        <w:adjustRightInd/>
        <w:jc w:val="both"/>
        <w:textAlignment w:val="auto"/>
        <w:rPr>
          <w:rFonts w:hint="eastAsia" w:ascii="宋体" w:hAnsi="宋体" w:eastAsia="宋体" w:cs="宋体"/>
          <w:snapToGrid w:val="0"/>
          <w:color w:val="auto"/>
          <w:sz w:val="24"/>
          <w:szCs w:val="24"/>
          <w:highlight w:val="none"/>
          <w:lang w:val="en-US" w:eastAsia="zh-CN"/>
        </w:rPr>
      </w:pPr>
      <w:r>
        <w:rPr>
          <w:rFonts w:hint="eastAsia" w:ascii="宋体" w:hAnsi="宋体" w:eastAsia="宋体" w:cs="宋体"/>
          <w:snapToGrid w:val="0"/>
          <w:color w:val="auto"/>
          <w:sz w:val="24"/>
          <w:szCs w:val="24"/>
          <w:highlight w:val="none"/>
          <w:lang w:val="en-US" w:eastAsia="zh-CN"/>
        </w:rPr>
        <w:t>为贯彻落实中央全面深化改革委员会审议通过的《深化政府采购制度改革方案》有关要求，推动政府采购需求标准建设，财政部办公厅关于印发《物业管理服务政府采购需求标准（办公场所类）（试行）》的通知（财办库〔2024〕113号），本项目如涉及物业管理服务采购，则具体要求见第三章《采购需求》。</w:t>
      </w:r>
    </w:p>
    <w:p w14:paraId="48391E26">
      <w:pPr>
        <w:pStyle w:val="4"/>
        <w:keepNext w:val="0"/>
        <w:keepLines w:val="0"/>
        <w:pageBreakBefore w:val="0"/>
        <w:widowControl w:val="0"/>
        <w:numPr>
          <w:ilvl w:val="0"/>
          <w:numId w:val="0"/>
        </w:numPr>
        <w:kinsoku/>
        <w:wordWrap/>
        <w:overflowPunct/>
        <w:topLinePunct w:val="0"/>
        <w:autoSpaceDE/>
        <w:autoSpaceDN/>
        <w:bidi w:val="0"/>
        <w:adjustRightInd/>
        <w:snapToGrid/>
        <w:spacing w:before="120" w:after="120" w:line="240" w:lineRule="auto"/>
        <w:ind w:left="420" w:leftChars="0" w:hanging="420" w:firstLineChars="0"/>
        <w:jc w:val="both"/>
        <w:textAlignment w:val="auto"/>
        <w:rPr>
          <w:rFonts w:hint="eastAsia" w:ascii="宋体" w:hAnsi="宋体" w:eastAsia="宋体" w:cs="宋体"/>
          <w:b/>
          <w:bCs/>
          <w:color w:val="auto"/>
          <w:kern w:val="2"/>
          <w:sz w:val="24"/>
          <w:szCs w:val="24"/>
          <w:highlight w:val="none"/>
          <w:lang w:val="en-US" w:eastAsia="zh-CN" w:bidi="ar-SA"/>
        </w:rPr>
      </w:pPr>
      <w:bookmarkStart w:id="207" w:name="_Toc10007"/>
      <w:r>
        <w:rPr>
          <w:rFonts w:hint="eastAsia" w:ascii="宋体" w:hAnsi="宋体" w:eastAsia="宋体" w:cs="宋体"/>
          <w:b/>
          <w:bCs/>
          <w:color w:val="auto"/>
          <w:kern w:val="2"/>
          <w:sz w:val="24"/>
          <w:szCs w:val="24"/>
          <w:highlight w:val="none"/>
          <w:lang w:val="en-US" w:eastAsia="zh-CN" w:bidi="ar-SA"/>
        </w:rPr>
        <w:t>（十四）政府采购合同融资政策</w:t>
      </w:r>
      <w:bookmarkEnd w:id="196"/>
      <w:bookmarkEnd w:id="197"/>
      <w:bookmarkEnd w:id="204"/>
      <w:bookmarkEnd w:id="207"/>
    </w:p>
    <w:p w14:paraId="11078167">
      <w:pPr>
        <w:pStyle w:val="5"/>
        <w:keepNext w:val="0"/>
        <w:keepLines w:val="0"/>
        <w:pageBreakBefore w:val="0"/>
        <w:widowControl w:val="0"/>
        <w:numPr>
          <w:ilvl w:val="0"/>
          <w:numId w:val="0"/>
        </w:numPr>
        <w:kinsoku/>
        <w:wordWrap/>
        <w:overflowPunct/>
        <w:topLinePunct w:val="0"/>
        <w:autoSpaceDE/>
        <w:autoSpaceDN/>
        <w:bidi w:val="0"/>
        <w:adjustRightInd/>
        <w:snapToGrid/>
        <w:spacing w:before="80" w:after="80" w:line="240" w:lineRule="auto"/>
        <w:ind w:left="420" w:leftChars="0" w:hanging="420" w:firstLineChars="0"/>
        <w:jc w:val="both"/>
        <w:textAlignment w:val="auto"/>
        <w:rPr>
          <w:rFonts w:hint="eastAsia" w:ascii="宋体" w:hAnsi="宋体" w:eastAsia="宋体" w:cs="宋体"/>
          <w:b/>
          <w:bCs/>
          <w:color w:val="auto"/>
          <w:kern w:val="2"/>
          <w:sz w:val="24"/>
          <w:szCs w:val="24"/>
          <w:highlight w:val="none"/>
          <w:lang w:val="en-US" w:eastAsia="zh-CN" w:bidi="ar-SA"/>
        </w:rPr>
      </w:pPr>
      <w:bookmarkStart w:id="208" w:name="_Toc14089"/>
      <w:bookmarkStart w:id="209" w:name="_Toc163492880"/>
      <w:r>
        <w:rPr>
          <w:rFonts w:hint="eastAsia" w:ascii="宋体" w:hAnsi="宋体" w:eastAsia="宋体" w:cs="宋体"/>
          <w:b/>
          <w:bCs/>
          <w:color w:val="auto"/>
          <w:kern w:val="2"/>
          <w:sz w:val="24"/>
          <w:szCs w:val="24"/>
          <w:highlight w:val="none"/>
          <w:lang w:val="en-US" w:eastAsia="zh-CN" w:bidi="ar-SA"/>
        </w:rPr>
        <w:t>47.政府采购合同融资政策</w:t>
      </w:r>
      <w:bookmarkEnd w:id="208"/>
      <w:bookmarkEnd w:id="209"/>
    </w:p>
    <w:p w14:paraId="4B614C35">
      <w:pPr>
        <w:pStyle w:val="50"/>
        <w:keepNext w:val="0"/>
        <w:keepLines w:val="0"/>
        <w:pageBreakBefore w:val="0"/>
        <w:widowControl w:val="0"/>
        <w:kinsoku/>
        <w:overflowPunct/>
        <w:topLinePunct w:val="0"/>
        <w:autoSpaceDE/>
        <w:autoSpaceDN/>
        <w:bidi w:val="0"/>
        <w:adjustRightInd/>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.1政府采购合同融资政策：见投标人须知前附表。</w:t>
      </w:r>
    </w:p>
    <w:p w14:paraId="55BFC268">
      <w:pPr>
        <w:pStyle w:val="4"/>
        <w:keepNext w:val="0"/>
        <w:keepLines w:val="0"/>
        <w:pageBreakBefore w:val="0"/>
        <w:widowControl w:val="0"/>
        <w:numPr>
          <w:ilvl w:val="0"/>
          <w:numId w:val="0"/>
        </w:numPr>
        <w:kinsoku/>
        <w:wordWrap/>
        <w:overflowPunct/>
        <w:topLinePunct w:val="0"/>
        <w:autoSpaceDE/>
        <w:autoSpaceDN/>
        <w:bidi w:val="0"/>
        <w:adjustRightInd/>
        <w:snapToGrid/>
        <w:spacing w:before="120" w:after="120" w:line="240" w:lineRule="auto"/>
        <w:ind w:left="420" w:leftChars="0" w:hanging="420" w:firstLineChars="0"/>
        <w:jc w:val="both"/>
        <w:textAlignment w:val="auto"/>
        <w:rPr>
          <w:rFonts w:hint="eastAsia" w:ascii="宋体" w:hAnsi="宋体" w:eastAsia="宋体" w:cs="宋体"/>
          <w:b/>
          <w:bCs/>
          <w:color w:val="auto"/>
          <w:kern w:val="2"/>
          <w:sz w:val="24"/>
          <w:szCs w:val="24"/>
          <w:highlight w:val="none"/>
          <w:lang w:val="en-US" w:eastAsia="zh-CN" w:bidi="ar-SA"/>
        </w:rPr>
      </w:pPr>
      <w:bookmarkStart w:id="210" w:name="_Toc163492881"/>
      <w:bookmarkStart w:id="211" w:name="_Toc26816"/>
      <w:r>
        <w:rPr>
          <w:rFonts w:hint="eastAsia" w:ascii="宋体" w:hAnsi="宋体" w:eastAsia="宋体" w:cs="宋体"/>
          <w:b/>
          <w:bCs/>
          <w:color w:val="auto"/>
          <w:kern w:val="2"/>
          <w:sz w:val="24"/>
          <w:szCs w:val="24"/>
          <w:highlight w:val="none"/>
          <w:lang w:val="en-US" w:eastAsia="zh-CN" w:bidi="ar-SA"/>
        </w:rPr>
        <w:t>（十五）其他</w:t>
      </w:r>
      <w:bookmarkEnd w:id="210"/>
      <w:bookmarkEnd w:id="211"/>
    </w:p>
    <w:p w14:paraId="79C021DA">
      <w:pPr>
        <w:pStyle w:val="5"/>
        <w:keepNext w:val="0"/>
        <w:keepLines w:val="0"/>
        <w:pageBreakBefore w:val="0"/>
        <w:widowControl w:val="0"/>
        <w:numPr>
          <w:ilvl w:val="0"/>
          <w:numId w:val="0"/>
        </w:numPr>
        <w:kinsoku/>
        <w:wordWrap/>
        <w:overflowPunct/>
        <w:topLinePunct w:val="0"/>
        <w:autoSpaceDE/>
        <w:autoSpaceDN/>
        <w:bidi w:val="0"/>
        <w:adjustRightInd/>
        <w:snapToGrid/>
        <w:spacing w:before="80" w:after="80" w:line="240" w:lineRule="auto"/>
        <w:ind w:left="420" w:leftChars="0" w:hanging="420" w:firstLineChars="0"/>
        <w:jc w:val="both"/>
        <w:textAlignment w:val="auto"/>
        <w:rPr>
          <w:rFonts w:hint="eastAsia" w:ascii="宋体" w:hAnsi="宋体" w:eastAsia="宋体" w:cs="宋体"/>
          <w:b/>
          <w:bCs/>
          <w:color w:val="auto"/>
          <w:kern w:val="2"/>
          <w:sz w:val="24"/>
          <w:szCs w:val="24"/>
          <w:highlight w:val="none"/>
          <w:lang w:val="en-US" w:eastAsia="zh-CN" w:bidi="ar-SA"/>
        </w:rPr>
      </w:pPr>
      <w:bookmarkStart w:id="212" w:name="_Toc163492882"/>
      <w:bookmarkStart w:id="213" w:name="_Toc18980"/>
      <w:r>
        <w:rPr>
          <w:rFonts w:hint="eastAsia" w:ascii="宋体" w:hAnsi="宋体" w:eastAsia="宋体" w:cs="宋体"/>
          <w:b/>
          <w:bCs/>
          <w:color w:val="auto"/>
          <w:kern w:val="2"/>
          <w:sz w:val="24"/>
          <w:szCs w:val="24"/>
          <w:highlight w:val="none"/>
          <w:lang w:val="en-US" w:eastAsia="zh-CN" w:bidi="ar-SA"/>
        </w:rPr>
        <w:t>48.需要补充的其他内容</w:t>
      </w:r>
      <w:bookmarkEnd w:id="212"/>
      <w:bookmarkEnd w:id="213"/>
    </w:p>
    <w:p w14:paraId="1D3460DE">
      <w:pPr>
        <w:pStyle w:val="50"/>
        <w:keepNext w:val="0"/>
        <w:keepLines w:val="0"/>
        <w:pageBreakBefore w:val="0"/>
        <w:widowControl w:val="0"/>
        <w:kinsoku/>
        <w:overflowPunct/>
        <w:topLinePunct w:val="0"/>
        <w:autoSpaceDE/>
        <w:autoSpaceDN/>
        <w:bidi w:val="0"/>
        <w:adjustRightInd/>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.1需要补充的其他内容：见投标人须知前附表。</w:t>
      </w:r>
    </w:p>
    <w:p w14:paraId="16050C80">
      <w:pPr>
        <w:pStyle w:val="5"/>
        <w:keepNext w:val="0"/>
        <w:keepLines w:val="0"/>
        <w:pageBreakBefore w:val="0"/>
        <w:widowControl w:val="0"/>
        <w:numPr>
          <w:ilvl w:val="0"/>
          <w:numId w:val="0"/>
        </w:numPr>
        <w:kinsoku/>
        <w:wordWrap/>
        <w:overflowPunct/>
        <w:topLinePunct w:val="0"/>
        <w:autoSpaceDE/>
        <w:autoSpaceDN/>
        <w:bidi w:val="0"/>
        <w:adjustRightInd/>
        <w:snapToGrid/>
        <w:spacing w:before="80" w:after="80" w:line="240" w:lineRule="auto"/>
        <w:ind w:left="420" w:leftChars="0" w:hanging="420" w:firstLineChars="0"/>
        <w:jc w:val="both"/>
        <w:textAlignment w:val="auto"/>
        <w:rPr>
          <w:rFonts w:hint="eastAsia" w:ascii="宋体" w:hAnsi="宋体" w:eastAsia="宋体" w:cs="宋体"/>
          <w:b/>
          <w:bCs/>
          <w:color w:val="auto"/>
          <w:kern w:val="2"/>
          <w:sz w:val="24"/>
          <w:szCs w:val="24"/>
          <w:highlight w:val="none"/>
          <w:lang w:val="en-US" w:eastAsia="zh-CN" w:bidi="ar-SA"/>
        </w:rPr>
      </w:pPr>
      <w:bookmarkStart w:id="214" w:name="_Toc163492883"/>
      <w:bookmarkStart w:id="215" w:name="_Toc140132810"/>
      <w:bookmarkStart w:id="216" w:name="_Toc155185886"/>
      <w:bookmarkStart w:id="217" w:name="_Toc12494"/>
      <w:r>
        <w:rPr>
          <w:rFonts w:hint="eastAsia" w:ascii="宋体" w:hAnsi="宋体" w:eastAsia="宋体" w:cs="宋体"/>
          <w:b/>
          <w:bCs/>
          <w:color w:val="auto"/>
          <w:kern w:val="2"/>
          <w:sz w:val="24"/>
          <w:szCs w:val="24"/>
          <w:highlight w:val="none"/>
          <w:lang w:val="en-US" w:eastAsia="zh-CN" w:bidi="ar-SA"/>
        </w:rPr>
        <w:t>49.适用法律</w:t>
      </w:r>
      <w:bookmarkEnd w:id="214"/>
      <w:bookmarkEnd w:id="215"/>
      <w:bookmarkEnd w:id="216"/>
      <w:bookmarkEnd w:id="217"/>
    </w:p>
    <w:p w14:paraId="0AED576C">
      <w:pPr>
        <w:pStyle w:val="50"/>
        <w:keepNext w:val="0"/>
        <w:keepLines w:val="0"/>
        <w:pageBreakBefore w:val="0"/>
        <w:widowControl w:val="0"/>
        <w:kinsoku/>
        <w:overflowPunct/>
        <w:topLinePunct w:val="0"/>
        <w:autoSpaceDE/>
        <w:autoSpaceDN/>
        <w:bidi w:val="0"/>
        <w:adjustRightInd/>
        <w:jc w:val="both"/>
        <w:textAlignment w:val="auto"/>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lang w:val="en-US" w:eastAsia="zh-CN"/>
        </w:rPr>
        <w:t>49</w:t>
      </w:r>
      <w:r>
        <w:rPr>
          <w:rFonts w:hint="eastAsia" w:ascii="宋体" w:hAnsi="宋体" w:eastAsia="宋体" w:cs="宋体"/>
          <w:snapToGrid w:val="0"/>
          <w:color w:val="auto"/>
          <w:sz w:val="24"/>
          <w:szCs w:val="24"/>
          <w:highlight w:val="none"/>
        </w:rPr>
        <w:t>.1</w:t>
      </w:r>
      <w:r>
        <w:rPr>
          <w:rFonts w:hint="eastAsia" w:cs="宋体"/>
          <w:snapToGrid w:val="0"/>
          <w:color w:val="auto"/>
          <w:sz w:val="24"/>
          <w:szCs w:val="24"/>
          <w:highlight w:val="none"/>
          <w:lang w:eastAsia="zh-CN"/>
        </w:rPr>
        <w:t>招标人</w:t>
      </w:r>
      <w:r>
        <w:rPr>
          <w:rFonts w:hint="eastAsia" w:ascii="宋体" w:hAnsi="宋体" w:eastAsia="宋体" w:cs="宋体"/>
          <w:snapToGrid w:val="0"/>
          <w:color w:val="auto"/>
          <w:sz w:val="24"/>
          <w:szCs w:val="24"/>
          <w:highlight w:val="none"/>
        </w:rPr>
        <w:t>、</w:t>
      </w:r>
      <w:r>
        <w:rPr>
          <w:rFonts w:hint="eastAsia" w:cs="宋体"/>
          <w:snapToGrid w:val="0"/>
          <w:color w:val="auto"/>
          <w:sz w:val="24"/>
          <w:szCs w:val="24"/>
          <w:highlight w:val="none"/>
          <w:lang w:eastAsia="zh-CN"/>
        </w:rPr>
        <w:t>招标代理机构</w:t>
      </w:r>
      <w:r>
        <w:rPr>
          <w:rFonts w:hint="eastAsia" w:ascii="宋体" w:hAnsi="宋体" w:eastAsia="宋体" w:cs="宋体"/>
          <w:snapToGrid w:val="0"/>
          <w:color w:val="auto"/>
          <w:sz w:val="24"/>
          <w:szCs w:val="24"/>
          <w:highlight w:val="none"/>
        </w:rPr>
        <w:t>及投标人的一切采购活动均适用《中华人民共和国政府采购法》、《中华人民共和国政府采购法实施条例》、《政府采购货物和服务招标投标管理办法》（财政部令第87号）及相关法律法规。</w:t>
      </w:r>
    </w:p>
    <w:p w14:paraId="6C25D9E3">
      <w:pPr>
        <w:pStyle w:val="50"/>
        <w:keepNext w:val="0"/>
        <w:keepLines w:val="0"/>
        <w:pageBreakBefore w:val="0"/>
        <w:widowControl w:val="0"/>
        <w:kinsoku/>
        <w:overflowPunct/>
        <w:topLinePunct w:val="0"/>
        <w:autoSpaceDE/>
        <w:autoSpaceDN/>
        <w:bidi w:val="0"/>
        <w:adjustRightInd/>
        <w:jc w:val="both"/>
        <w:textAlignment w:val="auto"/>
        <w:rPr>
          <w:rFonts w:hint="eastAsia" w:ascii="宋体" w:hAnsi="宋体" w:eastAsia="宋体" w:cs="宋体"/>
          <w:color w:val="auto"/>
          <w:sz w:val="24"/>
          <w:szCs w:val="24"/>
          <w:highlight w:val="none"/>
        </w:rPr>
      </w:pPr>
      <w:r>
        <w:rPr>
          <w:rFonts w:hint="eastAsia" w:ascii="宋体" w:hAnsi="宋体" w:eastAsia="宋体" w:cs="宋体"/>
          <w:snapToGrid w:val="0"/>
          <w:color w:val="auto"/>
          <w:sz w:val="24"/>
          <w:szCs w:val="24"/>
          <w:highlight w:val="none"/>
          <w:lang w:val="en-US" w:eastAsia="zh-CN"/>
        </w:rPr>
        <w:t>49</w:t>
      </w:r>
      <w:r>
        <w:rPr>
          <w:rFonts w:hint="eastAsia" w:ascii="宋体" w:hAnsi="宋体" w:eastAsia="宋体" w:cs="宋体"/>
          <w:snapToGrid w:val="0"/>
          <w:color w:val="auto"/>
          <w:sz w:val="24"/>
          <w:szCs w:val="24"/>
          <w:highlight w:val="none"/>
        </w:rPr>
        <w:t>.2政府采购合同的履行、违约责任和解决争议的方法等适用《中华人民共和国民法典》。</w:t>
      </w:r>
    </w:p>
    <w:p w14:paraId="06180375">
      <w:pPr>
        <w:pStyle w:val="5"/>
        <w:keepNext w:val="0"/>
        <w:keepLines w:val="0"/>
        <w:pageBreakBefore w:val="0"/>
        <w:widowControl w:val="0"/>
        <w:numPr>
          <w:ilvl w:val="0"/>
          <w:numId w:val="0"/>
        </w:numPr>
        <w:kinsoku/>
        <w:wordWrap/>
        <w:overflowPunct/>
        <w:topLinePunct w:val="0"/>
        <w:autoSpaceDE/>
        <w:autoSpaceDN/>
        <w:bidi w:val="0"/>
        <w:adjustRightInd/>
        <w:snapToGrid/>
        <w:spacing w:before="80" w:after="80" w:line="240" w:lineRule="auto"/>
        <w:ind w:left="420" w:leftChars="0" w:hanging="420" w:firstLineChars="0"/>
        <w:jc w:val="both"/>
        <w:textAlignment w:val="auto"/>
        <w:rPr>
          <w:rFonts w:hint="eastAsia" w:ascii="宋体" w:hAnsi="宋体" w:eastAsia="宋体" w:cs="宋体"/>
          <w:b/>
          <w:bCs/>
          <w:color w:val="auto"/>
          <w:kern w:val="2"/>
          <w:sz w:val="24"/>
          <w:szCs w:val="24"/>
          <w:highlight w:val="none"/>
          <w:lang w:val="en-US" w:eastAsia="zh-CN" w:bidi="ar-SA"/>
        </w:rPr>
      </w:pPr>
      <w:bookmarkStart w:id="218" w:name="_Toc163492884"/>
      <w:bookmarkStart w:id="219" w:name="_Toc20737"/>
      <w:bookmarkStart w:id="220" w:name="_Toc155185887"/>
      <w:r>
        <w:rPr>
          <w:rFonts w:hint="eastAsia" w:ascii="宋体" w:hAnsi="宋体" w:eastAsia="宋体" w:cs="宋体"/>
          <w:b/>
          <w:bCs/>
          <w:color w:val="auto"/>
          <w:kern w:val="2"/>
          <w:sz w:val="24"/>
          <w:szCs w:val="24"/>
          <w:highlight w:val="none"/>
          <w:lang w:val="en-US" w:eastAsia="zh-CN" w:bidi="ar-SA"/>
        </w:rPr>
        <w:t>50.解释权</w:t>
      </w:r>
      <w:bookmarkEnd w:id="218"/>
      <w:bookmarkEnd w:id="219"/>
      <w:bookmarkEnd w:id="220"/>
    </w:p>
    <w:p w14:paraId="0C36D955">
      <w:pPr>
        <w:pStyle w:val="50"/>
        <w:keepNext w:val="0"/>
        <w:keepLines w:val="0"/>
        <w:pageBreakBefore w:val="0"/>
        <w:widowControl w:val="0"/>
        <w:kinsoku/>
        <w:overflowPunct/>
        <w:topLinePunct w:val="0"/>
        <w:autoSpaceDE/>
        <w:autoSpaceDN/>
        <w:bidi w:val="0"/>
        <w:adjustRightInd/>
        <w:jc w:val="both"/>
        <w:textAlignment w:val="auto"/>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lang w:val="en-US" w:eastAsia="zh-CN"/>
        </w:rPr>
        <w:t>50</w:t>
      </w:r>
      <w:r>
        <w:rPr>
          <w:rFonts w:hint="eastAsia" w:ascii="宋体" w:hAnsi="宋体" w:eastAsia="宋体" w:cs="宋体"/>
          <w:snapToGrid w:val="0"/>
          <w:color w:val="auto"/>
          <w:sz w:val="24"/>
          <w:szCs w:val="24"/>
          <w:highlight w:val="none"/>
        </w:rPr>
        <w:t>.1本招标文件最终解释权归</w:t>
      </w:r>
      <w:r>
        <w:rPr>
          <w:rFonts w:hint="eastAsia" w:cs="宋体"/>
          <w:snapToGrid w:val="0"/>
          <w:color w:val="auto"/>
          <w:sz w:val="24"/>
          <w:szCs w:val="24"/>
          <w:highlight w:val="none"/>
          <w:lang w:eastAsia="zh-CN"/>
        </w:rPr>
        <w:t>招标人</w:t>
      </w:r>
      <w:r>
        <w:rPr>
          <w:rFonts w:hint="eastAsia" w:ascii="宋体" w:hAnsi="宋体" w:eastAsia="宋体" w:cs="宋体"/>
          <w:snapToGrid w:val="0"/>
          <w:color w:val="auto"/>
          <w:sz w:val="24"/>
          <w:szCs w:val="24"/>
          <w:highlight w:val="none"/>
        </w:rPr>
        <w:t>或</w:t>
      </w:r>
      <w:r>
        <w:rPr>
          <w:rFonts w:hint="eastAsia" w:cs="宋体"/>
          <w:snapToGrid w:val="0"/>
          <w:color w:val="auto"/>
          <w:sz w:val="24"/>
          <w:szCs w:val="24"/>
          <w:highlight w:val="none"/>
          <w:lang w:eastAsia="zh-CN"/>
        </w:rPr>
        <w:t>招标代理机构</w:t>
      </w:r>
      <w:r>
        <w:rPr>
          <w:rFonts w:hint="eastAsia" w:ascii="宋体" w:hAnsi="宋体" w:eastAsia="宋体" w:cs="宋体"/>
          <w:snapToGrid w:val="0"/>
          <w:color w:val="auto"/>
          <w:sz w:val="24"/>
          <w:szCs w:val="24"/>
          <w:highlight w:val="none"/>
        </w:rPr>
        <w:t>所有。</w:t>
      </w:r>
      <w:r>
        <w:rPr>
          <w:rFonts w:hint="eastAsia" w:ascii="宋体" w:hAnsi="宋体" w:eastAsia="宋体" w:cs="宋体"/>
          <w:snapToGrid w:val="0"/>
          <w:color w:val="auto"/>
          <w:sz w:val="24"/>
          <w:szCs w:val="24"/>
          <w:highlight w:val="none"/>
        </w:rPr>
        <w:br w:type="page"/>
      </w:r>
    </w:p>
    <w:p w14:paraId="0024483A">
      <w:pPr>
        <w:pStyle w:val="2"/>
        <w:keepNext/>
        <w:keepLines/>
        <w:pageBreakBefore w:val="0"/>
        <w:widowControl w:val="0"/>
        <w:numPr>
          <w:ilvl w:val="0"/>
          <w:numId w:val="3"/>
        </w:numPr>
        <w:kinsoku/>
        <w:wordWrap/>
        <w:overflowPunct/>
        <w:topLinePunct w:val="0"/>
        <w:autoSpaceDE/>
        <w:autoSpaceDN/>
        <w:bidi w:val="0"/>
        <w:adjustRightInd/>
        <w:snapToGrid/>
        <w:spacing w:before="220" w:after="220" w:line="480" w:lineRule="auto"/>
        <w:ind w:left="420" w:leftChars="0" w:hanging="420" w:firstLineChars="0"/>
        <w:textAlignment w:val="auto"/>
        <w:rPr>
          <w:rFonts w:hint="eastAsia" w:ascii="宋体" w:hAnsi="宋体" w:eastAsia="宋体" w:cs="宋体"/>
          <w:b/>
          <w:bCs/>
          <w:color w:val="auto"/>
          <w:kern w:val="44"/>
          <w:sz w:val="36"/>
          <w:szCs w:val="36"/>
          <w:highlight w:val="none"/>
          <w:lang w:val="en-US" w:eastAsia="zh-CN" w:bidi="ar-SA"/>
        </w:rPr>
      </w:pPr>
      <w:bookmarkStart w:id="221" w:name="_Toc21960"/>
      <w:bookmarkStart w:id="222" w:name="_Toc155185888"/>
      <w:bookmarkStart w:id="223" w:name="_Toc32401"/>
      <w:r>
        <w:rPr>
          <w:rFonts w:hint="eastAsia" w:ascii="宋体" w:hAnsi="宋体" w:eastAsia="宋体" w:cs="宋体"/>
          <w:b/>
          <w:bCs/>
          <w:color w:val="auto"/>
          <w:kern w:val="44"/>
          <w:sz w:val="36"/>
          <w:szCs w:val="36"/>
          <w:highlight w:val="none"/>
          <w:lang w:val="en-US" w:eastAsia="zh-CN" w:bidi="ar-SA"/>
        </w:rPr>
        <w:t>采购需求</w:t>
      </w:r>
      <w:bookmarkEnd w:id="221"/>
      <w:bookmarkEnd w:id="222"/>
      <w:bookmarkEnd w:id="223"/>
    </w:p>
    <w:p w14:paraId="4F8FD283">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 w:val="0"/>
          <w:bCs w:val="0"/>
          <w:kern w:val="0"/>
          <w:sz w:val="24"/>
          <w:szCs w:val="24"/>
          <w:lang w:val="en-US" w:eastAsia="zh-CN" w:bidi="ar"/>
        </w:rPr>
      </w:pPr>
      <w:bookmarkStart w:id="224" w:name="_Toc155185895"/>
      <w:bookmarkStart w:id="225" w:name="_Toc7544"/>
      <w:bookmarkStart w:id="226" w:name="_Toc12673"/>
      <w:r>
        <w:rPr>
          <w:rFonts w:hint="eastAsia" w:ascii="宋体" w:hAnsi="宋体" w:eastAsia="宋体" w:cs="宋体"/>
          <w:b w:val="0"/>
          <w:bCs w:val="0"/>
          <w:kern w:val="0"/>
          <w:sz w:val="24"/>
          <w:szCs w:val="24"/>
          <w:lang w:val="en-US" w:eastAsia="zh-CN" w:bidi="ar"/>
        </w:rPr>
        <w:t>为保障自治区级女子足球赛(预估30支参赛代表队、5个比赛场地、1个主会场)各项工作高标准推进、活动圆满举办，结合赛事规模(30支参赛队约600人、60名裁判员、200名工作人员/志愿者、1000名演职人员、5名医生+10名护士。以上相关人员根据现场赛事情况会有上下浮动)、多场地运营需求、自治区级赛事规格及宣传推广要求，特制定本采购需求。供应商需按本需求，结合服务能力、资源配置及实施方案，自主测算并填报含全部成本、税费及合理利润的报价。供应商需全程保障赛事彩排、开闭幕式、赛事比拼、联谊交流、颁奖收官、后勤保障、资料归档（各类关于该项目的全部电子及纸质版资料）等全流程工作有序落地，包含所有物料的设计、制作、运输、搭建、现场执行、运维保障、拆除清运、场地复原等一体化服务，全面满足本次赛事活动合法合规落地执行需求。</w:t>
      </w:r>
    </w:p>
    <w:p w14:paraId="424B9FD5">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一、基本概况</w:t>
      </w:r>
    </w:p>
    <w:p w14:paraId="190436D5">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sz w:val="24"/>
          <w:szCs w:val="24"/>
        </w:rPr>
      </w:pPr>
      <w:r>
        <w:rPr>
          <w:rFonts w:hint="eastAsia" w:ascii="宋体" w:hAnsi="宋体" w:eastAsia="宋体" w:cs="宋体"/>
          <w:b/>
          <w:bCs/>
          <w:sz w:val="24"/>
          <w:szCs w:val="24"/>
        </w:rPr>
        <w:t>（一）赛事全称</w:t>
      </w:r>
    </w:p>
    <w:p w14:paraId="1F7D0BCC">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2026年“石榴花开 青春绽放”全国青少年女子足球民族团结友谊赛</w:t>
      </w:r>
    </w:p>
    <w:p w14:paraId="27D9401A">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sz w:val="24"/>
          <w:szCs w:val="24"/>
        </w:rPr>
      </w:pPr>
      <w:r>
        <w:rPr>
          <w:rFonts w:hint="eastAsia" w:ascii="宋体" w:hAnsi="宋体" w:eastAsia="宋体" w:cs="宋体"/>
          <w:b/>
          <w:bCs/>
          <w:sz w:val="24"/>
          <w:szCs w:val="24"/>
        </w:rPr>
        <w:t>（二）赛事主题</w:t>
      </w:r>
    </w:p>
    <w:p w14:paraId="3886DB67">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石榴花开 青春绽放</w:t>
      </w:r>
    </w:p>
    <w:p w14:paraId="3E8E08F2">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sz w:val="24"/>
          <w:szCs w:val="24"/>
        </w:rPr>
      </w:pPr>
      <w:r>
        <w:rPr>
          <w:rFonts w:hint="eastAsia" w:ascii="宋体" w:hAnsi="宋体" w:eastAsia="宋体" w:cs="宋体"/>
          <w:b/>
          <w:bCs/>
          <w:sz w:val="24"/>
          <w:szCs w:val="24"/>
        </w:rPr>
        <w:t>（</w:t>
      </w:r>
      <w:r>
        <w:rPr>
          <w:rFonts w:hint="eastAsia" w:ascii="宋体" w:hAnsi="宋体" w:eastAsia="宋体" w:cs="宋体"/>
          <w:b/>
          <w:bCs/>
          <w:sz w:val="24"/>
          <w:szCs w:val="24"/>
          <w:lang w:val="en-US" w:eastAsia="zh-CN"/>
        </w:rPr>
        <w:t>三</w:t>
      </w:r>
      <w:r>
        <w:rPr>
          <w:rFonts w:hint="eastAsia" w:ascii="宋体" w:hAnsi="宋体" w:eastAsia="宋体" w:cs="宋体"/>
          <w:b/>
          <w:bCs/>
          <w:sz w:val="24"/>
          <w:szCs w:val="24"/>
        </w:rPr>
        <w:t>）组织机构</w:t>
      </w:r>
    </w:p>
    <w:p w14:paraId="0381C33E">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主办单位：全国妇联、国家民委、国家体育总局</w:t>
      </w:r>
    </w:p>
    <w:p w14:paraId="0DA81736">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承办单位：新疆维吾尔自治区妇联、新疆维吾尔自治区民委、新疆维吾尔自治区体育局、阿克苏地区行政公署</w:t>
      </w:r>
    </w:p>
    <w:p w14:paraId="56A06EF6">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sz w:val="24"/>
          <w:szCs w:val="24"/>
        </w:rPr>
      </w:pPr>
      <w:r>
        <w:rPr>
          <w:rFonts w:hint="eastAsia" w:ascii="宋体" w:hAnsi="宋体" w:eastAsia="宋体" w:cs="宋体"/>
          <w:b/>
          <w:bCs/>
          <w:sz w:val="24"/>
          <w:szCs w:val="24"/>
        </w:rPr>
        <w:t>（</w:t>
      </w:r>
      <w:r>
        <w:rPr>
          <w:rFonts w:hint="eastAsia" w:ascii="宋体" w:hAnsi="宋体" w:eastAsia="宋体" w:cs="宋体"/>
          <w:b/>
          <w:bCs/>
          <w:sz w:val="24"/>
          <w:szCs w:val="24"/>
          <w:lang w:val="en-US" w:eastAsia="zh-CN"/>
        </w:rPr>
        <w:t>四</w:t>
      </w:r>
      <w:r>
        <w:rPr>
          <w:rFonts w:hint="eastAsia" w:ascii="宋体" w:hAnsi="宋体" w:eastAsia="宋体" w:cs="宋体"/>
          <w:b/>
          <w:bCs/>
          <w:sz w:val="24"/>
          <w:szCs w:val="24"/>
        </w:rPr>
        <w:t>）赛事时间、地点</w:t>
      </w:r>
    </w:p>
    <w:p w14:paraId="07438F92">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 赛期安排：赛期预计7天(不含报到和返程)，各参赛队根据实际</w:t>
      </w:r>
    </w:p>
    <w:p w14:paraId="78E7C2D2">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sz w:val="24"/>
          <w:szCs w:val="24"/>
          <w:lang w:val="en-US" w:eastAsia="zh-CN"/>
        </w:rPr>
      </w:pPr>
      <w:r>
        <w:rPr>
          <w:rFonts w:hint="eastAsia" w:ascii="宋体" w:hAnsi="宋体" w:eastAsia="宋体" w:cs="宋体"/>
          <w:sz w:val="24"/>
          <w:szCs w:val="24"/>
        </w:rPr>
        <w:t>情况提前1一2天报到</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该赛事时间不少于7天。</w:t>
      </w:r>
    </w:p>
    <w:p w14:paraId="518FB254">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 举办地点：新疆阿克苏地区（具体比赛场地另行发文通知）</w:t>
      </w:r>
    </w:p>
    <w:p w14:paraId="041F706A">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sz w:val="24"/>
          <w:szCs w:val="24"/>
        </w:rPr>
      </w:pPr>
      <w:r>
        <w:rPr>
          <w:rFonts w:hint="eastAsia" w:ascii="宋体" w:hAnsi="宋体" w:eastAsia="宋体" w:cs="宋体"/>
          <w:b/>
          <w:bCs/>
          <w:sz w:val="24"/>
          <w:szCs w:val="24"/>
        </w:rPr>
        <w:t>（</w:t>
      </w:r>
      <w:r>
        <w:rPr>
          <w:rFonts w:hint="eastAsia" w:ascii="宋体" w:hAnsi="宋体" w:eastAsia="宋体" w:cs="宋体"/>
          <w:b/>
          <w:bCs/>
          <w:sz w:val="24"/>
          <w:szCs w:val="24"/>
          <w:lang w:val="en-US" w:eastAsia="zh-CN"/>
        </w:rPr>
        <w:t>五</w:t>
      </w:r>
      <w:r>
        <w:rPr>
          <w:rFonts w:hint="eastAsia" w:ascii="宋体" w:hAnsi="宋体" w:eastAsia="宋体" w:cs="宋体"/>
          <w:b/>
          <w:bCs/>
          <w:sz w:val="24"/>
          <w:szCs w:val="24"/>
        </w:rPr>
        <w:t>）参赛组别、参赛规模</w:t>
      </w:r>
    </w:p>
    <w:p w14:paraId="0FFD433B">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1、</w:t>
      </w:r>
      <w:r>
        <w:rPr>
          <w:rFonts w:hint="eastAsia" w:ascii="宋体" w:hAnsi="宋体" w:eastAsia="宋体" w:cs="宋体"/>
          <w:sz w:val="24"/>
          <w:szCs w:val="24"/>
        </w:rPr>
        <w:t>中华人民共和国公民</w:t>
      </w:r>
    </w:p>
    <w:p w14:paraId="17FAA07C">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2、</w:t>
      </w:r>
      <w:r>
        <w:rPr>
          <w:rFonts w:hint="eastAsia" w:ascii="宋体" w:hAnsi="宋体" w:eastAsia="宋体" w:cs="宋体"/>
          <w:sz w:val="24"/>
          <w:szCs w:val="24"/>
        </w:rPr>
        <w:t>经县级以上医院出具健康证明</w:t>
      </w:r>
    </w:p>
    <w:p w14:paraId="3B854A16">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3、</w:t>
      </w:r>
      <w:r>
        <w:rPr>
          <w:rFonts w:hint="eastAsia" w:ascii="宋体" w:hAnsi="宋体" w:eastAsia="宋体" w:cs="宋体"/>
          <w:sz w:val="24"/>
          <w:szCs w:val="24"/>
        </w:rPr>
        <w:t>年龄为12至14岁的在校、在读女学生(2012年7月1日至2014年7月31日出生)，以第二代居民身份证为准</w:t>
      </w:r>
    </w:p>
    <w:p w14:paraId="4057DFF1">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4、</w:t>
      </w:r>
      <w:r>
        <w:rPr>
          <w:rFonts w:hint="eastAsia" w:ascii="宋体" w:hAnsi="宋体" w:eastAsia="宋体" w:cs="宋体"/>
          <w:sz w:val="24"/>
          <w:szCs w:val="24"/>
        </w:rPr>
        <w:t>非专业运动员</w:t>
      </w:r>
    </w:p>
    <w:p w14:paraId="6D3F16E6">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5、</w:t>
      </w:r>
      <w:r>
        <w:rPr>
          <w:rFonts w:hint="eastAsia" w:ascii="宋体" w:hAnsi="宋体" w:eastAsia="宋体" w:cs="宋体"/>
          <w:sz w:val="24"/>
          <w:szCs w:val="24"/>
        </w:rPr>
        <w:t>一名运动员只能代表一支球队参赛</w:t>
      </w:r>
    </w:p>
    <w:p w14:paraId="19FAF7DE">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6、</w:t>
      </w:r>
      <w:r>
        <w:rPr>
          <w:rFonts w:hint="eastAsia" w:ascii="宋体" w:hAnsi="宋体" w:eastAsia="宋体" w:cs="宋体"/>
          <w:sz w:val="24"/>
          <w:szCs w:val="24"/>
        </w:rPr>
        <w:t>已办理人身意外伤害保险和附加意外伤害医疗保险。</w:t>
      </w:r>
    </w:p>
    <w:p w14:paraId="521E3FB5">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sz w:val="24"/>
          <w:szCs w:val="24"/>
        </w:rPr>
      </w:pPr>
      <w:r>
        <w:rPr>
          <w:rFonts w:hint="eastAsia" w:ascii="宋体" w:hAnsi="宋体" w:eastAsia="宋体" w:cs="宋体"/>
          <w:b/>
          <w:bCs/>
          <w:sz w:val="24"/>
          <w:szCs w:val="24"/>
        </w:rPr>
        <w:t>（</w:t>
      </w:r>
      <w:r>
        <w:rPr>
          <w:rFonts w:hint="eastAsia" w:ascii="宋体" w:hAnsi="宋体" w:eastAsia="宋体" w:cs="宋体"/>
          <w:b/>
          <w:bCs/>
          <w:sz w:val="24"/>
          <w:szCs w:val="24"/>
          <w:lang w:val="en-US" w:eastAsia="zh-CN"/>
        </w:rPr>
        <w:t>六</w:t>
      </w:r>
      <w:r>
        <w:rPr>
          <w:rFonts w:hint="eastAsia" w:ascii="宋体" w:hAnsi="宋体" w:eastAsia="宋体" w:cs="宋体"/>
          <w:b/>
          <w:bCs/>
          <w:sz w:val="24"/>
          <w:szCs w:val="24"/>
        </w:rPr>
        <w:t>）赛事宗旨</w:t>
      </w:r>
    </w:p>
    <w:p w14:paraId="2DB785F9">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以足球运动为纽带，搭建全国各民族青少年女子足球交流交往交融平台，厚植中华民族共同体意识，弘扬体育精神、拼搏精神和民族团结精神，展示新时代各民族青少年阳光自信、奋发向上、团结友善的青春风貌，推动青少年体育事业与民族团结进步事业深度融合、同向发力。</w:t>
      </w:r>
    </w:p>
    <w:p w14:paraId="24D313F2">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sz w:val="24"/>
          <w:szCs w:val="24"/>
        </w:rPr>
      </w:pPr>
      <w:r>
        <w:rPr>
          <w:rFonts w:hint="eastAsia" w:ascii="宋体" w:hAnsi="宋体" w:eastAsia="宋体" w:cs="宋体"/>
          <w:b/>
          <w:bCs/>
          <w:sz w:val="24"/>
          <w:szCs w:val="24"/>
        </w:rPr>
        <w:t>（</w:t>
      </w:r>
      <w:r>
        <w:rPr>
          <w:rFonts w:hint="eastAsia" w:ascii="宋体" w:hAnsi="宋体" w:eastAsia="宋体" w:cs="宋体"/>
          <w:b/>
          <w:bCs/>
          <w:sz w:val="24"/>
          <w:szCs w:val="24"/>
          <w:lang w:val="en-US" w:eastAsia="zh-CN"/>
        </w:rPr>
        <w:t>七</w:t>
      </w:r>
      <w:r>
        <w:rPr>
          <w:rFonts w:hint="eastAsia" w:ascii="宋体" w:hAnsi="宋体" w:eastAsia="宋体" w:cs="宋体"/>
          <w:b/>
          <w:bCs/>
          <w:sz w:val="24"/>
          <w:szCs w:val="24"/>
        </w:rPr>
        <w:t>）执行依据</w:t>
      </w:r>
    </w:p>
    <w:p w14:paraId="418720DC">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 中国足球协会青少年足球竞赛管理相关规则；</w:t>
      </w:r>
    </w:p>
    <w:p w14:paraId="0F82A98D">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 全国青少年体育赛事活动组织管理规范；</w:t>
      </w:r>
    </w:p>
    <w:p w14:paraId="514A7D64">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3. 自治区、阿克苏地区大型文体活动安全管理、应急管理相关规定；</w:t>
      </w:r>
    </w:p>
    <w:p w14:paraId="17737074">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4. 民族团结进步创建、青少年思想引领及校园体育工作相关政策文件。</w:t>
      </w:r>
    </w:p>
    <w:p w14:paraId="7705E0FD">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cs="宋体"/>
          <w:sz w:val="24"/>
          <w:szCs w:val="24"/>
          <w:lang w:eastAsia="zh-CN"/>
        </w:rPr>
      </w:pPr>
      <w:r>
        <w:rPr>
          <w:rFonts w:hint="eastAsia" w:cs="宋体"/>
          <w:sz w:val="24"/>
          <w:szCs w:val="24"/>
          <w:lang w:eastAsia="zh-CN"/>
        </w:rPr>
        <w:t>（八）、奖牌设置</w:t>
      </w:r>
    </w:p>
    <w:p w14:paraId="451167E8">
      <w:pPr>
        <w:keepNext w:val="0"/>
        <w:keepLines w:val="0"/>
        <w:pageBreakBefore w:val="0"/>
        <w:kinsoku/>
        <w:wordWrap/>
        <w:overflowPunct/>
        <w:topLinePunct w:val="0"/>
        <w:autoSpaceDE/>
        <w:autoSpaceDN/>
        <w:bidi w:val="0"/>
        <w:adjustRightInd/>
        <w:snapToGrid/>
        <w:spacing w:line="360" w:lineRule="auto"/>
        <w:ind w:firstLine="1200" w:firstLineChars="500"/>
        <w:textAlignment w:val="auto"/>
        <w:rPr>
          <w:rFonts w:hint="eastAsia" w:cs="宋体"/>
          <w:sz w:val="24"/>
          <w:szCs w:val="24"/>
          <w:lang w:val="en-US" w:eastAsia="zh-CN"/>
        </w:rPr>
      </w:pPr>
      <w:r>
        <w:rPr>
          <w:rFonts w:hint="eastAsia" w:cs="宋体"/>
          <w:sz w:val="24"/>
          <w:szCs w:val="24"/>
          <w:lang w:val="en-US" w:eastAsia="zh-CN"/>
        </w:rPr>
        <w:t>1、设冠军、亚军、季军。</w:t>
      </w:r>
    </w:p>
    <w:p w14:paraId="64AC925F">
      <w:pPr>
        <w:keepNext w:val="0"/>
        <w:keepLines w:val="0"/>
        <w:pageBreakBefore w:val="0"/>
        <w:kinsoku/>
        <w:wordWrap/>
        <w:overflowPunct/>
        <w:topLinePunct w:val="0"/>
        <w:autoSpaceDE/>
        <w:autoSpaceDN/>
        <w:bidi w:val="0"/>
        <w:adjustRightInd/>
        <w:snapToGrid/>
        <w:spacing w:line="360" w:lineRule="auto"/>
        <w:ind w:firstLine="1200" w:firstLineChars="500"/>
        <w:textAlignment w:val="auto"/>
        <w:rPr>
          <w:rFonts w:hint="eastAsia" w:cs="宋体"/>
          <w:sz w:val="24"/>
          <w:szCs w:val="24"/>
          <w:lang w:val="en-US" w:eastAsia="zh-CN"/>
        </w:rPr>
      </w:pPr>
      <w:r>
        <w:rPr>
          <w:rFonts w:hint="eastAsia" w:cs="宋体"/>
          <w:sz w:val="24"/>
          <w:szCs w:val="24"/>
          <w:lang w:val="en-US" w:eastAsia="zh-CN"/>
        </w:rPr>
        <w:t>2、设民族团结友谊奖若干名</w:t>
      </w:r>
    </w:p>
    <w:p w14:paraId="3E4DBDA4">
      <w:pPr>
        <w:keepNext w:val="0"/>
        <w:keepLines w:val="0"/>
        <w:pageBreakBefore w:val="0"/>
        <w:kinsoku/>
        <w:wordWrap/>
        <w:overflowPunct/>
        <w:topLinePunct w:val="0"/>
        <w:autoSpaceDE/>
        <w:autoSpaceDN/>
        <w:bidi w:val="0"/>
        <w:adjustRightInd/>
        <w:snapToGrid/>
        <w:spacing w:line="360" w:lineRule="auto"/>
        <w:ind w:firstLine="1200" w:firstLineChars="500"/>
        <w:textAlignment w:val="auto"/>
        <w:rPr>
          <w:rFonts w:hint="default" w:cs="宋体"/>
          <w:sz w:val="24"/>
          <w:szCs w:val="24"/>
          <w:lang w:val="en-US" w:eastAsia="zh-CN"/>
        </w:rPr>
      </w:pPr>
      <w:r>
        <w:rPr>
          <w:rFonts w:hint="eastAsia" w:cs="宋体"/>
          <w:sz w:val="24"/>
          <w:szCs w:val="24"/>
          <w:lang w:val="en-US" w:eastAsia="zh-CN"/>
        </w:rPr>
        <w:t>3、评选最佳射手、最佳守门员1名和优秀运动员若干民。</w:t>
      </w:r>
    </w:p>
    <w:p w14:paraId="0C9F50FA">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sz w:val="24"/>
          <w:szCs w:val="24"/>
        </w:rPr>
      </w:pPr>
      <w:r>
        <w:rPr>
          <w:rFonts w:hint="eastAsia" w:ascii="宋体" w:hAnsi="宋体" w:eastAsia="宋体" w:cs="宋体"/>
          <w:b/>
          <w:bCs/>
          <w:sz w:val="24"/>
          <w:szCs w:val="24"/>
        </w:rPr>
        <w:t>二、组织领导</w:t>
      </w:r>
    </w:p>
    <w:p w14:paraId="6547BDA5">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成立赛事组委会，由地委主要领导担任组长，全面负责赛事组织领导、统筹决策、资源调度和重大事项协调。组委会下设办公室，由地委分管领导担任办公室主任，办公室设在地区妇联，负责赛事日常筹备、统筹协调、任务督办、信息汇总、会务保障及各单位对接联络。各成员单位分管领导为组委会成员，从相关单位抽调骨干工作人员集中办公，实行每日调度、每周例会、清单管理、销号落实工作机制。</w:t>
      </w:r>
    </w:p>
    <w:p w14:paraId="6C0A527B">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sz w:val="24"/>
          <w:szCs w:val="24"/>
        </w:rPr>
      </w:pPr>
      <w:r>
        <w:rPr>
          <w:rFonts w:hint="eastAsia" w:ascii="宋体" w:hAnsi="宋体" w:eastAsia="宋体" w:cs="宋体"/>
          <w:b/>
          <w:bCs/>
          <w:sz w:val="24"/>
          <w:szCs w:val="24"/>
        </w:rPr>
        <w:t>三、赛期赛制</w:t>
      </w:r>
    </w:p>
    <w:p w14:paraId="65C7E052">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 赛制形式：友谊赛采用8人制比赛办法，每场比赛为50分钟(上下半场各25分钟，中场休息不超过10分钟)。比赛具体时间地点和竞赛规程等相关事项另行通知；</w:t>
      </w:r>
    </w:p>
    <w:p w14:paraId="78E765C0">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2</w:t>
      </w:r>
      <w:r>
        <w:rPr>
          <w:rFonts w:hint="eastAsia" w:ascii="宋体" w:hAnsi="宋体" w:eastAsia="宋体" w:cs="宋体"/>
          <w:sz w:val="24"/>
          <w:szCs w:val="24"/>
        </w:rPr>
        <w:t>. 竞赛规程、抽签分组、赛程安排、具体场地排布由组委会办公室另行制定下发。</w:t>
      </w:r>
    </w:p>
    <w:p w14:paraId="7E07D2F5">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sz w:val="24"/>
          <w:szCs w:val="24"/>
        </w:rPr>
      </w:pPr>
      <w:r>
        <w:rPr>
          <w:rFonts w:hint="eastAsia" w:ascii="宋体" w:hAnsi="宋体" w:eastAsia="宋体" w:cs="宋体"/>
          <w:b/>
          <w:bCs/>
          <w:sz w:val="24"/>
          <w:szCs w:val="24"/>
        </w:rPr>
        <w:t>四、参赛队伍及人员配置</w:t>
      </w:r>
    </w:p>
    <w:p w14:paraId="6608EF0F">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各省、自治区、直辖市和新疆生产建设兵团妇联自愿选派1支女子足球队参赛。每支代表队编制控制在20人以内：领队1名</w:t>
      </w:r>
      <w:bookmarkStart w:id="227" w:name="OLE_LINK11"/>
      <w:r>
        <w:rPr>
          <w:rFonts w:hint="eastAsia" w:ascii="宋体" w:hAnsi="宋体" w:eastAsia="宋体" w:cs="宋体"/>
          <w:sz w:val="24"/>
          <w:szCs w:val="24"/>
        </w:rPr>
        <w:t>、</w:t>
      </w:r>
      <w:bookmarkEnd w:id="227"/>
      <w:r>
        <w:rPr>
          <w:rFonts w:hint="eastAsia" w:ascii="宋体" w:hAnsi="宋体" w:eastAsia="宋体" w:cs="宋体"/>
          <w:sz w:val="24"/>
          <w:szCs w:val="24"/>
        </w:rPr>
        <w:t>教练员1—2名（领队、教练员至少有1名为女性）、队医1名、运动员不超过16名。</w:t>
      </w:r>
    </w:p>
    <w:p w14:paraId="2C5587DA">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sz w:val="24"/>
          <w:szCs w:val="24"/>
        </w:rPr>
      </w:pPr>
      <w:r>
        <w:rPr>
          <w:rFonts w:hint="eastAsia" w:ascii="宋体" w:hAnsi="宋体" w:eastAsia="宋体" w:cs="宋体"/>
          <w:b/>
          <w:bCs/>
          <w:sz w:val="24"/>
          <w:szCs w:val="24"/>
          <w:lang w:val="en-US" w:eastAsia="zh-CN"/>
        </w:rPr>
        <w:t>五</w:t>
      </w:r>
      <w:r>
        <w:rPr>
          <w:rFonts w:hint="eastAsia" w:ascii="宋体" w:hAnsi="宋体" w:eastAsia="宋体" w:cs="宋体"/>
          <w:b/>
          <w:bCs/>
          <w:sz w:val="24"/>
          <w:szCs w:val="24"/>
        </w:rPr>
        <w:t>、重点任务分工及时间节点</w:t>
      </w:r>
    </w:p>
    <w:p w14:paraId="70FBD09E">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（一）各类预案制定及风险评估</w:t>
      </w:r>
    </w:p>
    <w:p w14:paraId="1AFAC744">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工作内容：制定赛事总体执行方案、安全风险评估报告；制定安全保卫、消防安全、医疗救护、电力保障、通信保障、观众拥挤踩踏、赛场人员冲突、极端天气、舆情监测与处置等专项应急预案，全部汇编报审、备案印发。</w:t>
      </w:r>
    </w:p>
    <w:p w14:paraId="32CE0AF5">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（二）基础设施改造提升</w:t>
      </w:r>
    </w:p>
    <w:p w14:paraId="63EBEE9B">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工作内容：比赛场地设施检修维护、全域卫生清扫、供电线路检修、双电源备用部署；更衣室、医务室、裁判休息室、运动员休息室、媒体功能室改造完善；划定医疗应急通道、标识标线布设；落实参赛人员、嘉宾住宿点位及配套摸排。</w:t>
      </w:r>
    </w:p>
    <w:p w14:paraId="03F1DA01">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（三）人员招募、政审、定岗及培训</w:t>
      </w:r>
    </w:p>
    <w:p w14:paraId="7DF20695">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工作内容：落实赛事</w:t>
      </w:r>
      <w:r>
        <w:rPr>
          <w:rFonts w:hint="eastAsia" w:ascii="宋体" w:hAnsi="宋体" w:eastAsia="宋体" w:cs="宋体"/>
          <w:sz w:val="24"/>
          <w:szCs w:val="24"/>
          <w:lang w:val="en-US" w:eastAsia="zh-CN"/>
        </w:rPr>
        <w:t>包含但不限于</w:t>
      </w:r>
      <w:r>
        <w:rPr>
          <w:rFonts w:hint="eastAsia" w:ascii="宋体" w:hAnsi="宋体" w:eastAsia="宋体" w:cs="宋体"/>
          <w:sz w:val="24"/>
          <w:szCs w:val="24"/>
        </w:rPr>
        <w:t>工作人员、安保人员、球童、</w:t>
      </w:r>
      <w:r>
        <w:rPr>
          <w:rFonts w:hint="eastAsia" w:ascii="宋体" w:hAnsi="宋体" w:eastAsia="宋体" w:cs="宋体"/>
          <w:sz w:val="24"/>
          <w:szCs w:val="24"/>
          <w:lang w:val="en-US" w:eastAsia="zh-CN"/>
        </w:rPr>
        <w:t>举牌引导员、</w:t>
      </w:r>
      <w:r>
        <w:rPr>
          <w:rFonts w:hint="eastAsia" w:ascii="宋体" w:hAnsi="宋体" w:eastAsia="宋体" w:cs="宋体"/>
          <w:sz w:val="24"/>
          <w:szCs w:val="24"/>
        </w:rPr>
        <w:t>举旗手、礼仪人员、主持人、新闻记者、电力及设备技术保障人员、医务人员、青年志愿者；统筹组织现场观众</w:t>
      </w:r>
      <w:r>
        <w:rPr>
          <w:rFonts w:hint="eastAsia" w:ascii="宋体" w:hAnsi="宋体" w:eastAsia="宋体" w:cs="宋体"/>
          <w:sz w:val="24"/>
          <w:szCs w:val="24"/>
          <w:lang w:val="en-US" w:eastAsia="zh-CN"/>
        </w:rPr>
        <w:t>10000</w:t>
      </w:r>
      <w:r>
        <w:rPr>
          <w:rFonts w:hint="eastAsia" w:ascii="宋体" w:hAnsi="宋体" w:eastAsia="宋体" w:cs="宋体"/>
          <w:sz w:val="24"/>
          <w:szCs w:val="24"/>
        </w:rPr>
        <w:t>人有序组织分流；所有涉赛工作人员全员政审、建档、定岗分工、岗前培训。</w:t>
      </w:r>
    </w:p>
    <w:p w14:paraId="6DD89530">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（四）宣传氛围营造</w:t>
      </w:r>
    </w:p>
    <w:p w14:paraId="6DD5773F">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工作内容：制定整体宣传方案，搭建央媒、自治区、地县融媒体宣传矩阵；开展城市主干道、场馆周边氛围营造，布设道旗、横幅、主题展板；做好赛事预热、全程报道、民族团结主题宣传。</w:t>
      </w:r>
    </w:p>
    <w:p w14:paraId="36408489">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（五）后勤保障及竞赛物资采购</w:t>
      </w:r>
    </w:p>
    <w:p w14:paraId="6931F545">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工作内容：统筹食宿安排、嘉宾及参赛队伍车辆调度、食品安全监管及留样管理；储备赛场饮用水、防暑、医疗及应急物资；采购比赛用球、裁判器材、号码布、工作证、参赛证、奖杯证书、纪念品等竞赛装备。</w:t>
      </w:r>
    </w:p>
    <w:p w14:paraId="18A95636">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（六）参赛报名及资格审核</w:t>
      </w:r>
    </w:p>
    <w:p w14:paraId="47B33930">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工作内容：下发参赛通知、收集队伍报名资料；开展运动员身份、年龄、学籍、健康证明、保险、非职业身份联合审核；建立参赛台账，制作各类证件，印发报到须知。</w:t>
      </w:r>
    </w:p>
    <w:p w14:paraId="793A8195">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（七）开闭幕式及配套活动筹备</w:t>
      </w:r>
    </w:p>
    <w:p w14:paraId="2ED1CA2D">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工作内容：编制开闭幕式流程方案、主持词、领导致辞、节目编排；设计代表队入场、升旗奏乐、民族团结互动、重温誓词、颁奖仪式流程；组织全流程彩排演练。</w:t>
      </w:r>
    </w:p>
    <w:p w14:paraId="03FD194F">
      <w:pPr>
        <w:keepNext w:val="0"/>
        <w:keepLines w:val="0"/>
        <w:pageBreakBefore w:val="0"/>
        <w:kinsoku/>
        <w:wordWrap/>
        <w:overflowPunct/>
        <w:topLinePunct w:val="0"/>
        <w:autoSpaceDE/>
        <w:autoSpaceDN/>
        <w:bidi w:val="0"/>
        <w:adjustRightInd/>
        <w:snapToGrid/>
        <w:spacing w:line="360" w:lineRule="auto"/>
        <w:textAlignment w:val="auto"/>
        <w:rPr>
          <w:rStyle w:val="36"/>
          <w:rFonts w:hint="default" w:ascii="宋体" w:hAnsi="宋体" w:cs="宋体"/>
          <w:b/>
          <w:bCs/>
          <w:kern w:val="0"/>
          <w:sz w:val="24"/>
          <w:szCs w:val="24"/>
          <w:lang w:val="en-US" w:eastAsia="zh-CN" w:bidi="ar"/>
        </w:rPr>
      </w:pPr>
      <w:r>
        <w:rPr>
          <w:rFonts w:hint="eastAsia" w:cs="宋体"/>
          <w:b/>
          <w:bCs/>
          <w:sz w:val="24"/>
          <w:szCs w:val="24"/>
          <w:lang w:val="en-US" w:eastAsia="zh-CN"/>
        </w:rPr>
        <w:t>六</w:t>
      </w:r>
      <w:r>
        <w:rPr>
          <w:rFonts w:hint="eastAsia" w:ascii="宋体" w:hAnsi="宋体" w:eastAsia="宋体" w:cs="宋体"/>
          <w:b/>
          <w:bCs/>
          <w:sz w:val="24"/>
          <w:szCs w:val="24"/>
          <w:lang w:val="en-US" w:eastAsia="zh-CN"/>
        </w:rPr>
        <w:t>、</w:t>
      </w:r>
      <w:r>
        <w:rPr>
          <w:rStyle w:val="36"/>
          <w:rFonts w:hint="default" w:ascii="宋体" w:hAnsi="宋体" w:cs="宋体"/>
          <w:b/>
          <w:bCs/>
          <w:kern w:val="0"/>
          <w:sz w:val="24"/>
          <w:szCs w:val="24"/>
          <w:lang w:val="en-US" w:eastAsia="zh-CN" w:bidi="ar"/>
        </w:rPr>
        <w:t>参赛代表队保障服务(</w:t>
      </w:r>
      <w:r>
        <w:rPr>
          <w:rStyle w:val="36"/>
          <w:rFonts w:hint="eastAsia" w:ascii="宋体" w:hAnsi="宋体" w:cs="宋体"/>
          <w:b/>
          <w:bCs/>
          <w:kern w:val="0"/>
          <w:sz w:val="24"/>
          <w:szCs w:val="24"/>
          <w:lang w:val="en-US" w:eastAsia="zh-CN" w:bidi="ar"/>
        </w:rPr>
        <w:t>30</w:t>
      </w:r>
      <w:r>
        <w:rPr>
          <w:rStyle w:val="36"/>
          <w:rFonts w:hint="default" w:ascii="宋体" w:hAnsi="宋体" w:cs="宋体"/>
          <w:b/>
          <w:bCs/>
          <w:kern w:val="0"/>
          <w:sz w:val="24"/>
          <w:szCs w:val="24"/>
          <w:lang w:val="en-US" w:eastAsia="zh-CN" w:bidi="ar"/>
        </w:rPr>
        <w:t>支队伍，约</w:t>
      </w:r>
      <w:r>
        <w:rPr>
          <w:rStyle w:val="36"/>
          <w:rFonts w:hint="eastAsia" w:ascii="宋体" w:hAnsi="宋体" w:cs="宋体"/>
          <w:b/>
          <w:bCs/>
          <w:kern w:val="0"/>
          <w:sz w:val="24"/>
          <w:szCs w:val="24"/>
          <w:lang w:val="en-US" w:eastAsia="zh-CN" w:bidi="ar"/>
        </w:rPr>
        <w:t>600</w:t>
      </w:r>
      <w:r>
        <w:rPr>
          <w:rStyle w:val="36"/>
          <w:rFonts w:hint="default" w:ascii="宋体" w:hAnsi="宋体" w:cs="宋体"/>
          <w:b/>
          <w:bCs/>
          <w:kern w:val="0"/>
          <w:sz w:val="24"/>
          <w:szCs w:val="24"/>
          <w:lang w:val="en-US" w:eastAsia="zh-CN" w:bidi="ar"/>
        </w:rPr>
        <w:t>人)</w:t>
      </w:r>
    </w:p>
    <w:p w14:paraId="3BFCA8B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Style w:val="36"/>
          <w:rFonts w:hint="default" w:ascii="宋体" w:hAnsi="宋体" w:eastAsia="宋体" w:cs="宋体"/>
          <w:b w:val="0"/>
          <w:bCs w:val="0"/>
          <w:kern w:val="0"/>
          <w:sz w:val="24"/>
          <w:szCs w:val="24"/>
          <w:lang w:val="en-US" w:eastAsia="zh-CN" w:bidi="ar"/>
        </w:rPr>
      </w:pPr>
      <w:r>
        <w:rPr>
          <w:rStyle w:val="36"/>
          <w:rFonts w:hint="eastAsia" w:ascii="宋体" w:hAnsi="宋体" w:cs="宋体"/>
          <w:b w:val="0"/>
          <w:bCs w:val="0"/>
          <w:kern w:val="0"/>
          <w:sz w:val="24"/>
          <w:szCs w:val="24"/>
          <w:lang w:val="en-US" w:eastAsia="zh-CN" w:bidi="ar"/>
        </w:rPr>
        <w:t>(1)</w:t>
      </w:r>
      <w:r>
        <w:rPr>
          <w:rStyle w:val="36"/>
          <w:rFonts w:hint="default" w:ascii="宋体" w:hAnsi="宋体" w:cs="宋体"/>
          <w:b w:val="0"/>
          <w:bCs w:val="0"/>
          <w:kern w:val="0"/>
          <w:sz w:val="24"/>
          <w:szCs w:val="24"/>
          <w:lang w:val="en-US" w:eastAsia="zh-CN" w:bidi="ar"/>
        </w:rPr>
        <w:t>住宿服务:为</w:t>
      </w:r>
      <w:r>
        <w:rPr>
          <w:rStyle w:val="36"/>
          <w:rFonts w:hint="eastAsia" w:ascii="宋体" w:hAnsi="宋体" w:cs="宋体"/>
          <w:b w:val="0"/>
          <w:bCs w:val="0"/>
          <w:kern w:val="0"/>
          <w:sz w:val="24"/>
          <w:szCs w:val="24"/>
          <w:lang w:val="en-US" w:eastAsia="zh-CN" w:bidi="ar"/>
        </w:rPr>
        <w:t>30</w:t>
      </w:r>
      <w:r>
        <w:rPr>
          <w:rStyle w:val="36"/>
          <w:rFonts w:hint="default" w:ascii="宋体" w:hAnsi="宋体" w:cs="宋体"/>
          <w:b w:val="0"/>
          <w:bCs w:val="0"/>
          <w:kern w:val="0"/>
          <w:sz w:val="24"/>
          <w:szCs w:val="24"/>
          <w:lang w:val="en-US" w:eastAsia="zh-CN" w:bidi="ar"/>
        </w:rPr>
        <w:t>支参赛代表队(每支约</w:t>
      </w:r>
      <w:r>
        <w:rPr>
          <w:rStyle w:val="36"/>
          <w:rFonts w:hint="eastAsia" w:ascii="宋体" w:hAnsi="宋体" w:cs="宋体"/>
          <w:b w:val="0"/>
          <w:bCs w:val="0"/>
          <w:kern w:val="0"/>
          <w:sz w:val="24"/>
          <w:szCs w:val="24"/>
          <w:lang w:val="en-US" w:eastAsia="zh-CN" w:bidi="ar"/>
        </w:rPr>
        <w:t>20</w:t>
      </w:r>
      <w:r>
        <w:rPr>
          <w:rStyle w:val="36"/>
          <w:rFonts w:hint="default" w:ascii="宋体" w:hAnsi="宋体" w:cs="宋体"/>
          <w:b w:val="0"/>
          <w:bCs w:val="0"/>
          <w:kern w:val="0"/>
          <w:sz w:val="24"/>
          <w:szCs w:val="24"/>
          <w:lang w:val="en-US" w:eastAsia="zh-CN" w:bidi="ar"/>
        </w:rPr>
        <w:t>人，含运动员、教练员、随队工作人员。住宿需配备</w:t>
      </w:r>
      <w:r>
        <w:rPr>
          <w:rStyle w:val="36"/>
          <w:rFonts w:hint="eastAsia" w:ascii="宋体" w:hAnsi="宋体" w:cs="宋体"/>
          <w:b w:val="0"/>
          <w:bCs w:val="0"/>
          <w:kern w:val="0"/>
          <w:sz w:val="24"/>
          <w:szCs w:val="24"/>
          <w:lang w:val="en-US" w:eastAsia="zh-CN" w:bidi="ar"/>
        </w:rPr>
        <w:t>需不少于</w:t>
      </w:r>
      <w:r>
        <w:rPr>
          <w:rStyle w:val="36"/>
          <w:rFonts w:hint="default" w:ascii="宋体" w:hAnsi="宋体" w:cs="宋体"/>
          <w:b w:val="0"/>
          <w:bCs w:val="0"/>
          <w:kern w:val="0"/>
          <w:sz w:val="24"/>
          <w:szCs w:val="24"/>
          <w:lang w:val="en-US" w:eastAsia="zh-CN" w:bidi="ar"/>
        </w:rPr>
        <w:t>独立卫浴、</w:t>
      </w:r>
      <w:r>
        <w:rPr>
          <w:rStyle w:val="36"/>
          <w:rFonts w:hint="eastAsia" w:ascii="宋体" w:hAnsi="宋体" w:cs="宋体"/>
          <w:b w:val="0"/>
          <w:bCs w:val="0"/>
          <w:kern w:val="0"/>
          <w:sz w:val="24"/>
          <w:szCs w:val="24"/>
          <w:lang w:val="en-US" w:eastAsia="zh-CN" w:bidi="ar"/>
        </w:rPr>
        <w:t>空调扇250台</w:t>
      </w:r>
      <w:r>
        <w:rPr>
          <w:rStyle w:val="36"/>
          <w:rFonts w:hint="eastAsia" w:ascii="宋体" w:hAnsi="宋体" w:eastAsia="宋体" w:cs="宋体"/>
          <w:b w:val="0"/>
          <w:bCs w:val="0"/>
          <w:kern w:val="0"/>
          <w:sz w:val="24"/>
          <w:szCs w:val="24"/>
          <w:lang w:val="en-US" w:eastAsia="zh-CN" w:bidi="ar"/>
        </w:rPr>
        <w:t>（</w:t>
      </w:r>
      <w:r>
        <w:rPr>
          <w:rStyle w:val="36"/>
          <w:rFonts w:hint="default" w:ascii="宋体" w:hAnsi="宋体" w:eastAsia="宋体" w:cs="宋体"/>
          <w:b w:val="0"/>
          <w:bCs w:val="0"/>
          <w:kern w:val="0"/>
          <w:sz w:val="24"/>
          <w:szCs w:val="24"/>
          <w:lang w:val="en-US" w:eastAsia="zh-CN" w:bidi="ar"/>
        </w:rPr>
        <w:t>且必须符合以下现行有效国家标准并通过 3C 强制性认证：</w:t>
      </w:r>
    </w:p>
    <w:p w14:paraId="14F077D6">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right="0" w:rightChars="0"/>
        <w:jc w:val="left"/>
        <w:rPr>
          <w:rStyle w:val="36"/>
          <w:rFonts w:hint="default" w:ascii="宋体" w:hAnsi="宋体" w:cs="宋体"/>
          <w:b w:val="0"/>
          <w:bCs w:val="0"/>
          <w:kern w:val="0"/>
          <w:sz w:val="24"/>
          <w:szCs w:val="24"/>
          <w:lang w:val="en-US" w:eastAsia="zh-CN" w:bidi="ar"/>
        </w:rPr>
      </w:pPr>
      <w:r>
        <w:rPr>
          <w:rStyle w:val="36"/>
          <w:rFonts w:hint="default" w:ascii="宋体" w:hAnsi="宋体" w:eastAsia="宋体" w:cs="宋体"/>
          <w:b w:val="0"/>
          <w:bCs w:val="0"/>
          <w:kern w:val="0"/>
          <w:sz w:val="24"/>
          <w:szCs w:val="24"/>
          <w:lang w:val="en-US" w:eastAsia="zh-CN" w:bidi="ar"/>
        </w:rPr>
        <w:t>GB/T 23333-2024《蒸发式冷风扇》（产品通用要求）全国标准信息公共服务平台；GB/T 4706.1-2024《家用和类似用途电器的安全 第 1 部分：通用要求》（安全通用要求）；GB/T 4706.115-2024《家用和类似用途电器的安全 第 115 部分：蒸发式冷风扇的特殊要求》（蒸发式冷风扇专用安全要求）国家认证认可监督管理委员会；GB 4343.1《家用电器、电动工具和类似器具的电磁兼容 第 1 部分：发射》</w:t>
      </w:r>
      <w:r>
        <w:rPr>
          <w:rStyle w:val="36"/>
          <w:rFonts w:hint="eastAsia" w:ascii="宋体" w:hAnsi="宋体" w:cs="宋体"/>
          <w:b w:val="0"/>
          <w:bCs w:val="0"/>
          <w:kern w:val="0"/>
          <w:sz w:val="24"/>
          <w:szCs w:val="24"/>
          <w:lang w:val="en-US" w:eastAsia="zh-CN" w:bidi="ar"/>
        </w:rPr>
        <w:t>）</w:t>
      </w:r>
      <w:r>
        <w:rPr>
          <w:rStyle w:val="36"/>
          <w:rFonts w:hint="default" w:ascii="宋体" w:hAnsi="宋体" w:cs="宋体"/>
          <w:b w:val="0"/>
          <w:bCs w:val="0"/>
          <w:kern w:val="0"/>
          <w:sz w:val="24"/>
          <w:szCs w:val="24"/>
          <w:lang w:val="en-US" w:eastAsia="zh-CN" w:bidi="ar"/>
        </w:rPr>
        <w:t>、24小时热水、洗衣服务，每支队伍安排2名随车志愿者(讲解员)，保障住宿期间问题即时响应。</w:t>
      </w:r>
    </w:p>
    <w:p w14:paraId="0E639C14">
      <w:pPr>
        <w:pStyle w:val="10"/>
        <w:ind w:left="0" w:leftChars="0" w:firstLine="0" w:firstLineChars="0"/>
        <w:rPr>
          <w:rStyle w:val="36"/>
          <w:rFonts w:hint="default" w:ascii="宋体" w:hAnsi="宋体" w:cs="宋体"/>
          <w:b w:val="0"/>
          <w:bCs w:val="0"/>
          <w:kern w:val="0"/>
          <w:sz w:val="24"/>
          <w:szCs w:val="24"/>
          <w:lang w:val="en-US" w:eastAsia="zh-CN" w:bidi="ar"/>
        </w:rPr>
      </w:pPr>
      <w:r>
        <w:rPr>
          <w:rStyle w:val="36"/>
          <w:rFonts w:hint="eastAsia" w:ascii="宋体" w:hAnsi="宋体" w:cs="宋体"/>
          <w:b w:val="0"/>
          <w:bCs w:val="0"/>
          <w:kern w:val="0"/>
          <w:sz w:val="24"/>
          <w:szCs w:val="24"/>
          <w:lang w:val="en-US" w:eastAsia="zh-CN" w:bidi="ar"/>
        </w:rPr>
        <w:t>(2)</w:t>
      </w:r>
      <w:r>
        <w:rPr>
          <w:rStyle w:val="36"/>
          <w:rFonts w:hint="default" w:ascii="宋体" w:hAnsi="宋体" w:cs="宋体"/>
          <w:b w:val="0"/>
          <w:bCs w:val="0"/>
          <w:kern w:val="0"/>
          <w:sz w:val="24"/>
          <w:szCs w:val="24"/>
          <w:lang w:val="en-US" w:eastAsia="zh-CN" w:bidi="ar"/>
        </w:rPr>
        <w:t>餐饮服务:按</w:t>
      </w:r>
      <w:r>
        <w:rPr>
          <w:rStyle w:val="36"/>
          <w:rFonts w:hint="eastAsia" w:ascii="宋体" w:hAnsi="宋体" w:cs="宋体"/>
          <w:b w:val="0"/>
          <w:bCs w:val="0"/>
          <w:kern w:val="0"/>
          <w:sz w:val="24"/>
          <w:szCs w:val="24"/>
          <w:lang w:val="en-US" w:eastAsia="zh-CN" w:bidi="ar"/>
        </w:rPr>
        <w:t>30</w:t>
      </w:r>
      <w:r>
        <w:rPr>
          <w:rStyle w:val="36"/>
          <w:rFonts w:hint="default" w:ascii="宋体" w:hAnsi="宋体" w:cs="宋体"/>
          <w:b w:val="0"/>
          <w:bCs w:val="0"/>
          <w:kern w:val="0"/>
          <w:sz w:val="24"/>
          <w:szCs w:val="24"/>
          <w:lang w:val="en-US" w:eastAsia="zh-CN" w:bidi="ar"/>
        </w:rPr>
        <w:t>支队伍、约</w:t>
      </w:r>
      <w:r>
        <w:rPr>
          <w:rStyle w:val="36"/>
          <w:rFonts w:hint="eastAsia" w:ascii="宋体" w:hAnsi="宋体" w:cs="宋体"/>
          <w:b w:val="0"/>
          <w:bCs w:val="0"/>
          <w:kern w:val="0"/>
          <w:sz w:val="24"/>
          <w:szCs w:val="24"/>
          <w:lang w:val="en-US" w:eastAsia="zh-CN" w:bidi="ar"/>
        </w:rPr>
        <w:t>600</w:t>
      </w:r>
      <w:r>
        <w:rPr>
          <w:rStyle w:val="36"/>
          <w:rFonts w:hint="default" w:ascii="宋体" w:hAnsi="宋体" w:cs="宋体"/>
          <w:b w:val="0"/>
          <w:bCs w:val="0"/>
          <w:kern w:val="0"/>
          <w:sz w:val="24"/>
          <w:szCs w:val="24"/>
          <w:lang w:val="en-US" w:eastAsia="zh-CN" w:bidi="ar"/>
        </w:rPr>
        <w:t>人、</w:t>
      </w:r>
      <w:r>
        <w:rPr>
          <w:rStyle w:val="36"/>
          <w:rFonts w:hint="eastAsia" w:ascii="宋体" w:hAnsi="宋体" w:cs="宋体"/>
          <w:b w:val="0"/>
          <w:bCs w:val="0"/>
          <w:kern w:val="0"/>
          <w:sz w:val="24"/>
          <w:szCs w:val="24"/>
          <w:lang w:val="en-US" w:eastAsia="zh-CN" w:bidi="ar"/>
        </w:rPr>
        <w:t>7</w:t>
      </w:r>
      <w:r>
        <w:rPr>
          <w:rStyle w:val="36"/>
          <w:rFonts w:hint="default" w:ascii="宋体" w:hAnsi="宋体" w:cs="宋体"/>
          <w:b w:val="0"/>
          <w:bCs w:val="0"/>
          <w:kern w:val="0"/>
          <w:sz w:val="24"/>
          <w:szCs w:val="24"/>
          <w:lang w:val="en-US" w:eastAsia="zh-CN" w:bidi="ar"/>
        </w:rPr>
        <w:t>天</w:t>
      </w:r>
      <w:r>
        <w:rPr>
          <w:rStyle w:val="36"/>
          <w:rFonts w:hint="eastAsia" w:ascii="宋体" w:hAnsi="宋体" w:cs="宋体"/>
          <w:b w:val="0"/>
          <w:bCs w:val="0"/>
          <w:kern w:val="0"/>
          <w:sz w:val="24"/>
          <w:szCs w:val="24"/>
          <w:lang w:val="en-US" w:eastAsia="zh-CN" w:bidi="ar"/>
        </w:rPr>
        <w:t>（具体天数以项目执行实际为主）</w:t>
      </w:r>
      <w:r>
        <w:rPr>
          <w:rStyle w:val="36"/>
          <w:rFonts w:hint="default" w:ascii="宋体" w:hAnsi="宋体" w:cs="宋体"/>
          <w:b w:val="0"/>
          <w:bCs w:val="0"/>
          <w:kern w:val="0"/>
          <w:sz w:val="24"/>
          <w:szCs w:val="24"/>
          <w:lang w:val="en-US" w:eastAsia="zh-CN" w:bidi="ar"/>
        </w:rPr>
        <w:t>标准提供早中晚三餐。餐饮需取得《食品经营许可证》，通过食品安全抽检，每日提供</w:t>
      </w:r>
      <w:r>
        <w:rPr>
          <w:rStyle w:val="36"/>
          <w:rFonts w:hint="eastAsia" w:ascii="宋体" w:hAnsi="宋体" w:cs="宋体"/>
          <w:b w:val="0"/>
          <w:bCs w:val="0"/>
          <w:kern w:val="0"/>
          <w:sz w:val="24"/>
          <w:szCs w:val="24"/>
          <w:lang w:val="en-US" w:eastAsia="zh-CN" w:bidi="ar"/>
        </w:rPr>
        <w:t>餐饮需做到营养均衡</w:t>
      </w:r>
      <w:r>
        <w:rPr>
          <w:rStyle w:val="36"/>
          <w:rFonts w:hint="default" w:ascii="宋体" w:hAnsi="宋体" w:cs="宋体"/>
          <w:b w:val="0"/>
          <w:bCs w:val="0"/>
          <w:kern w:val="0"/>
          <w:sz w:val="24"/>
          <w:szCs w:val="24"/>
          <w:lang w:val="en-US" w:eastAsia="zh-CN" w:bidi="ar"/>
        </w:rPr>
        <w:t>。</w:t>
      </w:r>
    </w:p>
    <w:p w14:paraId="644867D4">
      <w:pPr>
        <w:pStyle w:val="10"/>
        <w:ind w:left="0" w:leftChars="0" w:firstLine="0" w:firstLineChars="0"/>
        <w:rPr>
          <w:rStyle w:val="36"/>
          <w:rFonts w:hint="default" w:ascii="宋体" w:hAnsi="宋体" w:cs="宋体"/>
          <w:b w:val="0"/>
          <w:bCs w:val="0"/>
          <w:kern w:val="0"/>
          <w:sz w:val="24"/>
          <w:szCs w:val="24"/>
          <w:lang w:val="en-US" w:eastAsia="zh-CN" w:bidi="ar"/>
        </w:rPr>
      </w:pPr>
      <w:r>
        <w:rPr>
          <w:rStyle w:val="36"/>
          <w:rFonts w:hint="eastAsia" w:ascii="宋体" w:hAnsi="宋体" w:cs="宋体"/>
          <w:b w:val="0"/>
          <w:bCs w:val="0"/>
          <w:kern w:val="0"/>
          <w:sz w:val="24"/>
          <w:szCs w:val="24"/>
          <w:lang w:val="en-US" w:eastAsia="zh-CN" w:bidi="ar"/>
        </w:rPr>
        <w:t>(3)</w:t>
      </w:r>
      <w:r>
        <w:rPr>
          <w:rStyle w:val="36"/>
          <w:rFonts w:hint="default" w:ascii="宋体" w:hAnsi="宋体" w:cs="宋体"/>
          <w:b w:val="0"/>
          <w:bCs w:val="0"/>
          <w:kern w:val="0"/>
          <w:sz w:val="24"/>
          <w:szCs w:val="24"/>
          <w:lang w:val="en-US" w:eastAsia="zh-CN" w:bidi="ar"/>
        </w:rPr>
        <w:t>交通服务:为</w:t>
      </w:r>
      <w:r>
        <w:rPr>
          <w:rStyle w:val="36"/>
          <w:rFonts w:hint="eastAsia" w:ascii="宋体" w:hAnsi="宋体" w:cs="宋体"/>
          <w:b w:val="0"/>
          <w:bCs w:val="0"/>
          <w:kern w:val="0"/>
          <w:sz w:val="24"/>
          <w:szCs w:val="24"/>
          <w:lang w:val="en-US" w:eastAsia="zh-CN" w:bidi="ar"/>
        </w:rPr>
        <w:t>30</w:t>
      </w:r>
      <w:r>
        <w:rPr>
          <w:rStyle w:val="36"/>
          <w:rFonts w:hint="default" w:ascii="宋体" w:hAnsi="宋体" w:cs="宋体"/>
          <w:b w:val="0"/>
          <w:bCs w:val="0"/>
          <w:kern w:val="0"/>
          <w:sz w:val="24"/>
          <w:szCs w:val="24"/>
          <w:lang w:val="en-US" w:eastAsia="zh-CN" w:bidi="ar"/>
        </w:rPr>
        <w:t>支队伍配置</w:t>
      </w:r>
      <w:r>
        <w:rPr>
          <w:rStyle w:val="36"/>
          <w:rFonts w:hint="eastAsia" w:ascii="宋体" w:hAnsi="宋体" w:cs="宋体"/>
          <w:b w:val="0"/>
          <w:bCs w:val="0"/>
          <w:kern w:val="0"/>
          <w:sz w:val="24"/>
          <w:szCs w:val="24"/>
          <w:lang w:val="en-US" w:eastAsia="zh-CN" w:bidi="ar"/>
        </w:rPr>
        <w:t>不少于7</w:t>
      </w:r>
      <w:r>
        <w:rPr>
          <w:rStyle w:val="36"/>
          <w:rFonts w:hint="default" w:ascii="宋体" w:hAnsi="宋体" w:cs="宋体"/>
          <w:b w:val="0"/>
          <w:bCs w:val="0"/>
          <w:kern w:val="0"/>
          <w:sz w:val="24"/>
          <w:szCs w:val="24"/>
          <w:lang w:val="en-US" w:eastAsia="zh-CN" w:bidi="ar"/>
        </w:rPr>
        <w:t>天</w:t>
      </w:r>
      <w:r>
        <w:rPr>
          <w:rStyle w:val="36"/>
          <w:rFonts w:hint="eastAsia" w:ascii="宋体" w:hAnsi="宋体" w:cs="宋体"/>
          <w:b w:val="0"/>
          <w:bCs w:val="0"/>
          <w:kern w:val="0"/>
          <w:sz w:val="24"/>
          <w:szCs w:val="24"/>
          <w:lang w:val="en-US" w:eastAsia="zh-CN" w:bidi="ar"/>
        </w:rPr>
        <w:t>（时间以实际为准）</w:t>
      </w:r>
      <w:r>
        <w:rPr>
          <w:rStyle w:val="36"/>
          <w:rFonts w:hint="default" w:ascii="宋体" w:hAnsi="宋体" w:cs="宋体"/>
          <w:b w:val="0"/>
          <w:bCs w:val="0"/>
          <w:kern w:val="0"/>
          <w:sz w:val="24"/>
          <w:szCs w:val="24"/>
          <w:lang w:val="en-US" w:eastAsia="zh-CN" w:bidi="ar"/>
        </w:rPr>
        <w:t>专属交通车辆，额外配备3辆备用车辆(应对突发故障)</w:t>
      </w:r>
      <w:r>
        <w:rPr>
          <w:rStyle w:val="36"/>
          <w:rFonts w:hint="eastAsia" w:ascii="宋体" w:hAnsi="宋体" w:cs="宋体"/>
          <w:b w:val="0"/>
          <w:bCs w:val="0"/>
          <w:kern w:val="0"/>
          <w:sz w:val="24"/>
          <w:szCs w:val="24"/>
          <w:lang w:val="en-US" w:eastAsia="zh-CN" w:bidi="ar"/>
        </w:rPr>
        <w:t>，再额外按需配备临时机动商务车5 辆，（车辆数量可根据采购人实际使用需求进行调整）。所有车辆须符合国家机动车安全技术标准、现行机动车排放标准及上路行驶相关法律法规要求</w:t>
      </w:r>
      <w:r>
        <w:rPr>
          <w:rStyle w:val="36"/>
          <w:rFonts w:hint="default" w:ascii="宋体" w:hAnsi="宋体" w:cs="宋体"/>
          <w:b w:val="0"/>
          <w:bCs w:val="0"/>
          <w:kern w:val="0"/>
          <w:sz w:val="24"/>
          <w:szCs w:val="24"/>
          <w:lang w:val="en-US" w:eastAsia="zh-CN" w:bidi="ar"/>
        </w:rPr>
        <w:t>。</w:t>
      </w:r>
      <w:r>
        <w:rPr>
          <w:rStyle w:val="36"/>
          <w:rFonts w:hint="eastAsia" w:ascii="宋体" w:hAnsi="宋体" w:cs="宋体"/>
          <w:b w:val="0"/>
          <w:bCs w:val="0"/>
          <w:kern w:val="0"/>
          <w:sz w:val="24"/>
          <w:szCs w:val="24"/>
          <w:lang w:val="en-US" w:eastAsia="zh-CN" w:bidi="ar"/>
        </w:rPr>
        <w:t>每辆</w:t>
      </w:r>
      <w:r>
        <w:rPr>
          <w:rStyle w:val="36"/>
          <w:rFonts w:hint="default" w:ascii="宋体" w:hAnsi="宋体" w:cs="宋体"/>
          <w:b w:val="0"/>
          <w:bCs w:val="0"/>
          <w:kern w:val="0"/>
          <w:sz w:val="24"/>
          <w:szCs w:val="24"/>
          <w:lang w:val="en-US" w:eastAsia="zh-CN" w:bidi="ar"/>
        </w:rPr>
        <w:t>车辆需具备</w:t>
      </w:r>
      <w:r>
        <w:rPr>
          <w:rStyle w:val="36"/>
          <w:rFonts w:hint="eastAsia" w:ascii="宋体" w:hAnsi="宋体" w:cs="宋体"/>
          <w:b w:val="0"/>
          <w:bCs w:val="0"/>
          <w:kern w:val="0"/>
          <w:sz w:val="24"/>
          <w:szCs w:val="24"/>
          <w:lang w:val="en-US" w:eastAsia="zh-CN" w:bidi="ar"/>
        </w:rPr>
        <w:t>司机及</w:t>
      </w:r>
      <w:r>
        <w:rPr>
          <w:rStyle w:val="36"/>
          <w:rFonts w:hint="default" w:ascii="宋体" w:hAnsi="宋体" w:cs="宋体"/>
          <w:b w:val="0"/>
          <w:bCs w:val="0"/>
          <w:kern w:val="0"/>
          <w:sz w:val="24"/>
          <w:szCs w:val="24"/>
          <w:lang w:val="en-US" w:eastAsia="zh-CN" w:bidi="ar"/>
        </w:rPr>
        <w:t>省际运营资质、近1年无重大事故记录，驾驶员熟悉5个比赛场地+1个主会场路线，持证上岗，每日提前30分钟抵达住宿地，全程配备行车记录仪，严格执行“一人一座、系安全带”规定。</w:t>
      </w:r>
    </w:p>
    <w:p w14:paraId="66932F39">
      <w:pPr>
        <w:pStyle w:val="10"/>
        <w:ind w:left="0" w:leftChars="0" w:firstLine="0" w:firstLineChars="0"/>
        <w:rPr>
          <w:rStyle w:val="36"/>
          <w:rFonts w:hint="default" w:ascii="宋体" w:hAnsi="宋体" w:cs="宋体"/>
          <w:b/>
          <w:bCs/>
          <w:kern w:val="0"/>
          <w:sz w:val="24"/>
          <w:szCs w:val="24"/>
          <w:lang w:val="en-US" w:eastAsia="zh-CN" w:bidi="ar"/>
        </w:rPr>
      </w:pPr>
      <w:r>
        <w:rPr>
          <w:rStyle w:val="36"/>
          <w:rFonts w:hint="eastAsia" w:ascii="宋体" w:hAnsi="宋体" w:cs="宋体"/>
          <w:b/>
          <w:bCs/>
          <w:kern w:val="0"/>
          <w:sz w:val="24"/>
          <w:szCs w:val="24"/>
          <w:lang w:val="en-US" w:eastAsia="zh-CN" w:bidi="ar"/>
        </w:rPr>
        <w:t>七、</w:t>
      </w:r>
      <w:r>
        <w:rPr>
          <w:rStyle w:val="36"/>
          <w:rFonts w:hint="default" w:ascii="宋体" w:hAnsi="宋体" w:cs="宋体"/>
          <w:b/>
          <w:bCs/>
          <w:kern w:val="0"/>
          <w:sz w:val="24"/>
          <w:szCs w:val="24"/>
          <w:lang w:val="en-US" w:eastAsia="zh-CN" w:bidi="ar"/>
        </w:rPr>
        <w:t>其他参与人员保障服务</w:t>
      </w:r>
    </w:p>
    <w:p w14:paraId="74D9A67E">
      <w:pPr>
        <w:pStyle w:val="10"/>
        <w:ind w:left="0" w:leftChars="0" w:firstLine="0" w:firstLineChars="0"/>
        <w:rPr>
          <w:rStyle w:val="36"/>
          <w:rFonts w:hint="default" w:ascii="宋体" w:hAnsi="宋体" w:cs="宋体"/>
          <w:b/>
          <w:bCs/>
          <w:kern w:val="0"/>
          <w:sz w:val="24"/>
          <w:szCs w:val="24"/>
          <w:lang w:val="en-US" w:eastAsia="zh-CN" w:bidi="ar"/>
        </w:rPr>
      </w:pPr>
      <w:r>
        <w:rPr>
          <w:rStyle w:val="36"/>
          <w:rFonts w:hint="default" w:ascii="宋体" w:hAnsi="宋体" w:cs="宋体"/>
          <w:b/>
          <w:bCs/>
          <w:kern w:val="0"/>
          <w:sz w:val="24"/>
          <w:szCs w:val="24"/>
          <w:lang w:val="en-US" w:eastAsia="zh-CN" w:bidi="ar"/>
        </w:rPr>
        <w:t>(一)裁判员保障(60名，适配</w:t>
      </w:r>
      <w:r>
        <w:rPr>
          <w:rStyle w:val="36"/>
          <w:rFonts w:hint="eastAsia" w:ascii="宋体" w:hAnsi="宋体" w:cs="宋体"/>
          <w:b/>
          <w:bCs/>
          <w:kern w:val="0"/>
          <w:sz w:val="24"/>
          <w:szCs w:val="24"/>
          <w:lang w:val="en-US" w:eastAsia="zh-CN" w:bidi="ar"/>
        </w:rPr>
        <w:t>30</w:t>
      </w:r>
      <w:r>
        <w:rPr>
          <w:rStyle w:val="36"/>
          <w:rFonts w:hint="default" w:ascii="宋体" w:hAnsi="宋体" w:cs="宋体"/>
          <w:b/>
          <w:bCs/>
          <w:kern w:val="0"/>
          <w:sz w:val="24"/>
          <w:szCs w:val="24"/>
          <w:lang w:val="en-US" w:eastAsia="zh-CN" w:bidi="ar"/>
        </w:rPr>
        <w:t>支队伍+5个场地)</w:t>
      </w:r>
    </w:p>
    <w:p w14:paraId="62F6DBDC">
      <w:pPr>
        <w:pStyle w:val="10"/>
        <w:ind w:left="0" w:leftChars="0" w:firstLine="0" w:firstLineChars="0"/>
        <w:rPr>
          <w:rStyle w:val="36"/>
          <w:rFonts w:hint="default" w:ascii="宋体" w:hAnsi="宋体" w:cs="宋体"/>
          <w:b w:val="0"/>
          <w:bCs w:val="0"/>
          <w:kern w:val="0"/>
          <w:sz w:val="24"/>
          <w:szCs w:val="24"/>
          <w:lang w:val="en-US" w:eastAsia="zh-CN" w:bidi="ar"/>
        </w:rPr>
      </w:pPr>
      <w:r>
        <w:rPr>
          <w:rStyle w:val="36"/>
          <w:rFonts w:hint="eastAsia" w:ascii="宋体" w:hAnsi="宋体" w:cs="宋体"/>
          <w:b w:val="0"/>
          <w:bCs w:val="0"/>
          <w:kern w:val="0"/>
          <w:sz w:val="24"/>
          <w:szCs w:val="24"/>
          <w:lang w:val="en-US" w:eastAsia="zh-CN" w:bidi="ar"/>
        </w:rPr>
        <w:t>（1）</w:t>
      </w:r>
      <w:r>
        <w:rPr>
          <w:rStyle w:val="36"/>
          <w:rFonts w:hint="default" w:ascii="宋体" w:hAnsi="宋体" w:cs="宋体"/>
          <w:b w:val="0"/>
          <w:bCs w:val="0"/>
          <w:kern w:val="0"/>
          <w:sz w:val="24"/>
          <w:szCs w:val="24"/>
          <w:lang w:val="en-US" w:eastAsia="zh-CN" w:bidi="ar"/>
        </w:rPr>
        <w:t>住宿服务:60名裁判员分批次安排住宿(主会场周边酒店)，2人/标准间，房间配备</w:t>
      </w:r>
      <w:r>
        <w:rPr>
          <w:rStyle w:val="36"/>
          <w:rFonts w:hint="eastAsia" w:ascii="宋体" w:hAnsi="宋体" w:cs="宋体"/>
          <w:b w:val="0"/>
          <w:bCs w:val="0"/>
          <w:kern w:val="0"/>
          <w:sz w:val="24"/>
          <w:szCs w:val="24"/>
          <w:lang w:val="en-US" w:eastAsia="zh-CN" w:bidi="ar"/>
        </w:rPr>
        <w:t>不少于</w:t>
      </w:r>
      <w:r>
        <w:rPr>
          <w:rStyle w:val="36"/>
          <w:rFonts w:hint="default" w:ascii="宋体" w:hAnsi="宋体" w:cs="宋体"/>
          <w:b w:val="0"/>
          <w:bCs w:val="0"/>
          <w:kern w:val="0"/>
          <w:sz w:val="24"/>
          <w:szCs w:val="24"/>
          <w:lang w:val="en-US" w:eastAsia="zh-CN" w:bidi="ar"/>
        </w:rPr>
        <w:t>办公桌椅、高速网络(便于撰写判罚报告)，住区域实行封闭管理，配备安保</w:t>
      </w:r>
      <w:r>
        <w:rPr>
          <w:rStyle w:val="36"/>
          <w:rFonts w:hint="eastAsia" w:ascii="宋体" w:hAnsi="宋体" w:cs="宋体"/>
          <w:b w:val="0"/>
          <w:bCs w:val="0"/>
          <w:kern w:val="0"/>
          <w:sz w:val="24"/>
          <w:szCs w:val="24"/>
          <w:lang w:val="en-US" w:eastAsia="zh-CN" w:bidi="ar"/>
        </w:rPr>
        <w:t>人员</w:t>
      </w:r>
      <w:r>
        <w:rPr>
          <w:rStyle w:val="36"/>
          <w:rFonts w:hint="default" w:ascii="宋体" w:hAnsi="宋体" w:cs="宋体"/>
          <w:b w:val="0"/>
          <w:bCs w:val="0"/>
          <w:kern w:val="0"/>
          <w:sz w:val="24"/>
          <w:szCs w:val="24"/>
          <w:lang w:val="en-US" w:eastAsia="zh-CN" w:bidi="ar"/>
        </w:rPr>
        <w:t>。</w:t>
      </w:r>
    </w:p>
    <w:p w14:paraId="15F733CF">
      <w:pPr>
        <w:pStyle w:val="10"/>
        <w:ind w:left="0" w:leftChars="0" w:firstLine="0" w:firstLineChars="0"/>
        <w:rPr>
          <w:rStyle w:val="36"/>
          <w:rFonts w:hint="default" w:ascii="宋体" w:hAnsi="宋体" w:cs="宋体"/>
          <w:b w:val="0"/>
          <w:bCs w:val="0"/>
          <w:kern w:val="0"/>
          <w:sz w:val="24"/>
          <w:szCs w:val="24"/>
          <w:lang w:val="en-US" w:eastAsia="zh-CN" w:bidi="ar"/>
        </w:rPr>
      </w:pPr>
      <w:r>
        <w:rPr>
          <w:rStyle w:val="36"/>
          <w:rFonts w:hint="eastAsia" w:ascii="宋体" w:hAnsi="宋体" w:cs="宋体"/>
          <w:b w:val="0"/>
          <w:bCs w:val="0"/>
          <w:kern w:val="0"/>
          <w:sz w:val="24"/>
          <w:szCs w:val="24"/>
          <w:lang w:val="en-US" w:eastAsia="zh-CN" w:bidi="ar"/>
        </w:rPr>
        <w:t>（2）</w:t>
      </w:r>
      <w:r>
        <w:rPr>
          <w:rStyle w:val="36"/>
          <w:rFonts w:hint="default" w:ascii="宋体" w:hAnsi="宋体" w:cs="宋体"/>
          <w:b w:val="0"/>
          <w:bCs w:val="0"/>
          <w:kern w:val="0"/>
          <w:sz w:val="24"/>
          <w:szCs w:val="24"/>
          <w:lang w:val="en-US" w:eastAsia="zh-CN" w:bidi="ar"/>
        </w:rPr>
        <w:t>餐饮服务:60名裁判员</w:t>
      </w:r>
      <w:r>
        <w:rPr>
          <w:rStyle w:val="36"/>
          <w:rFonts w:hint="eastAsia" w:ascii="宋体" w:hAnsi="宋体" w:cs="宋体"/>
          <w:b w:val="0"/>
          <w:bCs w:val="0"/>
          <w:kern w:val="0"/>
          <w:sz w:val="24"/>
          <w:szCs w:val="24"/>
          <w:lang w:val="en-US" w:eastAsia="zh-CN" w:bidi="ar"/>
        </w:rPr>
        <w:t>7</w:t>
      </w:r>
      <w:r>
        <w:rPr>
          <w:rStyle w:val="36"/>
          <w:rFonts w:hint="default" w:ascii="宋体" w:hAnsi="宋体" w:cs="宋体"/>
          <w:b w:val="0"/>
          <w:bCs w:val="0"/>
          <w:kern w:val="0"/>
          <w:sz w:val="24"/>
          <w:szCs w:val="24"/>
          <w:lang w:val="en-US" w:eastAsia="zh-CN" w:bidi="ar"/>
        </w:rPr>
        <w:t>天三餐</w:t>
      </w:r>
      <w:r>
        <w:rPr>
          <w:rStyle w:val="36"/>
          <w:rFonts w:hint="eastAsia" w:ascii="宋体" w:hAnsi="宋体" w:cs="宋体"/>
          <w:b w:val="0"/>
          <w:bCs w:val="0"/>
          <w:kern w:val="0"/>
          <w:sz w:val="24"/>
          <w:szCs w:val="24"/>
          <w:lang w:val="en-US" w:eastAsia="zh-CN" w:bidi="ar"/>
        </w:rPr>
        <w:t>（以实际情况为准）</w:t>
      </w:r>
      <w:r>
        <w:rPr>
          <w:rStyle w:val="36"/>
          <w:rFonts w:hint="default" w:ascii="宋体" w:hAnsi="宋体" w:cs="宋体"/>
          <w:b w:val="0"/>
          <w:bCs w:val="0"/>
          <w:kern w:val="0"/>
          <w:sz w:val="24"/>
          <w:szCs w:val="24"/>
          <w:lang w:val="en-US" w:eastAsia="zh-CN" w:bidi="ar"/>
        </w:rPr>
        <w:t>。</w:t>
      </w:r>
    </w:p>
    <w:p w14:paraId="296ECE48">
      <w:pPr>
        <w:pStyle w:val="10"/>
        <w:ind w:left="0" w:leftChars="0" w:firstLine="0" w:firstLineChars="0"/>
        <w:rPr>
          <w:rStyle w:val="36"/>
          <w:rFonts w:hint="default" w:ascii="宋体" w:hAnsi="宋体" w:cs="宋体"/>
          <w:b w:val="0"/>
          <w:bCs w:val="0"/>
          <w:kern w:val="0"/>
          <w:sz w:val="24"/>
          <w:szCs w:val="24"/>
          <w:lang w:val="en-US" w:eastAsia="zh-CN" w:bidi="ar"/>
        </w:rPr>
      </w:pPr>
      <w:r>
        <w:rPr>
          <w:rStyle w:val="36"/>
          <w:rFonts w:hint="eastAsia" w:ascii="宋体" w:hAnsi="宋体" w:cs="宋体"/>
          <w:b w:val="0"/>
          <w:bCs w:val="0"/>
          <w:kern w:val="0"/>
          <w:sz w:val="24"/>
          <w:szCs w:val="24"/>
          <w:lang w:val="en-US" w:eastAsia="zh-CN" w:bidi="ar"/>
        </w:rPr>
        <w:t>（3）</w:t>
      </w:r>
      <w:r>
        <w:rPr>
          <w:rStyle w:val="36"/>
          <w:rFonts w:hint="default" w:ascii="宋体" w:hAnsi="宋体" w:cs="宋体"/>
          <w:b w:val="0"/>
          <w:bCs w:val="0"/>
          <w:kern w:val="0"/>
          <w:sz w:val="24"/>
          <w:szCs w:val="24"/>
          <w:lang w:val="en-US" w:eastAsia="zh-CN" w:bidi="ar"/>
        </w:rPr>
        <w:t>劳务报酬:按自治区体育局《体育赛事裁判员薪酬标准》执行，发放周期为赛事结束后3个工作日内，提供税前/税后两种结算选项，附带薪酬明细表。</w:t>
      </w:r>
    </w:p>
    <w:p w14:paraId="23C2E3E1">
      <w:pPr>
        <w:pStyle w:val="10"/>
        <w:ind w:left="0" w:leftChars="0" w:firstLine="0" w:firstLineChars="0"/>
        <w:rPr>
          <w:rStyle w:val="36"/>
          <w:rFonts w:hint="default" w:ascii="宋体" w:hAnsi="宋体" w:cs="宋体"/>
          <w:b w:val="0"/>
          <w:bCs w:val="0"/>
          <w:kern w:val="0"/>
          <w:sz w:val="24"/>
          <w:szCs w:val="24"/>
          <w:lang w:val="en-US" w:eastAsia="zh-CN" w:bidi="ar"/>
        </w:rPr>
      </w:pPr>
      <w:r>
        <w:rPr>
          <w:rStyle w:val="36"/>
          <w:rFonts w:hint="eastAsia" w:ascii="宋体" w:hAnsi="宋体" w:cs="宋体"/>
          <w:b w:val="0"/>
          <w:bCs w:val="0"/>
          <w:kern w:val="0"/>
          <w:sz w:val="24"/>
          <w:szCs w:val="24"/>
          <w:lang w:val="en-US" w:eastAsia="zh-CN" w:bidi="ar"/>
        </w:rPr>
        <w:t>（4）</w:t>
      </w:r>
      <w:r>
        <w:rPr>
          <w:rStyle w:val="36"/>
          <w:rFonts w:hint="default" w:ascii="宋体" w:hAnsi="宋体" w:cs="宋体"/>
          <w:b w:val="0"/>
          <w:bCs w:val="0"/>
          <w:kern w:val="0"/>
          <w:sz w:val="24"/>
          <w:szCs w:val="24"/>
          <w:lang w:val="en-US" w:eastAsia="zh-CN" w:bidi="ar"/>
        </w:rPr>
        <w:t>交通服务:提供“点对点”接送(机场/</w:t>
      </w:r>
      <w:r>
        <w:rPr>
          <w:rStyle w:val="36"/>
          <w:rFonts w:hint="eastAsia" w:ascii="宋体" w:hAnsi="宋体" w:cs="宋体"/>
          <w:b w:val="0"/>
          <w:bCs w:val="0"/>
          <w:kern w:val="0"/>
          <w:sz w:val="24"/>
          <w:szCs w:val="24"/>
          <w:lang w:val="en-US" w:eastAsia="zh-CN" w:bidi="ar"/>
        </w:rPr>
        <w:t>火车站/汽车站</w:t>
      </w:r>
      <w:r>
        <w:rPr>
          <w:rStyle w:val="36"/>
          <w:rFonts w:hint="default" w:ascii="宋体" w:hAnsi="宋体" w:cs="宋体"/>
          <w:b w:val="0"/>
          <w:bCs w:val="0"/>
          <w:kern w:val="0"/>
          <w:sz w:val="24"/>
          <w:szCs w:val="24"/>
          <w:lang w:val="en-US" w:eastAsia="zh-CN" w:bidi="ar"/>
        </w:rPr>
        <w:t>一酒店一各场地)，外地裁判员往返交通采用“机票/</w:t>
      </w:r>
      <w:r>
        <w:rPr>
          <w:rStyle w:val="36"/>
          <w:rFonts w:hint="eastAsia" w:ascii="宋体" w:hAnsi="宋体" w:cs="宋体"/>
          <w:b w:val="0"/>
          <w:bCs w:val="0"/>
          <w:kern w:val="0"/>
          <w:sz w:val="24"/>
          <w:szCs w:val="24"/>
          <w:lang w:val="en-US" w:eastAsia="zh-CN" w:bidi="ar"/>
        </w:rPr>
        <w:t>火车</w:t>
      </w:r>
      <w:r>
        <w:rPr>
          <w:rStyle w:val="36"/>
          <w:rFonts w:hint="default" w:ascii="宋体" w:hAnsi="宋体" w:cs="宋体"/>
          <w:b w:val="0"/>
          <w:bCs w:val="0"/>
          <w:kern w:val="0"/>
          <w:sz w:val="24"/>
          <w:szCs w:val="24"/>
          <w:lang w:val="en-US" w:eastAsia="zh-CN" w:bidi="ar"/>
        </w:rPr>
        <w:t>票</w:t>
      </w:r>
      <w:r>
        <w:rPr>
          <w:rStyle w:val="36"/>
          <w:rFonts w:hint="eastAsia" w:ascii="宋体" w:hAnsi="宋体" w:cs="宋体"/>
          <w:b w:val="0"/>
          <w:bCs w:val="0"/>
          <w:kern w:val="0"/>
          <w:sz w:val="24"/>
          <w:szCs w:val="24"/>
          <w:lang w:val="en-US" w:eastAsia="zh-CN" w:bidi="ar"/>
        </w:rPr>
        <w:t>/汽车票</w:t>
      </w:r>
      <w:r>
        <w:rPr>
          <w:rStyle w:val="36"/>
          <w:rFonts w:hint="default" w:ascii="宋体" w:hAnsi="宋体" w:cs="宋体"/>
          <w:b w:val="0"/>
          <w:bCs w:val="0"/>
          <w:kern w:val="0"/>
          <w:sz w:val="24"/>
          <w:szCs w:val="24"/>
          <w:lang w:val="en-US" w:eastAsia="zh-CN" w:bidi="ar"/>
        </w:rPr>
        <w:t>统一预订+报销”模式，本地裁判员提供专属通勤车辆(5辆19座中巴)，每日统一集结。</w:t>
      </w:r>
    </w:p>
    <w:p w14:paraId="2B70E254">
      <w:pPr>
        <w:pStyle w:val="10"/>
        <w:ind w:left="0" w:leftChars="0" w:firstLine="0" w:firstLineChars="0"/>
        <w:rPr>
          <w:rStyle w:val="36"/>
          <w:rFonts w:hint="default" w:ascii="宋体" w:hAnsi="宋体" w:cs="宋体"/>
          <w:b/>
          <w:bCs/>
          <w:kern w:val="0"/>
          <w:sz w:val="24"/>
          <w:szCs w:val="24"/>
          <w:lang w:val="en-US" w:eastAsia="zh-CN" w:bidi="ar"/>
        </w:rPr>
      </w:pPr>
      <w:r>
        <w:rPr>
          <w:rStyle w:val="36"/>
          <w:rFonts w:hint="default" w:ascii="宋体" w:hAnsi="宋体" w:cs="宋体"/>
          <w:b/>
          <w:bCs/>
          <w:kern w:val="0"/>
          <w:sz w:val="24"/>
          <w:szCs w:val="24"/>
          <w:lang w:val="en-US" w:eastAsia="zh-CN" w:bidi="ar"/>
        </w:rPr>
        <w:t>(二)工作人员/志愿者保障(</w:t>
      </w:r>
      <w:r>
        <w:rPr>
          <w:rStyle w:val="36"/>
          <w:rFonts w:hint="eastAsia" w:ascii="宋体" w:hAnsi="宋体" w:cs="宋体"/>
          <w:b/>
          <w:bCs/>
          <w:kern w:val="0"/>
          <w:sz w:val="24"/>
          <w:szCs w:val="24"/>
          <w:lang w:val="en-US" w:eastAsia="zh-CN" w:bidi="ar"/>
        </w:rPr>
        <w:t>200</w:t>
      </w:r>
      <w:r>
        <w:rPr>
          <w:rStyle w:val="36"/>
          <w:rFonts w:hint="default" w:ascii="宋体" w:hAnsi="宋体" w:cs="宋体"/>
          <w:b/>
          <w:bCs/>
          <w:kern w:val="0"/>
          <w:sz w:val="24"/>
          <w:szCs w:val="24"/>
          <w:lang w:val="en-US" w:eastAsia="zh-CN" w:bidi="ar"/>
        </w:rPr>
        <w:t>名</w:t>
      </w:r>
      <w:r>
        <w:rPr>
          <w:rStyle w:val="36"/>
          <w:rFonts w:hint="eastAsia" w:ascii="宋体" w:hAnsi="宋体" w:cs="宋体"/>
          <w:b/>
          <w:bCs/>
          <w:kern w:val="0"/>
          <w:sz w:val="24"/>
          <w:szCs w:val="24"/>
          <w:lang w:val="en-US" w:eastAsia="zh-CN" w:bidi="ar"/>
        </w:rPr>
        <w:t>左右</w:t>
      </w:r>
      <w:r>
        <w:rPr>
          <w:rStyle w:val="36"/>
          <w:rFonts w:hint="default" w:ascii="宋体" w:hAnsi="宋体" w:cs="宋体"/>
          <w:b/>
          <w:bCs/>
          <w:kern w:val="0"/>
          <w:sz w:val="24"/>
          <w:szCs w:val="24"/>
          <w:lang w:val="en-US" w:eastAsia="zh-CN" w:bidi="ar"/>
        </w:rPr>
        <w:t>，按场地分工)</w:t>
      </w:r>
    </w:p>
    <w:p w14:paraId="7899CA15">
      <w:pPr>
        <w:pStyle w:val="10"/>
        <w:ind w:left="0" w:leftChars="0" w:firstLine="0" w:firstLineChars="0"/>
        <w:rPr>
          <w:rStyle w:val="36"/>
          <w:rFonts w:hint="default" w:ascii="宋体" w:hAnsi="宋体" w:cs="宋体"/>
          <w:b w:val="0"/>
          <w:bCs w:val="0"/>
          <w:kern w:val="0"/>
          <w:sz w:val="24"/>
          <w:szCs w:val="24"/>
          <w:lang w:val="en-US" w:eastAsia="zh-CN" w:bidi="ar"/>
        </w:rPr>
      </w:pPr>
      <w:r>
        <w:rPr>
          <w:rStyle w:val="36"/>
          <w:rFonts w:hint="eastAsia" w:ascii="宋体" w:hAnsi="宋体" w:cs="宋体"/>
          <w:b w:val="0"/>
          <w:bCs w:val="0"/>
          <w:kern w:val="0"/>
          <w:sz w:val="24"/>
          <w:szCs w:val="24"/>
          <w:lang w:val="en-US" w:eastAsia="zh-CN" w:bidi="ar"/>
        </w:rPr>
        <w:t>（1）</w:t>
      </w:r>
      <w:r>
        <w:rPr>
          <w:rStyle w:val="36"/>
          <w:rFonts w:hint="default" w:ascii="宋体" w:hAnsi="宋体" w:cs="宋体"/>
          <w:b w:val="0"/>
          <w:bCs w:val="0"/>
          <w:kern w:val="0"/>
          <w:sz w:val="24"/>
          <w:szCs w:val="24"/>
          <w:lang w:val="en-US" w:eastAsia="zh-CN" w:bidi="ar"/>
        </w:rPr>
        <w:t>餐饮服务:</w:t>
      </w:r>
      <w:r>
        <w:rPr>
          <w:rStyle w:val="36"/>
          <w:rFonts w:hint="eastAsia" w:ascii="宋体" w:hAnsi="宋体" w:cs="宋体"/>
          <w:b w:val="0"/>
          <w:bCs w:val="0"/>
          <w:kern w:val="0"/>
          <w:sz w:val="24"/>
          <w:szCs w:val="24"/>
          <w:lang w:val="en-US" w:eastAsia="zh-CN" w:bidi="ar"/>
        </w:rPr>
        <w:t>200</w:t>
      </w:r>
      <w:r>
        <w:rPr>
          <w:rStyle w:val="36"/>
          <w:rFonts w:hint="default" w:ascii="宋体" w:hAnsi="宋体" w:cs="宋体"/>
          <w:b w:val="0"/>
          <w:bCs w:val="0"/>
          <w:kern w:val="0"/>
          <w:sz w:val="24"/>
          <w:szCs w:val="24"/>
          <w:lang w:val="en-US" w:eastAsia="zh-CN" w:bidi="ar"/>
        </w:rPr>
        <w:t>名工作人员/志愿者</w:t>
      </w:r>
      <w:r>
        <w:rPr>
          <w:rStyle w:val="36"/>
          <w:rFonts w:hint="eastAsia" w:ascii="宋体" w:hAnsi="宋体" w:cs="宋体"/>
          <w:b w:val="0"/>
          <w:bCs w:val="0"/>
          <w:kern w:val="0"/>
          <w:sz w:val="24"/>
          <w:szCs w:val="24"/>
          <w:lang w:val="en-US" w:eastAsia="zh-CN" w:bidi="ar"/>
        </w:rPr>
        <w:t>不少于7天（具体以实际发生为主）</w:t>
      </w:r>
      <w:r>
        <w:rPr>
          <w:rStyle w:val="36"/>
          <w:rFonts w:hint="default" w:ascii="宋体" w:hAnsi="宋体" w:cs="宋体"/>
          <w:b w:val="0"/>
          <w:bCs w:val="0"/>
          <w:kern w:val="0"/>
          <w:sz w:val="24"/>
          <w:szCs w:val="24"/>
          <w:lang w:val="en-US" w:eastAsia="zh-CN" w:bidi="ar"/>
        </w:rPr>
        <w:t>餐饮，采用“集中用餐+盒装餐”双模式(主会场集中用餐，5个分场地发放盒装餐)，每日提供2次加餐(面包、牛奶、能量棒)。</w:t>
      </w:r>
    </w:p>
    <w:p w14:paraId="3CF00679">
      <w:pPr>
        <w:pStyle w:val="10"/>
        <w:ind w:left="0" w:leftChars="0" w:firstLine="0" w:firstLineChars="0"/>
        <w:rPr>
          <w:rStyle w:val="36"/>
          <w:rFonts w:hint="default" w:ascii="宋体" w:hAnsi="宋体" w:cs="宋体"/>
          <w:b w:val="0"/>
          <w:bCs w:val="0"/>
          <w:kern w:val="0"/>
          <w:sz w:val="24"/>
          <w:szCs w:val="24"/>
          <w:lang w:val="en-US" w:eastAsia="zh-CN" w:bidi="ar"/>
        </w:rPr>
      </w:pPr>
      <w:r>
        <w:rPr>
          <w:rStyle w:val="36"/>
          <w:rFonts w:hint="eastAsia" w:ascii="宋体" w:hAnsi="宋体" w:cs="宋体"/>
          <w:b w:val="0"/>
          <w:bCs w:val="0"/>
          <w:kern w:val="0"/>
          <w:sz w:val="24"/>
          <w:szCs w:val="24"/>
          <w:lang w:val="en-US" w:eastAsia="zh-CN" w:bidi="ar"/>
        </w:rPr>
        <w:t>（2）食宿</w:t>
      </w:r>
      <w:r>
        <w:rPr>
          <w:rStyle w:val="36"/>
          <w:rFonts w:hint="default" w:ascii="宋体" w:hAnsi="宋体" w:cs="宋体"/>
          <w:b w:val="0"/>
          <w:bCs w:val="0"/>
          <w:kern w:val="0"/>
          <w:sz w:val="24"/>
          <w:szCs w:val="24"/>
          <w:lang w:val="en-US" w:eastAsia="zh-CN" w:bidi="ar"/>
        </w:rPr>
        <w:t>服务:</w:t>
      </w:r>
      <w:r>
        <w:rPr>
          <w:rStyle w:val="36"/>
          <w:rFonts w:hint="eastAsia" w:ascii="宋体" w:hAnsi="宋体" w:cs="宋体"/>
          <w:b w:val="0"/>
          <w:bCs w:val="0"/>
          <w:kern w:val="0"/>
          <w:sz w:val="24"/>
          <w:szCs w:val="24"/>
          <w:lang w:val="en-US" w:eastAsia="zh-CN" w:bidi="ar"/>
        </w:rPr>
        <w:t>60</w:t>
      </w:r>
      <w:r>
        <w:rPr>
          <w:rStyle w:val="36"/>
          <w:rFonts w:hint="default" w:ascii="宋体" w:hAnsi="宋体" w:cs="宋体"/>
          <w:b w:val="0"/>
          <w:bCs w:val="0"/>
          <w:kern w:val="0"/>
          <w:sz w:val="24"/>
          <w:szCs w:val="24"/>
          <w:lang w:val="en-US" w:eastAsia="zh-CN" w:bidi="ar"/>
        </w:rPr>
        <w:t>名核心工作人员(场地负责人、应急专员)提供住宿</w:t>
      </w:r>
      <w:r>
        <w:rPr>
          <w:rStyle w:val="36"/>
          <w:rFonts w:hint="eastAsia" w:ascii="宋体" w:hAnsi="宋体" w:cs="宋体"/>
          <w:b w:val="0"/>
          <w:bCs w:val="0"/>
          <w:kern w:val="0"/>
          <w:sz w:val="24"/>
          <w:szCs w:val="24"/>
          <w:lang w:val="en-US" w:eastAsia="zh-CN" w:bidi="ar"/>
        </w:rPr>
        <w:t>就餐</w:t>
      </w:r>
      <w:r>
        <w:rPr>
          <w:rStyle w:val="36"/>
          <w:rFonts w:hint="default" w:ascii="宋体" w:hAnsi="宋体" w:cs="宋体"/>
          <w:b w:val="0"/>
          <w:bCs w:val="0"/>
          <w:kern w:val="0"/>
          <w:sz w:val="24"/>
          <w:szCs w:val="24"/>
          <w:lang w:val="en-US" w:eastAsia="zh-CN" w:bidi="ar"/>
        </w:rPr>
        <w:t>(主会场周边酒店)</w:t>
      </w:r>
    </w:p>
    <w:p w14:paraId="6A87052C">
      <w:pPr>
        <w:pStyle w:val="10"/>
        <w:ind w:left="0" w:leftChars="0" w:firstLine="0" w:firstLineChars="0"/>
        <w:rPr>
          <w:rStyle w:val="36"/>
          <w:rFonts w:hint="default" w:ascii="宋体" w:hAnsi="宋体" w:cs="宋体"/>
          <w:b w:val="0"/>
          <w:bCs w:val="0"/>
          <w:kern w:val="0"/>
          <w:sz w:val="24"/>
          <w:szCs w:val="24"/>
          <w:lang w:val="en-US" w:eastAsia="zh-CN" w:bidi="ar"/>
        </w:rPr>
      </w:pPr>
      <w:r>
        <w:rPr>
          <w:rStyle w:val="36"/>
          <w:rFonts w:hint="eastAsia" w:ascii="宋体" w:hAnsi="宋体" w:cs="宋体"/>
          <w:b w:val="0"/>
          <w:bCs w:val="0"/>
          <w:kern w:val="0"/>
          <w:sz w:val="24"/>
          <w:szCs w:val="24"/>
          <w:lang w:val="en-US" w:eastAsia="zh-CN" w:bidi="ar"/>
        </w:rPr>
        <w:t>（3）需向活动期间的200名</w:t>
      </w:r>
      <w:r>
        <w:rPr>
          <w:rStyle w:val="36"/>
          <w:rFonts w:hint="default" w:ascii="宋体" w:hAnsi="宋体" w:cs="宋体"/>
          <w:b w:val="0"/>
          <w:bCs w:val="0"/>
          <w:kern w:val="0"/>
          <w:sz w:val="24"/>
          <w:szCs w:val="24"/>
          <w:lang w:val="en-US" w:eastAsia="zh-CN" w:bidi="ar"/>
        </w:rPr>
        <w:t>志愿者</w:t>
      </w:r>
      <w:r>
        <w:rPr>
          <w:rStyle w:val="36"/>
          <w:rFonts w:hint="eastAsia" w:ascii="宋体" w:hAnsi="宋体" w:cs="宋体"/>
          <w:b w:val="0"/>
          <w:bCs w:val="0"/>
          <w:kern w:val="0"/>
          <w:sz w:val="24"/>
          <w:szCs w:val="24"/>
          <w:lang w:val="en-US" w:eastAsia="zh-CN" w:bidi="ar"/>
        </w:rPr>
        <w:t>发放</w:t>
      </w:r>
      <w:r>
        <w:rPr>
          <w:rStyle w:val="36"/>
          <w:rFonts w:hint="default" w:ascii="宋体" w:hAnsi="宋体" w:cs="宋体"/>
          <w:b w:val="0"/>
          <w:bCs w:val="0"/>
          <w:kern w:val="0"/>
          <w:sz w:val="24"/>
          <w:szCs w:val="24"/>
          <w:lang w:val="en-US" w:eastAsia="zh-CN" w:bidi="ar"/>
        </w:rPr>
        <w:t>交通补贴 50 元 / 人 / 天。</w:t>
      </w:r>
    </w:p>
    <w:p w14:paraId="71982B86">
      <w:pPr>
        <w:pStyle w:val="10"/>
        <w:ind w:left="0" w:leftChars="0" w:firstLine="0" w:firstLineChars="0"/>
        <w:rPr>
          <w:rStyle w:val="36"/>
          <w:rFonts w:hint="default" w:ascii="宋体" w:hAnsi="宋体" w:cs="宋体"/>
          <w:b/>
          <w:bCs/>
          <w:kern w:val="0"/>
          <w:sz w:val="24"/>
          <w:szCs w:val="24"/>
          <w:lang w:val="en-US" w:eastAsia="zh-CN" w:bidi="ar"/>
        </w:rPr>
      </w:pPr>
      <w:r>
        <w:rPr>
          <w:rStyle w:val="36"/>
          <w:rFonts w:hint="default" w:ascii="宋体" w:hAnsi="宋体" w:cs="宋体"/>
          <w:b/>
          <w:bCs/>
          <w:kern w:val="0"/>
          <w:sz w:val="24"/>
          <w:szCs w:val="24"/>
          <w:lang w:val="en-US" w:eastAsia="zh-CN" w:bidi="ar"/>
        </w:rPr>
        <w:t>(三)演职人员餐饮保障(</w:t>
      </w:r>
      <w:r>
        <w:rPr>
          <w:rStyle w:val="36"/>
          <w:rFonts w:hint="eastAsia" w:ascii="宋体" w:hAnsi="宋体" w:cs="宋体"/>
          <w:b/>
          <w:bCs/>
          <w:kern w:val="0"/>
          <w:sz w:val="24"/>
          <w:szCs w:val="24"/>
          <w:lang w:val="en-US" w:eastAsia="zh-CN" w:bidi="ar"/>
        </w:rPr>
        <w:t>不少于</w:t>
      </w:r>
      <w:r>
        <w:rPr>
          <w:rStyle w:val="36"/>
          <w:rFonts w:hint="default" w:ascii="宋体" w:hAnsi="宋体" w:cs="宋体"/>
          <w:b/>
          <w:bCs/>
          <w:kern w:val="0"/>
          <w:sz w:val="24"/>
          <w:szCs w:val="24"/>
          <w:lang w:val="en-US" w:eastAsia="zh-CN" w:bidi="ar"/>
        </w:rPr>
        <w:t>1000名</w:t>
      </w:r>
      <w:r>
        <w:rPr>
          <w:rStyle w:val="36"/>
          <w:rFonts w:hint="eastAsia" w:ascii="宋体" w:hAnsi="宋体" w:cs="宋体"/>
          <w:b/>
          <w:bCs/>
          <w:kern w:val="0"/>
          <w:sz w:val="24"/>
          <w:szCs w:val="24"/>
          <w:lang w:val="en-US" w:eastAsia="zh-CN" w:bidi="ar"/>
        </w:rPr>
        <w:t>（以实际现场发生为主）</w:t>
      </w:r>
      <w:r>
        <w:rPr>
          <w:rStyle w:val="36"/>
          <w:rFonts w:hint="default" w:ascii="宋体" w:hAnsi="宋体" w:cs="宋体"/>
          <w:b/>
          <w:bCs/>
          <w:kern w:val="0"/>
          <w:sz w:val="24"/>
          <w:szCs w:val="24"/>
          <w:lang w:val="en-US" w:eastAsia="zh-CN" w:bidi="ar"/>
        </w:rPr>
        <w:t>，自治区级仪式规格)</w:t>
      </w:r>
    </w:p>
    <w:p w14:paraId="1B4A1DAC">
      <w:pPr>
        <w:pStyle w:val="10"/>
        <w:ind w:left="0" w:leftChars="0" w:firstLine="480" w:firstLineChars="200"/>
        <w:rPr>
          <w:rStyle w:val="36"/>
          <w:rFonts w:hint="default" w:ascii="宋体" w:hAnsi="宋体" w:cs="宋体"/>
          <w:b w:val="0"/>
          <w:bCs w:val="0"/>
          <w:kern w:val="0"/>
          <w:sz w:val="24"/>
          <w:szCs w:val="24"/>
          <w:lang w:val="en-US" w:eastAsia="zh-CN" w:bidi="ar"/>
        </w:rPr>
      </w:pPr>
      <w:r>
        <w:rPr>
          <w:rStyle w:val="36"/>
          <w:rFonts w:hint="default" w:ascii="宋体" w:hAnsi="宋体" w:cs="宋体"/>
          <w:b w:val="0"/>
          <w:bCs w:val="0"/>
          <w:kern w:val="0"/>
          <w:sz w:val="24"/>
          <w:szCs w:val="24"/>
          <w:lang w:val="en-US" w:eastAsia="zh-CN" w:bidi="ar"/>
        </w:rPr>
        <w:t>为开闭幕式1000名演职人员提供对应仪式的</w:t>
      </w:r>
      <w:r>
        <w:rPr>
          <w:rStyle w:val="36"/>
          <w:rFonts w:hint="eastAsia" w:ascii="宋体" w:hAnsi="宋体" w:cs="宋体"/>
          <w:b w:val="0"/>
          <w:bCs w:val="0"/>
          <w:kern w:val="0"/>
          <w:sz w:val="24"/>
          <w:szCs w:val="24"/>
          <w:lang w:val="en-US" w:eastAsia="zh-CN" w:bidi="ar"/>
        </w:rPr>
        <w:t>一</w:t>
      </w:r>
      <w:r>
        <w:rPr>
          <w:rStyle w:val="36"/>
          <w:rFonts w:hint="default" w:ascii="宋体" w:hAnsi="宋体" w:cs="宋体"/>
          <w:b w:val="0"/>
          <w:bCs w:val="0"/>
          <w:kern w:val="0"/>
          <w:sz w:val="24"/>
          <w:szCs w:val="24"/>
          <w:lang w:val="en-US" w:eastAsia="zh-CN" w:bidi="ar"/>
        </w:rPr>
        <w:t>餐(盒装餐)</w:t>
      </w:r>
      <w:r>
        <w:rPr>
          <w:rStyle w:val="36"/>
          <w:rFonts w:hint="eastAsia" w:ascii="宋体" w:hAnsi="宋体" w:cs="宋体"/>
          <w:b w:val="0"/>
          <w:bCs w:val="0"/>
          <w:kern w:val="0"/>
          <w:sz w:val="24"/>
          <w:szCs w:val="24"/>
          <w:lang w:val="en-US" w:eastAsia="zh-CN" w:bidi="ar"/>
        </w:rPr>
        <w:t>【以实际发生为主】</w:t>
      </w:r>
      <w:r>
        <w:rPr>
          <w:rStyle w:val="36"/>
          <w:rFonts w:hint="default" w:ascii="宋体" w:hAnsi="宋体" w:cs="宋体"/>
          <w:b w:val="0"/>
          <w:bCs w:val="0"/>
          <w:kern w:val="0"/>
          <w:sz w:val="24"/>
          <w:szCs w:val="24"/>
          <w:lang w:val="en-US" w:eastAsia="zh-CN" w:bidi="ar"/>
        </w:rPr>
        <w:t>，餐食需标注过敏原(如坚果、海鲜)，配备保温箱(确保食用温度≥60°C)，分10个分发点同步发放(避免拥挤)，预留200份备用餐(应对临时增员)。</w:t>
      </w:r>
    </w:p>
    <w:p w14:paraId="7A487DD3">
      <w:pPr>
        <w:pStyle w:val="10"/>
        <w:ind w:left="0" w:leftChars="0" w:firstLine="0" w:firstLineChars="0"/>
        <w:rPr>
          <w:rStyle w:val="36"/>
          <w:rFonts w:hint="default" w:ascii="宋体" w:hAnsi="宋体" w:cs="宋体"/>
          <w:b/>
          <w:bCs/>
          <w:kern w:val="0"/>
          <w:sz w:val="24"/>
          <w:szCs w:val="24"/>
          <w:lang w:val="en-US" w:eastAsia="zh-CN" w:bidi="ar"/>
        </w:rPr>
      </w:pPr>
      <w:r>
        <w:rPr>
          <w:rStyle w:val="36"/>
          <w:rFonts w:hint="default" w:ascii="宋体" w:hAnsi="宋体" w:cs="宋体"/>
          <w:b/>
          <w:bCs/>
          <w:kern w:val="0"/>
          <w:sz w:val="24"/>
          <w:szCs w:val="24"/>
          <w:lang w:val="en-US" w:eastAsia="zh-CN" w:bidi="ar"/>
        </w:rPr>
        <w:t>(四)医疗人员食宿保障(5名医生+10名护士)</w:t>
      </w:r>
    </w:p>
    <w:p w14:paraId="29AAF169">
      <w:pPr>
        <w:pStyle w:val="10"/>
        <w:ind w:left="0" w:leftChars="0" w:firstLine="0" w:firstLineChars="0"/>
        <w:rPr>
          <w:rStyle w:val="36"/>
          <w:rFonts w:hint="default" w:ascii="宋体" w:hAnsi="宋体" w:cs="宋体"/>
          <w:b w:val="0"/>
          <w:bCs w:val="0"/>
          <w:kern w:val="0"/>
          <w:sz w:val="24"/>
          <w:szCs w:val="24"/>
          <w:lang w:val="en-US" w:eastAsia="zh-CN" w:bidi="ar"/>
        </w:rPr>
      </w:pPr>
      <w:r>
        <w:rPr>
          <w:rStyle w:val="36"/>
          <w:rFonts w:hint="eastAsia" w:ascii="宋体" w:hAnsi="宋体" w:cs="宋体"/>
          <w:b w:val="0"/>
          <w:bCs w:val="0"/>
          <w:kern w:val="0"/>
          <w:sz w:val="24"/>
          <w:szCs w:val="24"/>
          <w:lang w:val="en-US" w:eastAsia="zh-CN" w:bidi="ar"/>
        </w:rPr>
        <w:t>（1）</w:t>
      </w:r>
      <w:r>
        <w:rPr>
          <w:rStyle w:val="36"/>
          <w:rFonts w:hint="default" w:ascii="宋体" w:hAnsi="宋体" w:cs="宋体"/>
          <w:b w:val="0"/>
          <w:bCs w:val="0"/>
          <w:kern w:val="0"/>
          <w:sz w:val="24"/>
          <w:szCs w:val="24"/>
          <w:lang w:val="en-US" w:eastAsia="zh-CN" w:bidi="ar"/>
        </w:rPr>
        <w:t>住宿:15名医疗人员安排在主会场及核心比赛场</w:t>
      </w:r>
      <w:r>
        <w:rPr>
          <w:rStyle w:val="36"/>
          <w:rFonts w:hint="eastAsia" w:ascii="宋体" w:hAnsi="宋体" w:cs="宋体"/>
          <w:b w:val="0"/>
          <w:bCs w:val="0"/>
          <w:kern w:val="0"/>
          <w:sz w:val="24"/>
          <w:szCs w:val="24"/>
          <w:lang w:val="en-US" w:eastAsia="zh-CN" w:bidi="ar"/>
        </w:rPr>
        <w:t>（随参赛队伍住房）</w:t>
      </w:r>
      <w:r>
        <w:rPr>
          <w:rStyle w:val="36"/>
          <w:rFonts w:hint="default" w:ascii="宋体" w:hAnsi="宋体" w:cs="宋体"/>
          <w:b w:val="0"/>
          <w:bCs w:val="0"/>
          <w:kern w:val="0"/>
          <w:sz w:val="24"/>
          <w:szCs w:val="24"/>
          <w:lang w:val="en-US" w:eastAsia="zh-CN" w:bidi="ar"/>
        </w:rPr>
        <w:t>，2人/间。</w:t>
      </w:r>
    </w:p>
    <w:p w14:paraId="246089EC">
      <w:pPr>
        <w:pStyle w:val="10"/>
        <w:ind w:left="0" w:leftChars="0" w:firstLine="0" w:firstLineChars="0"/>
        <w:rPr>
          <w:rStyle w:val="36"/>
          <w:rFonts w:hint="default" w:ascii="宋体" w:hAnsi="宋体" w:cs="宋体"/>
          <w:b w:val="0"/>
          <w:bCs w:val="0"/>
          <w:kern w:val="0"/>
          <w:sz w:val="24"/>
          <w:szCs w:val="24"/>
          <w:lang w:val="en-US" w:eastAsia="zh-CN" w:bidi="ar"/>
        </w:rPr>
      </w:pPr>
      <w:r>
        <w:rPr>
          <w:rStyle w:val="36"/>
          <w:rFonts w:hint="eastAsia" w:ascii="宋体" w:hAnsi="宋体" w:cs="宋体"/>
          <w:b w:val="0"/>
          <w:bCs w:val="0"/>
          <w:kern w:val="0"/>
          <w:sz w:val="24"/>
          <w:szCs w:val="24"/>
          <w:lang w:val="en-US" w:eastAsia="zh-CN" w:bidi="ar"/>
        </w:rPr>
        <w:t>（2）</w:t>
      </w:r>
      <w:r>
        <w:rPr>
          <w:rStyle w:val="36"/>
          <w:rFonts w:hint="default" w:ascii="宋体" w:hAnsi="宋体" w:cs="宋体"/>
          <w:b w:val="0"/>
          <w:bCs w:val="0"/>
          <w:kern w:val="0"/>
          <w:sz w:val="24"/>
          <w:szCs w:val="24"/>
          <w:lang w:val="en-US" w:eastAsia="zh-CN" w:bidi="ar"/>
        </w:rPr>
        <w:t>餐饮:与参赛队同标准，增设“夜班能量包”(咖啡、即食面、维生素片)。</w:t>
      </w:r>
    </w:p>
    <w:p w14:paraId="1040846D">
      <w:pPr>
        <w:pStyle w:val="10"/>
        <w:ind w:left="0" w:leftChars="0" w:firstLine="0" w:firstLineChars="0"/>
        <w:rPr>
          <w:rStyle w:val="36"/>
          <w:rFonts w:hint="default" w:ascii="宋体" w:hAnsi="宋体" w:cs="宋体"/>
          <w:b/>
          <w:bCs/>
          <w:kern w:val="0"/>
          <w:sz w:val="24"/>
          <w:szCs w:val="24"/>
          <w:lang w:val="en-US" w:eastAsia="zh-CN" w:bidi="ar"/>
        </w:rPr>
      </w:pPr>
      <w:r>
        <w:rPr>
          <w:rStyle w:val="36"/>
          <w:rFonts w:hint="eastAsia" w:ascii="宋体" w:hAnsi="宋体" w:cs="宋体"/>
          <w:b/>
          <w:bCs/>
          <w:kern w:val="0"/>
          <w:sz w:val="24"/>
          <w:szCs w:val="24"/>
          <w:lang w:val="en-US" w:eastAsia="zh-CN" w:bidi="ar"/>
        </w:rPr>
        <w:t>八、</w:t>
      </w:r>
      <w:r>
        <w:rPr>
          <w:rStyle w:val="36"/>
          <w:rFonts w:hint="default" w:ascii="宋体" w:hAnsi="宋体" w:cs="宋体"/>
          <w:b/>
          <w:bCs/>
          <w:kern w:val="0"/>
          <w:sz w:val="24"/>
          <w:szCs w:val="24"/>
          <w:lang w:val="en-US" w:eastAsia="zh-CN" w:bidi="ar"/>
        </w:rPr>
        <w:t>开闭幕式组织与场地布置服务(主会场+5个分场地联动)</w:t>
      </w:r>
      <w:r>
        <w:rPr>
          <w:rStyle w:val="36"/>
          <w:rFonts w:hint="eastAsia" w:ascii="宋体" w:hAnsi="宋体" w:cs="宋体"/>
          <w:b/>
          <w:bCs/>
          <w:kern w:val="0"/>
          <w:sz w:val="24"/>
          <w:szCs w:val="24"/>
          <w:lang w:val="en-US" w:eastAsia="zh-CN" w:bidi="ar"/>
        </w:rPr>
        <w:t>（现场布置及最终呈现效果，以甲方现场实际要求执行。）</w:t>
      </w:r>
    </w:p>
    <w:p w14:paraId="78902D54">
      <w:pPr>
        <w:pStyle w:val="10"/>
        <w:ind w:left="0" w:leftChars="0" w:firstLine="0" w:firstLineChars="0"/>
        <w:rPr>
          <w:rStyle w:val="36"/>
          <w:rFonts w:hint="default" w:ascii="宋体" w:hAnsi="宋体" w:cs="宋体"/>
          <w:b/>
          <w:bCs/>
          <w:kern w:val="0"/>
          <w:sz w:val="24"/>
          <w:szCs w:val="24"/>
          <w:lang w:val="en-US" w:eastAsia="zh-CN" w:bidi="ar"/>
        </w:rPr>
      </w:pPr>
      <w:r>
        <w:rPr>
          <w:rStyle w:val="36"/>
          <w:rFonts w:hint="default" w:ascii="宋体" w:hAnsi="宋体" w:cs="宋体"/>
          <w:b/>
          <w:bCs/>
          <w:kern w:val="0"/>
          <w:sz w:val="24"/>
          <w:szCs w:val="24"/>
          <w:lang w:val="en-US" w:eastAsia="zh-CN" w:bidi="ar"/>
        </w:rPr>
        <w:t>(一)场地基础布置</w:t>
      </w:r>
    </w:p>
    <w:p w14:paraId="0A883796">
      <w:pPr>
        <w:pStyle w:val="10"/>
        <w:ind w:left="0" w:leftChars="0" w:firstLine="0" w:firstLineChars="0"/>
        <w:rPr>
          <w:rStyle w:val="36"/>
          <w:rFonts w:hint="default" w:ascii="宋体" w:hAnsi="宋体" w:cs="宋体"/>
          <w:b w:val="0"/>
          <w:bCs w:val="0"/>
          <w:kern w:val="0"/>
          <w:sz w:val="24"/>
          <w:szCs w:val="24"/>
          <w:lang w:val="en-US" w:eastAsia="zh-CN" w:bidi="ar"/>
        </w:rPr>
      </w:pPr>
      <w:r>
        <w:rPr>
          <w:rStyle w:val="36"/>
          <w:rFonts w:hint="default" w:ascii="宋体" w:hAnsi="宋体" w:cs="宋体"/>
          <w:b w:val="0"/>
          <w:bCs w:val="0"/>
          <w:kern w:val="0"/>
          <w:sz w:val="24"/>
          <w:szCs w:val="24"/>
          <w:lang w:val="en-US" w:eastAsia="zh-CN" w:bidi="ar"/>
        </w:rPr>
        <w:t>1.主会场布置(含1块开闭幕式专用场地):</w:t>
      </w:r>
    </w:p>
    <w:p w14:paraId="1F212162">
      <w:pPr>
        <w:pStyle w:val="10"/>
        <w:ind w:left="0" w:leftChars="0" w:firstLine="0" w:firstLineChars="0"/>
        <w:rPr>
          <w:rStyle w:val="36"/>
          <w:rFonts w:hint="default" w:ascii="宋体" w:hAnsi="宋体" w:cs="宋体"/>
          <w:b w:val="0"/>
          <w:bCs w:val="0"/>
          <w:kern w:val="0"/>
          <w:sz w:val="24"/>
          <w:szCs w:val="24"/>
          <w:lang w:val="en-US" w:eastAsia="zh-CN" w:bidi="ar"/>
        </w:rPr>
      </w:pPr>
      <w:r>
        <w:rPr>
          <w:rStyle w:val="36"/>
          <w:rFonts w:hint="default" w:ascii="宋体" w:hAnsi="宋体" w:cs="宋体"/>
          <w:b w:val="0"/>
          <w:bCs w:val="0"/>
          <w:kern w:val="0"/>
          <w:sz w:val="24"/>
          <w:szCs w:val="24"/>
          <w:lang w:val="en-US" w:eastAsia="zh-CN" w:bidi="ar"/>
        </w:rPr>
        <w:t>背景墙:制作100m开闭幕式主背景墙(含自治区LOGO、赛事主题、新疆地域元素组合设计)，采用高清喷绘+钢架结构，抗风等级≥8级，配备备用背景布(应对破损)。</w:t>
      </w:r>
    </w:p>
    <w:p w14:paraId="1B805ADE">
      <w:pPr>
        <w:pStyle w:val="10"/>
        <w:ind w:left="0" w:leftChars="0" w:firstLine="0" w:firstLineChars="0"/>
        <w:rPr>
          <w:rStyle w:val="36"/>
          <w:rFonts w:hint="default" w:ascii="宋体" w:hAnsi="宋体" w:cs="宋体"/>
          <w:b w:val="0"/>
          <w:bCs w:val="0"/>
          <w:kern w:val="0"/>
          <w:sz w:val="24"/>
          <w:szCs w:val="24"/>
          <w:lang w:val="en-US" w:eastAsia="zh-CN" w:bidi="ar"/>
        </w:rPr>
      </w:pPr>
      <w:r>
        <w:rPr>
          <w:rStyle w:val="36"/>
          <w:rFonts w:hint="default" w:ascii="宋体" w:hAnsi="宋体" w:cs="宋体"/>
          <w:b w:val="0"/>
          <w:bCs w:val="0"/>
          <w:kern w:val="0"/>
          <w:sz w:val="24"/>
          <w:szCs w:val="24"/>
          <w:lang w:val="en-US" w:eastAsia="zh-CN" w:bidi="ar"/>
        </w:rPr>
        <w:t>氛围装饰:悬挂50条赛事主题横幅(主会场20条、5个分场地各6条)，租赁20个空飘气球(主会场周边，取得空域审批文件)，布置80个刀旗(使用2天)+80面彩旗(主会场入口、5个分场地赛道两侧)，统一融入新疆花帽、艾德莱斯绸等文化元素。</w:t>
      </w:r>
    </w:p>
    <w:p w14:paraId="1B1E9BEF">
      <w:pPr>
        <w:pStyle w:val="10"/>
        <w:numPr>
          <w:ilvl w:val="0"/>
          <w:numId w:val="4"/>
        </w:numPr>
        <w:ind w:left="0" w:leftChars="0" w:firstLine="0" w:firstLineChars="0"/>
        <w:rPr>
          <w:rStyle w:val="36"/>
          <w:rFonts w:hint="default" w:ascii="宋体" w:hAnsi="宋体" w:cs="宋体"/>
          <w:b w:val="0"/>
          <w:bCs w:val="0"/>
          <w:kern w:val="0"/>
          <w:sz w:val="24"/>
          <w:szCs w:val="24"/>
          <w:lang w:val="en-US" w:eastAsia="zh-CN" w:bidi="ar"/>
        </w:rPr>
      </w:pPr>
      <w:r>
        <w:rPr>
          <w:rStyle w:val="36"/>
          <w:rFonts w:hint="default" w:ascii="宋体" w:hAnsi="宋体" w:cs="宋体"/>
          <w:b w:val="0"/>
          <w:bCs w:val="0"/>
          <w:kern w:val="0"/>
          <w:sz w:val="24"/>
          <w:szCs w:val="24"/>
          <w:lang w:val="en-US" w:eastAsia="zh-CN" w:bidi="ar"/>
        </w:rPr>
        <w:t>分场地布置(5个):</w:t>
      </w:r>
    </w:p>
    <w:p w14:paraId="7715B780">
      <w:pPr>
        <w:pStyle w:val="10"/>
        <w:numPr>
          <w:ilvl w:val="0"/>
          <w:numId w:val="0"/>
        </w:numPr>
        <w:ind w:leftChars="0"/>
        <w:rPr>
          <w:rStyle w:val="36"/>
          <w:rFonts w:hint="default" w:ascii="宋体" w:hAnsi="宋体" w:cs="宋体"/>
          <w:b w:val="0"/>
          <w:bCs w:val="0"/>
          <w:kern w:val="0"/>
          <w:sz w:val="24"/>
          <w:szCs w:val="24"/>
          <w:lang w:val="en-US" w:eastAsia="zh-CN" w:bidi="ar"/>
        </w:rPr>
      </w:pPr>
      <w:r>
        <w:rPr>
          <w:rStyle w:val="36"/>
          <w:rFonts w:hint="default" w:ascii="宋体" w:hAnsi="宋体" w:cs="宋体"/>
          <w:b w:val="0"/>
          <w:bCs w:val="0"/>
          <w:kern w:val="0"/>
          <w:sz w:val="24"/>
          <w:szCs w:val="24"/>
          <w:lang w:val="en-US" w:eastAsia="zh-CN" w:bidi="ar"/>
        </w:rPr>
        <w:t>每个分场地配备10m小型背景板(赛事统一视觉体系)、6条横幅、10面彩旗，设置赛事信息公示栏(实时更新赛程、成绩)。</w:t>
      </w:r>
    </w:p>
    <w:p w14:paraId="2F523424">
      <w:pPr>
        <w:pStyle w:val="10"/>
        <w:numPr>
          <w:ilvl w:val="0"/>
          <w:numId w:val="0"/>
        </w:numPr>
        <w:ind w:leftChars="0"/>
        <w:rPr>
          <w:rStyle w:val="36"/>
          <w:rFonts w:hint="default" w:ascii="宋体" w:hAnsi="宋体" w:cs="宋体"/>
          <w:b w:val="0"/>
          <w:bCs w:val="0"/>
          <w:kern w:val="0"/>
          <w:sz w:val="24"/>
          <w:szCs w:val="24"/>
          <w:lang w:val="en-US" w:eastAsia="zh-CN" w:bidi="ar"/>
        </w:rPr>
      </w:pPr>
      <w:r>
        <w:rPr>
          <w:rStyle w:val="36"/>
          <w:rFonts w:hint="default" w:ascii="宋体" w:hAnsi="宋体" w:cs="宋体"/>
          <w:b w:val="0"/>
          <w:bCs w:val="0"/>
          <w:kern w:val="0"/>
          <w:sz w:val="24"/>
          <w:szCs w:val="24"/>
          <w:lang w:val="en-US" w:eastAsia="zh-CN" w:bidi="ar"/>
        </w:rPr>
        <w:t>场地卫生清理:为5个比赛场地提供赛事期间(</w:t>
      </w:r>
      <w:r>
        <w:rPr>
          <w:rStyle w:val="36"/>
          <w:rFonts w:hint="eastAsia" w:ascii="宋体" w:hAnsi="宋体" w:cs="宋体"/>
          <w:b w:val="0"/>
          <w:bCs w:val="0"/>
          <w:kern w:val="0"/>
          <w:sz w:val="24"/>
          <w:szCs w:val="24"/>
          <w:lang w:val="en-US" w:eastAsia="zh-CN" w:bidi="ar"/>
        </w:rPr>
        <w:t>7</w:t>
      </w:r>
      <w:r>
        <w:rPr>
          <w:rStyle w:val="36"/>
          <w:rFonts w:hint="default" w:ascii="宋体" w:hAnsi="宋体" w:cs="宋体"/>
          <w:b w:val="0"/>
          <w:bCs w:val="0"/>
          <w:kern w:val="0"/>
          <w:sz w:val="24"/>
          <w:szCs w:val="24"/>
          <w:lang w:val="en-US" w:eastAsia="zh-CN" w:bidi="ar"/>
        </w:rPr>
        <w:t>天)全程卫生清理服务，配备专职保洁人员(每场地2名)，每日比赛前1小时完成场地垃圾清扫、草坪整理;比赛间隙即时清理杂物:每日赛事结束后进行深度清洁(含观众席、替补席、卫生间)，确保场地整洁规范。</w:t>
      </w:r>
    </w:p>
    <w:p w14:paraId="0AA73D87">
      <w:pPr>
        <w:pStyle w:val="10"/>
        <w:numPr>
          <w:ilvl w:val="0"/>
          <w:numId w:val="0"/>
        </w:numPr>
        <w:ind w:leftChars="0"/>
        <w:rPr>
          <w:rStyle w:val="36"/>
          <w:rFonts w:hint="default" w:ascii="宋体" w:hAnsi="宋体" w:cs="宋体"/>
          <w:b/>
          <w:bCs/>
          <w:kern w:val="0"/>
          <w:sz w:val="24"/>
          <w:szCs w:val="24"/>
          <w:lang w:val="en-US" w:eastAsia="zh-CN" w:bidi="ar"/>
        </w:rPr>
      </w:pPr>
      <w:r>
        <w:rPr>
          <w:rStyle w:val="36"/>
          <w:rFonts w:hint="default" w:ascii="宋体" w:hAnsi="宋体" w:cs="宋体"/>
          <w:b/>
          <w:bCs/>
          <w:kern w:val="0"/>
          <w:sz w:val="24"/>
          <w:szCs w:val="24"/>
          <w:lang w:val="en-US" w:eastAsia="zh-CN" w:bidi="ar"/>
        </w:rPr>
        <w:t>(二)仪式道具准备</w:t>
      </w:r>
    </w:p>
    <w:p w14:paraId="699649E2">
      <w:pPr>
        <w:pStyle w:val="10"/>
        <w:numPr>
          <w:ilvl w:val="0"/>
          <w:numId w:val="0"/>
        </w:numPr>
        <w:ind w:leftChars="0"/>
        <w:rPr>
          <w:rStyle w:val="36"/>
          <w:rFonts w:hint="default" w:ascii="宋体" w:hAnsi="宋体" w:cs="宋体"/>
          <w:b w:val="0"/>
          <w:bCs w:val="0"/>
          <w:kern w:val="0"/>
          <w:sz w:val="24"/>
          <w:szCs w:val="24"/>
          <w:lang w:val="en-US" w:eastAsia="zh-CN" w:bidi="ar"/>
        </w:rPr>
      </w:pPr>
      <w:r>
        <w:rPr>
          <w:rStyle w:val="36"/>
          <w:rFonts w:hint="default" w:ascii="宋体" w:hAnsi="宋体" w:cs="宋体"/>
          <w:b w:val="0"/>
          <w:bCs w:val="0"/>
          <w:kern w:val="0"/>
          <w:sz w:val="24"/>
          <w:szCs w:val="24"/>
          <w:lang w:val="en-US" w:eastAsia="zh-CN" w:bidi="ar"/>
        </w:rPr>
        <w:t>引导牌:制作38个(</w:t>
      </w:r>
      <w:r>
        <w:rPr>
          <w:rStyle w:val="36"/>
          <w:rFonts w:hint="eastAsia" w:ascii="宋体" w:hAnsi="宋体" w:cs="宋体"/>
          <w:b w:val="0"/>
          <w:bCs w:val="0"/>
          <w:kern w:val="0"/>
          <w:sz w:val="24"/>
          <w:szCs w:val="24"/>
          <w:lang w:val="en-US" w:eastAsia="zh-CN" w:bidi="ar"/>
        </w:rPr>
        <w:t>30</w:t>
      </w:r>
      <w:r>
        <w:rPr>
          <w:rStyle w:val="36"/>
          <w:rFonts w:hint="default" w:ascii="宋体" w:hAnsi="宋体" w:cs="宋体"/>
          <w:b w:val="0"/>
          <w:bCs w:val="0"/>
          <w:kern w:val="0"/>
          <w:sz w:val="24"/>
          <w:szCs w:val="24"/>
          <w:lang w:val="en-US" w:eastAsia="zh-CN" w:bidi="ar"/>
        </w:rPr>
        <w:t>支参赛队+嘉宾引导+媒体引导+医疗应急引导)，采用亚克力材质(防水耐磨)。</w:t>
      </w:r>
    </w:p>
    <w:p w14:paraId="32D0F9DE">
      <w:pPr>
        <w:pStyle w:val="10"/>
        <w:numPr>
          <w:ilvl w:val="0"/>
          <w:numId w:val="0"/>
        </w:numPr>
        <w:ind w:leftChars="0"/>
        <w:rPr>
          <w:rStyle w:val="36"/>
          <w:rFonts w:hint="default" w:ascii="宋体" w:hAnsi="宋体" w:cs="宋体"/>
          <w:b w:val="0"/>
          <w:bCs w:val="0"/>
          <w:kern w:val="0"/>
          <w:sz w:val="24"/>
          <w:szCs w:val="24"/>
          <w:lang w:val="en-US" w:eastAsia="zh-CN" w:bidi="ar"/>
        </w:rPr>
      </w:pPr>
      <w:r>
        <w:rPr>
          <w:rStyle w:val="36"/>
          <w:rFonts w:hint="default" w:ascii="宋体" w:hAnsi="宋体" w:cs="宋体"/>
          <w:b w:val="0"/>
          <w:bCs w:val="0"/>
          <w:kern w:val="0"/>
          <w:sz w:val="24"/>
          <w:szCs w:val="24"/>
          <w:lang w:val="en-US" w:eastAsia="zh-CN" w:bidi="ar"/>
        </w:rPr>
        <w:t>彩烟:选用环保型彩烟30组(主会场开幕式15组、闭幕式10组、冠军颁奖5组)，提前报备消防部门，划定安全燃放区域(距离人群≥50米)，配备2名专业燃放人员+1名安全员。</w:t>
      </w:r>
    </w:p>
    <w:p w14:paraId="44D6EFD1">
      <w:pPr>
        <w:pStyle w:val="10"/>
        <w:numPr>
          <w:ilvl w:val="0"/>
          <w:numId w:val="0"/>
        </w:numPr>
        <w:ind w:leftChars="0"/>
        <w:rPr>
          <w:rStyle w:val="36"/>
          <w:rFonts w:hint="default" w:ascii="宋体" w:hAnsi="宋体" w:cs="宋体"/>
          <w:b/>
          <w:bCs/>
          <w:kern w:val="0"/>
          <w:sz w:val="24"/>
          <w:szCs w:val="24"/>
          <w:lang w:val="en-US" w:eastAsia="zh-CN" w:bidi="ar"/>
        </w:rPr>
      </w:pPr>
      <w:r>
        <w:rPr>
          <w:rStyle w:val="36"/>
          <w:rFonts w:hint="default" w:ascii="宋体" w:hAnsi="宋体" w:cs="宋体"/>
          <w:b/>
          <w:bCs/>
          <w:kern w:val="0"/>
          <w:sz w:val="24"/>
          <w:szCs w:val="24"/>
          <w:lang w:val="en-US" w:eastAsia="zh-CN" w:bidi="ar"/>
        </w:rPr>
        <w:t>(三)人员服装配置</w:t>
      </w:r>
    </w:p>
    <w:p w14:paraId="38DD0691">
      <w:pPr>
        <w:pStyle w:val="10"/>
        <w:numPr>
          <w:ilvl w:val="0"/>
          <w:numId w:val="0"/>
        </w:numPr>
        <w:ind w:leftChars="0"/>
        <w:rPr>
          <w:rStyle w:val="36"/>
          <w:rFonts w:hint="default" w:ascii="宋体" w:hAnsi="宋体" w:cs="宋体"/>
          <w:b w:val="0"/>
          <w:bCs w:val="0"/>
          <w:kern w:val="0"/>
          <w:sz w:val="24"/>
          <w:szCs w:val="24"/>
          <w:lang w:val="en-US" w:eastAsia="zh-CN" w:bidi="ar"/>
        </w:rPr>
      </w:pPr>
      <w:r>
        <w:rPr>
          <w:rStyle w:val="36"/>
          <w:rFonts w:hint="default" w:ascii="宋体" w:hAnsi="宋体" w:cs="宋体"/>
          <w:b w:val="0"/>
          <w:bCs w:val="0"/>
          <w:kern w:val="0"/>
          <w:sz w:val="24"/>
          <w:szCs w:val="24"/>
          <w:lang w:val="en-US" w:eastAsia="zh-CN" w:bidi="ar"/>
        </w:rPr>
        <w:t>引导员服装:38套(与引导牌数量匹配)，采用新疆特色工艺，搭配赛事主题色，按身高体型分6个尺码，配备备用服装5套。工作人员服装:</w:t>
      </w:r>
      <w:r>
        <w:rPr>
          <w:rStyle w:val="36"/>
          <w:rFonts w:hint="eastAsia" w:ascii="宋体" w:hAnsi="宋体" w:cs="宋体"/>
          <w:b w:val="0"/>
          <w:bCs w:val="0"/>
          <w:kern w:val="0"/>
          <w:sz w:val="24"/>
          <w:szCs w:val="24"/>
          <w:lang w:val="en-US" w:eastAsia="zh-CN" w:bidi="ar"/>
        </w:rPr>
        <w:t>不少于200</w:t>
      </w:r>
      <w:r>
        <w:rPr>
          <w:rStyle w:val="36"/>
          <w:rFonts w:hint="default" w:ascii="宋体" w:hAnsi="宋体" w:cs="宋体"/>
          <w:b w:val="0"/>
          <w:bCs w:val="0"/>
          <w:kern w:val="0"/>
          <w:sz w:val="24"/>
          <w:szCs w:val="24"/>
          <w:lang w:val="en-US" w:eastAsia="zh-CN" w:bidi="ar"/>
        </w:rPr>
        <w:t>件(按主会场/分场地、裁判/工作人员等岗位区分)，材质为透气速干面料，印刻岗位标识+赛事LOGO，配备帽子。</w:t>
      </w:r>
    </w:p>
    <w:p w14:paraId="60488A30">
      <w:pPr>
        <w:pStyle w:val="10"/>
        <w:numPr>
          <w:ilvl w:val="0"/>
          <w:numId w:val="0"/>
        </w:numPr>
        <w:ind w:leftChars="0"/>
        <w:rPr>
          <w:rStyle w:val="36"/>
          <w:rFonts w:hint="default" w:ascii="宋体" w:hAnsi="宋体" w:cs="宋体"/>
          <w:b/>
          <w:bCs/>
          <w:kern w:val="0"/>
          <w:sz w:val="24"/>
          <w:szCs w:val="24"/>
          <w:lang w:val="en-US" w:eastAsia="zh-CN" w:bidi="ar"/>
        </w:rPr>
      </w:pPr>
      <w:r>
        <w:rPr>
          <w:rStyle w:val="36"/>
          <w:rFonts w:hint="default" w:ascii="宋体" w:hAnsi="宋体" w:cs="宋体"/>
          <w:b/>
          <w:bCs/>
          <w:kern w:val="0"/>
          <w:sz w:val="24"/>
          <w:szCs w:val="24"/>
          <w:lang w:val="en-US" w:eastAsia="zh-CN" w:bidi="ar"/>
        </w:rPr>
        <w:t>(四)文艺节目组织(自治区级演出标准)</w:t>
      </w:r>
    </w:p>
    <w:p w14:paraId="6B45379B">
      <w:pPr>
        <w:pStyle w:val="10"/>
        <w:numPr>
          <w:ilvl w:val="0"/>
          <w:numId w:val="0"/>
        </w:numPr>
        <w:ind w:leftChars="0"/>
        <w:rPr>
          <w:rStyle w:val="36"/>
          <w:rFonts w:hint="default" w:ascii="宋体" w:hAnsi="宋体" w:cs="宋体"/>
          <w:b w:val="0"/>
          <w:bCs w:val="0"/>
          <w:kern w:val="0"/>
          <w:sz w:val="24"/>
          <w:szCs w:val="24"/>
          <w:lang w:val="en-US" w:eastAsia="zh-CN" w:bidi="ar"/>
        </w:rPr>
      </w:pPr>
      <w:r>
        <w:rPr>
          <w:rStyle w:val="36"/>
          <w:rFonts w:hint="default" w:ascii="宋体" w:hAnsi="宋体" w:cs="宋体"/>
          <w:b w:val="0"/>
          <w:bCs w:val="0"/>
          <w:kern w:val="0"/>
          <w:sz w:val="24"/>
          <w:szCs w:val="24"/>
          <w:lang w:val="en-US" w:eastAsia="zh-CN" w:bidi="ar"/>
        </w:rPr>
        <w:t>开幕式各策划</w:t>
      </w:r>
      <w:r>
        <w:rPr>
          <w:rStyle w:val="36"/>
          <w:rFonts w:hint="eastAsia" w:ascii="宋体" w:hAnsi="宋体" w:cs="宋体"/>
          <w:b w:val="0"/>
          <w:bCs w:val="0"/>
          <w:kern w:val="0"/>
          <w:sz w:val="24"/>
          <w:szCs w:val="24"/>
          <w:lang w:val="en-US" w:eastAsia="zh-CN" w:bidi="ar"/>
        </w:rPr>
        <w:t>不少于4</w:t>
      </w:r>
      <w:r>
        <w:rPr>
          <w:rStyle w:val="36"/>
          <w:rFonts w:hint="default" w:ascii="宋体" w:hAnsi="宋体" w:cs="宋体"/>
          <w:b w:val="0"/>
          <w:bCs w:val="0"/>
          <w:kern w:val="0"/>
          <w:sz w:val="24"/>
          <w:szCs w:val="24"/>
          <w:lang w:val="en-US" w:eastAsia="zh-CN" w:bidi="ar"/>
        </w:rPr>
        <w:t>个文艺节目，</w:t>
      </w:r>
      <w:r>
        <w:rPr>
          <w:rStyle w:val="36"/>
          <w:rFonts w:hint="eastAsia" w:ascii="宋体" w:hAnsi="宋体" w:cs="宋体"/>
          <w:b w:val="0"/>
          <w:bCs w:val="0"/>
          <w:kern w:val="0"/>
          <w:sz w:val="24"/>
          <w:szCs w:val="24"/>
          <w:lang w:val="en-US" w:eastAsia="zh-CN" w:bidi="ar"/>
        </w:rPr>
        <w:t>节目</w:t>
      </w:r>
      <w:r>
        <w:rPr>
          <w:rFonts w:ascii="宋体" w:hAnsi="宋体" w:eastAsia="宋体" w:cs="宋体"/>
          <w:sz w:val="24"/>
          <w:szCs w:val="24"/>
        </w:rPr>
        <w:t>设置</w:t>
      </w:r>
      <w:r>
        <w:rPr>
          <w:rFonts w:hint="eastAsia" w:ascii="宋体" w:hAnsi="宋体" w:eastAsia="宋体" w:cs="宋体"/>
          <w:sz w:val="24"/>
          <w:szCs w:val="24"/>
          <w:lang w:val="en-US" w:eastAsia="zh-CN"/>
        </w:rPr>
        <w:t>需包含但不限于</w:t>
      </w:r>
      <w:r>
        <w:rPr>
          <w:rFonts w:ascii="宋体" w:hAnsi="宋体" w:eastAsia="宋体" w:cs="宋体"/>
          <w:sz w:val="24"/>
          <w:szCs w:val="24"/>
        </w:rPr>
        <w:t>自治区级非遗节目、足球主题创意节目、青春活力节目；节目内容必须融入自治区级非遗、足球创意主题与妇联元素</w:t>
      </w:r>
      <w:r>
        <w:rPr>
          <w:rStyle w:val="36"/>
          <w:rFonts w:hint="eastAsia" w:ascii="宋体" w:hAnsi="宋体" w:cs="宋体"/>
          <w:b w:val="0"/>
          <w:bCs w:val="0"/>
          <w:kern w:val="0"/>
          <w:sz w:val="24"/>
          <w:szCs w:val="24"/>
          <w:lang w:val="en-US" w:eastAsia="zh-CN" w:bidi="ar"/>
        </w:rPr>
        <w:t>，闭幕式待定（以甲方最终要求为主）</w:t>
      </w:r>
      <w:r>
        <w:rPr>
          <w:rStyle w:val="36"/>
          <w:rFonts w:hint="default" w:ascii="宋体" w:hAnsi="宋体" w:cs="宋体"/>
          <w:b w:val="0"/>
          <w:bCs w:val="0"/>
          <w:kern w:val="0"/>
          <w:sz w:val="24"/>
          <w:szCs w:val="24"/>
          <w:lang w:val="en-US" w:eastAsia="zh-CN" w:bidi="ar"/>
        </w:rPr>
        <w:t>。演出团队需具备省级及以上演出资质，提前7天进驻排练场地，进行3次全流程彩排(含与赛事流程衔接演练)，服装道具存放区。</w:t>
      </w:r>
    </w:p>
    <w:p w14:paraId="2EAAC965">
      <w:pPr>
        <w:pStyle w:val="10"/>
        <w:numPr>
          <w:ilvl w:val="0"/>
          <w:numId w:val="0"/>
        </w:numPr>
        <w:ind w:leftChars="0"/>
        <w:rPr>
          <w:rStyle w:val="36"/>
          <w:rFonts w:hint="default" w:ascii="宋体" w:hAnsi="宋体" w:cs="宋体"/>
          <w:b/>
          <w:bCs/>
          <w:kern w:val="0"/>
          <w:sz w:val="24"/>
          <w:szCs w:val="24"/>
          <w:lang w:val="en-US" w:eastAsia="zh-CN" w:bidi="ar"/>
        </w:rPr>
      </w:pPr>
      <w:r>
        <w:rPr>
          <w:rStyle w:val="36"/>
          <w:rFonts w:hint="eastAsia" w:ascii="宋体" w:hAnsi="宋体" w:cs="宋体"/>
          <w:b/>
          <w:bCs/>
          <w:kern w:val="0"/>
          <w:sz w:val="24"/>
          <w:szCs w:val="24"/>
          <w:lang w:val="en-US" w:eastAsia="zh-CN" w:bidi="ar"/>
        </w:rPr>
        <w:t>九、</w:t>
      </w:r>
      <w:r>
        <w:rPr>
          <w:rStyle w:val="36"/>
          <w:rFonts w:hint="default" w:ascii="宋体" w:hAnsi="宋体" w:cs="宋体"/>
          <w:b/>
          <w:bCs/>
          <w:kern w:val="0"/>
          <w:sz w:val="24"/>
          <w:szCs w:val="24"/>
          <w:lang w:val="en-US" w:eastAsia="zh-CN" w:bidi="ar"/>
        </w:rPr>
        <w:t>比赛核心物资与荣誉体系保障</w:t>
      </w:r>
    </w:p>
    <w:p w14:paraId="7AD69FF9">
      <w:pPr>
        <w:pStyle w:val="10"/>
        <w:numPr>
          <w:ilvl w:val="0"/>
          <w:numId w:val="0"/>
        </w:numPr>
        <w:ind w:leftChars="0"/>
        <w:rPr>
          <w:rStyle w:val="36"/>
          <w:rFonts w:hint="default" w:ascii="宋体" w:hAnsi="宋体" w:cs="宋体"/>
          <w:b/>
          <w:bCs/>
          <w:kern w:val="0"/>
          <w:sz w:val="24"/>
          <w:szCs w:val="24"/>
          <w:lang w:val="en-US" w:eastAsia="zh-CN" w:bidi="ar"/>
        </w:rPr>
      </w:pPr>
      <w:r>
        <w:rPr>
          <w:rStyle w:val="36"/>
          <w:rFonts w:hint="eastAsia" w:ascii="宋体" w:hAnsi="宋体" w:cs="宋体"/>
          <w:b/>
          <w:bCs/>
          <w:kern w:val="0"/>
          <w:sz w:val="24"/>
          <w:szCs w:val="24"/>
          <w:lang w:val="en-US" w:eastAsia="zh-CN" w:bidi="ar"/>
        </w:rPr>
        <w:t>（一）</w:t>
      </w:r>
      <w:r>
        <w:rPr>
          <w:rStyle w:val="36"/>
          <w:rFonts w:hint="default" w:ascii="宋体" w:hAnsi="宋体" w:cs="宋体"/>
          <w:b/>
          <w:bCs/>
          <w:kern w:val="0"/>
          <w:sz w:val="24"/>
          <w:szCs w:val="24"/>
          <w:lang w:val="en-US" w:eastAsia="zh-CN" w:bidi="ar"/>
        </w:rPr>
        <w:t>赛事文书印制(适配</w:t>
      </w:r>
      <w:r>
        <w:rPr>
          <w:rStyle w:val="36"/>
          <w:rFonts w:hint="eastAsia" w:ascii="宋体" w:hAnsi="宋体" w:cs="宋体"/>
          <w:b/>
          <w:bCs/>
          <w:kern w:val="0"/>
          <w:sz w:val="24"/>
          <w:szCs w:val="24"/>
          <w:lang w:val="en-US" w:eastAsia="zh-CN" w:bidi="ar"/>
        </w:rPr>
        <w:t>30</w:t>
      </w:r>
      <w:r>
        <w:rPr>
          <w:rStyle w:val="36"/>
          <w:rFonts w:hint="default" w:ascii="宋体" w:hAnsi="宋体" w:cs="宋体"/>
          <w:b/>
          <w:bCs/>
          <w:kern w:val="0"/>
          <w:sz w:val="24"/>
          <w:szCs w:val="24"/>
          <w:lang w:val="en-US" w:eastAsia="zh-CN" w:bidi="ar"/>
        </w:rPr>
        <w:t>支队伍+5个场地)</w:t>
      </w:r>
    </w:p>
    <w:p w14:paraId="430A49F9">
      <w:pPr>
        <w:pStyle w:val="10"/>
        <w:numPr>
          <w:ilvl w:val="0"/>
          <w:numId w:val="0"/>
        </w:numPr>
        <w:ind w:firstLine="480" w:firstLineChars="200"/>
        <w:rPr>
          <w:rStyle w:val="36"/>
          <w:rFonts w:hint="default" w:ascii="宋体" w:hAnsi="宋体" w:cs="宋体"/>
          <w:b w:val="0"/>
          <w:bCs w:val="0"/>
          <w:kern w:val="0"/>
          <w:sz w:val="24"/>
          <w:szCs w:val="24"/>
          <w:lang w:val="en-US" w:eastAsia="zh-CN" w:bidi="ar"/>
        </w:rPr>
      </w:pPr>
      <w:r>
        <w:rPr>
          <w:rStyle w:val="36"/>
          <w:rFonts w:hint="default" w:ascii="宋体" w:hAnsi="宋体" w:cs="宋体"/>
          <w:b w:val="0"/>
          <w:bCs w:val="0"/>
          <w:kern w:val="0"/>
          <w:sz w:val="24"/>
          <w:szCs w:val="24"/>
          <w:lang w:val="en-US" w:eastAsia="zh-CN" w:bidi="ar"/>
        </w:rPr>
        <w:t>秩序册:120本(含主会场+5个分场地赛程、</w:t>
      </w:r>
      <w:r>
        <w:rPr>
          <w:rStyle w:val="36"/>
          <w:rFonts w:hint="eastAsia" w:ascii="宋体" w:hAnsi="宋体" w:cs="宋体"/>
          <w:b w:val="0"/>
          <w:bCs w:val="0"/>
          <w:kern w:val="0"/>
          <w:sz w:val="24"/>
          <w:szCs w:val="24"/>
          <w:lang w:val="en-US" w:eastAsia="zh-CN" w:bidi="ar"/>
        </w:rPr>
        <w:t>30</w:t>
      </w:r>
      <w:r>
        <w:rPr>
          <w:rStyle w:val="36"/>
          <w:rFonts w:hint="default" w:ascii="宋体" w:hAnsi="宋体" w:cs="宋体"/>
          <w:b w:val="0"/>
          <w:bCs w:val="0"/>
          <w:kern w:val="0"/>
          <w:sz w:val="24"/>
          <w:szCs w:val="24"/>
          <w:lang w:val="en-US" w:eastAsia="zh-CN" w:bidi="ar"/>
        </w:rPr>
        <w:t>支参赛队名单、裁判分组、场地平面图、应急联络表)，采用铜版纸印刷，锁线装订，附带电子版本(U盘存储)。证件牌:900个(运动员证</w:t>
      </w:r>
      <w:r>
        <w:rPr>
          <w:rStyle w:val="36"/>
          <w:rFonts w:hint="eastAsia" w:ascii="宋体" w:hAnsi="宋体" w:cs="宋体"/>
          <w:b w:val="0"/>
          <w:bCs w:val="0"/>
          <w:kern w:val="0"/>
          <w:sz w:val="24"/>
          <w:szCs w:val="24"/>
          <w:lang w:val="en-US" w:eastAsia="zh-CN" w:bidi="ar"/>
        </w:rPr>
        <w:t>600</w:t>
      </w:r>
      <w:r>
        <w:rPr>
          <w:rStyle w:val="36"/>
          <w:rFonts w:hint="default" w:ascii="宋体" w:hAnsi="宋体" w:cs="宋体"/>
          <w:b w:val="0"/>
          <w:bCs w:val="0"/>
          <w:kern w:val="0"/>
          <w:sz w:val="24"/>
          <w:szCs w:val="24"/>
          <w:lang w:val="en-US" w:eastAsia="zh-CN" w:bidi="ar"/>
        </w:rPr>
        <w:t>个、裁判员证60个、工作人员证</w:t>
      </w:r>
      <w:r>
        <w:rPr>
          <w:rStyle w:val="36"/>
          <w:rFonts w:hint="eastAsia" w:ascii="宋体" w:hAnsi="宋体" w:cs="宋体"/>
          <w:b w:val="0"/>
          <w:bCs w:val="0"/>
          <w:kern w:val="0"/>
          <w:sz w:val="24"/>
          <w:szCs w:val="24"/>
          <w:lang w:val="en-US" w:eastAsia="zh-CN" w:bidi="ar"/>
        </w:rPr>
        <w:t>不少于200</w:t>
      </w:r>
      <w:r>
        <w:rPr>
          <w:rStyle w:val="36"/>
          <w:rFonts w:hint="default" w:ascii="宋体" w:hAnsi="宋体" w:cs="宋体"/>
          <w:b w:val="0"/>
          <w:bCs w:val="0"/>
          <w:kern w:val="0"/>
          <w:sz w:val="24"/>
          <w:szCs w:val="24"/>
          <w:lang w:val="en-US" w:eastAsia="zh-CN" w:bidi="ar"/>
        </w:rPr>
        <w:t>个、记者证30个、嘉宾证60个)，采用PVC防水材质，配备可调节挂绳(分颜色区分岗位)。</w:t>
      </w:r>
    </w:p>
    <w:p w14:paraId="46406444">
      <w:pPr>
        <w:pStyle w:val="10"/>
        <w:numPr>
          <w:ilvl w:val="0"/>
          <w:numId w:val="0"/>
        </w:numPr>
        <w:rPr>
          <w:rStyle w:val="36"/>
          <w:rFonts w:hint="default" w:ascii="宋体" w:hAnsi="宋体" w:eastAsia="宋体" w:cs="宋体"/>
          <w:b/>
          <w:bCs/>
          <w:kern w:val="0"/>
          <w:sz w:val="24"/>
          <w:szCs w:val="24"/>
          <w:lang w:val="en-US" w:eastAsia="zh-CN" w:bidi="ar"/>
        </w:rPr>
      </w:pPr>
      <w:r>
        <w:rPr>
          <w:rStyle w:val="36"/>
          <w:rFonts w:hint="eastAsia" w:ascii="宋体" w:hAnsi="宋体" w:eastAsia="宋体" w:cs="宋体"/>
          <w:b/>
          <w:bCs/>
          <w:kern w:val="0"/>
          <w:sz w:val="24"/>
          <w:szCs w:val="24"/>
          <w:lang w:val="en-US" w:eastAsia="zh-CN" w:bidi="ar"/>
        </w:rPr>
        <w:t>（二）</w:t>
      </w:r>
      <w:r>
        <w:rPr>
          <w:rStyle w:val="36"/>
          <w:rFonts w:hint="default" w:ascii="宋体" w:hAnsi="宋体" w:eastAsia="宋体" w:cs="宋体"/>
          <w:b/>
          <w:bCs/>
          <w:kern w:val="0"/>
          <w:sz w:val="24"/>
          <w:szCs w:val="24"/>
          <w:lang w:val="en-US" w:eastAsia="zh-CN" w:bidi="ar"/>
        </w:rPr>
        <w:t>荣誉物品定制(自治区级表彰规格)</w:t>
      </w:r>
    </w:p>
    <w:p w14:paraId="16708D3F">
      <w:pPr>
        <w:pStyle w:val="10"/>
        <w:numPr>
          <w:ilvl w:val="0"/>
          <w:numId w:val="0"/>
        </w:numPr>
        <w:ind w:firstLine="480" w:firstLineChars="200"/>
        <w:rPr>
          <w:rStyle w:val="36"/>
          <w:rFonts w:hint="default" w:ascii="宋体" w:hAnsi="宋体" w:eastAsia="宋体" w:cs="宋体"/>
          <w:b w:val="0"/>
          <w:bCs w:val="0"/>
          <w:kern w:val="0"/>
          <w:sz w:val="24"/>
          <w:szCs w:val="24"/>
          <w:lang w:val="en-US" w:eastAsia="zh-CN" w:bidi="ar"/>
        </w:rPr>
      </w:pPr>
      <w:r>
        <w:rPr>
          <w:rStyle w:val="36"/>
          <w:rFonts w:hint="eastAsia" w:ascii="宋体" w:hAnsi="宋体" w:eastAsia="宋体" w:cs="宋体"/>
          <w:b w:val="0"/>
          <w:bCs w:val="0"/>
          <w:kern w:val="0"/>
          <w:sz w:val="24"/>
          <w:szCs w:val="24"/>
          <w:lang w:val="en-US" w:eastAsia="zh-CN" w:bidi="ar"/>
        </w:rPr>
        <w:t>按照甲方要求制定。</w:t>
      </w:r>
    </w:p>
    <w:p w14:paraId="0660C516">
      <w:pPr>
        <w:pStyle w:val="10"/>
        <w:numPr>
          <w:ilvl w:val="0"/>
          <w:numId w:val="0"/>
        </w:numPr>
        <w:ind w:leftChars="0"/>
        <w:rPr>
          <w:rStyle w:val="36"/>
          <w:rFonts w:hint="default" w:ascii="宋体" w:hAnsi="宋体" w:eastAsia="宋体" w:cs="宋体"/>
          <w:b/>
          <w:bCs/>
          <w:kern w:val="0"/>
          <w:sz w:val="24"/>
          <w:szCs w:val="24"/>
          <w:lang w:val="en-US" w:eastAsia="zh-CN" w:bidi="ar"/>
        </w:rPr>
      </w:pPr>
      <w:r>
        <w:rPr>
          <w:rStyle w:val="36"/>
          <w:rFonts w:hint="default" w:ascii="宋体" w:hAnsi="宋体" w:eastAsia="宋体" w:cs="宋体"/>
          <w:b/>
          <w:bCs/>
          <w:kern w:val="0"/>
          <w:sz w:val="24"/>
          <w:szCs w:val="24"/>
          <w:lang w:val="en-US" w:eastAsia="zh-CN" w:bidi="ar"/>
        </w:rPr>
        <w:t>(三)比赛物资采购(保障5个场地同步运转)</w:t>
      </w:r>
      <w:r>
        <w:rPr>
          <w:rStyle w:val="36"/>
          <w:rFonts w:hint="eastAsia" w:ascii="宋体" w:hAnsi="宋体" w:eastAsia="宋体" w:cs="宋体"/>
          <w:b/>
          <w:bCs/>
          <w:kern w:val="0"/>
          <w:sz w:val="24"/>
          <w:szCs w:val="24"/>
          <w:lang w:val="en-US" w:eastAsia="zh-CN" w:bidi="ar"/>
        </w:rPr>
        <w:t>【以下保障仅为简单列写，最终需按照甲方要求制定提供保障）</w:t>
      </w:r>
    </w:p>
    <w:p w14:paraId="15B70F77">
      <w:pPr>
        <w:pStyle w:val="10"/>
        <w:numPr>
          <w:ilvl w:val="0"/>
          <w:numId w:val="0"/>
        </w:numPr>
        <w:ind w:firstLine="480" w:firstLineChars="200"/>
        <w:rPr>
          <w:rStyle w:val="36"/>
          <w:rFonts w:hint="default" w:ascii="宋体" w:hAnsi="宋体" w:cs="宋体"/>
          <w:b w:val="0"/>
          <w:bCs w:val="0"/>
          <w:kern w:val="0"/>
          <w:sz w:val="24"/>
          <w:szCs w:val="24"/>
          <w:lang w:val="en-US" w:eastAsia="zh-CN" w:bidi="ar"/>
        </w:rPr>
      </w:pPr>
      <w:r>
        <w:rPr>
          <w:rStyle w:val="36"/>
          <w:rFonts w:hint="default" w:ascii="宋体" w:hAnsi="宋体" w:cs="宋体"/>
          <w:b w:val="0"/>
          <w:bCs w:val="0"/>
          <w:kern w:val="0"/>
          <w:sz w:val="24"/>
          <w:szCs w:val="24"/>
          <w:lang w:val="en-US" w:eastAsia="zh-CN" w:bidi="ar"/>
        </w:rPr>
        <w:t>比赛用球:25个(国际足联认证标准)，主会场6个、每个分场地3-4个(1个比赛用+2-3个备用)，颜色为黑白经典款+赛事主题款各12-13个，配备打气筒、气压表(每场地2套)。医疗物资:25个医疗包(主会场6个、每个分场地4-5个)，除基础用品外，新增骨折固定夹板、速效救心丸、防晒喷雾，每个医疗包配备便携收纳箱。</w:t>
      </w:r>
    </w:p>
    <w:p w14:paraId="546367FB">
      <w:pPr>
        <w:pStyle w:val="10"/>
        <w:numPr>
          <w:ilvl w:val="0"/>
          <w:numId w:val="0"/>
        </w:numPr>
        <w:ind w:firstLine="480" w:firstLineChars="200"/>
        <w:rPr>
          <w:rStyle w:val="36"/>
          <w:rFonts w:hint="default" w:ascii="宋体" w:hAnsi="宋体" w:cs="宋体"/>
          <w:b w:val="0"/>
          <w:bCs w:val="0"/>
          <w:kern w:val="0"/>
          <w:sz w:val="24"/>
          <w:szCs w:val="24"/>
          <w:lang w:val="en-US" w:eastAsia="zh-CN" w:bidi="ar"/>
        </w:rPr>
      </w:pPr>
      <w:r>
        <w:rPr>
          <w:rStyle w:val="36"/>
          <w:rFonts w:hint="default" w:ascii="宋体" w:hAnsi="宋体" w:cs="宋体"/>
          <w:b w:val="0"/>
          <w:bCs w:val="0"/>
          <w:kern w:val="0"/>
          <w:sz w:val="24"/>
          <w:szCs w:val="24"/>
          <w:lang w:val="en-US" w:eastAsia="zh-CN" w:bidi="ar"/>
        </w:rPr>
        <w:t>矿泉水:</w:t>
      </w:r>
      <w:r>
        <w:rPr>
          <w:rFonts w:ascii="宋体" w:hAnsi="宋体" w:eastAsia="宋体" w:cs="宋体"/>
          <w:sz w:val="24"/>
          <w:szCs w:val="24"/>
        </w:rPr>
        <w:t>供应 550ml 规格饮用天然矿泉水，数量不少于 50000 瓶。产品须符合 GB 8537 及国家食品安全、预包装标签相关现行标准，水质合格、包装完好、在保质期内，供货时须提供对应批次产品合格检测报告，质量以甲方现场验收结果为准。</w:t>
      </w:r>
      <w:r>
        <w:rPr>
          <w:rStyle w:val="36"/>
          <w:rFonts w:hint="default" w:ascii="宋体" w:hAnsi="宋体" w:cs="宋体"/>
          <w:b w:val="0"/>
          <w:bCs w:val="0"/>
          <w:kern w:val="0"/>
          <w:sz w:val="24"/>
          <w:szCs w:val="24"/>
          <w:lang w:val="en-US" w:eastAsia="zh-CN" w:bidi="ar"/>
        </w:rPr>
        <w:t>主会场+5个分场地分仓存放，配备自动售货机补充。</w:t>
      </w:r>
    </w:p>
    <w:p w14:paraId="7C03684F">
      <w:pPr>
        <w:pStyle w:val="10"/>
        <w:numPr>
          <w:ilvl w:val="0"/>
          <w:numId w:val="0"/>
        </w:numPr>
        <w:ind w:firstLine="480" w:firstLineChars="200"/>
        <w:rPr>
          <w:rStyle w:val="36"/>
          <w:rFonts w:hint="default" w:ascii="宋体" w:hAnsi="宋体" w:cs="宋体"/>
          <w:b w:val="0"/>
          <w:bCs w:val="0"/>
          <w:kern w:val="0"/>
          <w:sz w:val="24"/>
          <w:szCs w:val="24"/>
          <w:lang w:val="en-US" w:eastAsia="zh-CN" w:bidi="ar"/>
        </w:rPr>
      </w:pPr>
      <w:r>
        <w:rPr>
          <w:rStyle w:val="36"/>
          <w:rFonts w:hint="default" w:ascii="宋体" w:hAnsi="宋体" w:cs="宋体"/>
          <w:b w:val="0"/>
          <w:bCs w:val="0"/>
          <w:kern w:val="0"/>
          <w:sz w:val="24"/>
          <w:szCs w:val="24"/>
          <w:lang w:val="en-US" w:eastAsia="zh-CN" w:bidi="ar"/>
        </w:rPr>
        <w:t>氛围物资:</w:t>
      </w:r>
      <w:r>
        <w:rPr>
          <w:rStyle w:val="36"/>
          <w:rFonts w:hint="eastAsia" w:ascii="宋体" w:hAnsi="宋体" w:cs="宋体"/>
          <w:b w:val="0"/>
          <w:bCs w:val="0"/>
          <w:kern w:val="0"/>
          <w:sz w:val="24"/>
          <w:szCs w:val="24"/>
          <w:lang w:val="en-US" w:eastAsia="zh-CN" w:bidi="ar"/>
        </w:rPr>
        <w:t>不少于</w:t>
      </w:r>
      <w:r>
        <w:rPr>
          <w:rStyle w:val="36"/>
          <w:rFonts w:hint="default" w:ascii="宋体" w:hAnsi="宋体" w:cs="宋体"/>
          <w:b w:val="0"/>
          <w:bCs w:val="0"/>
          <w:kern w:val="0"/>
          <w:sz w:val="24"/>
          <w:szCs w:val="24"/>
          <w:lang w:val="en-US" w:eastAsia="zh-CN" w:bidi="ar"/>
        </w:rPr>
        <w:t>15个气喇叭(主会场6个、每个分场地1-2个)、300面加油棒、29面队旗(每支参赛队1面)、25个记分牌(主会场5个、每个分场地4个)。发放要求:建立物资管理台账，实行“分场地申领、每日盘点、剩余物资回收”制度，领取表需经场地负责人+物资管理员双重签字。</w:t>
      </w:r>
    </w:p>
    <w:p w14:paraId="7B10753B">
      <w:pPr>
        <w:pStyle w:val="10"/>
        <w:numPr>
          <w:ilvl w:val="0"/>
          <w:numId w:val="0"/>
        </w:numPr>
        <w:ind w:firstLine="480" w:firstLineChars="200"/>
        <w:rPr>
          <w:rStyle w:val="36"/>
          <w:rFonts w:hint="default" w:ascii="宋体" w:hAnsi="宋体" w:cs="宋体"/>
          <w:b w:val="0"/>
          <w:bCs w:val="0"/>
          <w:kern w:val="0"/>
          <w:sz w:val="24"/>
          <w:szCs w:val="24"/>
          <w:lang w:val="en-US" w:eastAsia="zh-CN" w:bidi="ar"/>
        </w:rPr>
      </w:pPr>
      <w:r>
        <w:rPr>
          <w:rStyle w:val="36"/>
          <w:rFonts w:hint="default" w:ascii="宋体" w:hAnsi="宋体" w:cs="宋体"/>
          <w:b w:val="0"/>
          <w:bCs w:val="0"/>
          <w:kern w:val="0"/>
          <w:sz w:val="24"/>
          <w:szCs w:val="24"/>
          <w:lang w:val="en-US" w:eastAsia="zh-CN" w:bidi="ar"/>
        </w:rPr>
        <w:t>足球赛事中场休息阶段，</w:t>
      </w:r>
      <w:r>
        <w:rPr>
          <w:rStyle w:val="36"/>
          <w:rFonts w:hint="eastAsia" w:ascii="宋体" w:hAnsi="宋体" w:cs="宋体"/>
          <w:b w:val="0"/>
          <w:bCs w:val="0"/>
          <w:kern w:val="0"/>
          <w:sz w:val="24"/>
          <w:szCs w:val="24"/>
          <w:lang w:val="en-US" w:eastAsia="zh-CN" w:bidi="ar"/>
        </w:rPr>
        <w:t>需</w:t>
      </w:r>
      <w:r>
        <w:rPr>
          <w:rStyle w:val="36"/>
          <w:rFonts w:hint="default" w:ascii="宋体" w:hAnsi="宋体" w:cs="宋体"/>
          <w:b w:val="0"/>
          <w:bCs w:val="0"/>
          <w:kern w:val="0"/>
          <w:sz w:val="24"/>
          <w:szCs w:val="24"/>
          <w:lang w:val="en-US" w:eastAsia="zh-CN" w:bidi="ar"/>
        </w:rPr>
        <w:t>组织编排</w:t>
      </w:r>
      <w:r>
        <w:rPr>
          <w:rStyle w:val="36"/>
          <w:rFonts w:hint="eastAsia" w:ascii="宋体" w:hAnsi="宋体" w:cs="宋体"/>
          <w:b w:val="0"/>
          <w:bCs w:val="0"/>
          <w:kern w:val="0"/>
          <w:sz w:val="24"/>
          <w:szCs w:val="24"/>
          <w:lang w:val="en-US" w:eastAsia="zh-CN" w:bidi="ar"/>
        </w:rPr>
        <w:t>不少于三场的</w:t>
      </w:r>
      <w:r>
        <w:rPr>
          <w:rStyle w:val="36"/>
          <w:rFonts w:hint="default" w:ascii="宋体" w:hAnsi="宋体" w:cs="宋体"/>
          <w:b w:val="0"/>
          <w:bCs w:val="0"/>
          <w:kern w:val="0"/>
          <w:sz w:val="24"/>
          <w:szCs w:val="24"/>
          <w:lang w:val="en-US" w:eastAsia="zh-CN" w:bidi="ar"/>
        </w:rPr>
        <w:t>歌舞类文艺节目进行</w:t>
      </w:r>
      <w:r>
        <w:rPr>
          <w:rStyle w:val="36"/>
          <w:rFonts w:hint="eastAsia" w:ascii="宋体" w:hAnsi="宋体" w:cs="宋体"/>
          <w:b w:val="0"/>
          <w:bCs w:val="0"/>
          <w:kern w:val="0"/>
          <w:sz w:val="24"/>
          <w:szCs w:val="24"/>
          <w:lang w:val="en-US" w:eastAsia="zh-CN" w:bidi="ar"/>
        </w:rPr>
        <w:t>穿插</w:t>
      </w:r>
      <w:r>
        <w:rPr>
          <w:rStyle w:val="36"/>
          <w:rFonts w:hint="default" w:ascii="宋体" w:hAnsi="宋体" w:cs="宋体"/>
          <w:b w:val="0"/>
          <w:bCs w:val="0"/>
          <w:kern w:val="0"/>
          <w:sz w:val="24"/>
          <w:szCs w:val="24"/>
          <w:lang w:val="en-US" w:eastAsia="zh-CN" w:bidi="ar"/>
        </w:rPr>
        <w:t>演出，充分调动现场观众情绪，营造热闹活跃的赛场氛围，保障观赛体验。</w:t>
      </w:r>
    </w:p>
    <w:p w14:paraId="1232B44D">
      <w:pPr>
        <w:pStyle w:val="10"/>
        <w:numPr>
          <w:ilvl w:val="0"/>
          <w:numId w:val="0"/>
        </w:numPr>
        <w:rPr>
          <w:rStyle w:val="36"/>
          <w:rFonts w:hint="default" w:ascii="宋体" w:hAnsi="宋体" w:cs="宋体"/>
          <w:b/>
          <w:bCs/>
          <w:kern w:val="0"/>
          <w:sz w:val="24"/>
          <w:szCs w:val="24"/>
          <w:lang w:val="en-US" w:eastAsia="zh-CN" w:bidi="ar"/>
        </w:rPr>
      </w:pPr>
      <w:r>
        <w:rPr>
          <w:rStyle w:val="36"/>
          <w:rFonts w:hint="eastAsia" w:ascii="宋体" w:hAnsi="宋体" w:cs="宋体"/>
          <w:b/>
          <w:bCs/>
          <w:kern w:val="0"/>
          <w:sz w:val="24"/>
          <w:szCs w:val="24"/>
          <w:lang w:val="en-US" w:eastAsia="zh-CN" w:bidi="ar"/>
        </w:rPr>
        <w:t>十、</w:t>
      </w:r>
      <w:r>
        <w:rPr>
          <w:rStyle w:val="36"/>
          <w:rFonts w:hint="default" w:ascii="宋体" w:hAnsi="宋体" w:cs="宋体"/>
          <w:b/>
          <w:bCs/>
          <w:kern w:val="0"/>
          <w:sz w:val="24"/>
          <w:szCs w:val="24"/>
          <w:lang w:val="en-US" w:eastAsia="zh-CN" w:bidi="ar"/>
        </w:rPr>
        <w:t>赛事宣传与媒体服务(自治区级传播矩阵)</w:t>
      </w:r>
    </w:p>
    <w:p w14:paraId="0A150339">
      <w:pPr>
        <w:pStyle w:val="10"/>
        <w:numPr>
          <w:ilvl w:val="0"/>
          <w:numId w:val="0"/>
        </w:numPr>
        <w:ind w:firstLine="482" w:firstLineChars="200"/>
        <w:rPr>
          <w:rStyle w:val="36"/>
          <w:rFonts w:hint="default" w:ascii="宋体" w:hAnsi="宋体" w:cs="宋体"/>
          <w:b/>
          <w:bCs/>
          <w:kern w:val="0"/>
          <w:sz w:val="24"/>
          <w:szCs w:val="24"/>
          <w:lang w:val="en-US" w:eastAsia="zh-CN" w:bidi="ar"/>
        </w:rPr>
      </w:pPr>
      <w:r>
        <w:rPr>
          <w:rStyle w:val="36"/>
          <w:rFonts w:hint="default" w:ascii="宋体" w:hAnsi="宋体" w:cs="宋体"/>
          <w:b/>
          <w:bCs/>
          <w:kern w:val="0"/>
          <w:sz w:val="24"/>
          <w:szCs w:val="24"/>
          <w:lang w:val="en-US" w:eastAsia="zh-CN" w:bidi="ar"/>
        </w:rPr>
        <w:t>(一)主持与解说服务</w:t>
      </w:r>
    </w:p>
    <w:p w14:paraId="2B89ACD5">
      <w:pPr>
        <w:pStyle w:val="10"/>
        <w:numPr>
          <w:ilvl w:val="0"/>
          <w:numId w:val="0"/>
        </w:numPr>
        <w:ind w:firstLine="480" w:firstLineChars="200"/>
        <w:rPr>
          <w:rStyle w:val="36"/>
          <w:rFonts w:hint="default" w:ascii="宋体" w:hAnsi="宋体" w:cs="宋体"/>
          <w:b w:val="0"/>
          <w:bCs w:val="0"/>
          <w:kern w:val="0"/>
          <w:sz w:val="24"/>
          <w:szCs w:val="24"/>
          <w:lang w:val="en-US" w:eastAsia="zh-CN" w:bidi="ar"/>
        </w:rPr>
      </w:pPr>
      <w:r>
        <w:rPr>
          <w:rStyle w:val="36"/>
          <w:rFonts w:hint="default" w:ascii="宋体" w:hAnsi="宋体" w:cs="宋体"/>
          <w:b w:val="0"/>
          <w:bCs w:val="0"/>
          <w:kern w:val="0"/>
          <w:sz w:val="24"/>
          <w:szCs w:val="24"/>
          <w:lang w:val="en-US" w:eastAsia="zh-CN" w:bidi="ar"/>
        </w:rPr>
        <w:t>主持人:3名(主会场2名+备用1名)，需具备省级大型赛事主持经验，熟悉新疆地域文化与足球专业知识，提前7天对接赛事流程，撰写专属主持稿。解说员:2名(主会场2名)，覆盖决赛、季军赛、半决赛3场关键赛事，提供解说，提前10天获取</w:t>
      </w:r>
      <w:r>
        <w:rPr>
          <w:rStyle w:val="36"/>
          <w:rFonts w:hint="eastAsia" w:ascii="宋体" w:hAnsi="宋体" w:cs="宋体"/>
          <w:b w:val="0"/>
          <w:bCs w:val="0"/>
          <w:kern w:val="0"/>
          <w:sz w:val="24"/>
          <w:szCs w:val="24"/>
          <w:lang w:val="en-US" w:eastAsia="zh-CN" w:bidi="ar"/>
        </w:rPr>
        <w:t>30</w:t>
      </w:r>
      <w:r>
        <w:rPr>
          <w:rStyle w:val="36"/>
          <w:rFonts w:hint="default" w:ascii="宋体" w:hAnsi="宋体" w:cs="宋体"/>
          <w:b w:val="0"/>
          <w:bCs w:val="0"/>
          <w:kern w:val="0"/>
          <w:sz w:val="24"/>
          <w:szCs w:val="24"/>
          <w:lang w:val="en-US" w:eastAsia="zh-CN" w:bidi="ar"/>
        </w:rPr>
        <w:t>支参赛队详细资料，制作战术分析手册。</w:t>
      </w:r>
    </w:p>
    <w:p w14:paraId="54BDD888">
      <w:pPr>
        <w:pStyle w:val="10"/>
        <w:numPr>
          <w:ilvl w:val="0"/>
          <w:numId w:val="0"/>
        </w:numPr>
        <w:ind w:firstLine="482" w:firstLineChars="200"/>
        <w:rPr>
          <w:rStyle w:val="36"/>
          <w:rFonts w:hint="default" w:ascii="宋体" w:hAnsi="宋体" w:cs="宋体"/>
          <w:b/>
          <w:bCs/>
          <w:kern w:val="0"/>
          <w:sz w:val="24"/>
          <w:szCs w:val="24"/>
          <w:lang w:val="en-US" w:eastAsia="zh-CN" w:bidi="ar"/>
        </w:rPr>
      </w:pPr>
      <w:r>
        <w:rPr>
          <w:rStyle w:val="36"/>
          <w:rFonts w:hint="default" w:ascii="宋体" w:hAnsi="宋体" w:cs="宋体"/>
          <w:b/>
          <w:bCs/>
          <w:kern w:val="0"/>
          <w:sz w:val="24"/>
          <w:szCs w:val="24"/>
          <w:lang w:val="en-US" w:eastAsia="zh-CN" w:bidi="ar"/>
        </w:rPr>
        <w:t>(二)视频转播、</w:t>
      </w:r>
      <w:r>
        <w:rPr>
          <w:rStyle w:val="36"/>
          <w:rFonts w:hint="eastAsia" w:ascii="宋体" w:hAnsi="宋体" w:cs="宋体"/>
          <w:b/>
          <w:bCs/>
          <w:kern w:val="0"/>
          <w:sz w:val="24"/>
          <w:szCs w:val="24"/>
          <w:lang w:val="en-US" w:eastAsia="zh-CN" w:bidi="ar"/>
        </w:rPr>
        <w:t>全程</w:t>
      </w:r>
      <w:r>
        <w:rPr>
          <w:rStyle w:val="36"/>
          <w:rFonts w:hint="default" w:ascii="宋体" w:hAnsi="宋体" w:cs="宋体"/>
          <w:b/>
          <w:bCs/>
          <w:kern w:val="0"/>
          <w:sz w:val="24"/>
          <w:szCs w:val="24"/>
          <w:lang w:val="en-US" w:eastAsia="zh-CN" w:bidi="ar"/>
        </w:rPr>
        <w:t>直播与录制服务</w:t>
      </w:r>
    </w:p>
    <w:p w14:paraId="21492442">
      <w:pPr>
        <w:pStyle w:val="10"/>
        <w:numPr>
          <w:ilvl w:val="0"/>
          <w:numId w:val="0"/>
        </w:numPr>
        <w:ind w:firstLine="480" w:firstLineChars="200"/>
        <w:rPr>
          <w:rStyle w:val="36"/>
          <w:rFonts w:hint="default" w:ascii="宋体" w:hAnsi="宋体" w:cs="宋体"/>
          <w:b w:val="0"/>
          <w:bCs w:val="0"/>
          <w:kern w:val="0"/>
          <w:sz w:val="24"/>
          <w:szCs w:val="24"/>
          <w:lang w:val="en-US" w:eastAsia="zh-CN" w:bidi="ar"/>
        </w:rPr>
      </w:pPr>
      <w:r>
        <w:rPr>
          <w:rStyle w:val="36"/>
          <w:rFonts w:hint="default" w:ascii="宋体" w:hAnsi="宋体" w:cs="宋体"/>
          <w:b w:val="0"/>
          <w:bCs w:val="0"/>
          <w:kern w:val="0"/>
          <w:sz w:val="24"/>
          <w:szCs w:val="24"/>
          <w:lang w:val="en-US" w:eastAsia="zh-CN" w:bidi="ar"/>
        </w:rPr>
        <w:t>现场</w:t>
      </w:r>
      <w:r>
        <w:rPr>
          <w:rStyle w:val="36"/>
          <w:rFonts w:hint="eastAsia" w:ascii="宋体" w:hAnsi="宋体" w:cs="宋体"/>
          <w:b w:val="0"/>
          <w:bCs w:val="0"/>
          <w:kern w:val="0"/>
          <w:sz w:val="24"/>
          <w:szCs w:val="24"/>
          <w:lang w:val="en-US" w:eastAsia="zh-CN" w:bidi="ar"/>
        </w:rPr>
        <w:t>全程</w:t>
      </w:r>
      <w:r>
        <w:rPr>
          <w:rStyle w:val="36"/>
          <w:rFonts w:hint="default" w:ascii="宋体" w:hAnsi="宋体" w:cs="宋体"/>
          <w:b w:val="0"/>
          <w:bCs w:val="0"/>
          <w:kern w:val="0"/>
          <w:sz w:val="24"/>
          <w:szCs w:val="24"/>
          <w:lang w:val="en-US" w:eastAsia="zh-CN" w:bidi="ar"/>
        </w:rPr>
        <w:t>直播:</w:t>
      </w:r>
      <w:r>
        <w:rPr>
          <w:rStyle w:val="36"/>
          <w:rFonts w:hint="eastAsia" w:ascii="宋体" w:hAnsi="宋体" w:cs="宋体"/>
          <w:b w:val="0"/>
          <w:bCs w:val="0"/>
          <w:kern w:val="0"/>
          <w:sz w:val="24"/>
          <w:szCs w:val="24"/>
          <w:lang w:val="en-US" w:eastAsia="zh-CN" w:bidi="ar"/>
        </w:rPr>
        <w:t>每场赛事做到全程直播录像等</w:t>
      </w:r>
      <w:r>
        <w:rPr>
          <w:rStyle w:val="36"/>
          <w:rFonts w:hint="default" w:ascii="宋体" w:hAnsi="宋体" w:cs="宋体"/>
          <w:b w:val="0"/>
          <w:bCs w:val="0"/>
          <w:kern w:val="0"/>
          <w:sz w:val="24"/>
          <w:szCs w:val="24"/>
          <w:lang w:val="en-US" w:eastAsia="zh-CN" w:bidi="ar"/>
        </w:rPr>
        <w:t>，配备8机位高清摄像设备(含无人机航拍1台)、导播台2套、字幕机2台，支持抖音、快手、视频号、新疆电视台体育频道同步直播，直播延迟≤30秒，配备2名实时互动专员(回复评论、抽奖)</w:t>
      </w:r>
    </w:p>
    <w:p w14:paraId="5AF6796B">
      <w:pPr>
        <w:pStyle w:val="10"/>
        <w:numPr>
          <w:ilvl w:val="0"/>
          <w:numId w:val="0"/>
        </w:numPr>
        <w:ind w:firstLine="480" w:firstLineChars="200"/>
        <w:rPr>
          <w:rStyle w:val="36"/>
          <w:rFonts w:hint="default" w:ascii="宋体" w:hAnsi="宋体" w:cs="宋体"/>
          <w:b w:val="0"/>
          <w:bCs w:val="0"/>
          <w:kern w:val="0"/>
          <w:sz w:val="24"/>
          <w:szCs w:val="24"/>
          <w:lang w:val="en-US" w:eastAsia="zh-CN" w:bidi="ar"/>
        </w:rPr>
      </w:pPr>
      <w:r>
        <w:rPr>
          <w:rStyle w:val="36"/>
          <w:rFonts w:hint="default" w:ascii="宋体" w:hAnsi="宋体" w:cs="宋体"/>
          <w:b w:val="0"/>
          <w:bCs w:val="0"/>
          <w:kern w:val="0"/>
          <w:sz w:val="24"/>
          <w:szCs w:val="24"/>
          <w:lang w:val="en-US" w:eastAsia="zh-CN" w:bidi="ar"/>
        </w:rPr>
        <w:t>现场</w:t>
      </w:r>
      <w:r>
        <w:rPr>
          <w:rStyle w:val="36"/>
          <w:rFonts w:hint="eastAsia" w:ascii="宋体" w:hAnsi="宋体" w:cs="宋体"/>
          <w:b w:val="0"/>
          <w:bCs w:val="0"/>
          <w:kern w:val="0"/>
          <w:sz w:val="24"/>
          <w:szCs w:val="24"/>
          <w:lang w:val="en-US" w:eastAsia="zh-CN" w:bidi="ar"/>
        </w:rPr>
        <w:t>全程</w:t>
      </w:r>
      <w:r>
        <w:rPr>
          <w:rStyle w:val="36"/>
          <w:rFonts w:hint="default" w:ascii="宋体" w:hAnsi="宋体" w:cs="宋体"/>
          <w:b w:val="0"/>
          <w:bCs w:val="0"/>
          <w:kern w:val="0"/>
          <w:sz w:val="24"/>
          <w:szCs w:val="24"/>
          <w:lang w:val="en-US" w:eastAsia="zh-CN" w:bidi="ar"/>
        </w:rPr>
        <w:t>视频转播与录制:每个分场地配备1台固定摄像机，录制内容分辨率≥4K，赛后24小时内提供回放链接，全程存储(云端+硬盘双备份)</w:t>
      </w:r>
      <w:r>
        <w:rPr>
          <w:rStyle w:val="36"/>
          <w:rFonts w:hint="eastAsia" w:ascii="宋体" w:hAnsi="宋体" w:cs="宋体"/>
          <w:b w:val="0"/>
          <w:bCs w:val="0"/>
          <w:kern w:val="0"/>
          <w:sz w:val="24"/>
          <w:szCs w:val="24"/>
          <w:lang w:val="en-US" w:eastAsia="zh-CN" w:bidi="ar"/>
        </w:rPr>
        <w:t>(具体与按甲方要求提供相关资料）</w:t>
      </w:r>
      <w:r>
        <w:rPr>
          <w:rStyle w:val="36"/>
          <w:rFonts w:hint="default" w:ascii="宋体" w:hAnsi="宋体" w:cs="宋体"/>
          <w:b w:val="0"/>
          <w:bCs w:val="0"/>
          <w:kern w:val="0"/>
          <w:sz w:val="24"/>
          <w:szCs w:val="24"/>
          <w:lang w:val="en-US" w:eastAsia="zh-CN" w:bidi="ar"/>
        </w:rPr>
        <w:t>。</w:t>
      </w:r>
    </w:p>
    <w:p w14:paraId="3B0698CC">
      <w:pPr>
        <w:pStyle w:val="10"/>
        <w:numPr>
          <w:ilvl w:val="0"/>
          <w:numId w:val="0"/>
        </w:numPr>
        <w:ind w:firstLine="482" w:firstLineChars="200"/>
        <w:rPr>
          <w:rStyle w:val="36"/>
          <w:rFonts w:hint="default" w:ascii="宋体" w:hAnsi="宋体" w:cs="宋体"/>
          <w:b/>
          <w:bCs/>
          <w:kern w:val="0"/>
          <w:sz w:val="24"/>
          <w:szCs w:val="24"/>
          <w:lang w:val="en-US" w:eastAsia="zh-CN" w:bidi="ar"/>
        </w:rPr>
      </w:pPr>
      <w:r>
        <w:rPr>
          <w:rStyle w:val="36"/>
          <w:rFonts w:hint="default" w:ascii="宋体" w:hAnsi="宋体" w:cs="宋体"/>
          <w:b/>
          <w:bCs/>
          <w:kern w:val="0"/>
          <w:sz w:val="24"/>
          <w:szCs w:val="24"/>
          <w:lang w:val="en-US" w:eastAsia="zh-CN" w:bidi="ar"/>
        </w:rPr>
        <w:t>(三)视频制作服务</w:t>
      </w:r>
    </w:p>
    <w:p w14:paraId="2E85C56F">
      <w:pPr>
        <w:pStyle w:val="10"/>
        <w:numPr>
          <w:ilvl w:val="0"/>
          <w:numId w:val="0"/>
        </w:numPr>
        <w:ind w:firstLine="480" w:firstLineChars="200"/>
        <w:rPr>
          <w:rStyle w:val="36"/>
          <w:rFonts w:hint="eastAsia" w:ascii="宋体" w:hAnsi="宋体" w:cs="宋体"/>
          <w:b w:val="0"/>
          <w:bCs w:val="0"/>
          <w:kern w:val="0"/>
          <w:sz w:val="24"/>
          <w:szCs w:val="24"/>
          <w:lang w:val="en-US" w:eastAsia="zh-CN" w:bidi="ar"/>
        </w:rPr>
      </w:pPr>
      <w:r>
        <w:rPr>
          <w:rStyle w:val="36"/>
          <w:rFonts w:hint="default" w:ascii="宋体" w:hAnsi="宋体" w:cs="宋体"/>
          <w:b w:val="0"/>
          <w:bCs w:val="0"/>
          <w:kern w:val="0"/>
          <w:sz w:val="24"/>
          <w:szCs w:val="24"/>
          <w:lang w:val="en-US" w:eastAsia="zh-CN" w:bidi="ar"/>
        </w:rPr>
        <w:t>宣传短视频:60期(30-60秒/期)，涵盖</w:t>
      </w:r>
      <w:r>
        <w:rPr>
          <w:rStyle w:val="36"/>
          <w:rFonts w:hint="eastAsia" w:ascii="宋体" w:hAnsi="宋体" w:cs="宋体"/>
          <w:b w:val="0"/>
          <w:bCs w:val="0"/>
          <w:kern w:val="0"/>
          <w:sz w:val="24"/>
          <w:szCs w:val="24"/>
          <w:lang w:val="en-US" w:eastAsia="zh-CN" w:bidi="ar"/>
        </w:rPr>
        <w:t>30</w:t>
      </w:r>
      <w:r>
        <w:rPr>
          <w:rStyle w:val="36"/>
          <w:rFonts w:hint="default" w:ascii="宋体" w:hAnsi="宋体" w:cs="宋体"/>
          <w:b w:val="0"/>
          <w:bCs w:val="0"/>
          <w:kern w:val="0"/>
          <w:sz w:val="24"/>
          <w:szCs w:val="24"/>
          <w:lang w:val="en-US" w:eastAsia="zh-CN" w:bidi="ar"/>
        </w:rPr>
        <w:t>支参赛队专访、场地探营、幕后故事、赛事集锦，每日更新3期，适配不同平台算法(抖音竖屏、视频号横屏)。</w:t>
      </w:r>
      <w:r>
        <w:rPr>
          <w:rStyle w:val="36"/>
          <w:rFonts w:hint="eastAsia" w:ascii="宋体" w:hAnsi="宋体" w:cs="宋体"/>
          <w:b w:val="0"/>
          <w:bCs w:val="0"/>
          <w:kern w:val="0"/>
          <w:sz w:val="24"/>
          <w:szCs w:val="24"/>
          <w:lang w:val="en-US" w:eastAsia="zh-CN" w:bidi="ar"/>
        </w:rPr>
        <w:t xml:space="preserve">  </w:t>
      </w:r>
    </w:p>
    <w:p w14:paraId="41858707">
      <w:pPr>
        <w:pStyle w:val="10"/>
        <w:numPr>
          <w:ilvl w:val="0"/>
          <w:numId w:val="0"/>
        </w:numPr>
        <w:ind w:firstLine="480" w:firstLineChars="200"/>
        <w:rPr>
          <w:rStyle w:val="36"/>
          <w:rFonts w:hint="default" w:ascii="宋体" w:hAnsi="宋体" w:cs="宋体"/>
          <w:b w:val="0"/>
          <w:bCs w:val="0"/>
          <w:kern w:val="0"/>
          <w:sz w:val="24"/>
          <w:szCs w:val="24"/>
          <w:lang w:val="en-US" w:eastAsia="zh-CN" w:bidi="ar"/>
        </w:rPr>
      </w:pPr>
      <w:r>
        <w:rPr>
          <w:rStyle w:val="36"/>
          <w:rFonts w:hint="default" w:ascii="宋体" w:hAnsi="宋体" w:cs="宋体"/>
          <w:b w:val="0"/>
          <w:bCs w:val="0"/>
          <w:kern w:val="0"/>
          <w:sz w:val="24"/>
          <w:szCs w:val="24"/>
          <w:lang w:val="en-US" w:eastAsia="zh-CN" w:bidi="ar"/>
        </w:rPr>
        <w:t>专题视频:6期(3-5分钟/期)，主题为“赛事筹备纪实”“新疆足球风采”“小组赛回顾”“淘汰赛对决”决赛巅峰时刻”闭幕式总结”，融入自治区领导致辞、运动员采访、专家点评，后期制作达到省级纪录片水准。</w:t>
      </w:r>
    </w:p>
    <w:p w14:paraId="289DF723">
      <w:pPr>
        <w:pStyle w:val="10"/>
        <w:numPr>
          <w:ilvl w:val="0"/>
          <w:numId w:val="0"/>
        </w:numPr>
        <w:ind w:firstLine="482" w:firstLineChars="200"/>
        <w:rPr>
          <w:rStyle w:val="36"/>
          <w:rFonts w:hint="default" w:ascii="宋体" w:hAnsi="宋体" w:cs="宋体"/>
          <w:b/>
          <w:bCs/>
          <w:kern w:val="0"/>
          <w:sz w:val="24"/>
          <w:szCs w:val="24"/>
          <w:lang w:val="en-US" w:eastAsia="zh-CN" w:bidi="ar"/>
        </w:rPr>
      </w:pPr>
      <w:r>
        <w:rPr>
          <w:rStyle w:val="36"/>
          <w:rFonts w:hint="default" w:ascii="宋体" w:hAnsi="宋体" w:cs="宋体"/>
          <w:b/>
          <w:bCs/>
          <w:kern w:val="0"/>
          <w:sz w:val="24"/>
          <w:szCs w:val="24"/>
          <w:lang w:val="en-US" w:eastAsia="zh-CN" w:bidi="ar"/>
        </w:rPr>
        <w:t>(四)媒体推广服务</w:t>
      </w:r>
    </w:p>
    <w:p w14:paraId="6CC61CA5">
      <w:pPr>
        <w:pStyle w:val="10"/>
        <w:numPr>
          <w:ilvl w:val="0"/>
          <w:numId w:val="0"/>
        </w:numPr>
        <w:ind w:firstLine="480" w:firstLineChars="200"/>
        <w:rPr>
          <w:rStyle w:val="36"/>
          <w:rFonts w:hint="default" w:ascii="宋体" w:hAnsi="宋体" w:cs="宋体"/>
          <w:b w:val="0"/>
          <w:bCs w:val="0"/>
          <w:kern w:val="0"/>
          <w:sz w:val="24"/>
          <w:szCs w:val="24"/>
          <w:lang w:val="en-US" w:eastAsia="zh-CN" w:bidi="ar"/>
        </w:rPr>
      </w:pPr>
      <w:r>
        <w:rPr>
          <w:rStyle w:val="36"/>
          <w:rFonts w:hint="default" w:ascii="宋体" w:hAnsi="宋体" w:cs="宋体"/>
          <w:b w:val="0"/>
          <w:bCs w:val="0"/>
          <w:kern w:val="0"/>
          <w:sz w:val="24"/>
          <w:szCs w:val="24"/>
          <w:lang w:val="en-US" w:eastAsia="zh-CN" w:bidi="ar"/>
        </w:rPr>
        <w:t>媒体对接:组建10人宣传团队，对接新疆电视台、新疆日报、天山网等15家省级媒体，及30家地市级媒体，每日发布新闻稿(文字+图片+视频)，召开2场新闻发布会(开幕式前、闭幕式后)。</w:t>
      </w:r>
    </w:p>
    <w:p w14:paraId="0EE1A9A3">
      <w:pPr>
        <w:pStyle w:val="10"/>
        <w:numPr>
          <w:ilvl w:val="0"/>
          <w:numId w:val="0"/>
        </w:numPr>
        <w:ind w:firstLine="480" w:firstLineChars="200"/>
        <w:rPr>
          <w:rStyle w:val="36"/>
          <w:rFonts w:hint="default" w:ascii="宋体" w:hAnsi="宋体" w:cs="宋体"/>
          <w:b w:val="0"/>
          <w:bCs w:val="0"/>
          <w:kern w:val="0"/>
          <w:sz w:val="24"/>
          <w:szCs w:val="24"/>
          <w:lang w:val="en-US" w:eastAsia="zh-CN" w:bidi="ar"/>
        </w:rPr>
      </w:pPr>
      <w:r>
        <w:rPr>
          <w:rStyle w:val="36"/>
          <w:rFonts w:hint="default" w:ascii="宋体" w:hAnsi="宋体" w:cs="宋体"/>
          <w:b w:val="0"/>
          <w:bCs w:val="0"/>
          <w:kern w:val="0"/>
          <w:sz w:val="24"/>
          <w:szCs w:val="24"/>
          <w:lang w:val="en-US" w:eastAsia="zh-CN" w:bidi="ar"/>
        </w:rPr>
        <w:t>官方运营:运营抖音、快手、视频号、微博、小红书、B站6大平台账号，每日更新内容≥5条，发起#新疆女子足球赛#等3个话题挑战，目标话题阅读量&gt;1亿。</w:t>
      </w:r>
    </w:p>
    <w:p w14:paraId="56EA2068">
      <w:pPr>
        <w:pStyle w:val="10"/>
        <w:numPr>
          <w:ilvl w:val="0"/>
          <w:numId w:val="0"/>
        </w:numPr>
        <w:rPr>
          <w:rStyle w:val="36"/>
          <w:rFonts w:hint="default" w:ascii="宋体" w:hAnsi="宋体" w:cs="宋体"/>
          <w:b/>
          <w:bCs/>
          <w:kern w:val="0"/>
          <w:sz w:val="24"/>
          <w:szCs w:val="24"/>
          <w:lang w:val="en-US" w:eastAsia="zh-CN" w:bidi="ar"/>
        </w:rPr>
      </w:pPr>
      <w:r>
        <w:rPr>
          <w:rStyle w:val="36"/>
          <w:rFonts w:hint="eastAsia" w:ascii="宋体" w:hAnsi="宋体" w:cs="宋体"/>
          <w:b/>
          <w:bCs/>
          <w:kern w:val="0"/>
          <w:sz w:val="24"/>
          <w:szCs w:val="24"/>
          <w:lang w:val="en-US" w:eastAsia="zh-CN" w:bidi="ar"/>
        </w:rPr>
        <w:t>十一、</w:t>
      </w:r>
      <w:r>
        <w:rPr>
          <w:rStyle w:val="36"/>
          <w:rFonts w:hint="default" w:ascii="宋体" w:hAnsi="宋体" w:cs="宋体"/>
          <w:b/>
          <w:bCs/>
          <w:kern w:val="0"/>
          <w:sz w:val="24"/>
          <w:szCs w:val="24"/>
          <w:lang w:val="en-US" w:eastAsia="zh-CN" w:bidi="ar"/>
        </w:rPr>
        <w:t>赛事现场运营与应急保障服务(多场地协同)</w:t>
      </w:r>
    </w:p>
    <w:p w14:paraId="132B2CE1">
      <w:pPr>
        <w:pStyle w:val="10"/>
        <w:numPr>
          <w:ilvl w:val="0"/>
          <w:numId w:val="0"/>
        </w:numPr>
        <w:ind w:firstLine="482" w:firstLineChars="200"/>
        <w:rPr>
          <w:rStyle w:val="36"/>
          <w:rFonts w:hint="default" w:ascii="宋体" w:hAnsi="宋体" w:cs="宋体"/>
          <w:b/>
          <w:bCs/>
          <w:kern w:val="0"/>
          <w:sz w:val="24"/>
          <w:szCs w:val="24"/>
          <w:lang w:val="en-US" w:eastAsia="zh-CN" w:bidi="ar"/>
        </w:rPr>
      </w:pPr>
      <w:r>
        <w:rPr>
          <w:rStyle w:val="36"/>
          <w:rFonts w:hint="default" w:ascii="宋体" w:hAnsi="宋体" w:cs="宋体"/>
          <w:b/>
          <w:bCs/>
          <w:kern w:val="0"/>
          <w:sz w:val="24"/>
          <w:szCs w:val="24"/>
          <w:lang w:val="en-US" w:eastAsia="zh-CN" w:bidi="ar"/>
        </w:rPr>
        <w:t>(一)赛事执行服务</w:t>
      </w:r>
    </w:p>
    <w:p w14:paraId="2A95B2B0">
      <w:pPr>
        <w:pStyle w:val="10"/>
        <w:numPr>
          <w:ilvl w:val="0"/>
          <w:numId w:val="0"/>
        </w:numPr>
        <w:ind w:firstLine="480" w:firstLineChars="200"/>
        <w:rPr>
          <w:rStyle w:val="36"/>
          <w:rFonts w:hint="default" w:ascii="宋体" w:hAnsi="宋体" w:cs="宋体"/>
          <w:b w:val="0"/>
          <w:bCs w:val="0"/>
          <w:kern w:val="0"/>
          <w:sz w:val="24"/>
          <w:szCs w:val="24"/>
          <w:lang w:val="en-US" w:eastAsia="zh-CN" w:bidi="ar"/>
        </w:rPr>
      </w:pPr>
      <w:r>
        <w:rPr>
          <w:rStyle w:val="36"/>
          <w:rFonts w:hint="default" w:ascii="宋体" w:hAnsi="宋体" w:cs="宋体"/>
          <w:b w:val="0"/>
          <w:bCs w:val="0"/>
          <w:kern w:val="0"/>
          <w:sz w:val="24"/>
          <w:szCs w:val="24"/>
          <w:lang w:val="en-US" w:eastAsia="zh-CN" w:bidi="ar"/>
        </w:rPr>
        <w:t>场地布置:5个比赛场地+1个主会场提前3天完成布置，包含场地划线(符合国际足联标准)、球门安装(每场地2套备用球门)、替补席搭建(配备遮阳棚、座椅)、观众席分区(安保区、媒体区、观众区)。</w:t>
      </w:r>
    </w:p>
    <w:p w14:paraId="6CB01409">
      <w:pPr>
        <w:pStyle w:val="10"/>
        <w:numPr>
          <w:ilvl w:val="0"/>
          <w:numId w:val="0"/>
        </w:numPr>
        <w:ind w:firstLine="480" w:firstLineChars="200"/>
        <w:rPr>
          <w:rStyle w:val="36"/>
          <w:rFonts w:hint="default" w:ascii="宋体" w:hAnsi="宋体" w:cs="宋体"/>
          <w:b w:val="0"/>
          <w:bCs w:val="0"/>
          <w:kern w:val="0"/>
          <w:sz w:val="24"/>
          <w:szCs w:val="24"/>
          <w:lang w:val="en-US" w:eastAsia="zh-CN" w:bidi="ar"/>
        </w:rPr>
      </w:pPr>
      <w:r>
        <w:rPr>
          <w:rStyle w:val="36"/>
          <w:rFonts w:hint="default" w:ascii="宋体" w:hAnsi="宋体" w:cs="宋体"/>
          <w:b w:val="0"/>
          <w:bCs w:val="0"/>
          <w:kern w:val="0"/>
          <w:sz w:val="24"/>
          <w:szCs w:val="24"/>
          <w:lang w:val="en-US" w:eastAsia="zh-CN" w:bidi="ar"/>
        </w:rPr>
        <w:t>流程把控:制定分场地赛事执行手册，每个场地配备1名执行总监+3名助理，负责运动员检录、计时计分、成绩公示(实时同步至官方平台)，建立5个场地即时通讯群(实时同步赛事动态)。</w:t>
      </w:r>
    </w:p>
    <w:p w14:paraId="68114A7E">
      <w:pPr>
        <w:pStyle w:val="10"/>
        <w:numPr>
          <w:ilvl w:val="0"/>
          <w:numId w:val="0"/>
        </w:numPr>
        <w:ind w:firstLine="480" w:firstLineChars="200"/>
        <w:rPr>
          <w:rStyle w:val="36"/>
          <w:rFonts w:hint="default" w:ascii="宋体" w:hAnsi="宋体" w:cs="宋体"/>
          <w:b w:val="0"/>
          <w:bCs w:val="0"/>
          <w:kern w:val="0"/>
          <w:sz w:val="24"/>
          <w:szCs w:val="24"/>
          <w:lang w:val="en-US" w:eastAsia="zh-CN" w:bidi="ar"/>
        </w:rPr>
      </w:pPr>
      <w:r>
        <w:rPr>
          <w:rStyle w:val="36"/>
          <w:rFonts w:hint="default" w:ascii="宋体" w:hAnsi="宋体" w:cs="宋体"/>
          <w:b w:val="0"/>
          <w:bCs w:val="0"/>
          <w:kern w:val="0"/>
          <w:sz w:val="24"/>
          <w:szCs w:val="24"/>
          <w:lang w:val="en-US" w:eastAsia="zh-CN" w:bidi="ar"/>
        </w:rPr>
        <w:t>技术协调:为裁判员配备无线通讯设备(每场地5台)，建立主裁判与裁判长、赛事组委会的实时联络通道，及时处理判罚争议。</w:t>
      </w:r>
    </w:p>
    <w:p w14:paraId="257BA54F">
      <w:pPr>
        <w:pStyle w:val="10"/>
        <w:numPr>
          <w:ilvl w:val="0"/>
          <w:numId w:val="0"/>
        </w:numPr>
        <w:ind w:firstLine="482" w:firstLineChars="200"/>
        <w:rPr>
          <w:rStyle w:val="36"/>
          <w:rFonts w:hint="default" w:ascii="宋体" w:hAnsi="宋体" w:cs="宋体"/>
          <w:b/>
          <w:bCs/>
          <w:kern w:val="0"/>
          <w:sz w:val="24"/>
          <w:szCs w:val="24"/>
          <w:lang w:val="en-US" w:eastAsia="zh-CN" w:bidi="ar"/>
        </w:rPr>
      </w:pPr>
      <w:r>
        <w:rPr>
          <w:rStyle w:val="36"/>
          <w:rFonts w:hint="default" w:ascii="宋体" w:hAnsi="宋体" w:cs="宋体"/>
          <w:b/>
          <w:bCs/>
          <w:kern w:val="0"/>
          <w:sz w:val="24"/>
          <w:szCs w:val="24"/>
          <w:lang w:val="en-US" w:eastAsia="zh-CN" w:bidi="ar"/>
        </w:rPr>
        <w:t>(二)嘉宾与媒体接待服务</w:t>
      </w:r>
    </w:p>
    <w:p w14:paraId="0A7E5055">
      <w:pPr>
        <w:pStyle w:val="10"/>
        <w:numPr>
          <w:ilvl w:val="0"/>
          <w:numId w:val="0"/>
        </w:numPr>
        <w:ind w:firstLine="480" w:firstLineChars="200"/>
        <w:rPr>
          <w:rStyle w:val="36"/>
          <w:rFonts w:hint="default" w:ascii="宋体" w:hAnsi="宋体" w:cs="宋体"/>
          <w:b w:val="0"/>
          <w:bCs w:val="0"/>
          <w:kern w:val="0"/>
          <w:sz w:val="24"/>
          <w:szCs w:val="24"/>
          <w:lang w:val="en-US" w:eastAsia="zh-CN" w:bidi="ar"/>
        </w:rPr>
      </w:pPr>
      <w:r>
        <w:rPr>
          <w:rStyle w:val="36"/>
          <w:rFonts w:hint="default" w:ascii="宋体" w:hAnsi="宋体" w:cs="宋体"/>
          <w:b w:val="0"/>
          <w:bCs w:val="0"/>
          <w:kern w:val="0"/>
          <w:sz w:val="24"/>
          <w:szCs w:val="24"/>
          <w:lang w:val="en-US" w:eastAsia="zh-CN" w:bidi="ar"/>
        </w:rPr>
        <w:t>嘉宾接待:</w:t>
      </w:r>
      <w:r>
        <w:rPr>
          <w:rStyle w:val="36"/>
          <w:rFonts w:hint="eastAsia" w:ascii="宋体" w:hAnsi="宋体" w:cs="宋体"/>
          <w:b w:val="0"/>
          <w:bCs w:val="0"/>
          <w:kern w:val="0"/>
          <w:sz w:val="24"/>
          <w:szCs w:val="24"/>
          <w:lang w:val="en-US" w:eastAsia="zh-CN" w:bidi="ar"/>
        </w:rPr>
        <w:t>做好全国、自治区领导来阿全程接待服务</w:t>
      </w:r>
      <w:r>
        <w:rPr>
          <w:rStyle w:val="36"/>
          <w:rFonts w:hint="default" w:ascii="宋体" w:hAnsi="宋体" w:cs="宋体"/>
          <w:b w:val="0"/>
          <w:bCs w:val="0"/>
          <w:kern w:val="0"/>
          <w:sz w:val="24"/>
          <w:szCs w:val="24"/>
          <w:lang w:val="en-US" w:eastAsia="zh-CN" w:bidi="ar"/>
        </w:rPr>
        <w:t>，配备</w:t>
      </w:r>
      <w:r>
        <w:rPr>
          <w:rStyle w:val="36"/>
          <w:rFonts w:hint="eastAsia" w:ascii="宋体" w:hAnsi="宋体" w:cs="宋体"/>
          <w:b w:val="0"/>
          <w:bCs w:val="0"/>
          <w:kern w:val="0"/>
          <w:sz w:val="24"/>
          <w:szCs w:val="24"/>
          <w:lang w:val="en-US" w:eastAsia="zh-CN" w:bidi="ar"/>
        </w:rPr>
        <w:t>不少于6</w:t>
      </w:r>
      <w:r>
        <w:rPr>
          <w:rStyle w:val="36"/>
          <w:rFonts w:hint="default" w:ascii="宋体" w:hAnsi="宋体" w:cs="宋体"/>
          <w:b w:val="0"/>
          <w:bCs w:val="0"/>
          <w:kern w:val="0"/>
          <w:sz w:val="24"/>
          <w:szCs w:val="24"/>
          <w:lang w:val="en-US" w:eastAsia="zh-CN" w:bidi="ar"/>
        </w:rPr>
        <w:t>名礼仪人员。</w:t>
      </w:r>
    </w:p>
    <w:p w14:paraId="206E8FE2">
      <w:pPr>
        <w:pStyle w:val="10"/>
        <w:numPr>
          <w:ilvl w:val="0"/>
          <w:numId w:val="0"/>
        </w:numPr>
        <w:ind w:firstLine="480" w:firstLineChars="200"/>
        <w:rPr>
          <w:rStyle w:val="36"/>
          <w:rFonts w:hint="default" w:ascii="宋体" w:hAnsi="宋体" w:cs="宋体"/>
          <w:b w:val="0"/>
          <w:bCs w:val="0"/>
          <w:kern w:val="0"/>
          <w:sz w:val="24"/>
          <w:szCs w:val="24"/>
          <w:lang w:val="en-US" w:eastAsia="zh-CN" w:bidi="ar"/>
        </w:rPr>
      </w:pPr>
      <w:r>
        <w:rPr>
          <w:rStyle w:val="36"/>
          <w:rFonts w:hint="default" w:ascii="宋体" w:hAnsi="宋体" w:cs="宋体"/>
          <w:b w:val="0"/>
          <w:bCs w:val="0"/>
          <w:kern w:val="0"/>
          <w:sz w:val="24"/>
          <w:szCs w:val="24"/>
          <w:lang w:val="en-US" w:eastAsia="zh-CN" w:bidi="ar"/>
        </w:rPr>
        <w:t>媒体接待:设立80m媒体中心(主会场)，配备10个工作席位(含高速网络、电源、打印机)、3个采访间，提供赛事资料包(秩序册、</w:t>
      </w:r>
      <w:r>
        <w:rPr>
          <w:rStyle w:val="36"/>
          <w:rFonts w:hint="eastAsia" w:ascii="宋体" w:hAnsi="宋体" w:cs="宋体"/>
          <w:b w:val="0"/>
          <w:bCs w:val="0"/>
          <w:kern w:val="0"/>
          <w:sz w:val="24"/>
          <w:szCs w:val="24"/>
          <w:lang w:val="en-US" w:eastAsia="zh-CN" w:bidi="ar"/>
        </w:rPr>
        <w:t>30</w:t>
      </w:r>
      <w:r>
        <w:rPr>
          <w:rStyle w:val="36"/>
          <w:rFonts w:hint="default" w:ascii="宋体" w:hAnsi="宋体" w:cs="宋体"/>
          <w:b w:val="0"/>
          <w:bCs w:val="0"/>
          <w:kern w:val="0"/>
          <w:sz w:val="24"/>
          <w:szCs w:val="24"/>
          <w:lang w:val="en-US" w:eastAsia="zh-CN" w:bidi="ar"/>
        </w:rPr>
        <w:t>支参赛队介绍、每日战报)，安排专人对接媒体采访需求。</w:t>
      </w:r>
    </w:p>
    <w:p w14:paraId="1220EDF5">
      <w:pPr>
        <w:pStyle w:val="10"/>
        <w:numPr>
          <w:ilvl w:val="0"/>
          <w:numId w:val="0"/>
        </w:numPr>
        <w:ind w:firstLine="482" w:firstLineChars="200"/>
        <w:rPr>
          <w:rStyle w:val="36"/>
          <w:rFonts w:hint="default" w:ascii="宋体" w:hAnsi="宋体" w:cs="宋体"/>
          <w:b/>
          <w:bCs/>
          <w:kern w:val="0"/>
          <w:sz w:val="24"/>
          <w:szCs w:val="24"/>
          <w:lang w:val="en-US" w:eastAsia="zh-CN" w:bidi="ar"/>
        </w:rPr>
      </w:pPr>
      <w:r>
        <w:rPr>
          <w:rStyle w:val="36"/>
          <w:rFonts w:hint="default" w:ascii="宋体" w:hAnsi="宋体" w:cs="宋体"/>
          <w:b/>
          <w:bCs/>
          <w:kern w:val="0"/>
          <w:sz w:val="24"/>
          <w:szCs w:val="24"/>
          <w:lang w:val="en-US" w:eastAsia="zh-CN" w:bidi="ar"/>
        </w:rPr>
        <w:t>(三)人员培训服务</w:t>
      </w:r>
    </w:p>
    <w:p w14:paraId="67AC89A1">
      <w:pPr>
        <w:pStyle w:val="10"/>
        <w:numPr>
          <w:ilvl w:val="0"/>
          <w:numId w:val="0"/>
        </w:numPr>
        <w:ind w:firstLine="480" w:firstLineChars="200"/>
        <w:rPr>
          <w:rStyle w:val="36"/>
          <w:rFonts w:hint="default" w:ascii="宋体" w:hAnsi="宋体" w:cs="宋体"/>
          <w:b w:val="0"/>
          <w:bCs w:val="0"/>
          <w:kern w:val="0"/>
          <w:sz w:val="24"/>
          <w:szCs w:val="24"/>
          <w:lang w:val="en-US" w:eastAsia="zh-CN" w:bidi="ar"/>
        </w:rPr>
      </w:pPr>
      <w:r>
        <w:rPr>
          <w:rStyle w:val="36"/>
          <w:rFonts w:hint="default" w:ascii="宋体" w:hAnsi="宋体" w:cs="宋体"/>
          <w:b w:val="0"/>
          <w:bCs w:val="0"/>
          <w:kern w:val="0"/>
          <w:sz w:val="24"/>
          <w:szCs w:val="24"/>
          <w:lang w:val="en-US" w:eastAsia="zh-CN" w:bidi="ar"/>
        </w:rPr>
        <w:t>培训对象:工作人员、志愿者、裁判员、医疗人员、安保人员、保洁人员</w:t>
      </w:r>
      <w:r>
        <w:rPr>
          <w:rStyle w:val="36"/>
          <w:rFonts w:hint="eastAsia" w:ascii="宋体" w:hAnsi="宋体" w:cs="宋体"/>
          <w:b w:val="0"/>
          <w:bCs w:val="0"/>
          <w:kern w:val="0"/>
          <w:sz w:val="24"/>
          <w:szCs w:val="24"/>
          <w:lang w:val="en-US" w:eastAsia="zh-CN" w:bidi="ar"/>
        </w:rPr>
        <w:t>等相关人员</w:t>
      </w:r>
      <w:r>
        <w:rPr>
          <w:rStyle w:val="36"/>
          <w:rFonts w:hint="default" w:ascii="宋体" w:hAnsi="宋体" w:cs="宋体"/>
          <w:b w:val="0"/>
          <w:bCs w:val="0"/>
          <w:kern w:val="0"/>
          <w:sz w:val="24"/>
          <w:szCs w:val="24"/>
          <w:lang w:val="en-US" w:eastAsia="zh-CN" w:bidi="ar"/>
        </w:rPr>
        <w:t>分批次培训。</w:t>
      </w:r>
    </w:p>
    <w:p w14:paraId="333F0840">
      <w:pPr>
        <w:pStyle w:val="10"/>
        <w:numPr>
          <w:ilvl w:val="0"/>
          <w:numId w:val="0"/>
        </w:numPr>
        <w:ind w:firstLine="480" w:firstLineChars="200"/>
        <w:rPr>
          <w:rStyle w:val="36"/>
          <w:rFonts w:hint="default" w:ascii="宋体" w:hAnsi="宋体" w:cs="宋体"/>
          <w:b w:val="0"/>
          <w:bCs w:val="0"/>
          <w:kern w:val="0"/>
          <w:sz w:val="24"/>
          <w:szCs w:val="24"/>
          <w:lang w:val="en-US" w:eastAsia="zh-CN" w:bidi="ar"/>
        </w:rPr>
      </w:pPr>
      <w:r>
        <w:rPr>
          <w:rStyle w:val="36"/>
          <w:rFonts w:hint="default" w:ascii="宋体" w:hAnsi="宋体" w:cs="宋体"/>
          <w:b w:val="0"/>
          <w:bCs w:val="0"/>
          <w:kern w:val="0"/>
          <w:sz w:val="24"/>
          <w:szCs w:val="24"/>
          <w:lang w:val="en-US" w:eastAsia="zh-CN" w:bidi="ar"/>
        </w:rPr>
        <w:t>培训内容:包含赛事流程、岗位职责、服务礼仪、安全应急、足球赛事专业知识(裁判员规则、志愿者场地指引)、保洁操作规范，采用“线上</w:t>
      </w:r>
      <w:r>
        <w:rPr>
          <w:rStyle w:val="36"/>
          <w:rFonts w:hint="eastAsia" w:ascii="宋体" w:hAnsi="宋体" w:cs="宋体"/>
          <w:b w:val="0"/>
          <w:bCs w:val="0"/>
          <w:kern w:val="0"/>
          <w:sz w:val="24"/>
          <w:szCs w:val="24"/>
          <w:lang w:val="en-US" w:eastAsia="zh-CN" w:bidi="ar"/>
        </w:rPr>
        <w:t>或线下培训原则上不收碍于2天，根据甲方需求实施，</w:t>
      </w:r>
      <w:r>
        <w:rPr>
          <w:rStyle w:val="36"/>
          <w:rFonts w:hint="default" w:ascii="宋体" w:hAnsi="宋体" w:cs="宋体"/>
          <w:b w:val="0"/>
          <w:bCs w:val="0"/>
          <w:kern w:val="0"/>
          <w:sz w:val="24"/>
          <w:szCs w:val="24"/>
          <w:lang w:val="en-US" w:eastAsia="zh-CN" w:bidi="ar"/>
        </w:rPr>
        <w:t>理论学习(3天)+线下实操演练(2天)”模式，培训后进行考核，考核通过率需达到100%(未通过者不予上岗)。</w:t>
      </w:r>
    </w:p>
    <w:p w14:paraId="4E596A07">
      <w:pPr>
        <w:pStyle w:val="10"/>
        <w:numPr>
          <w:ilvl w:val="0"/>
          <w:numId w:val="0"/>
        </w:numPr>
        <w:ind w:firstLine="482" w:firstLineChars="200"/>
        <w:rPr>
          <w:rStyle w:val="36"/>
          <w:rFonts w:hint="default" w:ascii="宋体" w:hAnsi="宋体" w:cs="宋体"/>
          <w:b/>
          <w:bCs/>
          <w:kern w:val="0"/>
          <w:sz w:val="24"/>
          <w:szCs w:val="24"/>
          <w:lang w:val="en-US" w:eastAsia="zh-CN" w:bidi="ar"/>
        </w:rPr>
      </w:pPr>
      <w:r>
        <w:rPr>
          <w:rStyle w:val="36"/>
          <w:rFonts w:hint="default" w:ascii="宋体" w:hAnsi="宋体" w:cs="宋体"/>
          <w:b/>
          <w:bCs/>
          <w:kern w:val="0"/>
          <w:sz w:val="24"/>
          <w:szCs w:val="24"/>
          <w:lang w:val="en-US" w:eastAsia="zh-CN" w:bidi="ar"/>
        </w:rPr>
        <w:t>(四)安全与应急保障服务</w:t>
      </w:r>
    </w:p>
    <w:p w14:paraId="04C97926">
      <w:pPr>
        <w:pStyle w:val="10"/>
        <w:numPr>
          <w:ilvl w:val="0"/>
          <w:numId w:val="0"/>
        </w:numPr>
        <w:ind w:firstLine="480" w:firstLineChars="200"/>
        <w:rPr>
          <w:rStyle w:val="36"/>
          <w:rFonts w:hint="default" w:ascii="宋体" w:hAnsi="宋体" w:cs="宋体"/>
          <w:b w:val="0"/>
          <w:bCs w:val="0"/>
          <w:kern w:val="0"/>
          <w:sz w:val="24"/>
          <w:szCs w:val="24"/>
          <w:lang w:val="en-US" w:eastAsia="zh-CN" w:bidi="ar"/>
        </w:rPr>
      </w:pPr>
      <w:r>
        <w:rPr>
          <w:rStyle w:val="36"/>
          <w:rFonts w:hint="eastAsia" w:ascii="宋体" w:hAnsi="宋体" w:cs="宋体"/>
          <w:b w:val="0"/>
          <w:bCs w:val="0"/>
          <w:kern w:val="0"/>
          <w:sz w:val="24"/>
          <w:szCs w:val="24"/>
          <w:lang w:val="en-US" w:eastAsia="zh-CN" w:bidi="ar"/>
        </w:rPr>
        <w:t>1.</w:t>
      </w:r>
      <w:r>
        <w:rPr>
          <w:rStyle w:val="36"/>
          <w:rFonts w:hint="default" w:ascii="宋体" w:hAnsi="宋体" w:cs="宋体"/>
          <w:b w:val="0"/>
          <w:bCs w:val="0"/>
          <w:kern w:val="0"/>
          <w:sz w:val="24"/>
          <w:szCs w:val="24"/>
          <w:lang w:val="en-US" w:eastAsia="zh-CN" w:bidi="ar"/>
        </w:rPr>
        <w:t>医疗保障:</w:t>
      </w:r>
    </w:p>
    <w:p w14:paraId="38998160">
      <w:pPr>
        <w:pStyle w:val="10"/>
        <w:numPr>
          <w:ilvl w:val="0"/>
          <w:numId w:val="0"/>
        </w:numPr>
        <w:ind w:firstLine="480" w:firstLineChars="200"/>
        <w:rPr>
          <w:rStyle w:val="36"/>
          <w:rFonts w:hint="default" w:ascii="宋体" w:hAnsi="宋体" w:cs="宋体"/>
          <w:b w:val="0"/>
          <w:bCs w:val="0"/>
          <w:kern w:val="0"/>
          <w:sz w:val="24"/>
          <w:szCs w:val="24"/>
          <w:lang w:val="en-US" w:eastAsia="zh-CN" w:bidi="ar"/>
        </w:rPr>
      </w:pPr>
      <w:r>
        <w:rPr>
          <w:rStyle w:val="36"/>
          <w:rFonts w:hint="default" w:ascii="宋体" w:hAnsi="宋体" w:cs="宋体"/>
          <w:b w:val="0"/>
          <w:bCs w:val="0"/>
          <w:kern w:val="0"/>
          <w:sz w:val="24"/>
          <w:szCs w:val="24"/>
          <w:lang w:val="en-US" w:eastAsia="zh-CN" w:bidi="ar"/>
        </w:rPr>
        <w:t>场地医疗点:主会场设置2个医疗点(配备除颤仪、急救担架)，5个分场地各设置1个医疗点，每个医疗点配备1名医生+2名护士。</w:t>
      </w:r>
    </w:p>
    <w:p w14:paraId="6F776E17">
      <w:pPr>
        <w:pStyle w:val="10"/>
        <w:numPr>
          <w:ilvl w:val="0"/>
          <w:numId w:val="0"/>
        </w:numPr>
        <w:ind w:firstLine="480" w:firstLineChars="200"/>
        <w:rPr>
          <w:rStyle w:val="36"/>
          <w:rFonts w:hint="default" w:ascii="宋体" w:hAnsi="宋体" w:cs="宋体"/>
          <w:b w:val="0"/>
          <w:bCs w:val="0"/>
          <w:kern w:val="0"/>
          <w:sz w:val="24"/>
          <w:szCs w:val="24"/>
          <w:lang w:val="en-US" w:eastAsia="zh-CN" w:bidi="ar"/>
        </w:rPr>
      </w:pPr>
      <w:r>
        <w:rPr>
          <w:rStyle w:val="36"/>
          <w:rFonts w:hint="default" w:ascii="宋体" w:hAnsi="宋体" w:cs="宋体"/>
          <w:b w:val="0"/>
          <w:bCs w:val="0"/>
          <w:kern w:val="0"/>
          <w:sz w:val="24"/>
          <w:szCs w:val="24"/>
          <w:lang w:val="en-US" w:eastAsia="zh-CN" w:bidi="ar"/>
        </w:rPr>
        <w:t>急救转运:安排3辆急救车(主会场1辆、分场地2辆机动)，与就近3家三甲医院建立绿色通道，确保受伤人员15分钟内抵达医院。</w:t>
      </w:r>
    </w:p>
    <w:p w14:paraId="703810DD">
      <w:pPr>
        <w:pStyle w:val="10"/>
        <w:numPr>
          <w:ilvl w:val="0"/>
          <w:numId w:val="0"/>
        </w:numPr>
        <w:ind w:firstLine="480" w:firstLineChars="200"/>
        <w:rPr>
          <w:rStyle w:val="36"/>
          <w:rFonts w:hint="default" w:ascii="宋体" w:hAnsi="宋体" w:cs="宋体"/>
          <w:b w:val="0"/>
          <w:bCs w:val="0"/>
          <w:kern w:val="0"/>
          <w:sz w:val="24"/>
          <w:szCs w:val="24"/>
          <w:lang w:val="en-US" w:eastAsia="zh-CN" w:bidi="ar"/>
        </w:rPr>
      </w:pPr>
      <w:r>
        <w:rPr>
          <w:rStyle w:val="36"/>
          <w:rFonts w:hint="eastAsia" w:ascii="宋体" w:hAnsi="宋体" w:cs="宋体"/>
          <w:b w:val="0"/>
          <w:bCs w:val="0"/>
          <w:kern w:val="0"/>
          <w:sz w:val="24"/>
          <w:szCs w:val="24"/>
          <w:lang w:val="en-US" w:eastAsia="zh-CN" w:bidi="ar"/>
        </w:rPr>
        <w:t>2.</w:t>
      </w:r>
      <w:r>
        <w:rPr>
          <w:rStyle w:val="36"/>
          <w:rFonts w:hint="default" w:ascii="宋体" w:hAnsi="宋体" w:cs="宋体"/>
          <w:b w:val="0"/>
          <w:bCs w:val="0"/>
          <w:kern w:val="0"/>
          <w:sz w:val="24"/>
          <w:szCs w:val="24"/>
          <w:lang w:val="en-US" w:eastAsia="zh-CN" w:bidi="ar"/>
        </w:rPr>
        <w:t>安保保障:</w:t>
      </w:r>
    </w:p>
    <w:p w14:paraId="687B7A57">
      <w:pPr>
        <w:pStyle w:val="10"/>
        <w:numPr>
          <w:ilvl w:val="0"/>
          <w:numId w:val="0"/>
        </w:numPr>
        <w:ind w:firstLine="480" w:firstLineChars="200"/>
        <w:rPr>
          <w:rStyle w:val="36"/>
          <w:rFonts w:hint="default" w:ascii="宋体" w:hAnsi="宋体" w:cs="宋体"/>
          <w:b w:val="0"/>
          <w:bCs w:val="0"/>
          <w:kern w:val="0"/>
          <w:sz w:val="24"/>
          <w:szCs w:val="24"/>
          <w:lang w:val="en-US" w:eastAsia="zh-CN" w:bidi="ar"/>
        </w:rPr>
      </w:pPr>
      <w:r>
        <w:rPr>
          <w:rStyle w:val="36"/>
          <w:rFonts w:hint="default" w:ascii="宋体" w:hAnsi="宋体" w:cs="宋体"/>
          <w:b w:val="0"/>
          <w:bCs w:val="0"/>
          <w:kern w:val="0"/>
          <w:sz w:val="24"/>
          <w:szCs w:val="24"/>
          <w:lang w:val="en-US" w:eastAsia="zh-CN" w:bidi="ar"/>
        </w:rPr>
        <w:t>人员配置:日常安保50人(开、闭幕式安保)，均为安保人员。</w:t>
      </w:r>
    </w:p>
    <w:p w14:paraId="3DEC2969">
      <w:pPr>
        <w:pStyle w:val="10"/>
        <w:numPr>
          <w:ilvl w:val="0"/>
          <w:numId w:val="0"/>
        </w:numPr>
        <w:ind w:firstLine="480" w:firstLineChars="200"/>
        <w:rPr>
          <w:rStyle w:val="36"/>
          <w:rFonts w:hint="default" w:ascii="宋体" w:hAnsi="宋体" w:cs="宋体"/>
          <w:b w:val="0"/>
          <w:bCs w:val="0"/>
          <w:kern w:val="0"/>
          <w:sz w:val="24"/>
          <w:szCs w:val="24"/>
          <w:lang w:val="en-US" w:eastAsia="zh-CN" w:bidi="ar"/>
        </w:rPr>
      </w:pPr>
      <w:r>
        <w:rPr>
          <w:rStyle w:val="36"/>
          <w:rFonts w:hint="default" w:ascii="宋体" w:hAnsi="宋体" w:cs="宋体"/>
          <w:b w:val="0"/>
          <w:bCs w:val="0"/>
          <w:kern w:val="0"/>
          <w:sz w:val="24"/>
          <w:szCs w:val="24"/>
          <w:lang w:val="en-US" w:eastAsia="zh-CN" w:bidi="ar"/>
        </w:rPr>
        <w:t>安全防控:制定“一主五分”安保方案，对比赛场地、住宿酒店进行24小时巡逻，配备金属探测仪、安检门(主会场+核心分场地)，排查消防设施、疏散通道(每日1次)。</w:t>
      </w:r>
    </w:p>
    <w:p w14:paraId="0EC224CE">
      <w:pPr>
        <w:pStyle w:val="10"/>
        <w:numPr>
          <w:ilvl w:val="0"/>
          <w:numId w:val="0"/>
        </w:numPr>
        <w:ind w:firstLine="480" w:firstLineChars="200"/>
        <w:rPr>
          <w:rStyle w:val="36"/>
          <w:rFonts w:hint="default" w:ascii="宋体" w:hAnsi="宋体" w:cs="宋体"/>
          <w:b w:val="0"/>
          <w:bCs w:val="0"/>
          <w:kern w:val="0"/>
          <w:sz w:val="24"/>
          <w:szCs w:val="24"/>
          <w:lang w:val="en-US" w:eastAsia="zh-CN" w:bidi="ar"/>
        </w:rPr>
      </w:pPr>
      <w:r>
        <w:rPr>
          <w:rStyle w:val="36"/>
          <w:rFonts w:hint="eastAsia" w:ascii="宋体" w:hAnsi="宋体" w:cs="宋体"/>
          <w:b w:val="0"/>
          <w:bCs w:val="0"/>
          <w:kern w:val="0"/>
          <w:sz w:val="24"/>
          <w:szCs w:val="24"/>
          <w:lang w:val="en-US" w:eastAsia="zh-CN" w:bidi="ar"/>
        </w:rPr>
        <w:t>3.</w:t>
      </w:r>
      <w:r>
        <w:rPr>
          <w:rStyle w:val="36"/>
          <w:rFonts w:hint="default" w:ascii="宋体" w:hAnsi="宋体" w:cs="宋体"/>
          <w:b w:val="0"/>
          <w:bCs w:val="0"/>
          <w:kern w:val="0"/>
          <w:sz w:val="24"/>
          <w:szCs w:val="24"/>
          <w:lang w:val="en-US" w:eastAsia="zh-CN" w:bidi="ar"/>
        </w:rPr>
        <w:t>应急响应:</w:t>
      </w:r>
    </w:p>
    <w:p w14:paraId="41F53C83">
      <w:pPr>
        <w:pStyle w:val="10"/>
        <w:numPr>
          <w:ilvl w:val="0"/>
          <w:numId w:val="0"/>
        </w:numPr>
        <w:ind w:firstLine="480" w:firstLineChars="200"/>
        <w:rPr>
          <w:rStyle w:val="36"/>
          <w:rFonts w:hint="eastAsia" w:ascii="宋体" w:hAnsi="宋体" w:cs="宋体"/>
          <w:b w:val="0"/>
          <w:bCs w:val="0"/>
          <w:kern w:val="0"/>
          <w:sz w:val="24"/>
          <w:szCs w:val="24"/>
          <w:lang w:val="en-US" w:eastAsia="zh-CN" w:bidi="ar"/>
        </w:rPr>
      </w:pPr>
      <w:r>
        <w:rPr>
          <w:rStyle w:val="36"/>
          <w:rFonts w:hint="default" w:ascii="宋体" w:hAnsi="宋体" w:cs="宋体"/>
          <w:b w:val="0"/>
          <w:bCs w:val="0"/>
          <w:kern w:val="0"/>
          <w:sz w:val="24"/>
          <w:szCs w:val="24"/>
          <w:lang w:val="en-US" w:eastAsia="zh-CN" w:bidi="ar"/>
        </w:rPr>
        <w:t>预案制定:针对极端天气(暴雨、大风)、运动员突发疾病、设备故障、疫情防控等6类突发情况，制定专项应急预案，明确责任分工、处置流程、联络方式。</w:t>
      </w:r>
      <w:r>
        <w:rPr>
          <w:rStyle w:val="36"/>
          <w:rFonts w:hint="eastAsia" w:ascii="宋体" w:hAnsi="宋体" w:cs="宋体"/>
          <w:b w:val="0"/>
          <w:bCs w:val="0"/>
          <w:kern w:val="0"/>
          <w:sz w:val="24"/>
          <w:szCs w:val="24"/>
          <w:lang w:val="en-US" w:eastAsia="zh-CN" w:bidi="ar"/>
        </w:rPr>
        <w:t xml:space="preserve"> </w:t>
      </w:r>
    </w:p>
    <w:p w14:paraId="25175897">
      <w:pPr>
        <w:pStyle w:val="10"/>
        <w:numPr>
          <w:ilvl w:val="0"/>
          <w:numId w:val="0"/>
        </w:numPr>
        <w:ind w:firstLine="480" w:firstLineChars="200"/>
        <w:rPr>
          <w:rStyle w:val="36"/>
          <w:rFonts w:hint="default" w:ascii="宋体" w:hAnsi="宋体" w:cs="宋体"/>
          <w:b w:val="0"/>
          <w:bCs w:val="0"/>
          <w:kern w:val="0"/>
          <w:sz w:val="24"/>
          <w:szCs w:val="24"/>
          <w:lang w:val="en-US" w:eastAsia="zh-CN" w:bidi="ar"/>
        </w:rPr>
      </w:pPr>
      <w:r>
        <w:rPr>
          <w:rStyle w:val="36"/>
          <w:rFonts w:hint="default" w:ascii="宋体" w:hAnsi="宋体" w:cs="宋体"/>
          <w:b w:val="0"/>
          <w:bCs w:val="0"/>
          <w:kern w:val="0"/>
          <w:sz w:val="24"/>
          <w:szCs w:val="24"/>
          <w:lang w:val="en-US" w:eastAsia="zh-CN" w:bidi="ar"/>
        </w:rPr>
        <w:t>物资储备:每个场地储备应急物资包(雨伞、雨衣、应急照明、备用电源、防疫口罩、消毒用品)，主会场增设防汛沙袋、防风网。</w:t>
      </w:r>
    </w:p>
    <w:p w14:paraId="5734615E">
      <w:pPr>
        <w:pStyle w:val="10"/>
        <w:numPr>
          <w:ilvl w:val="0"/>
          <w:numId w:val="0"/>
        </w:numPr>
        <w:ind w:firstLine="480" w:firstLineChars="200"/>
        <w:rPr>
          <w:rStyle w:val="36"/>
          <w:rFonts w:hint="default" w:ascii="宋体" w:hAnsi="宋体" w:cs="宋体"/>
          <w:b w:val="0"/>
          <w:bCs w:val="0"/>
          <w:kern w:val="0"/>
          <w:sz w:val="24"/>
          <w:szCs w:val="24"/>
          <w:lang w:val="en-US" w:eastAsia="zh-CN" w:bidi="ar"/>
        </w:rPr>
      </w:pPr>
      <w:r>
        <w:rPr>
          <w:rStyle w:val="36"/>
          <w:rFonts w:hint="default" w:ascii="宋体" w:hAnsi="宋体" w:cs="宋体"/>
          <w:b w:val="0"/>
          <w:bCs w:val="0"/>
          <w:kern w:val="0"/>
          <w:sz w:val="24"/>
          <w:szCs w:val="24"/>
          <w:lang w:val="en-US" w:eastAsia="zh-CN" w:bidi="ar"/>
        </w:rPr>
        <w:t>应急演练:赛前组织1次全流程应急演练(含多场地联动处置)，赛后总结优化。</w:t>
      </w:r>
    </w:p>
    <w:p w14:paraId="08465B90">
      <w:pPr>
        <w:pStyle w:val="10"/>
        <w:numPr>
          <w:ilvl w:val="0"/>
          <w:numId w:val="0"/>
        </w:numPr>
        <w:ind w:firstLine="482" w:firstLineChars="200"/>
        <w:rPr>
          <w:rStyle w:val="36"/>
          <w:rFonts w:hint="default" w:ascii="宋体" w:hAnsi="宋体" w:cs="宋体"/>
          <w:b/>
          <w:bCs/>
          <w:kern w:val="0"/>
          <w:sz w:val="24"/>
          <w:szCs w:val="24"/>
          <w:lang w:val="en-US" w:eastAsia="zh-CN" w:bidi="ar"/>
        </w:rPr>
      </w:pPr>
      <w:r>
        <w:rPr>
          <w:rStyle w:val="36"/>
          <w:rFonts w:hint="default" w:ascii="宋体" w:hAnsi="宋体" w:cs="宋体"/>
          <w:b/>
          <w:bCs/>
          <w:kern w:val="0"/>
          <w:sz w:val="24"/>
          <w:szCs w:val="24"/>
          <w:lang w:val="en-US" w:eastAsia="zh-CN" w:bidi="ar"/>
        </w:rPr>
        <w:t>(五)后勤协调服务</w:t>
      </w:r>
    </w:p>
    <w:p w14:paraId="64D03944">
      <w:pPr>
        <w:pStyle w:val="10"/>
        <w:numPr>
          <w:ilvl w:val="0"/>
          <w:numId w:val="0"/>
        </w:numPr>
        <w:ind w:firstLine="480" w:firstLineChars="200"/>
        <w:rPr>
          <w:rStyle w:val="36"/>
          <w:rFonts w:hint="default" w:ascii="宋体" w:hAnsi="宋体" w:cs="宋体"/>
          <w:b w:val="0"/>
          <w:bCs w:val="0"/>
          <w:kern w:val="0"/>
          <w:sz w:val="24"/>
          <w:szCs w:val="24"/>
          <w:lang w:val="en-US" w:eastAsia="zh-CN" w:bidi="ar"/>
        </w:rPr>
      </w:pPr>
      <w:r>
        <w:rPr>
          <w:rStyle w:val="36"/>
          <w:rFonts w:hint="default" w:ascii="宋体" w:hAnsi="宋体" w:cs="宋体"/>
          <w:b w:val="0"/>
          <w:bCs w:val="0"/>
          <w:kern w:val="0"/>
          <w:sz w:val="24"/>
          <w:szCs w:val="24"/>
          <w:lang w:val="en-US" w:eastAsia="zh-CN" w:bidi="ar"/>
        </w:rPr>
        <w:t>合作单位沟通:建立与场地、酒店、餐饮、交通等合作单位的每日沟通机制(早会+晚会)，及时解决问题。</w:t>
      </w:r>
    </w:p>
    <w:p w14:paraId="1FFF86FD">
      <w:pPr>
        <w:pStyle w:val="10"/>
        <w:numPr>
          <w:ilvl w:val="0"/>
          <w:numId w:val="0"/>
        </w:numPr>
        <w:ind w:firstLine="480" w:firstLineChars="200"/>
        <w:rPr>
          <w:rStyle w:val="36"/>
          <w:rFonts w:hint="default" w:ascii="宋体" w:hAnsi="宋体" w:cs="宋体"/>
          <w:b w:val="0"/>
          <w:bCs w:val="0"/>
          <w:kern w:val="0"/>
          <w:sz w:val="24"/>
          <w:szCs w:val="24"/>
          <w:lang w:val="en-US" w:eastAsia="zh-CN" w:bidi="ar"/>
        </w:rPr>
      </w:pPr>
      <w:r>
        <w:rPr>
          <w:rStyle w:val="36"/>
          <w:rFonts w:hint="default" w:ascii="宋体" w:hAnsi="宋体" w:cs="宋体"/>
          <w:b w:val="0"/>
          <w:bCs w:val="0"/>
          <w:kern w:val="0"/>
          <w:sz w:val="24"/>
          <w:szCs w:val="24"/>
          <w:lang w:val="en-US" w:eastAsia="zh-CN" w:bidi="ar"/>
        </w:rPr>
        <w:t>物资仓库管理:主会场设立总仓库，5个分场地设立分仓库，实行“入库登记、出库签字、每日盘点”制度，配备2名专职仓库管理员。</w:t>
      </w:r>
    </w:p>
    <w:p w14:paraId="1CB73C55">
      <w:pPr>
        <w:pStyle w:val="10"/>
        <w:numPr>
          <w:ilvl w:val="0"/>
          <w:numId w:val="0"/>
        </w:numPr>
        <w:ind w:firstLine="480" w:firstLineChars="200"/>
        <w:rPr>
          <w:rStyle w:val="36"/>
          <w:rFonts w:hint="default" w:ascii="宋体" w:hAnsi="宋体" w:cs="宋体"/>
          <w:b w:val="0"/>
          <w:bCs w:val="0"/>
          <w:kern w:val="0"/>
          <w:sz w:val="24"/>
          <w:szCs w:val="24"/>
          <w:highlight w:val="none"/>
          <w:lang w:val="en-US" w:eastAsia="zh-CN" w:bidi="ar"/>
        </w:rPr>
      </w:pPr>
      <w:r>
        <w:rPr>
          <w:rStyle w:val="36"/>
          <w:rFonts w:hint="default" w:ascii="宋体" w:hAnsi="宋体" w:cs="宋体"/>
          <w:b w:val="0"/>
          <w:bCs w:val="0"/>
          <w:kern w:val="0"/>
          <w:sz w:val="24"/>
          <w:szCs w:val="24"/>
          <w:highlight w:val="none"/>
          <w:lang w:val="en-US" w:eastAsia="zh-CN" w:bidi="ar"/>
        </w:rPr>
        <w:t>需求处理:开通24小时服务热线(1部总机+5部分场地专线)，及时响应参赛队、工作人员、观众的合理需求，记录处理台账。</w:t>
      </w:r>
    </w:p>
    <w:p w14:paraId="414B8E50">
      <w:pPr>
        <w:pStyle w:val="10"/>
        <w:numPr>
          <w:ilvl w:val="0"/>
          <w:numId w:val="0"/>
        </w:numPr>
        <w:rPr>
          <w:rStyle w:val="36"/>
          <w:rFonts w:hint="eastAsia" w:ascii="宋体" w:hAnsi="宋体" w:cs="宋体"/>
          <w:b/>
          <w:bCs/>
          <w:kern w:val="0"/>
          <w:sz w:val="24"/>
          <w:szCs w:val="24"/>
          <w:highlight w:val="none"/>
          <w:lang w:val="en-US" w:eastAsia="zh-CN" w:bidi="ar"/>
        </w:rPr>
      </w:pPr>
      <w:r>
        <w:rPr>
          <w:rStyle w:val="36"/>
          <w:rFonts w:hint="eastAsia" w:ascii="宋体" w:hAnsi="宋体" w:cs="宋体"/>
          <w:b/>
          <w:bCs/>
          <w:kern w:val="0"/>
          <w:sz w:val="24"/>
          <w:szCs w:val="24"/>
          <w:highlight w:val="none"/>
          <w:lang w:val="en-US" w:eastAsia="zh-CN" w:bidi="ar"/>
        </w:rPr>
        <w:t>十二、研学及联谊服务保障方案</w:t>
      </w:r>
    </w:p>
    <w:p w14:paraId="6CE96ED1">
      <w:pPr>
        <w:pStyle w:val="10"/>
        <w:numPr>
          <w:ilvl w:val="0"/>
          <w:numId w:val="0"/>
        </w:numPr>
        <w:ind w:firstLine="480" w:firstLineChars="200"/>
        <w:rPr>
          <w:rStyle w:val="36"/>
          <w:rFonts w:hint="eastAsia" w:ascii="宋体" w:hAnsi="宋体" w:cs="宋体"/>
          <w:b w:val="0"/>
          <w:bCs w:val="0"/>
          <w:kern w:val="0"/>
          <w:sz w:val="24"/>
          <w:szCs w:val="24"/>
          <w:highlight w:val="none"/>
          <w:lang w:val="en-US" w:eastAsia="zh-CN" w:bidi="ar"/>
        </w:rPr>
      </w:pPr>
      <w:r>
        <w:rPr>
          <w:rStyle w:val="36"/>
          <w:rFonts w:hint="eastAsia" w:ascii="宋体" w:hAnsi="宋体" w:cs="宋体"/>
          <w:b w:val="0"/>
          <w:bCs w:val="0"/>
          <w:kern w:val="0"/>
          <w:sz w:val="24"/>
          <w:szCs w:val="24"/>
          <w:highlight w:val="none"/>
          <w:lang w:val="en-US" w:eastAsia="zh-CN" w:bidi="ar"/>
        </w:rPr>
        <w:t>联谊活动策划不少于3场，分批次保障研学活动。</w:t>
      </w:r>
    </w:p>
    <w:p w14:paraId="01A01634">
      <w:pPr>
        <w:pStyle w:val="10"/>
        <w:numPr>
          <w:ilvl w:val="0"/>
          <w:numId w:val="0"/>
        </w:numPr>
        <w:ind w:firstLine="480" w:firstLineChars="200"/>
        <w:rPr>
          <w:rStyle w:val="36"/>
          <w:rFonts w:hint="default" w:ascii="宋体" w:hAnsi="宋体" w:cs="宋体"/>
          <w:b/>
          <w:bCs/>
          <w:kern w:val="0"/>
          <w:sz w:val="24"/>
          <w:szCs w:val="24"/>
          <w:highlight w:val="none"/>
          <w:lang w:val="en-US" w:eastAsia="zh-CN" w:bidi="ar"/>
        </w:rPr>
      </w:pPr>
      <w:r>
        <w:rPr>
          <w:rStyle w:val="36"/>
          <w:rFonts w:hint="eastAsia" w:ascii="宋体" w:hAnsi="宋体" w:cs="宋体"/>
          <w:b w:val="0"/>
          <w:bCs w:val="0"/>
          <w:kern w:val="0"/>
          <w:sz w:val="24"/>
          <w:szCs w:val="24"/>
          <w:highlight w:val="none"/>
          <w:lang w:val="en-US" w:eastAsia="zh-CN" w:bidi="ar"/>
        </w:rPr>
        <w:t>1、负责安排地区文博院（博物馆）、铸牢中华民族共同体意识体验馆、柯柯牙纪念馆等研学点位的相关保障事宜。</w:t>
      </w:r>
    </w:p>
    <w:p w14:paraId="4F488A74">
      <w:pPr>
        <w:pStyle w:val="10"/>
        <w:numPr>
          <w:ilvl w:val="0"/>
          <w:numId w:val="0"/>
        </w:numPr>
        <w:ind w:firstLine="480" w:firstLineChars="200"/>
        <w:rPr>
          <w:rStyle w:val="36"/>
          <w:rFonts w:hint="default" w:ascii="宋体" w:hAnsi="宋体" w:cs="宋体"/>
          <w:b w:val="0"/>
          <w:bCs w:val="0"/>
          <w:kern w:val="0"/>
          <w:sz w:val="24"/>
          <w:szCs w:val="24"/>
          <w:highlight w:val="none"/>
          <w:lang w:val="en-US" w:eastAsia="zh-CN" w:bidi="ar"/>
        </w:rPr>
      </w:pPr>
      <w:r>
        <w:rPr>
          <w:rStyle w:val="36"/>
          <w:rFonts w:hint="eastAsia" w:ascii="宋体" w:hAnsi="宋体" w:cs="宋体"/>
          <w:b w:val="0"/>
          <w:bCs w:val="0"/>
          <w:kern w:val="0"/>
          <w:sz w:val="24"/>
          <w:szCs w:val="24"/>
          <w:highlight w:val="none"/>
          <w:lang w:val="en-US" w:eastAsia="zh-CN" w:bidi="ar"/>
        </w:rPr>
        <w:t>2、依托赛事平台，精心策划联谊活动、在互动中增进了解。组织不少于3场次的联谊活动，以铸牢中华民族共同体意识为主线，围绕足球趣味民族文化分享、歌舞互动、美食品鉴等多方面元素进行策划；负责组织200名本地学生做好分批次、分场地与各省市参赛队伍开展形式多样的互动交流，做好服务及物资保障；校区内组织一场文艺演出。</w:t>
      </w:r>
    </w:p>
    <w:p w14:paraId="20F737ED">
      <w:pPr>
        <w:pStyle w:val="10"/>
        <w:numPr>
          <w:ilvl w:val="0"/>
          <w:numId w:val="0"/>
        </w:numPr>
        <w:rPr>
          <w:rStyle w:val="36"/>
          <w:rFonts w:hint="default" w:ascii="宋体" w:hAnsi="宋体" w:cs="宋体"/>
          <w:b/>
          <w:bCs/>
          <w:kern w:val="0"/>
          <w:sz w:val="24"/>
          <w:szCs w:val="24"/>
          <w:lang w:val="en-US" w:eastAsia="zh-CN" w:bidi="ar"/>
        </w:rPr>
      </w:pPr>
      <w:r>
        <w:rPr>
          <w:rStyle w:val="36"/>
          <w:rFonts w:hint="eastAsia" w:ascii="宋体" w:hAnsi="宋体" w:cs="宋体"/>
          <w:b/>
          <w:bCs/>
          <w:kern w:val="0"/>
          <w:sz w:val="24"/>
          <w:szCs w:val="24"/>
          <w:lang w:val="en-US" w:eastAsia="zh-CN" w:bidi="ar"/>
        </w:rPr>
        <w:t>十三、</w:t>
      </w:r>
      <w:r>
        <w:rPr>
          <w:rStyle w:val="36"/>
          <w:rFonts w:hint="default" w:ascii="宋体" w:hAnsi="宋体" w:cs="宋体"/>
          <w:b/>
          <w:bCs/>
          <w:kern w:val="0"/>
          <w:sz w:val="24"/>
          <w:szCs w:val="24"/>
          <w:lang w:val="en-US" w:eastAsia="zh-CN" w:bidi="ar"/>
        </w:rPr>
        <w:t>印证资料提供要求(全流程可追溯)</w:t>
      </w:r>
    </w:p>
    <w:p w14:paraId="4BAA66A0">
      <w:pPr>
        <w:pStyle w:val="10"/>
        <w:numPr>
          <w:ilvl w:val="0"/>
          <w:numId w:val="0"/>
        </w:numPr>
        <w:ind w:firstLine="480" w:firstLineChars="200"/>
        <w:rPr>
          <w:rStyle w:val="36"/>
          <w:rFonts w:hint="default" w:ascii="宋体" w:hAnsi="宋体" w:cs="宋体"/>
          <w:b w:val="0"/>
          <w:bCs w:val="0"/>
          <w:kern w:val="0"/>
          <w:sz w:val="24"/>
          <w:szCs w:val="24"/>
          <w:lang w:val="en-US" w:eastAsia="zh-CN" w:bidi="ar"/>
        </w:rPr>
      </w:pPr>
      <w:r>
        <w:rPr>
          <w:rStyle w:val="36"/>
          <w:rFonts w:hint="default" w:ascii="宋体" w:hAnsi="宋体" w:cs="宋体"/>
          <w:b w:val="0"/>
          <w:bCs w:val="0"/>
          <w:kern w:val="0"/>
          <w:sz w:val="24"/>
          <w:szCs w:val="24"/>
          <w:lang w:val="en-US" w:eastAsia="zh-CN" w:bidi="ar"/>
        </w:rPr>
        <w:t>物资与奖品发放印证:提供电子台账(Excel+PDF双格式)+纸质领取表(按类别归档)，附发放现场照片/视频。</w:t>
      </w:r>
    </w:p>
    <w:p w14:paraId="5E682BFE">
      <w:pPr>
        <w:pStyle w:val="10"/>
        <w:numPr>
          <w:ilvl w:val="0"/>
          <w:numId w:val="0"/>
        </w:numPr>
        <w:ind w:firstLine="480" w:firstLineChars="200"/>
        <w:rPr>
          <w:rStyle w:val="36"/>
          <w:rFonts w:hint="default" w:ascii="宋体" w:hAnsi="宋体" w:cs="宋体"/>
          <w:b w:val="0"/>
          <w:bCs w:val="0"/>
          <w:kern w:val="0"/>
          <w:sz w:val="24"/>
          <w:szCs w:val="24"/>
          <w:lang w:val="en-US" w:eastAsia="zh-CN" w:bidi="ar"/>
        </w:rPr>
      </w:pPr>
      <w:r>
        <w:rPr>
          <w:rStyle w:val="36"/>
          <w:rFonts w:hint="default" w:ascii="宋体" w:hAnsi="宋体" w:cs="宋体"/>
          <w:b w:val="0"/>
          <w:bCs w:val="0"/>
          <w:kern w:val="0"/>
          <w:sz w:val="24"/>
          <w:szCs w:val="24"/>
          <w:lang w:val="en-US" w:eastAsia="zh-CN" w:bidi="ar"/>
        </w:rPr>
        <w:t>住宿服务印证:提供酒店住宿登记系统数据、入住签字表、房间分配表。餐饮服务印证:用餐登记记录(纸质+电子打卡记录)，附餐食留样照片。</w:t>
      </w:r>
    </w:p>
    <w:p w14:paraId="0C5435E7">
      <w:pPr>
        <w:pStyle w:val="10"/>
        <w:numPr>
          <w:ilvl w:val="0"/>
          <w:numId w:val="0"/>
        </w:numPr>
        <w:ind w:firstLine="480" w:firstLineChars="200"/>
        <w:rPr>
          <w:rStyle w:val="36"/>
          <w:rFonts w:hint="default" w:ascii="宋体" w:hAnsi="宋体" w:cs="宋体"/>
          <w:b w:val="0"/>
          <w:bCs w:val="0"/>
          <w:kern w:val="0"/>
          <w:sz w:val="24"/>
          <w:szCs w:val="24"/>
          <w:lang w:val="en-US" w:eastAsia="zh-CN" w:bidi="ar"/>
        </w:rPr>
      </w:pPr>
      <w:r>
        <w:rPr>
          <w:rStyle w:val="36"/>
          <w:rFonts w:hint="default" w:ascii="宋体" w:hAnsi="宋体" w:cs="宋体"/>
          <w:b w:val="0"/>
          <w:bCs w:val="0"/>
          <w:kern w:val="0"/>
          <w:sz w:val="24"/>
          <w:szCs w:val="24"/>
          <w:lang w:val="en-US" w:eastAsia="zh-CN" w:bidi="ar"/>
        </w:rPr>
        <w:t>场地服务印证:提供5个比赛场地每日卫生清理记录(含清洁时间、清洁内容、负责人签字)、场地布置验收照片。</w:t>
      </w:r>
    </w:p>
    <w:p w14:paraId="3ED82E23">
      <w:pPr>
        <w:pStyle w:val="10"/>
        <w:numPr>
          <w:ilvl w:val="0"/>
          <w:numId w:val="0"/>
        </w:numPr>
        <w:ind w:firstLine="480" w:firstLineChars="200"/>
        <w:rPr>
          <w:rStyle w:val="36"/>
          <w:rFonts w:hint="default" w:ascii="宋体" w:hAnsi="宋体" w:cs="宋体"/>
          <w:b w:val="0"/>
          <w:bCs w:val="0"/>
          <w:kern w:val="0"/>
          <w:sz w:val="24"/>
          <w:szCs w:val="24"/>
          <w:lang w:val="en-US" w:eastAsia="zh-CN" w:bidi="ar"/>
        </w:rPr>
      </w:pPr>
      <w:r>
        <w:rPr>
          <w:rStyle w:val="36"/>
          <w:rFonts w:hint="default" w:ascii="宋体" w:hAnsi="宋体" w:cs="宋体"/>
          <w:b w:val="0"/>
          <w:bCs w:val="0"/>
          <w:kern w:val="0"/>
          <w:sz w:val="24"/>
          <w:szCs w:val="24"/>
          <w:lang w:val="en-US" w:eastAsia="zh-CN" w:bidi="ar"/>
        </w:rPr>
        <w:t>额外配合要求:按阿克苏地区妇联要求，在规定时限内提供活动照片(≥500张)、视频片段(含高光集锦、全程回放)，格式符合官方存档标准。</w:t>
      </w:r>
    </w:p>
    <w:p w14:paraId="63470D30">
      <w:pPr>
        <w:pStyle w:val="10"/>
        <w:numPr>
          <w:ilvl w:val="0"/>
          <w:numId w:val="0"/>
        </w:numPr>
        <w:ind w:firstLine="480" w:firstLineChars="200"/>
        <w:rPr>
          <w:rStyle w:val="36"/>
          <w:rFonts w:hint="default" w:ascii="宋体" w:hAnsi="宋体" w:cs="宋体"/>
          <w:b w:val="0"/>
          <w:bCs w:val="0"/>
          <w:kern w:val="0"/>
          <w:sz w:val="24"/>
          <w:szCs w:val="24"/>
          <w:lang w:val="en-US" w:eastAsia="zh-CN" w:bidi="ar"/>
        </w:rPr>
      </w:pPr>
    </w:p>
    <w:p w14:paraId="6412379A">
      <w:pPr>
        <w:pStyle w:val="10"/>
        <w:numPr>
          <w:ilvl w:val="0"/>
          <w:numId w:val="0"/>
        </w:numPr>
        <w:ind w:firstLine="480" w:firstLineChars="200"/>
        <w:rPr>
          <w:rStyle w:val="36"/>
          <w:rFonts w:hint="default" w:ascii="宋体" w:hAnsi="宋体" w:cs="宋体"/>
          <w:b w:val="0"/>
          <w:bCs w:val="0"/>
          <w:kern w:val="0"/>
          <w:sz w:val="24"/>
          <w:szCs w:val="24"/>
          <w:lang w:val="en-US" w:eastAsia="zh-CN" w:bidi="ar"/>
        </w:rPr>
      </w:pPr>
    </w:p>
    <w:p w14:paraId="6DD4B352">
      <w:pPr>
        <w:pStyle w:val="10"/>
        <w:numPr>
          <w:ilvl w:val="0"/>
          <w:numId w:val="0"/>
        </w:numPr>
        <w:ind w:firstLine="480" w:firstLineChars="200"/>
        <w:rPr>
          <w:rStyle w:val="36"/>
          <w:rFonts w:hint="default" w:ascii="宋体" w:hAnsi="宋体" w:cs="宋体"/>
          <w:b w:val="0"/>
          <w:bCs w:val="0"/>
          <w:kern w:val="0"/>
          <w:sz w:val="24"/>
          <w:szCs w:val="24"/>
          <w:lang w:val="en-US" w:eastAsia="zh-CN" w:bidi="ar"/>
        </w:rPr>
      </w:pPr>
    </w:p>
    <w:p w14:paraId="7D7EEE17">
      <w:pPr>
        <w:pStyle w:val="10"/>
        <w:numPr>
          <w:ilvl w:val="0"/>
          <w:numId w:val="0"/>
        </w:numPr>
        <w:rPr>
          <w:rStyle w:val="36"/>
          <w:rFonts w:hint="default" w:ascii="宋体" w:hAnsi="宋体" w:cs="宋体"/>
          <w:b w:val="0"/>
          <w:bCs w:val="0"/>
          <w:kern w:val="0"/>
          <w:sz w:val="24"/>
          <w:szCs w:val="24"/>
          <w:lang w:val="en-US" w:eastAsia="zh-CN" w:bidi="ar"/>
        </w:rPr>
      </w:pPr>
    </w:p>
    <w:tbl>
      <w:tblPr>
        <w:tblStyle w:val="34"/>
        <w:tblW w:w="5158" w:type="pct"/>
        <w:tblInd w:w="-2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2"/>
        <w:gridCol w:w="1895"/>
        <w:gridCol w:w="739"/>
        <w:gridCol w:w="834"/>
        <w:gridCol w:w="2060"/>
        <w:gridCol w:w="782"/>
        <w:gridCol w:w="1716"/>
      </w:tblGrid>
      <w:tr w14:paraId="6E4A8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6" w:hRule="atLeast"/>
        </w:trPr>
        <w:tc>
          <w:tcPr>
            <w:tcW w:w="438" w:type="pct"/>
            <w:noWrap w:val="0"/>
            <w:vAlign w:val="top"/>
          </w:tcPr>
          <w:p w14:paraId="43EC8B6D">
            <w:pPr>
              <w:pStyle w:val="10"/>
              <w:numPr>
                <w:ilvl w:val="0"/>
                <w:numId w:val="0"/>
              </w:numPr>
              <w:jc w:val="center"/>
              <w:rPr>
                <w:rStyle w:val="36"/>
                <w:rFonts w:hint="default" w:ascii="宋体" w:hAnsi="宋体" w:cs="宋体"/>
                <w:b/>
                <w:bCs/>
                <w:kern w:val="0"/>
                <w:sz w:val="24"/>
                <w:szCs w:val="24"/>
                <w:vertAlign w:val="baseline"/>
                <w:lang w:val="en-US" w:eastAsia="zh-CN" w:bidi="ar"/>
              </w:rPr>
            </w:pPr>
            <w:r>
              <w:rPr>
                <w:rStyle w:val="36"/>
                <w:rFonts w:hint="eastAsia" w:ascii="宋体" w:hAnsi="宋体" w:cs="宋体"/>
                <w:b/>
                <w:bCs/>
                <w:kern w:val="0"/>
                <w:sz w:val="24"/>
                <w:szCs w:val="24"/>
                <w:vertAlign w:val="baseline"/>
                <w:lang w:val="en-US" w:eastAsia="zh-CN" w:bidi="ar"/>
              </w:rPr>
              <w:t>序号</w:t>
            </w:r>
          </w:p>
        </w:tc>
        <w:tc>
          <w:tcPr>
            <w:tcW w:w="1076" w:type="pct"/>
            <w:noWrap w:val="0"/>
            <w:vAlign w:val="top"/>
          </w:tcPr>
          <w:p w14:paraId="1768802D">
            <w:pPr>
              <w:pStyle w:val="10"/>
              <w:numPr>
                <w:ilvl w:val="0"/>
                <w:numId w:val="0"/>
              </w:numPr>
              <w:jc w:val="center"/>
              <w:rPr>
                <w:rStyle w:val="36"/>
                <w:rFonts w:hint="default" w:ascii="宋体" w:hAnsi="宋体" w:cs="宋体"/>
                <w:b/>
                <w:bCs/>
                <w:kern w:val="0"/>
                <w:sz w:val="24"/>
                <w:szCs w:val="24"/>
                <w:vertAlign w:val="baseline"/>
                <w:lang w:val="en-US" w:eastAsia="zh-CN" w:bidi="ar"/>
              </w:rPr>
            </w:pPr>
            <w:r>
              <w:rPr>
                <w:rStyle w:val="36"/>
                <w:rFonts w:hint="eastAsia" w:ascii="宋体" w:hAnsi="宋体" w:cs="宋体"/>
                <w:b/>
                <w:bCs/>
                <w:kern w:val="0"/>
                <w:sz w:val="24"/>
                <w:szCs w:val="24"/>
                <w:vertAlign w:val="baseline"/>
                <w:lang w:val="en-US" w:eastAsia="zh-CN" w:bidi="ar"/>
              </w:rPr>
              <w:t>名称</w:t>
            </w:r>
          </w:p>
        </w:tc>
        <w:tc>
          <w:tcPr>
            <w:tcW w:w="419" w:type="pct"/>
            <w:noWrap w:val="0"/>
            <w:vAlign w:val="top"/>
          </w:tcPr>
          <w:p w14:paraId="6375BC05">
            <w:pPr>
              <w:pStyle w:val="10"/>
              <w:numPr>
                <w:ilvl w:val="0"/>
                <w:numId w:val="0"/>
              </w:numPr>
              <w:jc w:val="center"/>
              <w:rPr>
                <w:rStyle w:val="36"/>
                <w:rFonts w:hint="default" w:ascii="宋体" w:hAnsi="宋体" w:cs="宋体"/>
                <w:b/>
                <w:bCs/>
                <w:kern w:val="0"/>
                <w:sz w:val="24"/>
                <w:szCs w:val="24"/>
                <w:vertAlign w:val="baseline"/>
                <w:lang w:val="en-US" w:eastAsia="zh-CN" w:bidi="ar"/>
              </w:rPr>
            </w:pPr>
            <w:r>
              <w:rPr>
                <w:rStyle w:val="36"/>
                <w:rFonts w:hint="eastAsia" w:ascii="宋体" w:hAnsi="宋体" w:cs="宋体"/>
                <w:b/>
                <w:bCs/>
                <w:kern w:val="0"/>
                <w:sz w:val="24"/>
                <w:szCs w:val="24"/>
                <w:vertAlign w:val="baseline"/>
                <w:lang w:val="en-US" w:eastAsia="zh-CN" w:bidi="ar"/>
              </w:rPr>
              <w:t>单位</w:t>
            </w:r>
          </w:p>
        </w:tc>
        <w:tc>
          <w:tcPr>
            <w:tcW w:w="473" w:type="pct"/>
            <w:noWrap w:val="0"/>
            <w:vAlign w:val="top"/>
          </w:tcPr>
          <w:p w14:paraId="74C63598">
            <w:pPr>
              <w:pStyle w:val="10"/>
              <w:numPr>
                <w:ilvl w:val="0"/>
                <w:numId w:val="0"/>
              </w:numPr>
              <w:jc w:val="center"/>
              <w:rPr>
                <w:rStyle w:val="36"/>
                <w:rFonts w:hint="default" w:ascii="宋体" w:hAnsi="宋体" w:cs="宋体"/>
                <w:b/>
                <w:bCs/>
                <w:kern w:val="0"/>
                <w:sz w:val="24"/>
                <w:szCs w:val="24"/>
                <w:vertAlign w:val="baseline"/>
                <w:lang w:val="en-US" w:eastAsia="zh-CN" w:bidi="ar"/>
              </w:rPr>
            </w:pPr>
            <w:r>
              <w:rPr>
                <w:rStyle w:val="36"/>
                <w:rFonts w:hint="eastAsia" w:ascii="宋体" w:hAnsi="宋体" w:cs="宋体"/>
                <w:b/>
                <w:bCs/>
                <w:kern w:val="0"/>
                <w:sz w:val="24"/>
                <w:szCs w:val="24"/>
                <w:vertAlign w:val="baseline"/>
                <w:lang w:val="en-US" w:eastAsia="zh-CN" w:bidi="ar"/>
              </w:rPr>
              <w:t>数量</w:t>
            </w:r>
          </w:p>
        </w:tc>
        <w:tc>
          <w:tcPr>
            <w:tcW w:w="1170" w:type="pct"/>
            <w:noWrap w:val="0"/>
            <w:vAlign w:val="top"/>
          </w:tcPr>
          <w:p w14:paraId="1BAACC9C">
            <w:pPr>
              <w:pStyle w:val="10"/>
              <w:numPr>
                <w:ilvl w:val="0"/>
                <w:numId w:val="0"/>
              </w:numPr>
              <w:jc w:val="center"/>
              <w:rPr>
                <w:rStyle w:val="36"/>
                <w:rFonts w:hint="default" w:ascii="宋体" w:hAnsi="宋体" w:cs="宋体"/>
                <w:b/>
                <w:bCs/>
                <w:kern w:val="0"/>
                <w:sz w:val="24"/>
                <w:szCs w:val="24"/>
                <w:vertAlign w:val="baseline"/>
                <w:lang w:val="en-US" w:eastAsia="zh-CN" w:bidi="ar"/>
              </w:rPr>
            </w:pPr>
            <w:r>
              <w:rPr>
                <w:rStyle w:val="36"/>
                <w:rFonts w:hint="eastAsia" w:ascii="宋体" w:hAnsi="宋体" w:cs="宋体"/>
                <w:b/>
                <w:bCs/>
                <w:kern w:val="0"/>
                <w:sz w:val="24"/>
                <w:szCs w:val="24"/>
                <w:vertAlign w:val="baseline"/>
                <w:lang w:val="en-US" w:eastAsia="zh-CN" w:bidi="ar"/>
              </w:rPr>
              <w:t>规格</w:t>
            </w:r>
          </w:p>
        </w:tc>
        <w:tc>
          <w:tcPr>
            <w:tcW w:w="444" w:type="pct"/>
            <w:noWrap w:val="0"/>
            <w:vAlign w:val="top"/>
          </w:tcPr>
          <w:p w14:paraId="185594DC">
            <w:pPr>
              <w:pStyle w:val="10"/>
              <w:numPr>
                <w:ilvl w:val="0"/>
                <w:numId w:val="0"/>
              </w:numPr>
              <w:jc w:val="center"/>
              <w:rPr>
                <w:rStyle w:val="36"/>
                <w:rFonts w:hint="eastAsia" w:ascii="宋体" w:hAnsi="宋体" w:cs="宋体"/>
                <w:b/>
                <w:bCs/>
                <w:kern w:val="0"/>
                <w:sz w:val="24"/>
                <w:szCs w:val="24"/>
                <w:vertAlign w:val="baseline"/>
                <w:lang w:val="en-US" w:eastAsia="zh-CN" w:bidi="ar"/>
              </w:rPr>
            </w:pPr>
            <w:r>
              <w:rPr>
                <w:rStyle w:val="36"/>
                <w:rFonts w:hint="eastAsia" w:ascii="宋体" w:hAnsi="宋体" w:cs="宋体"/>
                <w:b/>
                <w:bCs/>
                <w:kern w:val="0"/>
                <w:sz w:val="24"/>
                <w:szCs w:val="24"/>
                <w:vertAlign w:val="baseline"/>
                <w:lang w:val="en-US" w:eastAsia="zh-CN" w:bidi="ar"/>
              </w:rPr>
              <w:t>备注</w:t>
            </w:r>
          </w:p>
        </w:tc>
        <w:tc>
          <w:tcPr>
            <w:tcW w:w="975" w:type="pct"/>
            <w:noWrap w:val="0"/>
            <w:vAlign w:val="top"/>
          </w:tcPr>
          <w:p w14:paraId="58F14CC2">
            <w:pPr>
              <w:pStyle w:val="10"/>
              <w:numPr>
                <w:ilvl w:val="0"/>
                <w:numId w:val="0"/>
              </w:numPr>
              <w:jc w:val="center"/>
              <w:rPr>
                <w:rStyle w:val="36"/>
                <w:rFonts w:hint="eastAsia" w:ascii="宋体" w:hAnsi="宋体" w:eastAsia="宋体" w:cs="宋体"/>
                <w:b/>
                <w:bCs/>
                <w:kern w:val="0"/>
                <w:sz w:val="24"/>
                <w:szCs w:val="24"/>
                <w:vertAlign w:val="baseline"/>
                <w:lang w:val="en-US" w:eastAsia="zh-CN" w:bidi="ar"/>
              </w:rPr>
            </w:pPr>
            <w:r>
              <w:rPr>
                <w:rStyle w:val="36"/>
                <w:rFonts w:hint="eastAsia" w:ascii="宋体" w:hAnsi="宋体" w:cs="宋体"/>
                <w:b/>
                <w:bCs/>
                <w:kern w:val="0"/>
                <w:sz w:val="24"/>
                <w:szCs w:val="24"/>
                <w:vertAlign w:val="baseline"/>
                <w:lang w:val="en-US" w:eastAsia="zh-CN" w:bidi="ar"/>
              </w:rPr>
              <w:t>分项</w:t>
            </w:r>
          </w:p>
        </w:tc>
      </w:tr>
      <w:tr w14:paraId="28C6F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1" w:hRule="atLeast"/>
        </w:trPr>
        <w:tc>
          <w:tcPr>
            <w:tcW w:w="438" w:type="pct"/>
            <w:noWrap w:val="0"/>
            <w:vAlign w:val="top"/>
          </w:tcPr>
          <w:p w14:paraId="1FA0FBA5">
            <w:pPr>
              <w:pStyle w:val="10"/>
              <w:numPr>
                <w:ilvl w:val="0"/>
                <w:numId w:val="0"/>
              </w:numPr>
              <w:jc w:val="center"/>
              <w:rPr>
                <w:rStyle w:val="36"/>
                <w:rFonts w:hint="default" w:ascii="宋体" w:hAnsi="宋体" w:cs="宋体"/>
                <w:b w:val="0"/>
                <w:bCs w:val="0"/>
                <w:kern w:val="0"/>
                <w:sz w:val="24"/>
                <w:szCs w:val="24"/>
                <w:vertAlign w:val="baseline"/>
                <w:lang w:val="en-US" w:eastAsia="zh-CN" w:bidi="ar"/>
              </w:rPr>
            </w:pPr>
            <w:r>
              <w:rPr>
                <w:rStyle w:val="36"/>
                <w:rFonts w:hint="eastAsia" w:ascii="宋体" w:hAnsi="宋体" w:cs="宋体"/>
                <w:b w:val="0"/>
                <w:bCs w:val="0"/>
                <w:kern w:val="0"/>
                <w:sz w:val="24"/>
                <w:szCs w:val="24"/>
                <w:vertAlign w:val="baseline"/>
                <w:lang w:val="en-US" w:eastAsia="zh-CN" w:bidi="ar"/>
              </w:rPr>
              <w:t>1</w:t>
            </w:r>
          </w:p>
        </w:tc>
        <w:tc>
          <w:tcPr>
            <w:tcW w:w="1076" w:type="pct"/>
            <w:noWrap w:val="0"/>
            <w:vAlign w:val="center"/>
          </w:tcPr>
          <w:p w14:paraId="18AEBB48">
            <w:pPr>
              <w:keepNext w:val="0"/>
              <w:keepLines w:val="0"/>
              <w:widowControl/>
              <w:suppressLineNumbers w:val="0"/>
              <w:jc w:val="left"/>
              <w:textAlignment w:val="center"/>
              <w:rPr>
                <w:rStyle w:val="36"/>
                <w:rFonts w:hint="default"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开幕式主席台地毯</w:t>
            </w:r>
          </w:p>
        </w:tc>
        <w:tc>
          <w:tcPr>
            <w:tcW w:w="419" w:type="pct"/>
            <w:noWrap w:val="0"/>
            <w:vAlign w:val="center"/>
          </w:tcPr>
          <w:p w14:paraId="3873BAFC">
            <w:pPr>
              <w:keepNext w:val="0"/>
              <w:keepLines w:val="0"/>
              <w:widowControl/>
              <w:suppressLineNumbers w:val="0"/>
              <w:jc w:val="center"/>
              <w:textAlignment w:val="center"/>
              <w:rPr>
                <w:rStyle w:val="36"/>
                <w:rFonts w:hint="default"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平方</w:t>
            </w:r>
          </w:p>
        </w:tc>
        <w:tc>
          <w:tcPr>
            <w:tcW w:w="473" w:type="pct"/>
            <w:noWrap w:val="0"/>
            <w:vAlign w:val="center"/>
          </w:tcPr>
          <w:p w14:paraId="032325A5">
            <w:pPr>
              <w:keepNext w:val="0"/>
              <w:keepLines w:val="0"/>
              <w:widowControl/>
              <w:suppressLineNumbers w:val="0"/>
              <w:jc w:val="center"/>
              <w:textAlignment w:val="center"/>
              <w:rPr>
                <w:rStyle w:val="36"/>
                <w:rFonts w:hint="default"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100</w:t>
            </w:r>
          </w:p>
        </w:tc>
        <w:tc>
          <w:tcPr>
            <w:tcW w:w="1170" w:type="pct"/>
            <w:noWrap w:val="0"/>
            <w:vAlign w:val="center"/>
          </w:tcPr>
          <w:p w14:paraId="03257ECA">
            <w:pPr>
              <w:keepNext w:val="0"/>
              <w:keepLines w:val="0"/>
              <w:widowControl/>
              <w:suppressLineNumbers w:val="0"/>
              <w:jc w:val="left"/>
              <w:textAlignment w:val="center"/>
              <w:rPr>
                <w:rStyle w:val="36"/>
                <w:rFonts w:hint="default" w:ascii="宋体" w:hAnsi="宋体" w:eastAsia="宋体" w:cs="宋体"/>
                <w:b w:val="0"/>
                <w:bCs w:val="0"/>
                <w:kern w:val="0"/>
                <w:sz w:val="24"/>
                <w:szCs w:val="24"/>
                <w:vertAlign w:val="baseline"/>
                <w:lang w:val="en-US" w:eastAsia="zh-CN" w:bidi="ar"/>
              </w:rPr>
            </w:pPr>
          </w:p>
        </w:tc>
        <w:tc>
          <w:tcPr>
            <w:tcW w:w="444" w:type="pct"/>
            <w:noWrap w:val="0"/>
            <w:vAlign w:val="top"/>
          </w:tcPr>
          <w:p w14:paraId="4718E599">
            <w:pPr>
              <w:pStyle w:val="10"/>
              <w:numPr>
                <w:ilvl w:val="0"/>
                <w:numId w:val="0"/>
              </w:numPr>
              <w:jc w:val="center"/>
              <w:rPr>
                <w:rStyle w:val="36"/>
                <w:rFonts w:hint="default" w:ascii="宋体" w:hAnsi="宋体" w:cs="宋体"/>
                <w:b w:val="0"/>
                <w:bCs w:val="0"/>
                <w:kern w:val="0"/>
                <w:sz w:val="24"/>
                <w:szCs w:val="24"/>
                <w:vertAlign w:val="baseline"/>
                <w:lang w:val="en-US" w:eastAsia="zh-CN" w:bidi="ar"/>
              </w:rPr>
            </w:pPr>
          </w:p>
        </w:tc>
        <w:tc>
          <w:tcPr>
            <w:tcW w:w="975" w:type="pct"/>
            <w:vMerge w:val="restart"/>
            <w:noWrap w:val="0"/>
            <w:vAlign w:val="top"/>
          </w:tcPr>
          <w:p w14:paraId="25D175BB">
            <w:pPr>
              <w:pStyle w:val="10"/>
              <w:numPr>
                <w:ilvl w:val="0"/>
                <w:numId w:val="0"/>
              </w:numPr>
              <w:jc w:val="center"/>
              <w:rPr>
                <w:rStyle w:val="36"/>
                <w:rFonts w:hint="default" w:ascii="宋体" w:hAnsi="宋体" w:cs="宋体"/>
                <w:b w:val="0"/>
                <w:bCs w:val="0"/>
                <w:kern w:val="0"/>
                <w:sz w:val="24"/>
                <w:szCs w:val="24"/>
                <w:vertAlign w:val="baseline"/>
                <w:lang w:val="en-US" w:eastAsia="zh-CN" w:bidi="ar"/>
              </w:rPr>
            </w:pPr>
            <w:r>
              <w:rPr>
                <w:rStyle w:val="36"/>
                <w:rFonts w:hint="default" w:ascii="宋体" w:hAnsi="宋体" w:cs="宋体"/>
                <w:b w:val="0"/>
                <w:bCs w:val="0"/>
                <w:kern w:val="0"/>
                <w:sz w:val="24"/>
                <w:szCs w:val="24"/>
                <w:vertAlign w:val="baseline"/>
                <w:lang w:val="en-US" w:eastAsia="zh-CN" w:bidi="ar"/>
              </w:rPr>
              <w:t>舞台搭建及音响设备租赁</w:t>
            </w:r>
            <w:r>
              <w:rPr>
                <w:rStyle w:val="36"/>
                <w:rFonts w:hint="eastAsia" w:ascii="宋体" w:hAnsi="宋体" w:cs="宋体"/>
                <w:b w:val="0"/>
                <w:bCs w:val="0"/>
                <w:kern w:val="0"/>
                <w:sz w:val="24"/>
                <w:szCs w:val="24"/>
                <w:vertAlign w:val="baseline"/>
                <w:lang w:val="en-US" w:eastAsia="zh-CN" w:bidi="ar"/>
              </w:rPr>
              <w:t>（包含但不限于此内容，具体以和招标人商议为主）</w:t>
            </w:r>
          </w:p>
        </w:tc>
      </w:tr>
      <w:tr w14:paraId="00538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6" w:hRule="atLeast"/>
        </w:trPr>
        <w:tc>
          <w:tcPr>
            <w:tcW w:w="438" w:type="pct"/>
            <w:noWrap w:val="0"/>
            <w:vAlign w:val="top"/>
          </w:tcPr>
          <w:p w14:paraId="560B3A97">
            <w:pPr>
              <w:pStyle w:val="10"/>
              <w:numPr>
                <w:ilvl w:val="0"/>
                <w:numId w:val="0"/>
              </w:numPr>
              <w:jc w:val="center"/>
              <w:rPr>
                <w:rStyle w:val="36"/>
                <w:rFonts w:hint="default" w:ascii="宋体" w:hAnsi="宋体" w:cs="宋体"/>
                <w:b w:val="0"/>
                <w:bCs w:val="0"/>
                <w:kern w:val="0"/>
                <w:sz w:val="24"/>
                <w:szCs w:val="24"/>
                <w:vertAlign w:val="baseline"/>
                <w:lang w:val="en-US" w:eastAsia="zh-CN" w:bidi="ar"/>
              </w:rPr>
            </w:pPr>
            <w:r>
              <w:rPr>
                <w:rStyle w:val="36"/>
                <w:rFonts w:hint="eastAsia" w:ascii="宋体" w:hAnsi="宋体" w:cs="宋体"/>
                <w:b w:val="0"/>
                <w:bCs w:val="0"/>
                <w:kern w:val="0"/>
                <w:sz w:val="24"/>
                <w:szCs w:val="24"/>
                <w:vertAlign w:val="baseline"/>
                <w:lang w:val="en-US" w:eastAsia="zh-CN" w:bidi="ar"/>
              </w:rPr>
              <w:t>2</w:t>
            </w:r>
          </w:p>
        </w:tc>
        <w:tc>
          <w:tcPr>
            <w:tcW w:w="1076" w:type="pct"/>
            <w:noWrap w:val="0"/>
            <w:vAlign w:val="center"/>
          </w:tcPr>
          <w:p w14:paraId="6CD00B92">
            <w:pPr>
              <w:keepNext w:val="0"/>
              <w:keepLines w:val="0"/>
              <w:widowControl/>
              <w:suppressLineNumbers w:val="0"/>
              <w:jc w:val="left"/>
              <w:textAlignment w:val="center"/>
              <w:rPr>
                <w:rStyle w:val="36"/>
                <w:rFonts w:hint="default"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开幕式主席台背景喷绘</w:t>
            </w:r>
          </w:p>
        </w:tc>
        <w:tc>
          <w:tcPr>
            <w:tcW w:w="419" w:type="pct"/>
            <w:noWrap w:val="0"/>
            <w:vAlign w:val="center"/>
          </w:tcPr>
          <w:p w14:paraId="0638B7FA">
            <w:pPr>
              <w:keepNext w:val="0"/>
              <w:keepLines w:val="0"/>
              <w:widowControl/>
              <w:suppressLineNumbers w:val="0"/>
              <w:jc w:val="center"/>
              <w:textAlignment w:val="center"/>
              <w:rPr>
                <w:rStyle w:val="36"/>
                <w:rFonts w:hint="default"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平方</w:t>
            </w:r>
          </w:p>
        </w:tc>
        <w:tc>
          <w:tcPr>
            <w:tcW w:w="473" w:type="pct"/>
            <w:noWrap w:val="0"/>
            <w:vAlign w:val="center"/>
          </w:tcPr>
          <w:p w14:paraId="6C144FE8">
            <w:pPr>
              <w:keepNext w:val="0"/>
              <w:keepLines w:val="0"/>
              <w:widowControl/>
              <w:suppressLineNumbers w:val="0"/>
              <w:jc w:val="center"/>
              <w:textAlignment w:val="center"/>
              <w:rPr>
                <w:rStyle w:val="36"/>
                <w:rFonts w:hint="default"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100</w:t>
            </w:r>
          </w:p>
        </w:tc>
        <w:tc>
          <w:tcPr>
            <w:tcW w:w="1170" w:type="pct"/>
            <w:noWrap w:val="0"/>
            <w:vAlign w:val="center"/>
          </w:tcPr>
          <w:p w14:paraId="4CBC5066">
            <w:pPr>
              <w:keepNext w:val="0"/>
              <w:keepLines w:val="0"/>
              <w:widowControl/>
              <w:suppressLineNumbers w:val="0"/>
              <w:jc w:val="left"/>
              <w:textAlignment w:val="center"/>
              <w:rPr>
                <w:rStyle w:val="36"/>
                <w:rFonts w:hint="default"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2000cm*500cm黑底布,桁架</w:t>
            </w:r>
          </w:p>
        </w:tc>
        <w:tc>
          <w:tcPr>
            <w:tcW w:w="444" w:type="pct"/>
            <w:noWrap w:val="0"/>
            <w:vAlign w:val="top"/>
          </w:tcPr>
          <w:p w14:paraId="27CAD5CE">
            <w:pPr>
              <w:pStyle w:val="10"/>
              <w:numPr>
                <w:ilvl w:val="0"/>
                <w:numId w:val="0"/>
              </w:numPr>
              <w:jc w:val="center"/>
              <w:rPr>
                <w:rStyle w:val="36"/>
                <w:rFonts w:hint="default" w:ascii="宋体" w:hAnsi="宋体" w:cs="宋体"/>
                <w:b w:val="0"/>
                <w:bCs w:val="0"/>
                <w:kern w:val="0"/>
                <w:sz w:val="24"/>
                <w:szCs w:val="24"/>
                <w:vertAlign w:val="baseline"/>
                <w:lang w:val="en-US" w:eastAsia="zh-CN" w:bidi="ar"/>
              </w:rPr>
            </w:pPr>
          </w:p>
        </w:tc>
        <w:tc>
          <w:tcPr>
            <w:tcW w:w="975" w:type="pct"/>
            <w:vMerge w:val="continue"/>
            <w:noWrap w:val="0"/>
            <w:vAlign w:val="top"/>
          </w:tcPr>
          <w:p w14:paraId="0E17AC72">
            <w:pPr>
              <w:pStyle w:val="10"/>
              <w:numPr>
                <w:ilvl w:val="0"/>
                <w:numId w:val="0"/>
              </w:numPr>
              <w:jc w:val="center"/>
              <w:rPr>
                <w:rStyle w:val="36"/>
                <w:rFonts w:hint="default" w:ascii="宋体" w:hAnsi="宋体" w:cs="宋体"/>
                <w:b w:val="0"/>
                <w:bCs w:val="0"/>
                <w:kern w:val="0"/>
                <w:sz w:val="24"/>
                <w:szCs w:val="24"/>
                <w:vertAlign w:val="baseline"/>
                <w:lang w:val="en-US" w:eastAsia="zh-CN" w:bidi="ar"/>
              </w:rPr>
            </w:pPr>
          </w:p>
        </w:tc>
      </w:tr>
      <w:tr w14:paraId="487C1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1" w:hRule="atLeast"/>
        </w:trPr>
        <w:tc>
          <w:tcPr>
            <w:tcW w:w="438" w:type="pct"/>
            <w:noWrap w:val="0"/>
            <w:vAlign w:val="top"/>
          </w:tcPr>
          <w:p w14:paraId="45C82436">
            <w:pPr>
              <w:pStyle w:val="10"/>
              <w:numPr>
                <w:ilvl w:val="0"/>
                <w:numId w:val="0"/>
              </w:numPr>
              <w:jc w:val="center"/>
              <w:rPr>
                <w:rStyle w:val="36"/>
                <w:rFonts w:hint="default" w:ascii="宋体" w:hAnsi="宋体" w:cs="宋体"/>
                <w:b w:val="0"/>
                <w:bCs w:val="0"/>
                <w:kern w:val="0"/>
                <w:sz w:val="24"/>
                <w:szCs w:val="24"/>
                <w:vertAlign w:val="baseline"/>
                <w:lang w:val="en-US" w:eastAsia="zh-CN" w:bidi="ar"/>
              </w:rPr>
            </w:pPr>
            <w:r>
              <w:rPr>
                <w:rStyle w:val="36"/>
                <w:rFonts w:hint="eastAsia" w:ascii="宋体" w:hAnsi="宋体" w:cs="宋体"/>
                <w:b w:val="0"/>
                <w:bCs w:val="0"/>
                <w:kern w:val="0"/>
                <w:sz w:val="24"/>
                <w:szCs w:val="24"/>
                <w:vertAlign w:val="baseline"/>
                <w:lang w:val="en-US" w:eastAsia="zh-CN" w:bidi="ar"/>
              </w:rPr>
              <w:t>3</w:t>
            </w:r>
          </w:p>
        </w:tc>
        <w:tc>
          <w:tcPr>
            <w:tcW w:w="1076" w:type="pct"/>
            <w:noWrap w:val="0"/>
            <w:vAlign w:val="center"/>
          </w:tcPr>
          <w:p w14:paraId="3174ACC7">
            <w:pPr>
              <w:keepNext w:val="0"/>
              <w:keepLines w:val="0"/>
              <w:widowControl/>
              <w:suppressLineNumbers w:val="0"/>
              <w:jc w:val="left"/>
              <w:textAlignment w:val="center"/>
              <w:rPr>
                <w:rStyle w:val="36"/>
                <w:rFonts w:hint="default"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闭幕式舞台搭建</w:t>
            </w:r>
          </w:p>
        </w:tc>
        <w:tc>
          <w:tcPr>
            <w:tcW w:w="419" w:type="pct"/>
            <w:noWrap w:val="0"/>
            <w:vAlign w:val="center"/>
          </w:tcPr>
          <w:p w14:paraId="7D807ECE">
            <w:pPr>
              <w:keepNext w:val="0"/>
              <w:keepLines w:val="0"/>
              <w:widowControl/>
              <w:suppressLineNumbers w:val="0"/>
              <w:jc w:val="center"/>
              <w:textAlignment w:val="center"/>
              <w:rPr>
                <w:rStyle w:val="36"/>
                <w:rFonts w:hint="default"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平方</w:t>
            </w:r>
          </w:p>
        </w:tc>
        <w:tc>
          <w:tcPr>
            <w:tcW w:w="473" w:type="pct"/>
            <w:noWrap w:val="0"/>
            <w:vAlign w:val="center"/>
          </w:tcPr>
          <w:p w14:paraId="67C1D401">
            <w:pPr>
              <w:keepNext w:val="0"/>
              <w:keepLines w:val="0"/>
              <w:widowControl/>
              <w:suppressLineNumbers w:val="0"/>
              <w:jc w:val="center"/>
              <w:textAlignment w:val="center"/>
              <w:rPr>
                <w:rStyle w:val="36"/>
                <w:rFonts w:hint="default"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100</w:t>
            </w:r>
          </w:p>
        </w:tc>
        <w:tc>
          <w:tcPr>
            <w:tcW w:w="1170" w:type="pct"/>
            <w:noWrap w:val="0"/>
            <w:vAlign w:val="center"/>
          </w:tcPr>
          <w:p w14:paraId="2CF59068">
            <w:pPr>
              <w:keepNext w:val="0"/>
              <w:keepLines w:val="0"/>
              <w:widowControl/>
              <w:suppressLineNumbers w:val="0"/>
              <w:jc w:val="left"/>
              <w:textAlignment w:val="center"/>
              <w:rPr>
                <w:rStyle w:val="36"/>
                <w:rFonts w:hint="default"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闭幕式舞台2000cm*500cm*60cm</w:t>
            </w:r>
          </w:p>
        </w:tc>
        <w:tc>
          <w:tcPr>
            <w:tcW w:w="444" w:type="pct"/>
            <w:noWrap w:val="0"/>
            <w:vAlign w:val="top"/>
          </w:tcPr>
          <w:p w14:paraId="1CD06558">
            <w:pPr>
              <w:pStyle w:val="10"/>
              <w:numPr>
                <w:ilvl w:val="0"/>
                <w:numId w:val="0"/>
              </w:numPr>
              <w:jc w:val="center"/>
              <w:rPr>
                <w:rStyle w:val="36"/>
                <w:rFonts w:hint="default" w:ascii="宋体" w:hAnsi="宋体" w:cs="宋体"/>
                <w:b w:val="0"/>
                <w:bCs w:val="0"/>
                <w:kern w:val="0"/>
                <w:sz w:val="24"/>
                <w:szCs w:val="24"/>
                <w:vertAlign w:val="baseline"/>
                <w:lang w:val="en-US" w:eastAsia="zh-CN" w:bidi="ar"/>
              </w:rPr>
            </w:pPr>
          </w:p>
        </w:tc>
        <w:tc>
          <w:tcPr>
            <w:tcW w:w="975" w:type="pct"/>
            <w:vMerge w:val="continue"/>
            <w:noWrap w:val="0"/>
            <w:vAlign w:val="top"/>
          </w:tcPr>
          <w:p w14:paraId="50D8AB39">
            <w:pPr>
              <w:pStyle w:val="10"/>
              <w:numPr>
                <w:ilvl w:val="0"/>
                <w:numId w:val="0"/>
              </w:numPr>
              <w:jc w:val="center"/>
              <w:rPr>
                <w:rStyle w:val="36"/>
                <w:rFonts w:hint="default" w:ascii="宋体" w:hAnsi="宋体" w:cs="宋体"/>
                <w:b w:val="0"/>
                <w:bCs w:val="0"/>
                <w:kern w:val="0"/>
                <w:sz w:val="24"/>
                <w:szCs w:val="24"/>
                <w:vertAlign w:val="baseline"/>
                <w:lang w:val="en-US" w:eastAsia="zh-CN" w:bidi="ar"/>
              </w:rPr>
            </w:pPr>
          </w:p>
        </w:tc>
      </w:tr>
      <w:tr w14:paraId="33006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trPr>
        <w:tc>
          <w:tcPr>
            <w:tcW w:w="438" w:type="pct"/>
            <w:noWrap w:val="0"/>
            <w:vAlign w:val="top"/>
          </w:tcPr>
          <w:p w14:paraId="2C04B820">
            <w:pPr>
              <w:pStyle w:val="10"/>
              <w:numPr>
                <w:ilvl w:val="0"/>
                <w:numId w:val="0"/>
              </w:numPr>
              <w:jc w:val="center"/>
              <w:rPr>
                <w:rStyle w:val="36"/>
                <w:rFonts w:hint="default" w:ascii="宋体" w:hAnsi="宋体" w:cs="宋体"/>
                <w:b w:val="0"/>
                <w:bCs w:val="0"/>
                <w:kern w:val="0"/>
                <w:sz w:val="24"/>
                <w:szCs w:val="24"/>
                <w:vertAlign w:val="baseline"/>
                <w:lang w:val="en-US" w:eastAsia="zh-CN" w:bidi="ar"/>
              </w:rPr>
            </w:pPr>
            <w:r>
              <w:rPr>
                <w:rStyle w:val="36"/>
                <w:rFonts w:hint="eastAsia" w:ascii="宋体" w:hAnsi="宋体" w:cs="宋体"/>
                <w:b w:val="0"/>
                <w:bCs w:val="0"/>
                <w:kern w:val="0"/>
                <w:sz w:val="24"/>
                <w:szCs w:val="24"/>
                <w:vertAlign w:val="baseline"/>
                <w:lang w:val="en-US" w:eastAsia="zh-CN" w:bidi="ar"/>
              </w:rPr>
              <w:t>4</w:t>
            </w:r>
          </w:p>
        </w:tc>
        <w:tc>
          <w:tcPr>
            <w:tcW w:w="1076" w:type="pct"/>
            <w:noWrap w:val="0"/>
            <w:vAlign w:val="center"/>
          </w:tcPr>
          <w:p w14:paraId="32B7E313">
            <w:pPr>
              <w:keepNext w:val="0"/>
              <w:keepLines w:val="0"/>
              <w:widowControl/>
              <w:suppressLineNumbers w:val="0"/>
              <w:jc w:val="left"/>
              <w:textAlignment w:val="center"/>
              <w:rPr>
                <w:rStyle w:val="36"/>
                <w:rFonts w:hint="default"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闭幕式主席台背景喷绘</w:t>
            </w:r>
          </w:p>
        </w:tc>
        <w:tc>
          <w:tcPr>
            <w:tcW w:w="419" w:type="pct"/>
            <w:noWrap w:val="0"/>
            <w:vAlign w:val="center"/>
          </w:tcPr>
          <w:p w14:paraId="242632EE">
            <w:pPr>
              <w:keepNext w:val="0"/>
              <w:keepLines w:val="0"/>
              <w:widowControl/>
              <w:suppressLineNumbers w:val="0"/>
              <w:jc w:val="center"/>
              <w:textAlignment w:val="center"/>
              <w:rPr>
                <w:rStyle w:val="36"/>
                <w:rFonts w:hint="default"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平方</w:t>
            </w:r>
          </w:p>
        </w:tc>
        <w:tc>
          <w:tcPr>
            <w:tcW w:w="473" w:type="pct"/>
            <w:noWrap w:val="0"/>
            <w:vAlign w:val="center"/>
          </w:tcPr>
          <w:p w14:paraId="553029A4">
            <w:pPr>
              <w:keepNext w:val="0"/>
              <w:keepLines w:val="0"/>
              <w:widowControl/>
              <w:suppressLineNumbers w:val="0"/>
              <w:jc w:val="center"/>
              <w:textAlignment w:val="center"/>
              <w:rPr>
                <w:rStyle w:val="36"/>
                <w:rFonts w:hint="default"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100</w:t>
            </w:r>
          </w:p>
        </w:tc>
        <w:tc>
          <w:tcPr>
            <w:tcW w:w="1170" w:type="pct"/>
            <w:noWrap w:val="0"/>
            <w:vAlign w:val="center"/>
          </w:tcPr>
          <w:p w14:paraId="257B3DEB">
            <w:pPr>
              <w:keepNext w:val="0"/>
              <w:keepLines w:val="0"/>
              <w:widowControl/>
              <w:suppressLineNumbers w:val="0"/>
              <w:jc w:val="left"/>
              <w:textAlignment w:val="center"/>
              <w:rPr>
                <w:rStyle w:val="36"/>
                <w:rFonts w:hint="default"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2000cm*500cm黑底布,桁架</w:t>
            </w:r>
          </w:p>
        </w:tc>
        <w:tc>
          <w:tcPr>
            <w:tcW w:w="444" w:type="pct"/>
            <w:noWrap w:val="0"/>
            <w:vAlign w:val="top"/>
          </w:tcPr>
          <w:p w14:paraId="1692DF31">
            <w:pPr>
              <w:pStyle w:val="10"/>
              <w:numPr>
                <w:ilvl w:val="0"/>
                <w:numId w:val="0"/>
              </w:numPr>
              <w:jc w:val="center"/>
              <w:rPr>
                <w:rStyle w:val="36"/>
                <w:rFonts w:hint="default" w:ascii="宋体" w:hAnsi="宋体" w:cs="宋体"/>
                <w:b w:val="0"/>
                <w:bCs w:val="0"/>
                <w:kern w:val="0"/>
                <w:sz w:val="24"/>
                <w:szCs w:val="24"/>
                <w:vertAlign w:val="baseline"/>
                <w:lang w:val="en-US" w:eastAsia="zh-CN" w:bidi="ar"/>
              </w:rPr>
            </w:pPr>
          </w:p>
        </w:tc>
        <w:tc>
          <w:tcPr>
            <w:tcW w:w="975" w:type="pct"/>
            <w:vMerge w:val="continue"/>
            <w:noWrap w:val="0"/>
            <w:vAlign w:val="top"/>
          </w:tcPr>
          <w:p w14:paraId="4B1794C9">
            <w:pPr>
              <w:pStyle w:val="10"/>
              <w:numPr>
                <w:ilvl w:val="0"/>
                <w:numId w:val="0"/>
              </w:numPr>
              <w:jc w:val="center"/>
              <w:rPr>
                <w:rStyle w:val="36"/>
                <w:rFonts w:hint="default" w:ascii="宋体" w:hAnsi="宋体" w:cs="宋体"/>
                <w:b w:val="0"/>
                <w:bCs w:val="0"/>
                <w:kern w:val="0"/>
                <w:sz w:val="24"/>
                <w:szCs w:val="24"/>
                <w:vertAlign w:val="baseline"/>
                <w:lang w:val="en-US" w:eastAsia="zh-CN" w:bidi="ar"/>
              </w:rPr>
            </w:pPr>
          </w:p>
        </w:tc>
      </w:tr>
      <w:tr w14:paraId="054D7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1" w:hRule="atLeast"/>
        </w:trPr>
        <w:tc>
          <w:tcPr>
            <w:tcW w:w="438" w:type="pct"/>
            <w:noWrap w:val="0"/>
            <w:vAlign w:val="top"/>
          </w:tcPr>
          <w:p w14:paraId="38AD4F00">
            <w:pPr>
              <w:pStyle w:val="10"/>
              <w:numPr>
                <w:ilvl w:val="0"/>
                <w:numId w:val="0"/>
              </w:numPr>
              <w:jc w:val="center"/>
              <w:rPr>
                <w:rStyle w:val="36"/>
                <w:rFonts w:hint="default" w:ascii="宋体" w:hAnsi="宋体" w:cs="宋体"/>
                <w:b w:val="0"/>
                <w:bCs w:val="0"/>
                <w:kern w:val="0"/>
                <w:sz w:val="24"/>
                <w:szCs w:val="24"/>
                <w:vertAlign w:val="baseline"/>
                <w:lang w:val="en-US" w:eastAsia="zh-CN" w:bidi="ar"/>
              </w:rPr>
            </w:pPr>
            <w:r>
              <w:rPr>
                <w:rStyle w:val="36"/>
                <w:rFonts w:hint="eastAsia" w:ascii="宋体" w:hAnsi="宋体" w:cs="宋体"/>
                <w:b w:val="0"/>
                <w:bCs w:val="0"/>
                <w:kern w:val="0"/>
                <w:sz w:val="24"/>
                <w:szCs w:val="24"/>
                <w:vertAlign w:val="baseline"/>
                <w:lang w:val="en-US" w:eastAsia="zh-CN" w:bidi="ar"/>
              </w:rPr>
              <w:t>5</w:t>
            </w:r>
          </w:p>
        </w:tc>
        <w:tc>
          <w:tcPr>
            <w:tcW w:w="1076" w:type="pct"/>
            <w:noWrap w:val="0"/>
            <w:vAlign w:val="center"/>
          </w:tcPr>
          <w:p w14:paraId="6D6BF073">
            <w:pPr>
              <w:keepNext w:val="0"/>
              <w:keepLines w:val="0"/>
              <w:widowControl/>
              <w:suppressLineNumbers w:val="0"/>
              <w:jc w:val="left"/>
              <w:textAlignment w:val="center"/>
              <w:rPr>
                <w:rStyle w:val="36"/>
                <w:rFonts w:hint="default"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闭幕式领奖台</w:t>
            </w:r>
          </w:p>
        </w:tc>
        <w:tc>
          <w:tcPr>
            <w:tcW w:w="419" w:type="pct"/>
            <w:noWrap w:val="0"/>
            <w:vAlign w:val="center"/>
          </w:tcPr>
          <w:p w14:paraId="2D577C13">
            <w:pPr>
              <w:keepNext w:val="0"/>
              <w:keepLines w:val="0"/>
              <w:widowControl/>
              <w:suppressLineNumbers w:val="0"/>
              <w:jc w:val="center"/>
              <w:textAlignment w:val="center"/>
              <w:rPr>
                <w:rStyle w:val="36"/>
                <w:rFonts w:hint="default"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套</w:t>
            </w:r>
          </w:p>
        </w:tc>
        <w:tc>
          <w:tcPr>
            <w:tcW w:w="473" w:type="pct"/>
            <w:noWrap w:val="0"/>
            <w:vAlign w:val="center"/>
          </w:tcPr>
          <w:p w14:paraId="7C8BA2F4">
            <w:pPr>
              <w:keepNext w:val="0"/>
              <w:keepLines w:val="0"/>
              <w:widowControl/>
              <w:suppressLineNumbers w:val="0"/>
              <w:jc w:val="center"/>
              <w:textAlignment w:val="center"/>
              <w:rPr>
                <w:rStyle w:val="36"/>
                <w:rFonts w:hint="default"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1</w:t>
            </w:r>
          </w:p>
        </w:tc>
        <w:tc>
          <w:tcPr>
            <w:tcW w:w="1170" w:type="pct"/>
            <w:noWrap w:val="0"/>
            <w:vAlign w:val="center"/>
          </w:tcPr>
          <w:p w14:paraId="11D19997">
            <w:pPr>
              <w:keepNext w:val="0"/>
              <w:keepLines w:val="0"/>
              <w:widowControl/>
              <w:suppressLineNumbers w:val="0"/>
              <w:jc w:val="left"/>
              <w:textAlignment w:val="center"/>
              <w:rPr>
                <w:rStyle w:val="36"/>
                <w:rFonts w:hint="default"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定制,冠军、亚军、季军</w:t>
            </w:r>
          </w:p>
        </w:tc>
        <w:tc>
          <w:tcPr>
            <w:tcW w:w="444" w:type="pct"/>
            <w:noWrap w:val="0"/>
            <w:vAlign w:val="top"/>
          </w:tcPr>
          <w:p w14:paraId="5B28933E">
            <w:pPr>
              <w:pStyle w:val="10"/>
              <w:numPr>
                <w:ilvl w:val="0"/>
                <w:numId w:val="0"/>
              </w:numPr>
              <w:jc w:val="center"/>
              <w:rPr>
                <w:rStyle w:val="36"/>
                <w:rFonts w:hint="default" w:ascii="宋体" w:hAnsi="宋体" w:cs="宋体"/>
                <w:b w:val="0"/>
                <w:bCs w:val="0"/>
                <w:kern w:val="0"/>
                <w:sz w:val="24"/>
                <w:szCs w:val="24"/>
                <w:vertAlign w:val="baseline"/>
                <w:lang w:val="en-US" w:eastAsia="zh-CN" w:bidi="ar"/>
              </w:rPr>
            </w:pPr>
          </w:p>
        </w:tc>
        <w:tc>
          <w:tcPr>
            <w:tcW w:w="975" w:type="pct"/>
            <w:vMerge w:val="continue"/>
            <w:noWrap w:val="0"/>
            <w:vAlign w:val="top"/>
          </w:tcPr>
          <w:p w14:paraId="0C608F1E">
            <w:pPr>
              <w:pStyle w:val="10"/>
              <w:numPr>
                <w:ilvl w:val="0"/>
                <w:numId w:val="0"/>
              </w:numPr>
              <w:jc w:val="center"/>
              <w:rPr>
                <w:rStyle w:val="36"/>
                <w:rFonts w:hint="default" w:ascii="宋体" w:hAnsi="宋体" w:cs="宋体"/>
                <w:b w:val="0"/>
                <w:bCs w:val="0"/>
                <w:kern w:val="0"/>
                <w:sz w:val="24"/>
                <w:szCs w:val="24"/>
                <w:vertAlign w:val="baseline"/>
                <w:lang w:val="en-US" w:eastAsia="zh-CN" w:bidi="ar"/>
              </w:rPr>
            </w:pPr>
          </w:p>
        </w:tc>
      </w:tr>
      <w:tr w14:paraId="74A42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6" w:hRule="atLeast"/>
        </w:trPr>
        <w:tc>
          <w:tcPr>
            <w:tcW w:w="438" w:type="pct"/>
            <w:noWrap w:val="0"/>
            <w:vAlign w:val="top"/>
          </w:tcPr>
          <w:p w14:paraId="4C5F1B55">
            <w:pPr>
              <w:pStyle w:val="10"/>
              <w:numPr>
                <w:ilvl w:val="0"/>
                <w:numId w:val="0"/>
              </w:numPr>
              <w:jc w:val="center"/>
              <w:rPr>
                <w:rStyle w:val="36"/>
                <w:rFonts w:hint="default" w:ascii="宋体" w:hAnsi="宋体" w:cs="宋体"/>
                <w:b w:val="0"/>
                <w:bCs w:val="0"/>
                <w:kern w:val="0"/>
                <w:sz w:val="24"/>
                <w:szCs w:val="24"/>
                <w:vertAlign w:val="baseline"/>
                <w:lang w:val="en-US" w:eastAsia="zh-CN" w:bidi="ar"/>
              </w:rPr>
            </w:pPr>
            <w:r>
              <w:rPr>
                <w:rStyle w:val="36"/>
                <w:rFonts w:hint="eastAsia" w:ascii="宋体" w:hAnsi="宋体" w:cs="宋体"/>
                <w:b w:val="0"/>
                <w:bCs w:val="0"/>
                <w:kern w:val="0"/>
                <w:sz w:val="24"/>
                <w:szCs w:val="24"/>
                <w:vertAlign w:val="baseline"/>
                <w:lang w:val="en-US" w:eastAsia="zh-CN" w:bidi="ar"/>
              </w:rPr>
              <w:t>6</w:t>
            </w:r>
          </w:p>
        </w:tc>
        <w:tc>
          <w:tcPr>
            <w:tcW w:w="1076" w:type="pct"/>
            <w:noWrap w:val="0"/>
            <w:vAlign w:val="center"/>
          </w:tcPr>
          <w:p w14:paraId="1B0463A7">
            <w:pPr>
              <w:keepNext w:val="0"/>
              <w:keepLines w:val="0"/>
              <w:widowControl/>
              <w:suppressLineNumbers w:val="0"/>
              <w:jc w:val="left"/>
              <w:textAlignment w:val="center"/>
              <w:rPr>
                <w:rStyle w:val="36"/>
                <w:rFonts w:hint="default"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司仪台</w:t>
            </w:r>
            <w:r>
              <w:rPr>
                <w:rStyle w:val="36"/>
                <w:rFonts w:hint="eastAsia" w:cs="宋体"/>
                <w:b w:val="0"/>
                <w:bCs w:val="0"/>
                <w:kern w:val="0"/>
                <w:sz w:val="24"/>
                <w:szCs w:val="24"/>
                <w:vertAlign w:val="baseline"/>
                <w:lang w:val="en-US" w:eastAsia="zh-CN" w:bidi="ar"/>
              </w:rPr>
              <w:t>设置及装饰</w:t>
            </w:r>
          </w:p>
        </w:tc>
        <w:tc>
          <w:tcPr>
            <w:tcW w:w="419" w:type="pct"/>
            <w:noWrap w:val="0"/>
            <w:vAlign w:val="center"/>
          </w:tcPr>
          <w:p w14:paraId="38E3BD94">
            <w:pPr>
              <w:keepNext w:val="0"/>
              <w:keepLines w:val="0"/>
              <w:widowControl/>
              <w:suppressLineNumbers w:val="0"/>
              <w:jc w:val="center"/>
              <w:textAlignment w:val="center"/>
              <w:rPr>
                <w:rStyle w:val="36"/>
                <w:rFonts w:hint="default"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个</w:t>
            </w:r>
          </w:p>
        </w:tc>
        <w:tc>
          <w:tcPr>
            <w:tcW w:w="473" w:type="pct"/>
            <w:noWrap w:val="0"/>
            <w:vAlign w:val="center"/>
          </w:tcPr>
          <w:p w14:paraId="1681E697">
            <w:pPr>
              <w:keepNext w:val="0"/>
              <w:keepLines w:val="0"/>
              <w:widowControl/>
              <w:suppressLineNumbers w:val="0"/>
              <w:jc w:val="center"/>
              <w:textAlignment w:val="center"/>
              <w:rPr>
                <w:rStyle w:val="36"/>
                <w:rFonts w:hint="default"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1</w:t>
            </w:r>
          </w:p>
        </w:tc>
        <w:tc>
          <w:tcPr>
            <w:tcW w:w="1170" w:type="pct"/>
            <w:noWrap w:val="0"/>
            <w:vAlign w:val="center"/>
          </w:tcPr>
          <w:p w14:paraId="7F196B1A">
            <w:pPr>
              <w:keepNext w:val="0"/>
              <w:keepLines w:val="0"/>
              <w:widowControl/>
              <w:suppressLineNumbers w:val="0"/>
              <w:jc w:val="left"/>
              <w:textAlignment w:val="center"/>
              <w:rPr>
                <w:rStyle w:val="36"/>
                <w:rFonts w:hint="default" w:ascii="宋体" w:hAnsi="宋体" w:eastAsia="宋体" w:cs="宋体"/>
                <w:b w:val="0"/>
                <w:bCs w:val="0"/>
                <w:kern w:val="0"/>
                <w:sz w:val="24"/>
                <w:szCs w:val="24"/>
                <w:vertAlign w:val="baseline"/>
                <w:lang w:val="en-US" w:eastAsia="zh-CN" w:bidi="ar"/>
              </w:rPr>
            </w:pPr>
          </w:p>
        </w:tc>
        <w:tc>
          <w:tcPr>
            <w:tcW w:w="444" w:type="pct"/>
            <w:noWrap w:val="0"/>
            <w:vAlign w:val="top"/>
          </w:tcPr>
          <w:p w14:paraId="11E3DDDE">
            <w:pPr>
              <w:pStyle w:val="10"/>
              <w:numPr>
                <w:ilvl w:val="0"/>
                <w:numId w:val="0"/>
              </w:numPr>
              <w:jc w:val="center"/>
              <w:rPr>
                <w:rStyle w:val="36"/>
                <w:rFonts w:hint="default" w:ascii="宋体" w:hAnsi="宋体" w:cs="宋体"/>
                <w:b w:val="0"/>
                <w:bCs w:val="0"/>
                <w:kern w:val="0"/>
                <w:sz w:val="24"/>
                <w:szCs w:val="24"/>
                <w:vertAlign w:val="baseline"/>
                <w:lang w:val="en-US" w:eastAsia="zh-CN" w:bidi="ar"/>
              </w:rPr>
            </w:pPr>
          </w:p>
        </w:tc>
        <w:tc>
          <w:tcPr>
            <w:tcW w:w="975" w:type="pct"/>
            <w:vMerge w:val="continue"/>
            <w:noWrap w:val="0"/>
            <w:vAlign w:val="top"/>
          </w:tcPr>
          <w:p w14:paraId="624B435A">
            <w:pPr>
              <w:pStyle w:val="10"/>
              <w:numPr>
                <w:ilvl w:val="0"/>
                <w:numId w:val="0"/>
              </w:numPr>
              <w:jc w:val="center"/>
              <w:rPr>
                <w:rStyle w:val="36"/>
                <w:rFonts w:hint="default" w:ascii="宋体" w:hAnsi="宋体" w:cs="宋体"/>
                <w:b w:val="0"/>
                <w:bCs w:val="0"/>
                <w:kern w:val="0"/>
                <w:sz w:val="24"/>
                <w:szCs w:val="24"/>
                <w:vertAlign w:val="baseline"/>
                <w:lang w:val="en-US" w:eastAsia="zh-CN" w:bidi="ar"/>
              </w:rPr>
            </w:pPr>
          </w:p>
        </w:tc>
      </w:tr>
      <w:tr w14:paraId="3E286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6" w:hRule="atLeast"/>
        </w:trPr>
        <w:tc>
          <w:tcPr>
            <w:tcW w:w="438" w:type="pct"/>
            <w:noWrap w:val="0"/>
            <w:vAlign w:val="top"/>
          </w:tcPr>
          <w:p w14:paraId="2F1E014B">
            <w:pPr>
              <w:pStyle w:val="10"/>
              <w:numPr>
                <w:ilvl w:val="0"/>
                <w:numId w:val="0"/>
              </w:numPr>
              <w:jc w:val="center"/>
              <w:rPr>
                <w:rStyle w:val="36"/>
                <w:rFonts w:hint="default" w:ascii="宋体" w:hAnsi="宋体" w:cs="宋体"/>
                <w:b w:val="0"/>
                <w:bCs w:val="0"/>
                <w:kern w:val="0"/>
                <w:sz w:val="24"/>
                <w:szCs w:val="24"/>
                <w:vertAlign w:val="baseline"/>
                <w:lang w:val="en-US" w:eastAsia="zh-CN" w:bidi="ar"/>
              </w:rPr>
            </w:pPr>
            <w:r>
              <w:rPr>
                <w:rStyle w:val="36"/>
                <w:rFonts w:hint="eastAsia" w:ascii="宋体" w:hAnsi="宋体" w:cs="宋体"/>
                <w:b w:val="0"/>
                <w:bCs w:val="0"/>
                <w:kern w:val="0"/>
                <w:sz w:val="24"/>
                <w:szCs w:val="24"/>
                <w:vertAlign w:val="baseline"/>
                <w:lang w:val="en-US" w:eastAsia="zh-CN" w:bidi="ar"/>
              </w:rPr>
              <w:t>7</w:t>
            </w:r>
          </w:p>
        </w:tc>
        <w:tc>
          <w:tcPr>
            <w:tcW w:w="1076" w:type="pct"/>
            <w:noWrap w:val="0"/>
            <w:vAlign w:val="center"/>
          </w:tcPr>
          <w:p w14:paraId="230C210F">
            <w:pPr>
              <w:keepNext w:val="0"/>
              <w:keepLines w:val="0"/>
              <w:widowControl/>
              <w:suppressLineNumbers w:val="0"/>
              <w:jc w:val="left"/>
              <w:textAlignment w:val="center"/>
              <w:rPr>
                <w:rStyle w:val="36"/>
                <w:rFonts w:hint="default"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场地服务费</w:t>
            </w:r>
          </w:p>
        </w:tc>
        <w:tc>
          <w:tcPr>
            <w:tcW w:w="419" w:type="pct"/>
            <w:noWrap w:val="0"/>
            <w:vAlign w:val="center"/>
          </w:tcPr>
          <w:p w14:paraId="08367BD1">
            <w:pPr>
              <w:keepNext w:val="0"/>
              <w:keepLines w:val="0"/>
              <w:widowControl/>
              <w:suppressLineNumbers w:val="0"/>
              <w:jc w:val="center"/>
              <w:textAlignment w:val="center"/>
              <w:rPr>
                <w:rStyle w:val="36"/>
                <w:rFonts w:hint="default"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场</w:t>
            </w:r>
          </w:p>
        </w:tc>
        <w:tc>
          <w:tcPr>
            <w:tcW w:w="473" w:type="pct"/>
            <w:noWrap w:val="0"/>
            <w:vAlign w:val="center"/>
          </w:tcPr>
          <w:p w14:paraId="63515067">
            <w:pPr>
              <w:keepNext w:val="0"/>
              <w:keepLines w:val="0"/>
              <w:widowControl/>
              <w:suppressLineNumbers w:val="0"/>
              <w:jc w:val="center"/>
              <w:textAlignment w:val="center"/>
              <w:rPr>
                <w:rStyle w:val="36"/>
                <w:rFonts w:hint="default"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1</w:t>
            </w:r>
          </w:p>
        </w:tc>
        <w:tc>
          <w:tcPr>
            <w:tcW w:w="1170" w:type="pct"/>
            <w:noWrap w:val="0"/>
            <w:vAlign w:val="center"/>
          </w:tcPr>
          <w:p w14:paraId="0AE09ADD">
            <w:pPr>
              <w:keepNext w:val="0"/>
              <w:keepLines w:val="0"/>
              <w:widowControl/>
              <w:suppressLineNumbers w:val="0"/>
              <w:jc w:val="left"/>
              <w:textAlignment w:val="center"/>
              <w:rPr>
                <w:rStyle w:val="36"/>
                <w:rFonts w:hint="default"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按甲方</w:t>
            </w:r>
            <w:r>
              <w:rPr>
                <w:rStyle w:val="36"/>
                <w:rFonts w:hint="eastAsia" w:cs="宋体"/>
                <w:b w:val="0"/>
                <w:bCs w:val="0"/>
                <w:kern w:val="0"/>
                <w:sz w:val="24"/>
                <w:szCs w:val="24"/>
                <w:vertAlign w:val="baseline"/>
                <w:lang w:val="en-US" w:eastAsia="zh-CN" w:bidi="ar"/>
              </w:rPr>
              <w:t>要求实施</w:t>
            </w:r>
          </w:p>
        </w:tc>
        <w:tc>
          <w:tcPr>
            <w:tcW w:w="444" w:type="pct"/>
            <w:noWrap w:val="0"/>
            <w:vAlign w:val="top"/>
          </w:tcPr>
          <w:p w14:paraId="7188ABC0">
            <w:pPr>
              <w:pStyle w:val="10"/>
              <w:numPr>
                <w:ilvl w:val="0"/>
                <w:numId w:val="0"/>
              </w:numPr>
              <w:jc w:val="center"/>
              <w:rPr>
                <w:rStyle w:val="36"/>
                <w:rFonts w:hint="default" w:ascii="宋体" w:hAnsi="宋体" w:cs="宋体"/>
                <w:b w:val="0"/>
                <w:bCs w:val="0"/>
                <w:kern w:val="0"/>
                <w:sz w:val="24"/>
                <w:szCs w:val="24"/>
                <w:vertAlign w:val="baseline"/>
                <w:lang w:val="en-US" w:eastAsia="zh-CN" w:bidi="ar"/>
              </w:rPr>
            </w:pPr>
          </w:p>
        </w:tc>
        <w:tc>
          <w:tcPr>
            <w:tcW w:w="975" w:type="pct"/>
            <w:vMerge w:val="continue"/>
            <w:noWrap w:val="0"/>
            <w:vAlign w:val="top"/>
          </w:tcPr>
          <w:p w14:paraId="5CFEB92E">
            <w:pPr>
              <w:pStyle w:val="10"/>
              <w:numPr>
                <w:ilvl w:val="0"/>
                <w:numId w:val="0"/>
              </w:numPr>
              <w:jc w:val="center"/>
              <w:rPr>
                <w:rStyle w:val="36"/>
                <w:rFonts w:hint="default" w:ascii="宋体" w:hAnsi="宋体" w:cs="宋体"/>
                <w:b w:val="0"/>
                <w:bCs w:val="0"/>
                <w:kern w:val="0"/>
                <w:sz w:val="24"/>
                <w:szCs w:val="24"/>
                <w:vertAlign w:val="baseline"/>
                <w:lang w:val="en-US" w:eastAsia="zh-CN" w:bidi="ar"/>
              </w:rPr>
            </w:pPr>
          </w:p>
        </w:tc>
      </w:tr>
      <w:tr w14:paraId="54570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6" w:hRule="atLeast"/>
        </w:trPr>
        <w:tc>
          <w:tcPr>
            <w:tcW w:w="438" w:type="pct"/>
            <w:noWrap w:val="0"/>
            <w:vAlign w:val="top"/>
          </w:tcPr>
          <w:p w14:paraId="2BB55483">
            <w:pPr>
              <w:pStyle w:val="10"/>
              <w:numPr>
                <w:ilvl w:val="0"/>
                <w:numId w:val="0"/>
              </w:numPr>
              <w:jc w:val="center"/>
              <w:rPr>
                <w:rStyle w:val="36"/>
                <w:rFonts w:hint="default" w:ascii="宋体" w:hAnsi="宋体" w:cs="宋体"/>
                <w:b w:val="0"/>
                <w:bCs w:val="0"/>
                <w:kern w:val="0"/>
                <w:sz w:val="24"/>
                <w:szCs w:val="24"/>
                <w:vertAlign w:val="baseline"/>
                <w:lang w:val="en-US" w:eastAsia="zh-CN" w:bidi="ar"/>
              </w:rPr>
            </w:pPr>
            <w:r>
              <w:rPr>
                <w:rStyle w:val="36"/>
                <w:rFonts w:hint="eastAsia" w:ascii="宋体" w:hAnsi="宋体" w:cs="宋体"/>
                <w:b w:val="0"/>
                <w:bCs w:val="0"/>
                <w:kern w:val="0"/>
                <w:sz w:val="24"/>
                <w:szCs w:val="24"/>
                <w:vertAlign w:val="baseline"/>
                <w:lang w:val="en-US" w:eastAsia="zh-CN" w:bidi="ar"/>
              </w:rPr>
              <w:t>8</w:t>
            </w:r>
          </w:p>
        </w:tc>
        <w:tc>
          <w:tcPr>
            <w:tcW w:w="1076" w:type="pct"/>
            <w:noWrap w:val="0"/>
            <w:vAlign w:val="center"/>
          </w:tcPr>
          <w:p w14:paraId="797EED75">
            <w:pPr>
              <w:keepNext w:val="0"/>
              <w:keepLines w:val="0"/>
              <w:widowControl/>
              <w:suppressLineNumbers w:val="0"/>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cs="宋体"/>
                <w:b w:val="0"/>
                <w:bCs w:val="0"/>
                <w:kern w:val="0"/>
                <w:sz w:val="24"/>
                <w:szCs w:val="24"/>
                <w:vertAlign w:val="baseline"/>
                <w:lang w:val="en-US" w:eastAsia="zh-CN" w:bidi="ar"/>
              </w:rPr>
              <w:t>浙江省交通费</w:t>
            </w:r>
          </w:p>
        </w:tc>
        <w:tc>
          <w:tcPr>
            <w:tcW w:w="419" w:type="pct"/>
            <w:noWrap w:val="0"/>
            <w:vAlign w:val="center"/>
          </w:tcPr>
          <w:p w14:paraId="6D858943">
            <w:pPr>
              <w:keepNext w:val="0"/>
              <w:keepLines w:val="0"/>
              <w:widowControl/>
              <w:suppressLineNumbers w:val="0"/>
              <w:jc w:val="center"/>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cs="宋体"/>
                <w:b w:val="0"/>
                <w:bCs w:val="0"/>
                <w:kern w:val="0"/>
                <w:sz w:val="24"/>
                <w:szCs w:val="24"/>
                <w:vertAlign w:val="baseline"/>
                <w:lang w:val="en-US" w:eastAsia="zh-CN" w:bidi="ar"/>
              </w:rPr>
              <w:t>批</w:t>
            </w:r>
          </w:p>
        </w:tc>
        <w:tc>
          <w:tcPr>
            <w:tcW w:w="473" w:type="pct"/>
            <w:noWrap w:val="0"/>
            <w:vAlign w:val="center"/>
          </w:tcPr>
          <w:p w14:paraId="315ACC77">
            <w:pPr>
              <w:keepNext w:val="0"/>
              <w:keepLines w:val="0"/>
              <w:widowControl/>
              <w:suppressLineNumbers w:val="0"/>
              <w:jc w:val="center"/>
              <w:textAlignment w:val="center"/>
              <w:rPr>
                <w:rStyle w:val="36"/>
                <w:rFonts w:hint="default" w:ascii="宋体" w:hAnsi="宋体" w:eastAsia="宋体" w:cs="宋体"/>
                <w:b w:val="0"/>
                <w:bCs w:val="0"/>
                <w:kern w:val="0"/>
                <w:sz w:val="24"/>
                <w:szCs w:val="24"/>
                <w:vertAlign w:val="baseline"/>
                <w:lang w:val="en-US" w:eastAsia="zh-CN" w:bidi="ar"/>
              </w:rPr>
            </w:pPr>
            <w:r>
              <w:rPr>
                <w:rStyle w:val="36"/>
                <w:rFonts w:hint="eastAsia" w:cs="宋体"/>
                <w:b w:val="0"/>
                <w:bCs w:val="0"/>
                <w:kern w:val="0"/>
                <w:sz w:val="24"/>
                <w:szCs w:val="24"/>
                <w:vertAlign w:val="baseline"/>
                <w:lang w:val="en-US" w:eastAsia="zh-CN" w:bidi="ar"/>
              </w:rPr>
              <w:t>1</w:t>
            </w:r>
          </w:p>
        </w:tc>
        <w:tc>
          <w:tcPr>
            <w:tcW w:w="1170" w:type="pct"/>
            <w:noWrap w:val="0"/>
            <w:vAlign w:val="center"/>
          </w:tcPr>
          <w:p w14:paraId="1AC87FD7">
            <w:pPr>
              <w:keepNext w:val="0"/>
              <w:keepLines w:val="0"/>
              <w:widowControl/>
              <w:suppressLineNumbers w:val="0"/>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按甲方</w:t>
            </w:r>
            <w:r>
              <w:rPr>
                <w:rStyle w:val="36"/>
                <w:rFonts w:hint="eastAsia" w:cs="宋体"/>
                <w:b w:val="0"/>
                <w:bCs w:val="0"/>
                <w:kern w:val="0"/>
                <w:sz w:val="24"/>
                <w:szCs w:val="24"/>
                <w:vertAlign w:val="baseline"/>
                <w:lang w:val="en-US" w:eastAsia="zh-CN" w:bidi="ar"/>
              </w:rPr>
              <w:t>要求实施</w:t>
            </w:r>
          </w:p>
        </w:tc>
        <w:tc>
          <w:tcPr>
            <w:tcW w:w="444" w:type="pct"/>
            <w:noWrap w:val="0"/>
            <w:vAlign w:val="top"/>
          </w:tcPr>
          <w:p w14:paraId="38F2721A">
            <w:pPr>
              <w:pStyle w:val="10"/>
              <w:numPr>
                <w:ilvl w:val="0"/>
                <w:numId w:val="0"/>
              </w:numPr>
              <w:jc w:val="center"/>
              <w:rPr>
                <w:rStyle w:val="36"/>
                <w:rFonts w:hint="default" w:ascii="宋体" w:hAnsi="宋体" w:cs="宋体"/>
                <w:b w:val="0"/>
                <w:bCs w:val="0"/>
                <w:kern w:val="0"/>
                <w:sz w:val="24"/>
                <w:szCs w:val="24"/>
                <w:vertAlign w:val="baseline"/>
                <w:lang w:val="en-US" w:eastAsia="zh-CN" w:bidi="ar"/>
              </w:rPr>
            </w:pPr>
          </w:p>
        </w:tc>
        <w:tc>
          <w:tcPr>
            <w:tcW w:w="975" w:type="pct"/>
            <w:noWrap w:val="0"/>
            <w:vAlign w:val="top"/>
          </w:tcPr>
          <w:p w14:paraId="0DCE790F">
            <w:pPr>
              <w:pStyle w:val="10"/>
              <w:numPr>
                <w:ilvl w:val="0"/>
                <w:numId w:val="0"/>
              </w:numPr>
              <w:jc w:val="center"/>
              <w:rPr>
                <w:rStyle w:val="36"/>
                <w:rFonts w:hint="default" w:ascii="宋体" w:hAnsi="宋体" w:cs="宋体"/>
                <w:b w:val="0"/>
                <w:bCs w:val="0"/>
                <w:kern w:val="0"/>
                <w:sz w:val="24"/>
                <w:szCs w:val="24"/>
                <w:vertAlign w:val="baseline"/>
                <w:lang w:val="en-US" w:eastAsia="zh-CN" w:bidi="ar"/>
              </w:rPr>
            </w:pPr>
          </w:p>
        </w:tc>
      </w:tr>
      <w:tr w14:paraId="5383B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6" w:hRule="atLeast"/>
        </w:trPr>
        <w:tc>
          <w:tcPr>
            <w:tcW w:w="438" w:type="pct"/>
            <w:noWrap w:val="0"/>
            <w:vAlign w:val="top"/>
          </w:tcPr>
          <w:p w14:paraId="6F88E9BA">
            <w:pPr>
              <w:pStyle w:val="10"/>
              <w:numPr>
                <w:ilvl w:val="0"/>
                <w:numId w:val="0"/>
              </w:numPr>
              <w:jc w:val="center"/>
              <w:rPr>
                <w:rStyle w:val="36"/>
                <w:rFonts w:hint="default" w:ascii="宋体" w:hAnsi="宋体" w:cs="宋体"/>
                <w:b w:val="0"/>
                <w:bCs w:val="0"/>
                <w:kern w:val="0"/>
                <w:sz w:val="24"/>
                <w:szCs w:val="24"/>
                <w:vertAlign w:val="baseline"/>
                <w:lang w:val="en-US" w:eastAsia="zh-CN" w:bidi="ar"/>
              </w:rPr>
            </w:pPr>
            <w:r>
              <w:rPr>
                <w:rStyle w:val="36"/>
                <w:rFonts w:hint="eastAsia" w:ascii="宋体" w:hAnsi="宋体" w:cs="宋体"/>
                <w:b w:val="0"/>
                <w:bCs w:val="0"/>
                <w:kern w:val="0"/>
                <w:sz w:val="24"/>
                <w:szCs w:val="24"/>
                <w:vertAlign w:val="baseline"/>
                <w:lang w:val="en-US" w:eastAsia="zh-CN" w:bidi="ar"/>
              </w:rPr>
              <w:t>1</w:t>
            </w:r>
          </w:p>
        </w:tc>
        <w:tc>
          <w:tcPr>
            <w:tcW w:w="1076" w:type="pct"/>
            <w:noWrap w:val="0"/>
            <w:vAlign w:val="center"/>
          </w:tcPr>
          <w:p w14:paraId="78B70FB5">
            <w:pPr>
              <w:keepNext w:val="0"/>
              <w:keepLines w:val="0"/>
              <w:widowControl/>
              <w:suppressLineNumbers w:val="0"/>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道旗</w:t>
            </w:r>
          </w:p>
        </w:tc>
        <w:tc>
          <w:tcPr>
            <w:tcW w:w="419" w:type="pct"/>
            <w:noWrap w:val="0"/>
            <w:vAlign w:val="center"/>
          </w:tcPr>
          <w:p w14:paraId="1055DB3B">
            <w:pPr>
              <w:keepNext w:val="0"/>
              <w:keepLines w:val="0"/>
              <w:widowControl/>
              <w:suppressLineNumbers w:val="0"/>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个</w:t>
            </w:r>
          </w:p>
        </w:tc>
        <w:tc>
          <w:tcPr>
            <w:tcW w:w="473" w:type="pct"/>
            <w:noWrap w:val="0"/>
            <w:vAlign w:val="center"/>
          </w:tcPr>
          <w:p w14:paraId="71E00F69">
            <w:pPr>
              <w:keepNext w:val="0"/>
              <w:keepLines w:val="0"/>
              <w:widowControl/>
              <w:suppressLineNumbers w:val="0"/>
              <w:jc w:val="left"/>
              <w:textAlignment w:val="center"/>
              <w:rPr>
                <w:rStyle w:val="36"/>
                <w:rFonts w:hint="default"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100</w:t>
            </w:r>
          </w:p>
        </w:tc>
        <w:tc>
          <w:tcPr>
            <w:tcW w:w="1170" w:type="pct"/>
            <w:noWrap w:val="0"/>
            <w:vAlign w:val="center"/>
          </w:tcPr>
          <w:p w14:paraId="7741554B">
            <w:pPr>
              <w:keepNext w:val="0"/>
              <w:keepLines w:val="0"/>
              <w:widowControl/>
              <w:suppressLineNumbers w:val="0"/>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场地外围布置</w:t>
            </w:r>
          </w:p>
        </w:tc>
        <w:tc>
          <w:tcPr>
            <w:tcW w:w="444" w:type="pct"/>
            <w:noWrap w:val="0"/>
            <w:vAlign w:val="top"/>
          </w:tcPr>
          <w:p w14:paraId="3DC00B7E">
            <w:pPr>
              <w:keepNext w:val="0"/>
              <w:keepLines w:val="0"/>
              <w:widowControl/>
              <w:suppressLineNumbers w:val="0"/>
              <w:jc w:val="left"/>
              <w:textAlignment w:val="center"/>
              <w:rPr>
                <w:rStyle w:val="36"/>
                <w:rFonts w:hint="default" w:ascii="宋体" w:hAnsi="宋体" w:eastAsia="宋体" w:cs="宋体"/>
                <w:b w:val="0"/>
                <w:bCs w:val="0"/>
                <w:kern w:val="0"/>
                <w:sz w:val="24"/>
                <w:szCs w:val="24"/>
                <w:vertAlign w:val="baseline"/>
                <w:lang w:val="en-US" w:eastAsia="zh-CN" w:bidi="ar"/>
              </w:rPr>
            </w:pPr>
          </w:p>
        </w:tc>
        <w:tc>
          <w:tcPr>
            <w:tcW w:w="975" w:type="pct"/>
            <w:vMerge w:val="restart"/>
            <w:noWrap w:val="0"/>
            <w:vAlign w:val="top"/>
          </w:tcPr>
          <w:p w14:paraId="7115F1AB">
            <w:pPr>
              <w:pStyle w:val="10"/>
              <w:numPr>
                <w:ilvl w:val="0"/>
                <w:numId w:val="0"/>
              </w:numPr>
              <w:jc w:val="center"/>
              <w:rPr>
                <w:rStyle w:val="36"/>
                <w:rFonts w:hint="default" w:ascii="宋体" w:hAnsi="宋体" w:cs="宋体"/>
                <w:b w:val="0"/>
                <w:bCs w:val="0"/>
                <w:kern w:val="0"/>
                <w:sz w:val="24"/>
                <w:szCs w:val="24"/>
                <w:vertAlign w:val="baseline"/>
                <w:lang w:val="en-US" w:eastAsia="zh-CN" w:bidi="ar"/>
              </w:rPr>
            </w:pPr>
            <w:r>
              <w:rPr>
                <w:rStyle w:val="36"/>
                <w:rFonts w:hint="default" w:ascii="宋体" w:hAnsi="宋体" w:cs="宋体"/>
                <w:b w:val="0"/>
                <w:bCs w:val="0"/>
                <w:kern w:val="0"/>
                <w:sz w:val="24"/>
                <w:szCs w:val="24"/>
                <w:vertAlign w:val="baseline"/>
                <w:lang w:val="en-US" w:eastAsia="zh-CN" w:bidi="ar"/>
              </w:rPr>
              <w:t>氛围及活动物料</w:t>
            </w:r>
            <w:r>
              <w:rPr>
                <w:rStyle w:val="36"/>
                <w:rFonts w:hint="eastAsia" w:ascii="宋体" w:hAnsi="宋体" w:cs="宋体"/>
                <w:b w:val="0"/>
                <w:bCs w:val="0"/>
                <w:kern w:val="0"/>
                <w:sz w:val="24"/>
                <w:szCs w:val="24"/>
                <w:vertAlign w:val="baseline"/>
                <w:lang w:val="en-US" w:eastAsia="zh-CN" w:bidi="ar"/>
              </w:rPr>
              <w:t>（包含但不限于此内容，具体以和招标人商议为主）</w:t>
            </w:r>
          </w:p>
        </w:tc>
      </w:tr>
      <w:tr w14:paraId="63BA2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6" w:hRule="atLeast"/>
        </w:trPr>
        <w:tc>
          <w:tcPr>
            <w:tcW w:w="438" w:type="pct"/>
            <w:noWrap w:val="0"/>
            <w:vAlign w:val="top"/>
          </w:tcPr>
          <w:p w14:paraId="1AF2F390">
            <w:pPr>
              <w:pStyle w:val="10"/>
              <w:numPr>
                <w:ilvl w:val="0"/>
                <w:numId w:val="0"/>
              </w:numPr>
              <w:jc w:val="center"/>
              <w:rPr>
                <w:rStyle w:val="36"/>
                <w:rFonts w:hint="default" w:ascii="宋体" w:hAnsi="宋体" w:cs="宋体"/>
                <w:b w:val="0"/>
                <w:bCs w:val="0"/>
                <w:kern w:val="0"/>
                <w:sz w:val="24"/>
                <w:szCs w:val="24"/>
                <w:vertAlign w:val="baseline"/>
                <w:lang w:val="en-US" w:eastAsia="zh-CN" w:bidi="ar"/>
              </w:rPr>
            </w:pPr>
            <w:r>
              <w:rPr>
                <w:rStyle w:val="36"/>
                <w:rFonts w:hint="eastAsia" w:ascii="宋体" w:hAnsi="宋体" w:cs="宋体"/>
                <w:b w:val="0"/>
                <w:bCs w:val="0"/>
                <w:kern w:val="0"/>
                <w:sz w:val="24"/>
                <w:szCs w:val="24"/>
                <w:vertAlign w:val="baseline"/>
                <w:lang w:val="en-US" w:eastAsia="zh-CN" w:bidi="ar"/>
              </w:rPr>
              <w:t>2</w:t>
            </w:r>
          </w:p>
        </w:tc>
        <w:tc>
          <w:tcPr>
            <w:tcW w:w="1076" w:type="pct"/>
            <w:noWrap w:val="0"/>
            <w:vAlign w:val="center"/>
          </w:tcPr>
          <w:p w14:paraId="1898E4CD">
            <w:pPr>
              <w:keepNext w:val="0"/>
              <w:keepLines w:val="0"/>
              <w:widowControl/>
              <w:suppressLineNumbers w:val="0"/>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警戒线</w:t>
            </w:r>
          </w:p>
        </w:tc>
        <w:tc>
          <w:tcPr>
            <w:tcW w:w="419" w:type="pct"/>
            <w:noWrap w:val="0"/>
            <w:vAlign w:val="center"/>
          </w:tcPr>
          <w:p w14:paraId="07C61A3B">
            <w:pPr>
              <w:keepNext w:val="0"/>
              <w:keepLines w:val="0"/>
              <w:widowControl/>
              <w:suppressLineNumbers w:val="0"/>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卷</w:t>
            </w:r>
          </w:p>
        </w:tc>
        <w:tc>
          <w:tcPr>
            <w:tcW w:w="473" w:type="pct"/>
            <w:noWrap w:val="0"/>
            <w:vAlign w:val="center"/>
          </w:tcPr>
          <w:p w14:paraId="216AD077">
            <w:pPr>
              <w:keepNext w:val="0"/>
              <w:keepLines w:val="0"/>
              <w:widowControl/>
              <w:suppressLineNumbers w:val="0"/>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20</w:t>
            </w:r>
          </w:p>
        </w:tc>
        <w:tc>
          <w:tcPr>
            <w:tcW w:w="1170" w:type="pct"/>
            <w:noWrap w:val="0"/>
            <w:vAlign w:val="center"/>
          </w:tcPr>
          <w:p w14:paraId="6C94D6EC">
            <w:pPr>
              <w:keepNext w:val="0"/>
              <w:keepLines w:val="0"/>
              <w:widowControl/>
              <w:suppressLineNumbers w:val="0"/>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各出入口使用</w:t>
            </w:r>
          </w:p>
        </w:tc>
        <w:tc>
          <w:tcPr>
            <w:tcW w:w="444" w:type="pct"/>
            <w:noWrap w:val="0"/>
            <w:vAlign w:val="top"/>
          </w:tcPr>
          <w:p w14:paraId="4B3F2E83">
            <w:pPr>
              <w:keepNext w:val="0"/>
              <w:keepLines w:val="0"/>
              <w:widowControl/>
              <w:suppressLineNumbers w:val="0"/>
              <w:jc w:val="left"/>
              <w:textAlignment w:val="center"/>
              <w:rPr>
                <w:rStyle w:val="36"/>
                <w:rFonts w:hint="default" w:ascii="宋体" w:hAnsi="宋体" w:eastAsia="宋体" w:cs="宋体"/>
                <w:b w:val="0"/>
                <w:bCs w:val="0"/>
                <w:kern w:val="0"/>
                <w:sz w:val="24"/>
                <w:szCs w:val="24"/>
                <w:vertAlign w:val="baseline"/>
                <w:lang w:val="en-US" w:eastAsia="zh-CN" w:bidi="ar"/>
              </w:rPr>
            </w:pPr>
          </w:p>
        </w:tc>
        <w:tc>
          <w:tcPr>
            <w:tcW w:w="975" w:type="pct"/>
            <w:vMerge w:val="continue"/>
            <w:noWrap w:val="0"/>
            <w:vAlign w:val="top"/>
          </w:tcPr>
          <w:p w14:paraId="39D7F3DA">
            <w:pPr>
              <w:pStyle w:val="10"/>
              <w:numPr>
                <w:ilvl w:val="0"/>
                <w:numId w:val="0"/>
              </w:numPr>
              <w:jc w:val="center"/>
              <w:rPr>
                <w:rStyle w:val="36"/>
                <w:rFonts w:hint="default" w:ascii="宋体" w:hAnsi="宋体" w:cs="宋体"/>
                <w:b w:val="0"/>
                <w:bCs w:val="0"/>
                <w:kern w:val="0"/>
                <w:sz w:val="24"/>
                <w:szCs w:val="24"/>
                <w:vertAlign w:val="baseline"/>
                <w:lang w:val="en-US" w:eastAsia="zh-CN" w:bidi="ar"/>
              </w:rPr>
            </w:pPr>
          </w:p>
        </w:tc>
      </w:tr>
      <w:tr w14:paraId="21020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6" w:hRule="atLeast"/>
        </w:trPr>
        <w:tc>
          <w:tcPr>
            <w:tcW w:w="438" w:type="pct"/>
            <w:noWrap w:val="0"/>
            <w:vAlign w:val="top"/>
          </w:tcPr>
          <w:p w14:paraId="32CD61DE">
            <w:pPr>
              <w:pStyle w:val="10"/>
              <w:numPr>
                <w:ilvl w:val="0"/>
                <w:numId w:val="0"/>
              </w:numPr>
              <w:jc w:val="center"/>
              <w:rPr>
                <w:rStyle w:val="36"/>
                <w:rFonts w:hint="default" w:ascii="宋体" w:hAnsi="宋体" w:cs="宋体"/>
                <w:b w:val="0"/>
                <w:bCs w:val="0"/>
                <w:kern w:val="0"/>
                <w:sz w:val="24"/>
                <w:szCs w:val="24"/>
                <w:vertAlign w:val="baseline"/>
                <w:lang w:val="en-US" w:eastAsia="zh-CN" w:bidi="ar"/>
              </w:rPr>
            </w:pPr>
            <w:r>
              <w:rPr>
                <w:rStyle w:val="36"/>
                <w:rFonts w:hint="eastAsia" w:ascii="宋体" w:hAnsi="宋体" w:cs="宋体"/>
                <w:b w:val="0"/>
                <w:bCs w:val="0"/>
                <w:kern w:val="0"/>
                <w:sz w:val="24"/>
                <w:szCs w:val="24"/>
                <w:vertAlign w:val="baseline"/>
                <w:lang w:val="en-US" w:eastAsia="zh-CN" w:bidi="ar"/>
              </w:rPr>
              <w:t>3</w:t>
            </w:r>
          </w:p>
        </w:tc>
        <w:tc>
          <w:tcPr>
            <w:tcW w:w="1076" w:type="pct"/>
            <w:noWrap w:val="0"/>
            <w:vAlign w:val="center"/>
          </w:tcPr>
          <w:p w14:paraId="70EAD449">
            <w:pPr>
              <w:keepNext w:val="0"/>
              <w:keepLines w:val="0"/>
              <w:widowControl/>
              <w:suppressLineNumbers w:val="0"/>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指示牌</w:t>
            </w:r>
          </w:p>
        </w:tc>
        <w:tc>
          <w:tcPr>
            <w:tcW w:w="419" w:type="pct"/>
            <w:noWrap w:val="0"/>
            <w:vAlign w:val="center"/>
          </w:tcPr>
          <w:p w14:paraId="23E77DF2">
            <w:pPr>
              <w:keepNext w:val="0"/>
              <w:keepLines w:val="0"/>
              <w:widowControl/>
              <w:suppressLineNumbers w:val="0"/>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个</w:t>
            </w:r>
          </w:p>
        </w:tc>
        <w:tc>
          <w:tcPr>
            <w:tcW w:w="473" w:type="pct"/>
            <w:noWrap w:val="0"/>
            <w:vAlign w:val="center"/>
          </w:tcPr>
          <w:p w14:paraId="53873249">
            <w:pPr>
              <w:keepNext w:val="0"/>
              <w:keepLines w:val="0"/>
              <w:widowControl/>
              <w:suppressLineNumbers w:val="0"/>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20</w:t>
            </w:r>
          </w:p>
        </w:tc>
        <w:tc>
          <w:tcPr>
            <w:tcW w:w="1170" w:type="pct"/>
            <w:noWrap w:val="0"/>
            <w:vAlign w:val="center"/>
          </w:tcPr>
          <w:p w14:paraId="004B15F5">
            <w:pPr>
              <w:keepNext w:val="0"/>
              <w:keepLines w:val="0"/>
              <w:widowControl/>
              <w:suppressLineNumbers w:val="0"/>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出入口、运动员候场区等</w:t>
            </w:r>
          </w:p>
        </w:tc>
        <w:tc>
          <w:tcPr>
            <w:tcW w:w="444" w:type="pct"/>
            <w:noWrap w:val="0"/>
            <w:vAlign w:val="top"/>
          </w:tcPr>
          <w:p w14:paraId="3A5D1DA5">
            <w:pPr>
              <w:keepNext w:val="0"/>
              <w:keepLines w:val="0"/>
              <w:widowControl/>
              <w:suppressLineNumbers w:val="0"/>
              <w:jc w:val="left"/>
              <w:textAlignment w:val="center"/>
              <w:rPr>
                <w:rStyle w:val="36"/>
                <w:rFonts w:hint="default" w:ascii="宋体" w:hAnsi="宋体" w:eastAsia="宋体" w:cs="宋体"/>
                <w:b w:val="0"/>
                <w:bCs w:val="0"/>
                <w:kern w:val="0"/>
                <w:sz w:val="24"/>
                <w:szCs w:val="24"/>
                <w:vertAlign w:val="baseline"/>
                <w:lang w:val="en-US" w:eastAsia="zh-CN" w:bidi="ar"/>
              </w:rPr>
            </w:pPr>
          </w:p>
        </w:tc>
        <w:tc>
          <w:tcPr>
            <w:tcW w:w="975" w:type="pct"/>
            <w:vMerge w:val="continue"/>
            <w:noWrap w:val="0"/>
            <w:vAlign w:val="top"/>
          </w:tcPr>
          <w:p w14:paraId="377752FC">
            <w:pPr>
              <w:pStyle w:val="10"/>
              <w:numPr>
                <w:ilvl w:val="0"/>
                <w:numId w:val="0"/>
              </w:numPr>
              <w:jc w:val="center"/>
              <w:rPr>
                <w:rStyle w:val="36"/>
                <w:rFonts w:hint="default" w:ascii="宋体" w:hAnsi="宋体" w:cs="宋体"/>
                <w:b w:val="0"/>
                <w:bCs w:val="0"/>
                <w:kern w:val="0"/>
                <w:sz w:val="24"/>
                <w:szCs w:val="24"/>
                <w:vertAlign w:val="baseline"/>
                <w:lang w:val="en-US" w:eastAsia="zh-CN" w:bidi="ar"/>
              </w:rPr>
            </w:pPr>
          </w:p>
        </w:tc>
      </w:tr>
      <w:tr w14:paraId="4E0C62BB">
        <w:tblPrEx>
          <w:tblCellMar>
            <w:top w:w="0" w:type="dxa"/>
            <w:left w:w="108" w:type="dxa"/>
            <w:bottom w:w="0" w:type="dxa"/>
            <w:right w:w="108" w:type="dxa"/>
          </w:tblCellMar>
        </w:tblPrEx>
        <w:trPr>
          <w:trHeight w:val="766" w:hRule="atLeast"/>
        </w:trPr>
        <w:tc>
          <w:tcPr>
            <w:tcW w:w="438" w:type="pct"/>
            <w:noWrap w:val="0"/>
            <w:vAlign w:val="top"/>
          </w:tcPr>
          <w:p w14:paraId="672CDC58">
            <w:pPr>
              <w:pStyle w:val="10"/>
              <w:numPr>
                <w:ilvl w:val="0"/>
                <w:numId w:val="0"/>
              </w:numPr>
              <w:jc w:val="center"/>
              <w:rPr>
                <w:rStyle w:val="36"/>
                <w:rFonts w:hint="default" w:ascii="宋体" w:hAnsi="宋体" w:cs="宋体"/>
                <w:b w:val="0"/>
                <w:bCs w:val="0"/>
                <w:kern w:val="0"/>
                <w:sz w:val="24"/>
                <w:szCs w:val="24"/>
                <w:vertAlign w:val="baseline"/>
                <w:lang w:val="en-US" w:eastAsia="zh-CN" w:bidi="ar"/>
              </w:rPr>
            </w:pPr>
            <w:r>
              <w:rPr>
                <w:rStyle w:val="36"/>
                <w:rFonts w:hint="eastAsia" w:ascii="宋体" w:hAnsi="宋体" w:cs="宋体"/>
                <w:b w:val="0"/>
                <w:bCs w:val="0"/>
                <w:kern w:val="0"/>
                <w:sz w:val="24"/>
                <w:szCs w:val="24"/>
                <w:vertAlign w:val="baseline"/>
                <w:lang w:val="en-US" w:eastAsia="zh-CN" w:bidi="ar"/>
              </w:rPr>
              <w:t>4</w:t>
            </w:r>
          </w:p>
        </w:tc>
        <w:tc>
          <w:tcPr>
            <w:tcW w:w="1076" w:type="pct"/>
            <w:noWrap w:val="0"/>
            <w:vAlign w:val="center"/>
          </w:tcPr>
          <w:p w14:paraId="2091547F">
            <w:pPr>
              <w:keepNext w:val="0"/>
              <w:keepLines w:val="0"/>
              <w:widowControl/>
              <w:suppressLineNumbers w:val="0"/>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麦标、手卡</w:t>
            </w:r>
          </w:p>
        </w:tc>
        <w:tc>
          <w:tcPr>
            <w:tcW w:w="419" w:type="pct"/>
            <w:noWrap w:val="0"/>
            <w:vAlign w:val="center"/>
          </w:tcPr>
          <w:p w14:paraId="30E6C528">
            <w:pPr>
              <w:keepNext w:val="0"/>
              <w:keepLines w:val="0"/>
              <w:widowControl/>
              <w:suppressLineNumbers w:val="0"/>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套</w:t>
            </w:r>
          </w:p>
        </w:tc>
        <w:tc>
          <w:tcPr>
            <w:tcW w:w="473" w:type="pct"/>
            <w:noWrap w:val="0"/>
            <w:vAlign w:val="center"/>
          </w:tcPr>
          <w:p w14:paraId="243CADE5">
            <w:pPr>
              <w:keepNext w:val="0"/>
              <w:keepLines w:val="0"/>
              <w:widowControl/>
              <w:suppressLineNumbers w:val="0"/>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1</w:t>
            </w:r>
          </w:p>
        </w:tc>
        <w:tc>
          <w:tcPr>
            <w:tcW w:w="1170" w:type="pct"/>
            <w:noWrap w:val="0"/>
            <w:vAlign w:val="center"/>
          </w:tcPr>
          <w:p w14:paraId="4657FFB4">
            <w:pPr>
              <w:keepNext w:val="0"/>
              <w:keepLines w:val="0"/>
              <w:widowControl/>
              <w:suppressLineNumbers w:val="0"/>
              <w:jc w:val="left"/>
              <w:textAlignment w:val="center"/>
              <w:rPr>
                <w:rStyle w:val="36"/>
                <w:rFonts w:hint="eastAsia" w:ascii="宋体" w:hAnsi="宋体" w:eastAsia="宋体" w:cs="宋体"/>
                <w:b w:val="0"/>
                <w:bCs w:val="0"/>
                <w:kern w:val="0"/>
                <w:sz w:val="24"/>
                <w:szCs w:val="24"/>
                <w:vertAlign w:val="baseline"/>
                <w:lang w:val="en-US" w:eastAsia="zh-CN" w:bidi="ar"/>
              </w:rPr>
            </w:pPr>
          </w:p>
        </w:tc>
        <w:tc>
          <w:tcPr>
            <w:tcW w:w="444" w:type="pct"/>
            <w:noWrap w:val="0"/>
            <w:vAlign w:val="top"/>
          </w:tcPr>
          <w:p w14:paraId="41EEB7F0">
            <w:pPr>
              <w:keepNext w:val="0"/>
              <w:keepLines w:val="0"/>
              <w:widowControl/>
              <w:suppressLineNumbers w:val="0"/>
              <w:jc w:val="left"/>
              <w:textAlignment w:val="center"/>
              <w:rPr>
                <w:rStyle w:val="36"/>
                <w:rFonts w:hint="default" w:ascii="宋体" w:hAnsi="宋体" w:eastAsia="宋体" w:cs="宋体"/>
                <w:b w:val="0"/>
                <w:bCs w:val="0"/>
                <w:kern w:val="0"/>
                <w:sz w:val="24"/>
                <w:szCs w:val="24"/>
                <w:vertAlign w:val="baseline"/>
                <w:lang w:val="en-US" w:eastAsia="zh-CN" w:bidi="ar"/>
              </w:rPr>
            </w:pPr>
          </w:p>
        </w:tc>
        <w:tc>
          <w:tcPr>
            <w:tcW w:w="975" w:type="pct"/>
            <w:vMerge w:val="continue"/>
            <w:noWrap w:val="0"/>
            <w:vAlign w:val="top"/>
          </w:tcPr>
          <w:p w14:paraId="4223D962">
            <w:pPr>
              <w:pStyle w:val="10"/>
              <w:numPr>
                <w:ilvl w:val="0"/>
                <w:numId w:val="0"/>
              </w:numPr>
              <w:jc w:val="center"/>
              <w:rPr>
                <w:rStyle w:val="36"/>
                <w:rFonts w:hint="default" w:ascii="宋体" w:hAnsi="宋体" w:cs="宋体"/>
                <w:b w:val="0"/>
                <w:bCs w:val="0"/>
                <w:kern w:val="0"/>
                <w:sz w:val="24"/>
                <w:szCs w:val="24"/>
                <w:vertAlign w:val="baseline"/>
                <w:lang w:val="en-US" w:eastAsia="zh-CN" w:bidi="ar"/>
              </w:rPr>
            </w:pPr>
          </w:p>
        </w:tc>
      </w:tr>
      <w:tr w14:paraId="7BEA1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6" w:hRule="atLeast"/>
        </w:trPr>
        <w:tc>
          <w:tcPr>
            <w:tcW w:w="438" w:type="pct"/>
            <w:noWrap w:val="0"/>
            <w:vAlign w:val="top"/>
          </w:tcPr>
          <w:p w14:paraId="10DC2F81">
            <w:pPr>
              <w:pStyle w:val="10"/>
              <w:numPr>
                <w:ilvl w:val="0"/>
                <w:numId w:val="0"/>
              </w:numPr>
              <w:jc w:val="center"/>
              <w:rPr>
                <w:rStyle w:val="36"/>
                <w:rFonts w:hint="default" w:ascii="宋体" w:hAnsi="宋体" w:cs="宋体"/>
                <w:b w:val="0"/>
                <w:bCs w:val="0"/>
                <w:kern w:val="0"/>
                <w:sz w:val="24"/>
                <w:szCs w:val="24"/>
                <w:vertAlign w:val="baseline"/>
                <w:lang w:val="en-US" w:eastAsia="zh-CN" w:bidi="ar"/>
              </w:rPr>
            </w:pPr>
            <w:r>
              <w:rPr>
                <w:rStyle w:val="36"/>
                <w:rFonts w:hint="eastAsia" w:ascii="宋体" w:hAnsi="宋体" w:cs="宋体"/>
                <w:b w:val="0"/>
                <w:bCs w:val="0"/>
                <w:kern w:val="0"/>
                <w:sz w:val="24"/>
                <w:szCs w:val="24"/>
                <w:vertAlign w:val="baseline"/>
                <w:lang w:val="en-US" w:eastAsia="zh-CN" w:bidi="ar"/>
              </w:rPr>
              <w:t>5</w:t>
            </w:r>
          </w:p>
        </w:tc>
        <w:tc>
          <w:tcPr>
            <w:tcW w:w="1076" w:type="pct"/>
            <w:noWrap w:val="0"/>
            <w:vAlign w:val="center"/>
          </w:tcPr>
          <w:p w14:paraId="55E47C1E">
            <w:pPr>
              <w:keepNext w:val="0"/>
              <w:keepLines w:val="0"/>
              <w:widowControl/>
              <w:suppressLineNumbers w:val="0"/>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彩旗</w:t>
            </w:r>
          </w:p>
        </w:tc>
        <w:tc>
          <w:tcPr>
            <w:tcW w:w="419" w:type="pct"/>
            <w:noWrap w:val="0"/>
            <w:vAlign w:val="center"/>
          </w:tcPr>
          <w:p w14:paraId="0C2B3E16">
            <w:pPr>
              <w:keepNext w:val="0"/>
              <w:keepLines w:val="0"/>
              <w:widowControl/>
              <w:suppressLineNumbers w:val="0"/>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个</w:t>
            </w:r>
          </w:p>
        </w:tc>
        <w:tc>
          <w:tcPr>
            <w:tcW w:w="473" w:type="pct"/>
            <w:noWrap w:val="0"/>
            <w:vAlign w:val="center"/>
          </w:tcPr>
          <w:p w14:paraId="395BDC98">
            <w:pPr>
              <w:keepNext w:val="0"/>
              <w:keepLines w:val="0"/>
              <w:widowControl/>
              <w:suppressLineNumbers w:val="0"/>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100</w:t>
            </w:r>
          </w:p>
        </w:tc>
        <w:tc>
          <w:tcPr>
            <w:tcW w:w="1170" w:type="pct"/>
            <w:noWrap w:val="0"/>
            <w:vAlign w:val="center"/>
          </w:tcPr>
          <w:p w14:paraId="08CB1A2B">
            <w:pPr>
              <w:keepNext w:val="0"/>
              <w:keepLines w:val="0"/>
              <w:widowControl/>
              <w:suppressLineNumbers w:val="0"/>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彩旗方队</w:t>
            </w:r>
          </w:p>
        </w:tc>
        <w:tc>
          <w:tcPr>
            <w:tcW w:w="444" w:type="pct"/>
            <w:noWrap w:val="0"/>
            <w:vAlign w:val="top"/>
          </w:tcPr>
          <w:p w14:paraId="41AA7DAD">
            <w:pPr>
              <w:keepNext w:val="0"/>
              <w:keepLines w:val="0"/>
              <w:widowControl/>
              <w:suppressLineNumbers w:val="0"/>
              <w:jc w:val="left"/>
              <w:textAlignment w:val="center"/>
              <w:rPr>
                <w:rStyle w:val="36"/>
                <w:rFonts w:hint="default" w:ascii="宋体" w:hAnsi="宋体" w:eastAsia="宋体" w:cs="宋体"/>
                <w:b w:val="0"/>
                <w:bCs w:val="0"/>
                <w:kern w:val="0"/>
                <w:sz w:val="24"/>
                <w:szCs w:val="24"/>
                <w:vertAlign w:val="baseline"/>
                <w:lang w:val="en-US" w:eastAsia="zh-CN" w:bidi="ar"/>
              </w:rPr>
            </w:pPr>
          </w:p>
        </w:tc>
        <w:tc>
          <w:tcPr>
            <w:tcW w:w="975" w:type="pct"/>
            <w:vMerge w:val="continue"/>
            <w:noWrap w:val="0"/>
            <w:vAlign w:val="top"/>
          </w:tcPr>
          <w:p w14:paraId="031F5E16">
            <w:pPr>
              <w:pStyle w:val="10"/>
              <w:numPr>
                <w:ilvl w:val="0"/>
                <w:numId w:val="0"/>
              </w:numPr>
              <w:jc w:val="center"/>
              <w:rPr>
                <w:rStyle w:val="36"/>
                <w:rFonts w:hint="default" w:ascii="宋体" w:hAnsi="宋体" w:cs="宋体"/>
                <w:b w:val="0"/>
                <w:bCs w:val="0"/>
                <w:kern w:val="0"/>
                <w:sz w:val="24"/>
                <w:szCs w:val="24"/>
                <w:vertAlign w:val="baseline"/>
                <w:lang w:val="en-US" w:eastAsia="zh-CN" w:bidi="ar"/>
              </w:rPr>
            </w:pPr>
          </w:p>
        </w:tc>
      </w:tr>
      <w:tr w14:paraId="41105287">
        <w:tblPrEx>
          <w:tblCellMar>
            <w:top w:w="0" w:type="dxa"/>
            <w:left w:w="108" w:type="dxa"/>
            <w:bottom w:w="0" w:type="dxa"/>
            <w:right w:w="108" w:type="dxa"/>
          </w:tblCellMar>
        </w:tblPrEx>
        <w:trPr>
          <w:trHeight w:val="766" w:hRule="atLeast"/>
        </w:trPr>
        <w:tc>
          <w:tcPr>
            <w:tcW w:w="438" w:type="pct"/>
            <w:noWrap w:val="0"/>
            <w:vAlign w:val="top"/>
          </w:tcPr>
          <w:p w14:paraId="67D292AA">
            <w:pPr>
              <w:pStyle w:val="10"/>
              <w:numPr>
                <w:ilvl w:val="0"/>
                <w:numId w:val="0"/>
              </w:numPr>
              <w:jc w:val="center"/>
              <w:rPr>
                <w:rStyle w:val="36"/>
                <w:rFonts w:hint="default" w:ascii="宋体" w:hAnsi="宋体" w:cs="宋体"/>
                <w:b w:val="0"/>
                <w:bCs w:val="0"/>
                <w:kern w:val="0"/>
                <w:sz w:val="24"/>
                <w:szCs w:val="24"/>
                <w:vertAlign w:val="baseline"/>
                <w:lang w:val="en-US" w:eastAsia="zh-CN" w:bidi="ar"/>
              </w:rPr>
            </w:pPr>
            <w:r>
              <w:rPr>
                <w:rStyle w:val="36"/>
                <w:rFonts w:hint="eastAsia" w:ascii="宋体" w:hAnsi="宋体" w:cs="宋体"/>
                <w:b w:val="0"/>
                <w:bCs w:val="0"/>
                <w:kern w:val="0"/>
                <w:sz w:val="24"/>
                <w:szCs w:val="24"/>
                <w:vertAlign w:val="baseline"/>
                <w:lang w:val="en-US" w:eastAsia="zh-CN" w:bidi="ar"/>
              </w:rPr>
              <w:t>6</w:t>
            </w:r>
          </w:p>
        </w:tc>
        <w:tc>
          <w:tcPr>
            <w:tcW w:w="1076" w:type="pct"/>
            <w:noWrap w:val="0"/>
            <w:vAlign w:val="center"/>
          </w:tcPr>
          <w:p w14:paraId="575D160B">
            <w:pPr>
              <w:keepNext w:val="0"/>
              <w:keepLines w:val="0"/>
              <w:widowControl/>
              <w:suppressLineNumbers w:val="0"/>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开幕式节目道具</w:t>
            </w:r>
          </w:p>
        </w:tc>
        <w:tc>
          <w:tcPr>
            <w:tcW w:w="419" w:type="pct"/>
            <w:noWrap w:val="0"/>
            <w:vAlign w:val="center"/>
          </w:tcPr>
          <w:p w14:paraId="438E14DB">
            <w:pPr>
              <w:keepNext w:val="0"/>
              <w:keepLines w:val="0"/>
              <w:widowControl/>
              <w:suppressLineNumbers w:val="0"/>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批</w:t>
            </w:r>
          </w:p>
        </w:tc>
        <w:tc>
          <w:tcPr>
            <w:tcW w:w="473" w:type="pct"/>
            <w:noWrap w:val="0"/>
            <w:vAlign w:val="center"/>
          </w:tcPr>
          <w:p w14:paraId="25094EA9">
            <w:pPr>
              <w:keepNext w:val="0"/>
              <w:keepLines w:val="0"/>
              <w:widowControl/>
              <w:suppressLineNumbers w:val="0"/>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1</w:t>
            </w:r>
          </w:p>
        </w:tc>
        <w:tc>
          <w:tcPr>
            <w:tcW w:w="1170" w:type="pct"/>
            <w:noWrap w:val="0"/>
            <w:vAlign w:val="center"/>
          </w:tcPr>
          <w:p w14:paraId="6C30EAC4">
            <w:pPr>
              <w:keepNext w:val="0"/>
              <w:keepLines w:val="0"/>
              <w:widowControl/>
              <w:suppressLineNumbers w:val="0"/>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石榴手花、足球、字牌、花车装饰等</w:t>
            </w:r>
          </w:p>
        </w:tc>
        <w:tc>
          <w:tcPr>
            <w:tcW w:w="444" w:type="pct"/>
            <w:noWrap w:val="0"/>
            <w:vAlign w:val="top"/>
          </w:tcPr>
          <w:p w14:paraId="5A15802D">
            <w:pPr>
              <w:keepNext w:val="0"/>
              <w:keepLines w:val="0"/>
              <w:widowControl/>
              <w:suppressLineNumbers w:val="0"/>
              <w:jc w:val="left"/>
              <w:textAlignment w:val="center"/>
              <w:rPr>
                <w:rStyle w:val="36"/>
                <w:rFonts w:hint="default" w:ascii="宋体" w:hAnsi="宋体" w:eastAsia="宋体" w:cs="宋体"/>
                <w:b w:val="0"/>
                <w:bCs w:val="0"/>
                <w:kern w:val="0"/>
                <w:sz w:val="24"/>
                <w:szCs w:val="24"/>
                <w:vertAlign w:val="baseline"/>
                <w:lang w:val="en-US" w:eastAsia="zh-CN" w:bidi="ar"/>
              </w:rPr>
            </w:pPr>
          </w:p>
        </w:tc>
        <w:tc>
          <w:tcPr>
            <w:tcW w:w="975" w:type="pct"/>
            <w:vMerge w:val="continue"/>
            <w:noWrap w:val="0"/>
            <w:vAlign w:val="top"/>
          </w:tcPr>
          <w:p w14:paraId="7862732C">
            <w:pPr>
              <w:pStyle w:val="10"/>
              <w:numPr>
                <w:ilvl w:val="0"/>
                <w:numId w:val="0"/>
              </w:numPr>
              <w:jc w:val="center"/>
              <w:rPr>
                <w:rStyle w:val="36"/>
                <w:rFonts w:hint="default" w:ascii="宋体" w:hAnsi="宋体" w:cs="宋体"/>
                <w:b w:val="0"/>
                <w:bCs w:val="0"/>
                <w:kern w:val="0"/>
                <w:sz w:val="24"/>
                <w:szCs w:val="24"/>
                <w:vertAlign w:val="baseline"/>
                <w:lang w:val="en-US" w:eastAsia="zh-CN" w:bidi="ar"/>
              </w:rPr>
            </w:pPr>
          </w:p>
        </w:tc>
      </w:tr>
      <w:tr w14:paraId="18315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6" w:hRule="atLeast"/>
        </w:trPr>
        <w:tc>
          <w:tcPr>
            <w:tcW w:w="438" w:type="pct"/>
            <w:noWrap w:val="0"/>
            <w:vAlign w:val="top"/>
          </w:tcPr>
          <w:p w14:paraId="053518B9">
            <w:pPr>
              <w:pStyle w:val="10"/>
              <w:numPr>
                <w:ilvl w:val="0"/>
                <w:numId w:val="0"/>
              </w:numPr>
              <w:jc w:val="center"/>
              <w:rPr>
                <w:rStyle w:val="36"/>
                <w:rFonts w:hint="default" w:ascii="宋体" w:hAnsi="宋体" w:cs="宋体"/>
                <w:b w:val="0"/>
                <w:bCs w:val="0"/>
                <w:kern w:val="0"/>
                <w:sz w:val="24"/>
                <w:szCs w:val="24"/>
                <w:vertAlign w:val="baseline"/>
                <w:lang w:val="en-US" w:eastAsia="zh-CN" w:bidi="ar"/>
              </w:rPr>
            </w:pPr>
            <w:r>
              <w:rPr>
                <w:rStyle w:val="36"/>
                <w:rFonts w:hint="eastAsia" w:ascii="宋体" w:hAnsi="宋体" w:cs="宋体"/>
                <w:b w:val="0"/>
                <w:bCs w:val="0"/>
                <w:kern w:val="0"/>
                <w:sz w:val="24"/>
                <w:szCs w:val="24"/>
                <w:vertAlign w:val="baseline"/>
                <w:lang w:val="en-US" w:eastAsia="zh-CN" w:bidi="ar"/>
              </w:rPr>
              <w:t>7</w:t>
            </w:r>
          </w:p>
        </w:tc>
        <w:tc>
          <w:tcPr>
            <w:tcW w:w="1076" w:type="pct"/>
            <w:noWrap w:val="0"/>
            <w:vAlign w:val="center"/>
          </w:tcPr>
          <w:p w14:paraId="045A9FCD">
            <w:pPr>
              <w:keepNext w:val="0"/>
              <w:keepLines w:val="0"/>
              <w:widowControl/>
              <w:suppressLineNumbers w:val="0"/>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开幕式节目服装</w:t>
            </w:r>
          </w:p>
        </w:tc>
        <w:tc>
          <w:tcPr>
            <w:tcW w:w="419" w:type="pct"/>
            <w:noWrap w:val="0"/>
            <w:vAlign w:val="center"/>
          </w:tcPr>
          <w:p w14:paraId="177CC8B5">
            <w:pPr>
              <w:keepNext w:val="0"/>
              <w:keepLines w:val="0"/>
              <w:widowControl/>
              <w:suppressLineNumbers w:val="0"/>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批</w:t>
            </w:r>
          </w:p>
        </w:tc>
        <w:tc>
          <w:tcPr>
            <w:tcW w:w="473" w:type="pct"/>
            <w:noWrap w:val="0"/>
            <w:vAlign w:val="center"/>
          </w:tcPr>
          <w:p w14:paraId="3898E283">
            <w:pPr>
              <w:keepNext w:val="0"/>
              <w:keepLines w:val="0"/>
              <w:widowControl/>
              <w:suppressLineNumbers w:val="0"/>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1</w:t>
            </w:r>
          </w:p>
        </w:tc>
        <w:tc>
          <w:tcPr>
            <w:tcW w:w="1170" w:type="pct"/>
            <w:noWrap w:val="0"/>
            <w:vAlign w:val="center"/>
          </w:tcPr>
          <w:p w14:paraId="66EB8C08">
            <w:pPr>
              <w:keepNext w:val="0"/>
              <w:keepLines w:val="0"/>
              <w:widowControl/>
              <w:suppressLineNumbers w:val="0"/>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民族服饰、龟兹舞蹈服饰等</w:t>
            </w:r>
          </w:p>
        </w:tc>
        <w:tc>
          <w:tcPr>
            <w:tcW w:w="444" w:type="pct"/>
            <w:noWrap w:val="0"/>
            <w:vAlign w:val="top"/>
          </w:tcPr>
          <w:p w14:paraId="446028BB">
            <w:pPr>
              <w:keepNext w:val="0"/>
              <w:keepLines w:val="0"/>
              <w:widowControl/>
              <w:suppressLineNumbers w:val="0"/>
              <w:jc w:val="left"/>
              <w:textAlignment w:val="center"/>
              <w:rPr>
                <w:rStyle w:val="36"/>
                <w:rFonts w:hint="default" w:ascii="宋体" w:hAnsi="宋体" w:eastAsia="宋体" w:cs="宋体"/>
                <w:b w:val="0"/>
                <w:bCs w:val="0"/>
                <w:kern w:val="0"/>
                <w:sz w:val="24"/>
                <w:szCs w:val="24"/>
                <w:vertAlign w:val="baseline"/>
                <w:lang w:val="en-US" w:eastAsia="zh-CN" w:bidi="ar"/>
              </w:rPr>
            </w:pPr>
          </w:p>
        </w:tc>
        <w:tc>
          <w:tcPr>
            <w:tcW w:w="975" w:type="pct"/>
            <w:vMerge w:val="continue"/>
            <w:noWrap w:val="0"/>
            <w:vAlign w:val="top"/>
          </w:tcPr>
          <w:p w14:paraId="7C3B7CF2">
            <w:pPr>
              <w:pStyle w:val="10"/>
              <w:numPr>
                <w:ilvl w:val="0"/>
                <w:numId w:val="0"/>
              </w:numPr>
              <w:jc w:val="center"/>
              <w:rPr>
                <w:rStyle w:val="36"/>
                <w:rFonts w:hint="default" w:ascii="宋体" w:hAnsi="宋体" w:cs="宋体"/>
                <w:b w:val="0"/>
                <w:bCs w:val="0"/>
                <w:kern w:val="0"/>
                <w:sz w:val="24"/>
                <w:szCs w:val="24"/>
                <w:vertAlign w:val="baseline"/>
                <w:lang w:val="en-US" w:eastAsia="zh-CN" w:bidi="ar"/>
              </w:rPr>
            </w:pPr>
          </w:p>
        </w:tc>
      </w:tr>
      <w:tr w14:paraId="5D62A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6" w:hRule="atLeast"/>
        </w:trPr>
        <w:tc>
          <w:tcPr>
            <w:tcW w:w="438" w:type="pct"/>
            <w:noWrap w:val="0"/>
            <w:vAlign w:val="top"/>
          </w:tcPr>
          <w:p w14:paraId="79932B92">
            <w:pPr>
              <w:pStyle w:val="10"/>
              <w:numPr>
                <w:ilvl w:val="0"/>
                <w:numId w:val="0"/>
              </w:numPr>
              <w:jc w:val="center"/>
              <w:rPr>
                <w:rStyle w:val="36"/>
                <w:rFonts w:hint="default" w:ascii="宋体" w:hAnsi="宋体" w:cs="宋体"/>
                <w:b w:val="0"/>
                <w:bCs w:val="0"/>
                <w:kern w:val="0"/>
                <w:sz w:val="24"/>
                <w:szCs w:val="24"/>
                <w:vertAlign w:val="baseline"/>
                <w:lang w:val="en-US" w:eastAsia="zh-CN" w:bidi="ar"/>
              </w:rPr>
            </w:pPr>
            <w:r>
              <w:rPr>
                <w:rStyle w:val="36"/>
                <w:rFonts w:hint="eastAsia" w:ascii="宋体" w:hAnsi="宋体" w:cs="宋体"/>
                <w:b w:val="0"/>
                <w:bCs w:val="0"/>
                <w:kern w:val="0"/>
                <w:sz w:val="24"/>
                <w:szCs w:val="24"/>
                <w:vertAlign w:val="baseline"/>
                <w:lang w:val="en-US" w:eastAsia="zh-CN" w:bidi="ar"/>
              </w:rPr>
              <w:t>8</w:t>
            </w:r>
          </w:p>
        </w:tc>
        <w:tc>
          <w:tcPr>
            <w:tcW w:w="1076" w:type="pct"/>
            <w:noWrap w:val="0"/>
            <w:vAlign w:val="center"/>
          </w:tcPr>
          <w:p w14:paraId="4B1A2481">
            <w:pPr>
              <w:keepNext w:val="0"/>
              <w:keepLines w:val="0"/>
              <w:widowControl/>
              <w:suppressLineNumbers w:val="0"/>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小国旗</w:t>
            </w:r>
          </w:p>
        </w:tc>
        <w:tc>
          <w:tcPr>
            <w:tcW w:w="419" w:type="pct"/>
            <w:noWrap w:val="0"/>
            <w:vAlign w:val="center"/>
          </w:tcPr>
          <w:p w14:paraId="38C808C4">
            <w:pPr>
              <w:keepNext w:val="0"/>
              <w:keepLines w:val="0"/>
              <w:widowControl/>
              <w:suppressLineNumbers w:val="0"/>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个</w:t>
            </w:r>
          </w:p>
        </w:tc>
        <w:tc>
          <w:tcPr>
            <w:tcW w:w="473" w:type="pct"/>
            <w:noWrap w:val="0"/>
            <w:vAlign w:val="center"/>
          </w:tcPr>
          <w:p w14:paraId="1792C9AB">
            <w:pPr>
              <w:keepNext w:val="0"/>
              <w:keepLines w:val="0"/>
              <w:widowControl/>
              <w:suppressLineNumbers w:val="0"/>
              <w:jc w:val="left"/>
              <w:textAlignment w:val="center"/>
              <w:rPr>
                <w:rStyle w:val="36"/>
                <w:rFonts w:hint="default" w:ascii="宋体" w:hAnsi="宋体" w:eastAsia="宋体" w:cs="宋体"/>
                <w:b w:val="0"/>
                <w:bCs w:val="0"/>
                <w:kern w:val="0"/>
                <w:sz w:val="24"/>
                <w:szCs w:val="24"/>
                <w:vertAlign w:val="baseline"/>
                <w:lang w:val="en-US" w:eastAsia="zh-CN" w:bidi="ar"/>
              </w:rPr>
            </w:pPr>
            <w:r>
              <w:rPr>
                <w:rStyle w:val="36"/>
                <w:rFonts w:hint="eastAsia" w:cs="宋体"/>
                <w:b w:val="0"/>
                <w:bCs w:val="0"/>
                <w:kern w:val="0"/>
                <w:sz w:val="24"/>
                <w:szCs w:val="24"/>
                <w:vertAlign w:val="baseline"/>
                <w:lang w:val="en-US" w:eastAsia="zh-CN" w:bidi="ar"/>
              </w:rPr>
              <w:t>10000</w:t>
            </w:r>
          </w:p>
        </w:tc>
        <w:tc>
          <w:tcPr>
            <w:tcW w:w="1170" w:type="pct"/>
            <w:noWrap w:val="0"/>
            <w:vAlign w:val="center"/>
          </w:tcPr>
          <w:p w14:paraId="2FA8683C">
            <w:pPr>
              <w:keepNext w:val="0"/>
              <w:keepLines w:val="0"/>
              <w:widowControl/>
              <w:suppressLineNumbers w:val="0"/>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观众席使用</w:t>
            </w:r>
          </w:p>
        </w:tc>
        <w:tc>
          <w:tcPr>
            <w:tcW w:w="444" w:type="pct"/>
            <w:noWrap w:val="0"/>
            <w:vAlign w:val="top"/>
          </w:tcPr>
          <w:p w14:paraId="4B677D28">
            <w:pPr>
              <w:keepNext w:val="0"/>
              <w:keepLines w:val="0"/>
              <w:widowControl/>
              <w:suppressLineNumbers w:val="0"/>
              <w:jc w:val="left"/>
              <w:textAlignment w:val="center"/>
              <w:rPr>
                <w:rStyle w:val="36"/>
                <w:rFonts w:hint="default" w:ascii="宋体" w:hAnsi="宋体" w:eastAsia="宋体" w:cs="宋体"/>
                <w:b w:val="0"/>
                <w:bCs w:val="0"/>
                <w:kern w:val="0"/>
                <w:sz w:val="24"/>
                <w:szCs w:val="24"/>
                <w:vertAlign w:val="baseline"/>
                <w:lang w:val="en-US" w:eastAsia="zh-CN" w:bidi="ar"/>
              </w:rPr>
            </w:pPr>
          </w:p>
        </w:tc>
        <w:tc>
          <w:tcPr>
            <w:tcW w:w="975" w:type="pct"/>
            <w:vMerge w:val="continue"/>
            <w:noWrap w:val="0"/>
            <w:vAlign w:val="top"/>
          </w:tcPr>
          <w:p w14:paraId="19409381">
            <w:pPr>
              <w:pStyle w:val="10"/>
              <w:numPr>
                <w:ilvl w:val="0"/>
                <w:numId w:val="0"/>
              </w:numPr>
              <w:jc w:val="center"/>
              <w:rPr>
                <w:rStyle w:val="36"/>
                <w:rFonts w:hint="default" w:ascii="宋体" w:hAnsi="宋体" w:cs="宋体"/>
                <w:b w:val="0"/>
                <w:bCs w:val="0"/>
                <w:kern w:val="0"/>
                <w:sz w:val="24"/>
                <w:szCs w:val="24"/>
                <w:vertAlign w:val="baseline"/>
                <w:lang w:val="en-US" w:eastAsia="zh-CN" w:bidi="ar"/>
              </w:rPr>
            </w:pPr>
          </w:p>
        </w:tc>
      </w:tr>
      <w:tr w14:paraId="3CB3C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6" w:hRule="atLeast"/>
        </w:trPr>
        <w:tc>
          <w:tcPr>
            <w:tcW w:w="438" w:type="pct"/>
            <w:noWrap w:val="0"/>
            <w:vAlign w:val="top"/>
          </w:tcPr>
          <w:p w14:paraId="32F3A070">
            <w:pPr>
              <w:pStyle w:val="10"/>
              <w:numPr>
                <w:ilvl w:val="0"/>
                <w:numId w:val="0"/>
              </w:numPr>
              <w:jc w:val="center"/>
              <w:rPr>
                <w:rStyle w:val="36"/>
                <w:rFonts w:hint="default" w:ascii="宋体" w:hAnsi="宋体" w:cs="宋体"/>
                <w:b w:val="0"/>
                <w:bCs w:val="0"/>
                <w:kern w:val="0"/>
                <w:sz w:val="24"/>
                <w:szCs w:val="24"/>
                <w:vertAlign w:val="baseline"/>
                <w:lang w:val="en-US" w:eastAsia="zh-CN" w:bidi="ar"/>
              </w:rPr>
            </w:pPr>
            <w:r>
              <w:rPr>
                <w:rStyle w:val="36"/>
                <w:rFonts w:hint="eastAsia" w:ascii="宋体" w:hAnsi="宋体" w:cs="宋体"/>
                <w:b w:val="0"/>
                <w:bCs w:val="0"/>
                <w:kern w:val="0"/>
                <w:sz w:val="24"/>
                <w:szCs w:val="24"/>
                <w:vertAlign w:val="baseline"/>
                <w:lang w:val="en-US" w:eastAsia="zh-CN" w:bidi="ar"/>
              </w:rPr>
              <w:t>8</w:t>
            </w:r>
          </w:p>
        </w:tc>
        <w:tc>
          <w:tcPr>
            <w:tcW w:w="1076" w:type="pct"/>
            <w:noWrap w:val="0"/>
            <w:vAlign w:val="center"/>
          </w:tcPr>
          <w:p w14:paraId="13B5DC47">
            <w:pPr>
              <w:keepNext w:val="0"/>
              <w:keepLines w:val="0"/>
              <w:widowControl/>
              <w:suppressLineNumbers w:val="0"/>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会标地贴</w:t>
            </w:r>
          </w:p>
        </w:tc>
        <w:tc>
          <w:tcPr>
            <w:tcW w:w="419" w:type="pct"/>
            <w:noWrap w:val="0"/>
            <w:vAlign w:val="center"/>
          </w:tcPr>
          <w:p w14:paraId="1CD6EBB4">
            <w:pPr>
              <w:keepNext w:val="0"/>
              <w:keepLines w:val="0"/>
              <w:widowControl/>
              <w:suppressLineNumbers w:val="0"/>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个</w:t>
            </w:r>
          </w:p>
        </w:tc>
        <w:tc>
          <w:tcPr>
            <w:tcW w:w="473" w:type="pct"/>
            <w:noWrap w:val="0"/>
            <w:vAlign w:val="center"/>
          </w:tcPr>
          <w:p w14:paraId="5B9F2876">
            <w:pPr>
              <w:keepNext w:val="0"/>
              <w:keepLines w:val="0"/>
              <w:widowControl/>
              <w:suppressLineNumbers w:val="0"/>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1</w:t>
            </w:r>
          </w:p>
        </w:tc>
        <w:tc>
          <w:tcPr>
            <w:tcW w:w="1170" w:type="pct"/>
            <w:noWrap w:val="0"/>
            <w:vAlign w:val="center"/>
          </w:tcPr>
          <w:p w14:paraId="1F06E631">
            <w:pPr>
              <w:keepNext w:val="0"/>
              <w:keepLines w:val="0"/>
              <w:widowControl/>
              <w:suppressLineNumbers w:val="0"/>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直径18-20米</w:t>
            </w:r>
          </w:p>
        </w:tc>
        <w:tc>
          <w:tcPr>
            <w:tcW w:w="444" w:type="pct"/>
            <w:noWrap w:val="0"/>
            <w:vAlign w:val="top"/>
          </w:tcPr>
          <w:p w14:paraId="0B20FED1">
            <w:pPr>
              <w:keepNext w:val="0"/>
              <w:keepLines w:val="0"/>
              <w:widowControl/>
              <w:suppressLineNumbers w:val="0"/>
              <w:jc w:val="left"/>
              <w:textAlignment w:val="center"/>
              <w:rPr>
                <w:rStyle w:val="36"/>
                <w:rFonts w:hint="default" w:ascii="宋体" w:hAnsi="宋体" w:eastAsia="宋体" w:cs="宋体"/>
                <w:b w:val="0"/>
                <w:bCs w:val="0"/>
                <w:kern w:val="0"/>
                <w:sz w:val="24"/>
                <w:szCs w:val="24"/>
                <w:vertAlign w:val="baseline"/>
                <w:lang w:val="en-US" w:eastAsia="zh-CN" w:bidi="ar"/>
              </w:rPr>
            </w:pPr>
          </w:p>
        </w:tc>
        <w:tc>
          <w:tcPr>
            <w:tcW w:w="975" w:type="pct"/>
            <w:vMerge w:val="continue"/>
            <w:noWrap w:val="0"/>
            <w:vAlign w:val="top"/>
          </w:tcPr>
          <w:p w14:paraId="468B7339">
            <w:pPr>
              <w:pStyle w:val="10"/>
              <w:numPr>
                <w:ilvl w:val="0"/>
                <w:numId w:val="0"/>
              </w:numPr>
              <w:jc w:val="center"/>
              <w:rPr>
                <w:rStyle w:val="36"/>
                <w:rFonts w:hint="default" w:ascii="宋体" w:hAnsi="宋体" w:cs="宋体"/>
                <w:b w:val="0"/>
                <w:bCs w:val="0"/>
                <w:kern w:val="0"/>
                <w:sz w:val="24"/>
                <w:szCs w:val="24"/>
                <w:vertAlign w:val="baseline"/>
                <w:lang w:val="en-US" w:eastAsia="zh-CN" w:bidi="ar"/>
              </w:rPr>
            </w:pPr>
          </w:p>
        </w:tc>
      </w:tr>
      <w:tr w14:paraId="63941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6" w:hRule="atLeast"/>
        </w:trPr>
        <w:tc>
          <w:tcPr>
            <w:tcW w:w="438" w:type="pct"/>
            <w:noWrap w:val="0"/>
            <w:vAlign w:val="top"/>
          </w:tcPr>
          <w:p w14:paraId="179452F5">
            <w:pPr>
              <w:pStyle w:val="10"/>
              <w:numPr>
                <w:ilvl w:val="0"/>
                <w:numId w:val="0"/>
              </w:numPr>
              <w:jc w:val="center"/>
              <w:rPr>
                <w:rStyle w:val="36"/>
                <w:rFonts w:hint="default" w:ascii="宋体" w:hAnsi="宋体" w:cs="宋体"/>
                <w:b w:val="0"/>
                <w:bCs w:val="0"/>
                <w:kern w:val="0"/>
                <w:sz w:val="24"/>
                <w:szCs w:val="24"/>
                <w:vertAlign w:val="baseline"/>
                <w:lang w:val="en-US" w:eastAsia="zh-CN" w:bidi="ar"/>
              </w:rPr>
            </w:pPr>
            <w:r>
              <w:rPr>
                <w:rStyle w:val="36"/>
                <w:rFonts w:hint="eastAsia" w:ascii="宋体" w:hAnsi="宋体" w:cs="宋体"/>
                <w:b w:val="0"/>
                <w:bCs w:val="0"/>
                <w:kern w:val="0"/>
                <w:sz w:val="24"/>
                <w:szCs w:val="24"/>
                <w:vertAlign w:val="baseline"/>
                <w:lang w:val="en-US" w:eastAsia="zh-CN" w:bidi="ar"/>
              </w:rPr>
              <w:t>10</w:t>
            </w:r>
          </w:p>
        </w:tc>
        <w:tc>
          <w:tcPr>
            <w:tcW w:w="1076" w:type="pct"/>
            <w:noWrap w:val="0"/>
            <w:vAlign w:val="center"/>
          </w:tcPr>
          <w:p w14:paraId="3C5E0920">
            <w:pPr>
              <w:keepNext w:val="0"/>
              <w:keepLines w:val="0"/>
              <w:widowControl/>
              <w:suppressLineNumbers w:val="0"/>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无人机拉烟</w:t>
            </w:r>
          </w:p>
        </w:tc>
        <w:tc>
          <w:tcPr>
            <w:tcW w:w="419" w:type="pct"/>
            <w:noWrap w:val="0"/>
            <w:vAlign w:val="center"/>
          </w:tcPr>
          <w:p w14:paraId="20C81733">
            <w:pPr>
              <w:keepNext w:val="0"/>
              <w:keepLines w:val="0"/>
              <w:widowControl/>
              <w:suppressLineNumbers w:val="0"/>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台</w:t>
            </w:r>
          </w:p>
        </w:tc>
        <w:tc>
          <w:tcPr>
            <w:tcW w:w="473" w:type="pct"/>
            <w:noWrap w:val="0"/>
            <w:vAlign w:val="center"/>
          </w:tcPr>
          <w:p w14:paraId="36BF641C">
            <w:pPr>
              <w:keepNext w:val="0"/>
              <w:keepLines w:val="0"/>
              <w:widowControl/>
              <w:suppressLineNumbers w:val="0"/>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30</w:t>
            </w:r>
          </w:p>
        </w:tc>
        <w:tc>
          <w:tcPr>
            <w:tcW w:w="1170" w:type="pct"/>
            <w:noWrap w:val="0"/>
            <w:vAlign w:val="center"/>
          </w:tcPr>
          <w:p w14:paraId="2D4CAC81">
            <w:pPr>
              <w:keepNext w:val="0"/>
              <w:keepLines w:val="0"/>
              <w:widowControl/>
              <w:suppressLineNumbers w:val="0"/>
              <w:jc w:val="left"/>
              <w:textAlignment w:val="center"/>
              <w:rPr>
                <w:rStyle w:val="36"/>
                <w:rFonts w:hint="eastAsia" w:ascii="宋体" w:hAnsi="宋体" w:eastAsia="宋体" w:cs="宋体"/>
                <w:b w:val="0"/>
                <w:bCs w:val="0"/>
                <w:kern w:val="0"/>
                <w:sz w:val="24"/>
                <w:szCs w:val="24"/>
                <w:vertAlign w:val="baseline"/>
                <w:lang w:val="en-US" w:eastAsia="zh-CN" w:bidi="ar"/>
              </w:rPr>
            </w:pPr>
          </w:p>
        </w:tc>
        <w:tc>
          <w:tcPr>
            <w:tcW w:w="444" w:type="pct"/>
            <w:noWrap w:val="0"/>
            <w:vAlign w:val="top"/>
          </w:tcPr>
          <w:p w14:paraId="57E78B4F">
            <w:pPr>
              <w:keepNext w:val="0"/>
              <w:keepLines w:val="0"/>
              <w:widowControl/>
              <w:suppressLineNumbers w:val="0"/>
              <w:jc w:val="left"/>
              <w:textAlignment w:val="center"/>
              <w:rPr>
                <w:rStyle w:val="36"/>
                <w:rFonts w:hint="default" w:ascii="宋体" w:hAnsi="宋体" w:eastAsia="宋体" w:cs="宋体"/>
                <w:b w:val="0"/>
                <w:bCs w:val="0"/>
                <w:kern w:val="0"/>
                <w:sz w:val="24"/>
                <w:szCs w:val="24"/>
                <w:vertAlign w:val="baseline"/>
                <w:lang w:val="en-US" w:eastAsia="zh-CN" w:bidi="ar"/>
              </w:rPr>
            </w:pPr>
          </w:p>
        </w:tc>
        <w:tc>
          <w:tcPr>
            <w:tcW w:w="975" w:type="pct"/>
            <w:vMerge w:val="continue"/>
            <w:noWrap w:val="0"/>
            <w:vAlign w:val="top"/>
          </w:tcPr>
          <w:p w14:paraId="08A2A06B">
            <w:pPr>
              <w:pStyle w:val="10"/>
              <w:numPr>
                <w:ilvl w:val="0"/>
                <w:numId w:val="0"/>
              </w:numPr>
              <w:jc w:val="center"/>
              <w:rPr>
                <w:rStyle w:val="36"/>
                <w:rFonts w:hint="default" w:ascii="宋体" w:hAnsi="宋体" w:cs="宋体"/>
                <w:b w:val="0"/>
                <w:bCs w:val="0"/>
                <w:kern w:val="0"/>
                <w:sz w:val="24"/>
                <w:szCs w:val="24"/>
                <w:vertAlign w:val="baseline"/>
                <w:lang w:val="en-US" w:eastAsia="zh-CN" w:bidi="ar"/>
              </w:rPr>
            </w:pPr>
          </w:p>
        </w:tc>
      </w:tr>
      <w:tr w14:paraId="5893C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6" w:hRule="atLeast"/>
        </w:trPr>
        <w:tc>
          <w:tcPr>
            <w:tcW w:w="438" w:type="pct"/>
            <w:noWrap w:val="0"/>
            <w:vAlign w:val="top"/>
          </w:tcPr>
          <w:p w14:paraId="5A3E482A">
            <w:pPr>
              <w:pStyle w:val="10"/>
              <w:numPr>
                <w:ilvl w:val="0"/>
                <w:numId w:val="0"/>
              </w:numPr>
              <w:jc w:val="center"/>
              <w:rPr>
                <w:rStyle w:val="36"/>
                <w:rFonts w:hint="default" w:ascii="宋体" w:hAnsi="宋体" w:cs="宋体"/>
                <w:b w:val="0"/>
                <w:bCs w:val="0"/>
                <w:kern w:val="0"/>
                <w:sz w:val="24"/>
                <w:szCs w:val="24"/>
                <w:vertAlign w:val="baseline"/>
                <w:lang w:val="en-US" w:eastAsia="zh-CN" w:bidi="ar"/>
              </w:rPr>
            </w:pPr>
            <w:r>
              <w:rPr>
                <w:rStyle w:val="36"/>
                <w:rFonts w:hint="eastAsia" w:ascii="宋体" w:hAnsi="宋体" w:cs="宋体"/>
                <w:b w:val="0"/>
                <w:bCs w:val="0"/>
                <w:kern w:val="0"/>
                <w:sz w:val="24"/>
                <w:szCs w:val="24"/>
                <w:vertAlign w:val="baseline"/>
                <w:lang w:val="en-US" w:eastAsia="zh-CN" w:bidi="ar"/>
              </w:rPr>
              <w:t>11</w:t>
            </w:r>
          </w:p>
        </w:tc>
        <w:tc>
          <w:tcPr>
            <w:tcW w:w="1076" w:type="pct"/>
            <w:noWrap w:val="0"/>
            <w:vAlign w:val="center"/>
          </w:tcPr>
          <w:p w14:paraId="782CE6A8">
            <w:pPr>
              <w:keepNext w:val="0"/>
              <w:keepLines w:val="0"/>
              <w:widowControl/>
              <w:suppressLineNumbers w:val="0"/>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无人机挂旗</w:t>
            </w:r>
          </w:p>
        </w:tc>
        <w:tc>
          <w:tcPr>
            <w:tcW w:w="419" w:type="pct"/>
            <w:noWrap w:val="0"/>
            <w:vAlign w:val="center"/>
          </w:tcPr>
          <w:p w14:paraId="330058BF">
            <w:pPr>
              <w:keepNext w:val="0"/>
              <w:keepLines w:val="0"/>
              <w:widowControl/>
              <w:suppressLineNumbers w:val="0"/>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台</w:t>
            </w:r>
          </w:p>
        </w:tc>
        <w:tc>
          <w:tcPr>
            <w:tcW w:w="473" w:type="pct"/>
            <w:noWrap w:val="0"/>
            <w:vAlign w:val="center"/>
          </w:tcPr>
          <w:p w14:paraId="5B708E5F">
            <w:pPr>
              <w:keepNext w:val="0"/>
              <w:keepLines w:val="0"/>
              <w:widowControl/>
              <w:suppressLineNumbers w:val="0"/>
              <w:jc w:val="left"/>
              <w:textAlignment w:val="center"/>
              <w:rPr>
                <w:rStyle w:val="36"/>
                <w:rFonts w:hint="default" w:ascii="宋体" w:hAnsi="宋体" w:eastAsia="宋体" w:cs="宋体"/>
                <w:b w:val="0"/>
                <w:bCs w:val="0"/>
                <w:kern w:val="0"/>
                <w:sz w:val="24"/>
                <w:szCs w:val="24"/>
                <w:vertAlign w:val="baseline"/>
                <w:lang w:val="en-US" w:eastAsia="zh-CN" w:bidi="ar"/>
              </w:rPr>
            </w:pPr>
            <w:r>
              <w:rPr>
                <w:rStyle w:val="36"/>
                <w:rFonts w:hint="eastAsia" w:cs="宋体"/>
                <w:b w:val="0"/>
                <w:bCs w:val="0"/>
                <w:kern w:val="0"/>
                <w:sz w:val="24"/>
                <w:szCs w:val="24"/>
                <w:vertAlign w:val="baseline"/>
                <w:lang w:val="en-US" w:eastAsia="zh-CN" w:bidi="ar"/>
              </w:rPr>
              <w:t>10</w:t>
            </w:r>
          </w:p>
        </w:tc>
        <w:tc>
          <w:tcPr>
            <w:tcW w:w="1170" w:type="pct"/>
            <w:noWrap w:val="0"/>
            <w:vAlign w:val="center"/>
          </w:tcPr>
          <w:p w14:paraId="48FF7DC3">
            <w:pPr>
              <w:keepNext w:val="0"/>
              <w:keepLines w:val="0"/>
              <w:widowControl/>
              <w:suppressLineNumbers w:val="0"/>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需根据现场呈现情况，按照甲方要求增加</w:t>
            </w:r>
          </w:p>
        </w:tc>
        <w:tc>
          <w:tcPr>
            <w:tcW w:w="444" w:type="pct"/>
            <w:noWrap w:val="0"/>
            <w:vAlign w:val="top"/>
          </w:tcPr>
          <w:p w14:paraId="0388278A">
            <w:pPr>
              <w:keepNext w:val="0"/>
              <w:keepLines w:val="0"/>
              <w:widowControl/>
              <w:suppressLineNumbers w:val="0"/>
              <w:jc w:val="left"/>
              <w:textAlignment w:val="center"/>
              <w:rPr>
                <w:rStyle w:val="36"/>
                <w:rFonts w:hint="default" w:ascii="宋体" w:hAnsi="宋体" w:eastAsia="宋体" w:cs="宋体"/>
                <w:b w:val="0"/>
                <w:bCs w:val="0"/>
                <w:kern w:val="0"/>
                <w:sz w:val="24"/>
                <w:szCs w:val="24"/>
                <w:vertAlign w:val="baseline"/>
                <w:lang w:val="en-US" w:eastAsia="zh-CN" w:bidi="ar"/>
              </w:rPr>
            </w:pPr>
          </w:p>
        </w:tc>
        <w:tc>
          <w:tcPr>
            <w:tcW w:w="975" w:type="pct"/>
            <w:vMerge w:val="continue"/>
            <w:noWrap w:val="0"/>
            <w:vAlign w:val="top"/>
          </w:tcPr>
          <w:p w14:paraId="4BF893C7">
            <w:pPr>
              <w:pStyle w:val="10"/>
              <w:numPr>
                <w:ilvl w:val="0"/>
                <w:numId w:val="0"/>
              </w:numPr>
              <w:jc w:val="center"/>
              <w:rPr>
                <w:rStyle w:val="36"/>
                <w:rFonts w:hint="default" w:ascii="宋体" w:hAnsi="宋体" w:cs="宋体"/>
                <w:b w:val="0"/>
                <w:bCs w:val="0"/>
                <w:kern w:val="0"/>
                <w:sz w:val="24"/>
                <w:szCs w:val="24"/>
                <w:vertAlign w:val="baseline"/>
                <w:lang w:val="en-US" w:eastAsia="zh-CN" w:bidi="ar"/>
              </w:rPr>
            </w:pPr>
          </w:p>
        </w:tc>
      </w:tr>
      <w:tr w14:paraId="7504C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6" w:hRule="atLeast"/>
        </w:trPr>
        <w:tc>
          <w:tcPr>
            <w:tcW w:w="438" w:type="pct"/>
            <w:noWrap w:val="0"/>
            <w:vAlign w:val="top"/>
          </w:tcPr>
          <w:p w14:paraId="47C52F24">
            <w:pPr>
              <w:pStyle w:val="10"/>
              <w:numPr>
                <w:ilvl w:val="0"/>
                <w:numId w:val="0"/>
              </w:numPr>
              <w:jc w:val="center"/>
              <w:rPr>
                <w:rStyle w:val="36"/>
                <w:rFonts w:hint="default" w:ascii="宋体" w:hAnsi="宋体" w:cs="宋体"/>
                <w:b w:val="0"/>
                <w:bCs w:val="0"/>
                <w:kern w:val="0"/>
                <w:sz w:val="24"/>
                <w:szCs w:val="24"/>
                <w:vertAlign w:val="baseline"/>
                <w:lang w:val="en-US" w:eastAsia="zh-CN" w:bidi="ar"/>
              </w:rPr>
            </w:pPr>
            <w:r>
              <w:rPr>
                <w:rStyle w:val="36"/>
                <w:rFonts w:hint="eastAsia" w:ascii="宋体" w:hAnsi="宋体" w:cs="宋体"/>
                <w:b w:val="0"/>
                <w:bCs w:val="0"/>
                <w:kern w:val="0"/>
                <w:sz w:val="24"/>
                <w:szCs w:val="24"/>
                <w:vertAlign w:val="baseline"/>
                <w:lang w:val="en-US" w:eastAsia="zh-CN" w:bidi="ar"/>
              </w:rPr>
              <w:t>12</w:t>
            </w:r>
          </w:p>
        </w:tc>
        <w:tc>
          <w:tcPr>
            <w:tcW w:w="1076" w:type="pct"/>
            <w:noWrap w:val="0"/>
            <w:vAlign w:val="center"/>
          </w:tcPr>
          <w:p w14:paraId="6CF4E9DC">
            <w:pPr>
              <w:keepNext w:val="0"/>
              <w:keepLines w:val="0"/>
              <w:widowControl/>
              <w:suppressLineNumbers w:val="0"/>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足球无人机</w:t>
            </w:r>
          </w:p>
        </w:tc>
        <w:tc>
          <w:tcPr>
            <w:tcW w:w="419" w:type="pct"/>
            <w:noWrap w:val="0"/>
            <w:vAlign w:val="center"/>
          </w:tcPr>
          <w:p w14:paraId="494A1513">
            <w:pPr>
              <w:keepNext w:val="0"/>
              <w:keepLines w:val="0"/>
              <w:widowControl/>
              <w:suppressLineNumbers w:val="0"/>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台</w:t>
            </w:r>
          </w:p>
        </w:tc>
        <w:tc>
          <w:tcPr>
            <w:tcW w:w="473" w:type="pct"/>
            <w:noWrap w:val="0"/>
            <w:vAlign w:val="center"/>
          </w:tcPr>
          <w:p w14:paraId="0B3F26CC">
            <w:pPr>
              <w:keepNext w:val="0"/>
              <w:keepLines w:val="0"/>
              <w:widowControl/>
              <w:suppressLineNumbers w:val="0"/>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4</w:t>
            </w:r>
          </w:p>
        </w:tc>
        <w:tc>
          <w:tcPr>
            <w:tcW w:w="1170" w:type="pct"/>
            <w:noWrap w:val="0"/>
            <w:vAlign w:val="center"/>
          </w:tcPr>
          <w:p w14:paraId="74A3931C">
            <w:pPr>
              <w:keepNext w:val="0"/>
              <w:keepLines w:val="0"/>
              <w:widowControl/>
              <w:suppressLineNumbers w:val="0"/>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定制足球形状直径1米</w:t>
            </w:r>
          </w:p>
        </w:tc>
        <w:tc>
          <w:tcPr>
            <w:tcW w:w="444" w:type="pct"/>
            <w:noWrap w:val="0"/>
            <w:vAlign w:val="top"/>
          </w:tcPr>
          <w:p w14:paraId="2F577C38">
            <w:pPr>
              <w:keepNext w:val="0"/>
              <w:keepLines w:val="0"/>
              <w:widowControl/>
              <w:suppressLineNumbers w:val="0"/>
              <w:jc w:val="left"/>
              <w:textAlignment w:val="center"/>
              <w:rPr>
                <w:rStyle w:val="36"/>
                <w:rFonts w:hint="default" w:ascii="宋体" w:hAnsi="宋体" w:eastAsia="宋体" w:cs="宋体"/>
                <w:b w:val="0"/>
                <w:bCs w:val="0"/>
                <w:kern w:val="0"/>
                <w:sz w:val="24"/>
                <w:szCs w:val="24"/>
                <w:vertAlign w:val="baseline"/>
                <w:lang w:val="en-US" w:eastAsia="zh-CN" w:bidi="ar"/>
              </w:rPr>
            </w:pPr>
          </w:p>
        </w:tc>
        <w:tc>
          <w:tcPr>
            <w:tcW w:w="975" w:type="pct"/>
            <w:vMerge w:val="continue"/>
            <w:noWrap w:val="0"/>
            <w:vAlign w:val="top"/>
          </w:tcPr>
          <w:p w14:paraId="2A1F24E8">
            <w:pPr>
              <w:pStyle w:val="10"/>
              <w:numPr>
                <w:ilvl w:val="0"/>
                <w:numId w:val="0"/>
              </w:numPr>
              <w:jc w:val="center"/>
              <w:rPr>
                <w:rStyle w:val="36"/>
                <w:rFonts w:hint="default" w:ascii="宋体" w:hAnsi="宋体" w:cs="宋体"/>
                <w:b w:val="0"/>
                <w:bCs w:val="0"/>
                <w:kern w:val="0"/>
                <w:sz w:val="24"/>
                <w:szCs w:val="24"/>
                <w:vertAlign w:val="baseline"/>
                <w:lang w:val="en-US" w:eastAsia="zh-CN" w:bidi="ar"/>
              </w:rPr>
            </w:pPr>
          </w:p>
        </w:tc>
      </w:tr>
      <w:tr w14:paraId="6B359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6" w:hRule="atLeast"/>
        </w:trPr>
        <w:tc>
          <w:tcPr>
            <w:tcW w:w="438" w:type="pct"/>
            <w:noWrap w:val="0"/>
            <w:vAlign w:val="top"/>
          </w:tcPr>
          <w:p w14:paraId="5C6C2D80">
            <w:pPr>
              <w:pStyle w:val="10"/>
              <w:numPr>
                <w:ilvl w:val="0"/>
                <w:numId w:val="0"/>
              </w:numPr>
              <w:jc w:val="center"/>
              <w:rPr>
                <w:rStyle w:val="36"/>
                <w:rFonts w:hint="default" w:ascii="宋体" w:hAnsi="宋体" w:cs="宋体"/>
                <w:b w:val="0"/>
                <w:bCs w:val="0"/>
                <w:kern w:val="0"/>
                <w:sz w:val="24"/>
                <w:szCs w:val="24"/>
                <w:vertAlign w:val="baseline"/>
                <w:lang w:val="en-US" w:eastAsia="zh-CN" w:bidi="ar"/>
              </w:rPr>
            </w:pPr>
            <w:r>
              <w:rPr>
                <w:rStyle w:val="36"/>
                <w:rFonts w:hint="eastAsia" w:ascii="宋体" w:hAnsi="宋体" w:cs="宋体"/>
                <w:b w:val="0"/>
                <w:bCs w:val="0"/>
                <w:kern w:val="0"/>
                <w:sz w:val="24"/>
                <w:szCs w:val="24"/>
                <w:vertAlign w:val="baseline"/>
                <w:lang w:val="en-US" w:eastAsia="zh-CN" w:bidi="ar"/>
              </w:rPr>
              <w:t>13</w:t>
            </w:r>
          </w:p>
        </w:tc>
        <w:tc>
          <w:tcPr>
            <w:tcW w:w="1076" w:type="pct"/>
            <w:noWrap w:val="0"/>
            <w:vAlign w:val="center"/>
          </w:tcPr>
          <w:p w14:paraId="2A084BF4">
            <w:pPr>
              <w:keepNext w:val="0"/>
              <w:keepLines w:val="0"/>
              <w:widowControl/>
              <w:suppressLineNumbers w:val="0"/>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彩条机</w:t>
            </w:r>
          </w:p>
        </w:tc>
        <w:tc>
          <w:tcPr>
            <w:tcW w:w="419" w:type="pct"/>
            <w:noWrap w:val="0"/>
            <w:vAlign w:val="center"/>
          </w:tcPr>
          <w:p w14:paraId="36CD202E">
            <w:pPr>
              <w:keepNext w:val="0"/>
              <w:keepLines w:val="0"/>
              <w:widowControl/>
              <w:suppressLineNumbers w:val="0"/>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台</w:t>
            </w:r>
          </w:p>
        </w:tc>
        <w:tc>
          <w:tcPr>
            <w:tcW w:w="473" w:type="pct"/>
            <w:noWrap w:val="0"/>
            <w:vAlign w:val="center"/>
          </w:tcPr>
          <w:p w14:paraId="24912A7D">
            <w:pPr>
              <w:keepNext w:val="0"/>
              <w:keepLines w:val="0"/>
              <w:widowControl/>
              <w:suppressLineNumbers w:val="0"/>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20</w:t>
            </w:r>
          </w:p>
        </w:tc>
        <w:tc>
          <w:tcPr>
            <w:tcW w:w="1170" w:type="pct"/>
            <w:noWrap w:val="0"/>
            <w:vAlign w:val="center"/>
          </w:tcPr>
          <w:p w14:paraId="70E409BD">
            <w:pPr>
              <w:keepNext w:val="0"/>
              <w:keepLines w:val="0"/>
              <w:widowControl/>
              <w:suppressLineNumbers w:val="0"/>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含技术人员食宿</w:t>
            </w:r>
          </w:p>
        </w:tc>
        <w:tc>
          <w:tcPr>
            <w:tcW w:w="444" w:type="pct"/>
            <w:noWrap w:val="0"/>
            <w:vAlign w:val="top"/>
          </w:tcPr>
          <w:p w14:paraId="7DD91F51">
            <w:pPr>
              <w:keepNext w:val="0"/>
              <w:keepLines w:val="0"/>
              <w:widowControl/>
              <w:suppressLineNumbers w:val="0"/>
              <w:jc w:val="left"/>
              <w:textAlignment w:val="center"/>
              <w:rPr>
                <w:rStyle w:val="36"/>
                <w:rFonts w:hint="default" w:ascii="宋体" w:hAnsi="宋体" w:eastAsia="宋体" w:cs="宋体"/>
                <w:b w:val="0"/>
                <w:bCs w:val="0"/>
                <w:kern w:val="0"/>
                <w:sz w:val="24"/>
                <w:szCs w:val="24"/>
                <w:vertAlign w:val="baseline"/>
                <w:lang w:val="en-US" w:eastAsia="zh-CN" w:bidi="ar"/>
              </w:rPr>
            </w:pPr>
          </w:p>
        </w:tc>
        <w:tc>
          <w:tcPr>
            <w:tcW w:w="975" w:type="pct"/>
            <w:vMerge w:val="continue"/>
            <w:noWrap w:val="0"/>
            <w:vAlign w:val="top"/>
          </w:tcPr>
          <w:p w14:paraId="63576F7D">
            <w:pPr>
              <w:pStyle w:val="10"/>
              <w:numPr>
                <w:ilvl w:val="0"/>
                <w:numId w:val="0"/>
              </w:numPr>
              <w:jc w:val="center"/>
              <w:rPr>
                <w:rStyle w:val="36"/>
                <w:rFonts w:hint="default" w:ascii="宋体" w:hAnsi="宋体" w:cs="宋体"/>
                <w:b w:val="0"/>
                <w:bCs w:val="0"/>
                <w:kern w:val="0"/>
                <w:sz w:val="24"/>
                <w:szCs w:val="24"/>
                <w:vertAlign w:val="baseline"/>
                <w:lang w:val="en-US" w:eastAsia="zh-CN" w:bidi="ar"/>
              </w:rPr>
            </w:pPr>
          </w:p>
        </w:tc>
      </w:tr>
      <w:tr w14:paraId="579CB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6" w:hRule="atLeast"/>
        </w:trPr>
        <w:tc>
          <w:tcPr>
            <w:tcW w:w="438" w:type="pct"/>
            <w:noWrap w:val="0"/>
            <w:vAlign w:val="top"/>
          </w:tcPr>
          <w:p w14:paraId="38E904D4">
            <w:pPr>
              <w:pStyle w:val="10"/>
              <w:numPr>
                <w:ilvl w:val="0"/>
                <w:numId w:val="0"/>
              </w:numPr>
              <w:jc w:val="center"/>
              <w:rPr>
                <w:rStyle w:val="36"/>
                <w:rFonts w:hint="default" w:ascii="宋体" w:hAnsi="宋体" w:cs="宋体"/>
                <w:b w:val="0"/>
                <w:bCs w:val="0"/>
                <w:kern w:val="0"/>
                <w:sz w:val="24"/>
                <w:szCs w:val="24"/>
                <w:vertAlign w:val="baseline"/>
                <w:lang w:val="en-US" w:eastAsia="zh-CN" w:bidi="ar"/>
              </w:rPr>
            </w:pPr>
            <w:r>
              <w:rPr>
                <w:rStyle w:val="36"/>
                <w:rFonts w:hint="eastAsia" w:ascii="宋体" w:hAnsi="宋体" w:cs="宋体"/>
                <w:b w:val="0"/>
                <w:bCs w:val="0"/>
                <w:kern w:val="0"/>
                <w:sz w:val="24"/>
                <w:szCs w:val="24"/>
                <w:vertAlign w:val="baseline"/>
                <w:lang w:val="en-US" w:eastAsia="zh-CN" w:bidi="ar"/>
              </w:rPr>
              <w:t>14</w:t>
            </w:r>
          </w:p>
        </w:tc>
        <w:tc>
          <w:tcPr>
            <w:tcW w:w="1076" w:type="pct"/>
            <w:noWrap w:val="0"/>
            <w:vAlign w:val="center"/>
          </w:tcPr>
          <w:p w14:paraId="54D214D6">
            <w:pPr>
              <w:keepNext w:val="0"/>
              <w:keepLines w:val="0"/>
              <w:widowControl/>
              <w:suppressLineNumbers w:val="0"/>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分会场氛围布置</w:t>
            </w:r>
          </w:p>
        </w:tc>
        <w:tc>
          <w:tcPr>
            <w:tcW w:w="419" w:type="pct"/>
            <w:noWrap w:val="0"/>
            <w:vAlign w:val="center"/>
          </w:tcPr>
          <w:p w14:paraId="3B7E35ED">
            <w:pPr>
              <w:keepNext w:val="0"/>
              <w:keepLines w:val="0"/>
              <w:widowControl/>
              <w:suppressLineNumbers w:val="0"/>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个</w:t>
            </w:r>
          </w:p>
        </w:tc>
        <w:tc>
          <w:tcPr>
            <w:tcW w:w="473" w:type="pct"/>
            <w:noWrap w:val="0"/>
            <w:vAlign w:val="center"/>
          </w:tcPr>
          <w:p w14:paraId="5C6272B3">
            <w:pPr>
              <w:keepNext w:val="0"/>
              <w:keepLines w:val="0"/>
              <w:widowControl/>
              <w:suppressLineNumbers w:val="0"/>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5</w:t>
            </w:r>
          </w:p>
        </w:tc>
        <w:tc>
          <w:tcPr>
            <w:tcW w:w="1170" w:type="pct"/>
            <w:noWrap w:val="0"/>
            <w:vAlign w:val="center"/>
          </w:tcPr>
          <w:p w14:paraId="6590CBB1">
            <w:pPr>
              <w:keepNext w:val="0"/>
              <w:keepLines w:val="0"/>
              <w:widowControl/>
              <w:suppressLineNumbers w:val="0"/>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5个场地,道旗、彩旗、横幅等</w:t>
            </w:r>
          </w:p>
        </w:tc>
        <w:tc>
          <w:tcPr>
            <w:tcW w:w="444" w:type="pct"/>
            <w:noWrap w:val="0"/>
            <w:vAlign w:val="top"/>
          </w:tcPr>
          <w:p w14:paraId="4754DB7A">
            <w:pPr>
              <w:keepNext w:val="0"/>
              <w:keepLines w:val="0"/>
              <w:widowControl/>
              <w:suppressLineNumbers w:val="0"/>
              <w:jc w:val="left"/>
              <w:textAlignment w:val="center"/>
              <w:rPr>
                <w:rStyle w:val="36"/>
                <w:rFonts w:hint="default" w:ascii="宋体" w:hAnsi="宋体" w:eastAsia="宋体" w:cs="宋体"/>
                <w:b w:val="0"/>
                <w:bCs w:val="0"/>
                <w:kern w:val="0"/>
                <w:sz w:val="24"/>
                <w:szCs w:val="24"/>
                <w:vertAlign w:val="baseline"/>
                <w:lang w:val="en-US" w:eastAsia="zh-CN" w:bidi="ar"/>
              </w:rPr>
            </w:pPr>
          </w:p>
        </w:tc>
        <w:tc>
          <w:tcPr>
            <w:tcW w:w="975" w:type="pct"/>
            <w:vMerge w:val="continue"/>
            <w:noWrap w:val="0"/>
            <w:vAlign w:val="top"/>
          </w:tcPr>
          <w:p w14:paraId="0FBF7287">
            <w:pPr>
              <w:pStyle w:val="10"/>
              <w:numPr>
                <w:ilvl w:val="0"/>
                <w:numId w:val="0"/>
              </w:numPr>
              <w:jc w:val="center"/>
              <w:rPr>
                <w:rStyle w:val="36"/>
                <w:rFonts w:hint="default" w:ascii="宋体" w:hAnsi="宋体" w:cs="宋体"/>
                <w:b w:val="0"/>
                <w:bCs w:val="0"/>
                <w:kern w:val="0"/>
                <w:sz w:val="24"/>
                <w:szCs w:val="24"/>
                <w:vertAlign w:val="baseline"/>
                <w:lang w:val="en-US" w:eastAsia="zh-CN" w:bidi="ar"/>
              </w:rPr>
            </w:pPr>
          </w:p>
        </w:tc>
      </w:tr>
      <w:tr w14:paraId="772CE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6" w:hRule="atLeast"/>
        </w:trPr>
        <w:tc>
          <w:tcPr>
            <w:tcW w:w="438" w:type="pct"/>
            <w:noWrap w:val="0"/>
            <w:vAlign w:val="top"/>
          </w:tcPr>
          <w:p w14:paraId="1CF1ADF1">
            <w:pPr>
              <w:pStyle w:val="10"/>
              <w:numPr>
                <w:ilvl w:val="0"/>
                <w:numId w:val="0"/>
              </w:numPr>
              <w:jc w:val="center"/>
              <w:rPr>
                <w:rStyle w:val="36"/>
                <w:rFonts w:hint="default" w:ascii="宋体" w:hAnsi="宋体" w:cs="宋体"/>
                <w:b w:val="0"/>
                <w:bCs w:val="0"/>
                <w:kern w:val="0"/>
                <w:sz w:val="24"/>
                <w:szCs w:val="24"/>
                <w:vertAlign w:val="baseline"/>
                <w:lang w:val="en-US" w:eastAsia="zh-CN" w:bidi="ar"/>
              </w:rPr>
            </w:pPr>
            <w:r>
              <w:rPr>
                <w:rStyle w:val="36"/>
                <w:rFonts w:hint="eastAsia" w:ascii="宋体" w:hAnsi="宋体" w:cs="宋体"/>
                <w:b w:val="0"/>
                <w:bCs w:val="0"/>
                <w:kern w:val="0"/>
                <w:sz w:val="24"/>
                <w:szCs w:val="24"/>
                <w:vertAlign w:val="baseline"/>
                <w:lang w:val="en-US" w:eastAsia="zh-CN" w:bidi="ar"/>
              </w:rPr>
              <w:t>15</w:t>
            </w:r>
          </w:p>
        </w:tc>
        <w:tc>
          <w:tcPr>
            <w:tcW w:w="1076" w:type="pct"/>
            <w:noWrap w:val="0"/>
            <w:vAlign w:val="center"/>
          </w:tcPr>
          <w:p w14:paraId="3D203737">
            <w:pPr>
              <w:keepNext w:val="0"/>
              <w:keepLines w:val="0"/>
              <w:widowControl/>
              <w:suppressLineNumbers w:val="0"/>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工作证</w:t>
            </w:r>
          </w:p>
        </w:tc>
        <w:tc>
          <w:tcPr>
            <w:tcW w:w="419" w:type="pct"/>
            <w:noWrap w:val="0"/>
            <w:vAlign w:val="center"/>
          </w:tcPr>
          <w:p w14:paraId="4687CEF3">
            <w:pPr>
              <w:keepNext w:val="0"/>
              <w:keepLines w:val="0"/>
              <w:widowControl/>
              <w:suppressLineNumbers w:val="0"/>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个</w:t>
            </w:r>
          </w:p>
        </w:tc>
        <w:tc>
          <w:tcPr>
            <w:tcW w:w="473" w:type="pct"/>
            <w:noWrap w:val="0"/>
            <w:vAlign w:val="center"/>
          </w:tcPr>
          <w:p w14:paraId="0E90E0B5">
            <w:pPr>
              <w:keepNext w:val="0"/>
              <w:keepLines w:val="0"/>
              <w:widowControl/>
              <w:suppressLineNumbers w:val="0"/>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250</w:t>
            </w:r>
          </w:p>
        </w:tc>
        <w:tc>
          <w:tcPr>
            <w:tcW w:w="1170" w:type="pct"/>
            <w:noWrap w:val="0"/>
            <w:vAlign w:val="center"/>
          </w:tcPr>
          <w:p w14:paraId="3F536183">
            <w:pPr>
              <w:keepNext w:val="0"/>
              <w:keepLines w:val="0"/>
              <w:widowControl/>
              <w:suppressLineNumbers w:val="0"/>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pvc材质</w:t>
            </w:r>
          </w:p>
        </w:tc>
        <w:tc>
          <w:tcPr>
            <w:tcW w:w="444" w:type="pct"/>
            <w:noWrap w:val="0"/>
            <w:vAlign w:val="top"/>
          </w:tcPr>
          <w:p w14:paraId="0A4C2CF9">
            <w:pPr>
              <w:keepNext w:val="0"/>
              <w:keepLines w:val="0"/>
              <w:widowControl/>
              <w:suppressLineNumbers w:val="0"/>
              <w:jc w:val="left"/>
              <w:textAlignment w:val="center"/>
              <w:rPr>
                <w:rStyle w:val="36"/>
                <w:rFonts w:hint="default" w:ascii="宋体" w:hAnsi="宋体" w:eastAsia="宋体" w:cs="宋体"/>
                <w:b w:val="0"/>
                <w:bCs w:val="0"/>
                <w:kern w:val="0"/>
                <w:sz w:val="24"/>
                <w:szCs w:val="24"/>
                <w:vertAlign w:val="baseline"/>
                <w:lang w:val="en-US" w:eastAsia="zh-CN" w:bidi="ar"/>
              </w:rPr>
            </w:pPr>
          </w:p>
        </w:tc>
        <w:tc>
          <w:tcPr>
            <w:tcW w:w="975" w:type="pct"/>
            <w:vMerge w:val="continue"/>
            <w:noWrap w:val="0"/>
            <w:vAlign w:val="top"/>
          </w:tcPr>
          <w:p w14:paraId="32C3FB8D">
            <w:pPr>
              <w:pStyle w:val="10"/>
              <w:numPr>
                <w:ilvl w:val="0"/>
                <w:numId w:val="0"/>
              </w:numPr>
              <w:jc w:val="center"/>
              <w:rPr>
                <w:rStyle w:val="36"/>
                <w:rFonts w:hint="default" w:ascii="宋体" w:hAnsi="宋体" w:cs="宋体"/>
                <w:b w:val="0"/>
                <w:bCs w:val="0"/>
                <w:kern w:val="0"/>
                <w:sz w:val="24"/>
                <w:szCs w:val="24"/>
                <w:vertAlign w:val="baseline"/>
                <w:lang w:val="en-US" w:eastAsia="zh-CN" w:bidi="ar"/>
              </w:rPr>
            </w:pPr>
          </w:p>
        </w:tc>
      </w:tr>
      <w:tr w14:paraId="154DB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6" w:hRule="atLeast"/>
        </w:trPr>
        <w:tc>
          <w:tcPr>
            <w:tcW w:w="438" w:type="pct"/>
            <w:noWrap w:val="0"/>
            <w:vAlign w:val="top"/>
          </w:tcPr>
          <w:p w14:paraId="65B5B3A3">
            <w:pPr>
              <w:pStyle w:val="10"/>
              <w:numPr>
                <w:ilvl w:val="0"/>
                <w:numId w:val="0"/>
              </w:numPr>
              <w:jc w:val="center"/>
              <w:rPr>
                <w:rStyle w:val="36"/>
                <w:rFonts w:hint="default" w:ascii="宋体" w:hAnsi="宋体" w:cs="宋体"/>
                <w:b w:val="0"/>
                <w:bCs w:val="0"/>
                <w:kern w:val="0"/>
                <w:sz w:val="24"/>
                <w:szCs w:val="24"/>
                <w:vertAlign w:val="baseline"/>
                <w:lang w:val="en-US" w:eastAsia="zh-CN" w:bidi="ar"/>
              </w:rPr>
            </w:pPr>
            <w:r>
              <w:rPr>
                <w:rStyle w:val="36"/>
                <w:rFonts w:hint="eastAsia" w:ascii="宋体" w:hAnsi="宋体" w:cs="宋体"/>
                <w:b w:val="0"/>
                <w:bCs w:val="0"/>
                <w:kern w:val="0"/>
                <w:sz w:val="24"/>
                <w:szCs w:val="24"/>
                <w:vertAlign w:val="baseline"/>
                <w:lang w:val="en-US" w:eastAsia="zh-CN" w:bidi="ar"/>
              </w:rPr>
              <w:t>16</w:t>
            </w:r>
          </w:p>
        </w:tc>
        <w:tc>
          <w:tcPr>
            <w:tcW w:w="1076" w:type="pct"/>
            <w:noWrap w:val="0"/>
            <w:vAlign w:val="center"/>
          </w:tcPr>
          <w:p w14:paraId="307D668A">
            <w:pPr>
              <w:keepNext w:val="0"/>
              <w:keepLines w:val="0"/>
              <w:widowControl/>
              <w:suppressLineNumbers w:val="0"/>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车辆通行证</w:t>
            </w:r>
          </w:p>
        </w:tc>
        <w:tc>
          <w:tcPr>
            <w:tcW w:w="419" w:type="pct"/>
            <w:noWrap w:val="0"/>
            <w:vAlign w:val="center"/>
          </w:tcPr>
          <w:p w14:paraId="0EF01E81">
            <w:pPr>
              <w:keepNext w:val="0"/>
              <w:keepLines w:val="0"/>
              <w:widowControl/>
              <w:suppressLineNumbers w:val="0"/>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张</w:t>
            </w:r>
          </w:p>
        </w:tc>
        <w:tc>
          <w:tcPr>
            <w:tcW w:w="473" w:type="pct"/>
            <w:noWrap w:val="0"/>
            <w:vAlign w:val="center"/>
          </w:tcPr>
          <w:p w14:paraId="40744365">
            <w:pPr>
              <w:keepNext w:val="0"/>
              <w:keepLines w:val="0"/>
              <w:widowControl/>
              <w:suppressLineNumbers w:val="0"/>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30</w:t>
            </w:r>
          </w:p>
        </w:tc>
        <w:tc>
          <w:tcPr>
            <w:tcW w:w="1170" w:type="pct"/>
            <w:noWrap w:val="0"/>
            <w:vAlign w:val="center"/>
          </w:tcPr>
          <w:p w14:paraId="22B3C6E7">
            <w:pPr>
              <w:keepNext w:val="0"/>
              <w:keepLines w:val="0"/>
              <w:widowControl/>
              <w:suppressLineNumbers w:val="0"/>
              <w:jc w:val="left"/>
              <w:textAlignment w:val="center"/>
              <w:rPr>
                <w:rStyle w:val="36"/>
                <w:rFonts w:hint="eastAsia" w:ascii="宋体" w:hAnsi="宋体" w:eastAsia="宋体" w:cs="宋体"/>
                <w:b w:val="0"/>
                <w:bCs w:val="0"/>
                <w:kern w:val="0"/>
                <w:sz w:val="24"/>
                <w:szCs w:val="24"/>
                <w:vertAlign w:val="baseline"/>
                <w:lang w:val="en-US" w:eastAsia="zh-CN" w:bidi="ar"/>
              </w:rPr>
            </w:pPr>
          </w:p>
        </w:tc>
        <w:tc>
          <w:tcPr>
            <w:tcW w:w="444" w:type="pct"/>
            <w:noWrap w:val="0"/>
            <w:vAlign w:val="top"/>
          </w:tcPr>
          <w:p w14:paraId="43748ABA">
            <w:pPr>
              <w:keepNext w:val="0"/>
              <w:keepLines w:val="0"/>
              <w:widowControl/>
              <w:suppressLineNumbers w:val="0"/>
              <w:jc w:val="left"/>
              <w:textAlignment w:val="center"/>
              <w:rPr>
                <w:rStyle w:val="36"/>
                <w:rFonts w:hint="default" w:ascii="宋体" w:hAnsi="宋体" w:eastAsia="宋体" w:cs="宋体"/>
                <w:b w:val="0"/>
                <w:bCs w:val="0"/>
                <w:kern w:val="0"/>
                <w:sz w:val="24"/>
                <w:szCs w:val="24"/>
                <w:vertAlign w:val="baseline"/>
                <w:lang w:val="en-US" w:eastAsia="zh-CN" w:bidi="ar"/>
              </w:rPr>
            </w:pPr>
          </w:p>
        </w:tc>
        <w:tc>
          <w:tcPr>
            <w:tcW w:w="975" w:type="pct"/>
            <w:vMerge w:val="continue"/>
            <w:noWrap w:val="0"/>
            <w:vAlign w:val="top"/>
          </w:tcPr>
          <w:p w14:paraId="20D4FBA1">
            <w:pPr>
              <w:pStyle w:val="10"/>
              <w:numPr>
                <w:ilvl w:val="0"/>
                <w:numId w:val="0"/>
              </w:numPr>
              <w:jc w:val="center"/>
              <w:rPr>
                <w:rStyle w:val="36"/>
                <w:rFonts w:hint="default" w:ascii="宋体" w:hAnsi="宋体" w:cs="宋体"/>
                <w:b w:val="0"/>
                <w:bCs w:val="0"/>
                <w:kern w:val="0"/>
                <w:sz w:val="24"/>
                <w:szCs w:val="24"/>
                <w:vertAlign w:val="baseline"/>
                <w:lang w:val="en-US" w:eastAsia="zh-CN" w:bidi="ar"/>
              </w:rPr>
            </w:pPr>
          </w:p>
        </w:tc>
      </w:tr>
      <w:tr w14:paraId="20BF7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6" w:hRule="atLeast"/>
        </w:trPr>
        <w:tc>
          <w:tcPr>
            <w:tcW w:w="438" w:type="pct"/>
            <w:noWrap w:val="0"/>
            <w:vAlign w:val="top"/>
          </w:tcPr>
          <w:p w14:paraId="4781DF46">
            <w:pPr>
              <w:pStyle w:val="10"/>
              <w:numPr>
                <w:ilvl w:val="0"/>
                <w:numId w:val="0"/>
              </w:numPr>
              <w:jc w:val="center"/>
              <w:rPr>
                <w:rStyle w:val="36"/>
                <w:rFonts w:hint="default" w:ascii="宋体" w:hAnsi="宋体" w:cs="宋体"/>
                <w:b w:val="0"/>
                <w:bCs w:val="0"/>
                <w:kern w:val="0"/>
                <w:sz w:val="24"/>
                <w:szCs w:val="24"/>
                <w:vertAlign w:val="baseline"/>
                <w:lang w:val="en-US" w:eastAsia="zh-CN" w:bidi="ar"/>
              </w:rPr>
            </w:pPr>
            <w:r>
              <w:rPr>
                <w:rStyle w:val="36"/>
                <w:rFonts w:hint="eastAsia" w:ascii="宋体" w:hAnsi="宋体" w:cs="宋体"/>
                <w:b w:val="0"/>
                <w:bCs w:val="0"/>
                <w:kern w:val="0"/>
                <w:sz w:val="24"/>
                <w:szCs w:val="24"/>
                <w:vertAlign w:val="baseline"/>
                <w:lang w:val="en-US" w:eastAsia="zh-CN" w:bidi="ar"/>
              </w:rPr>
              <w:t>17</w:t>
            </w:r>
          </w:p>
        </w:tc>
        <w:tc>
          <w:tcPr>
            <w:tcW w:w="1076" w:type="pct"/>
            <w:noWrap w:val="0"/>
            <w:vAlign w:val="center"/>
          </w:tcPr>
          <w:p w14:paraId="1C2A38E2">
            <w:pPr>
              <w:keepNext w:val="0"/>
              <w:keepLines w:val="0"/>
              <w:widowControl/>
              <w:suppressLineNumbers w:val="0"/>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签字笔</w:t>
            </w:r>
          </w:p>
        </w:tc>
        <w:tc>
          <w:tcPr>
            <w:tcW w:w="419" w:type="pct"/>
            <w:noWrap w:val="0"/>
            <w:vAlign w:val="center"/>
          </w:tcPr>
          <w:p w14:paraId="43D9AE03">
            <w:pPr>
              <w:keepNext w:val="0"/>
              <w:keepLines w:val="0"/>
              <w:widowControl/>
              <w:suppressLineNumbers w:val="0"/>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盒</w:t>
            </w:r>
          </w:p>
        </w:tc>
        <w:tc>
          <w:tcPr>
            <w:tcW w:w="473" w:type="pct"/>
            <w:noWrap w:val="0"/>
            <w:vAlign w:val="center"/>
          </w:tcPr>
          <w:p w14:paraId="563B4574">
            <w:pPr>
              <w:keepNext w:val="0"/>
              <w:keepLines w:val="0"/>
              <w:widowControl/>
              <w:suppressLineNumbers w:val="0"/>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4</w:t>
            </w:r>
          </w:p>
        </w:tc>
        <w:tc>
          <w:tcPr>
            <w:tcW w:w="1170" w:type="pct"/>
            <w:noWrap w:val="0"/>
            <w:vAlign w:val="center"/>
          </w:tcPr>
          <w:p w14:paraId="69274C90">
            <w:pPr>
              <w:keepNext w:val="0"/>
              <w:keepLines w:val="0"/>
              <w:widowControl/>
              <w:suppressLineNumbers w:val="0"/>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裁判员、工作人员使用</w:t>
            </w:r>
          </w:p>
        </w:tc>
        <w:tc>
          <w:tcPr>
            <w:tcW w:w="444" w:type="pct"/>
            <w:noWrap w:val="0"/>
            <w:vAlign w:val="top"/>
          </w:tcPr>
          <w:p w14:paraId="14DCB478">
            <w:pPr>
              <w:keepNext w:val="0"/>
              <w:keepLines w:val="0"/>
              <w:widowControl/>
              <w:suppressLineNumbers w:val="0"/>
              <w:jc w:val="left"/>
              <w:textAlignment w:val="center"/>
              <w:rPr>
                <w:rStyle w:val="36"/>
                <w:rFonts w:hint="default" w:ascii="宋体" w:hAnsi="宋体" w:eastAsia="宋体" w:cs="宋体"/>
                <w:b w:val="0"/>
                <w:bCs w:val="0"/>
                <w:kern w:val="0"/>
                <w:sz w:val="24"/>
                <w:szCs w:val="24"/>
                <w:vertAlign w:val="baseline"/>
                <w:lang w:val="en-US" w:eastAsia="zh-CN" w:bidi="ar"/>
              </w:rPr>
            </w:pPr>
          </w:p>
        </w:tc>
        <w:tc>
          <w:tcPr>
            <w:tcW w:w="975" w:type="pct"/>
            <w:vMerge w:val="continue"/>
            <w:noWrap w:val="0"/>
            <w:vAlign w:val="top"/>
          </w:tcPr>
          <w:p w14:paraId="2B77E524">
            <w:pPr>
              <w:pStyle w:val="10"/>
              <w:numPr>
                <w:ilvl w:val="0"/>
                <w:numId w:val="0"/>
              </w:numPr>
              <w:jc w:val="center"/>
              <w:rPr>
                <w:rStyle w:val="36"/>
                <w:rFonts w:hint="default" w:ascii="宋体" w:hAnsi="宋体" w:cs="宋体"/>
                <w:b w:val="0"/>
                <w:bCs w:val="0"/>
                <w:kern w:val="0"/>
                <w:sz w:val="24"/>
                <w:szCs w:val="24"/>
                <w:vertAlign w:val="baseline"/>
                <w:lang w:val="en-US" w:eastAsia="zh-CN" w:bidi="ar"/>
              </w:rPr>
            </w:pPr>
          </w:p>
        </w:tc>
      </w:tr>
      <w:tr w14:paraId="68B90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6" w:hRule="atLeast"/>
        </w:trPr>
        <w:tc>
          <w:tcPr>
            <w:tcW w:w="438" w:type="pct"/>
            <w:noWrap w:val="0"/>
            <w:vAlign w:val="top"/>
          </w:tcPr>
          <w:p w14:paraId="0BE2CD81">
            <w:pPr>
              <w:pStyle w:val="10"/>
              <w:numPr>
                <w:ilvl w:val="0"/>
                <w:numId w:val="0"/>
              </w:numPr>
              <w:jc w:val="center"/>
              <w:rPr>
                <w:rStyle w:val="36"/>
                <w:rFonts w:hint="default" w:ascii="宋体" w:hAnsi="宋体" w:cs="宋体"/>
                <w:b w:val="0"/>
                <w:bCs w:val="0"/>
                <w:kern w:val="0"/>
                <w:sz w:val="24"/>
                <w:szCs w:val="24"/>
                <w:vertAlign w:val="baseline"/>
                <w:lang w:val="en-US" w:eastAsia="zh-CN" w:bidi="ar"/>
              </w:rPr>
            </w:pPr>
            <w:r>
              <w:rPr>
                <w:rStyle w:val="36"/>
                <w:rFonts w:hint="eastAsia" w:ascii="宋体" w:hAnsi="宋体" w:cs="宋体"/>
                <w:b w:val="0"/>
                <w:bCs w:val="0"/>
                <w:kern w:val="0"/>
                <w:sz w:val="24"/>
                <w:szCs w:val="24"/>
                <w:vertAlign w:val="baseline"/>
                <w:lang w:val="en-US" w:eastAsia="zh-CN" w:bidi="ar"/>
              </w:rPr>
              <w:t>18</w:t>
            </w:r>
          </w:p>
        </w:tc>
        <w:tc>
          <w:tcPr>
            <w:tcW w:w="1076" w:type="pct"/>
            <w:noWrap w:val="0"/>
            <w:vAlign w:val="center"/>
          </w:tcPr>
          <w:p w14:paraId="3CBC811E">
            <w:pPr>
              <w:keepNext w:val="0"/>
              <w:keepLines w:val="0"/>
              <w:widowControl/>
              <w:suppressLineNumbers w:val="0"/>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工作人员及志愿者服装定制</w:t>
            </w:r>
          </w:p>
        </w:tc>
        <w:tc>
          <w:tcPr>
            <w:tcW w:w="419" w:type="pct"/>
            <w:noWrap w:val="0"/>
            <w:vAlign w:val="center"/>
          </w:tcPr>
          <w:p w14:paraId="6E2CFB93">
            <w:pPr>
              <w:keepNext w:val="0"/>
              <w:keepLines w:val="0"/>
              <w:widowControl/>
              <w:suppressLineNumbers w:val="0"/>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套</w:t>
            </w:r>
          </w:p>
        </w:tc>
        <w:tc>
          <w:tcPr>
            <w:tcW w:w="473" w:type="pct"/>
            <w:noWrap w:val="0"/>
            <w:vAlign w:val="center"/>
          </w:tcPr>
          <w:p w14:paraId="1A564DAC">
            <w:pPr>
              <w:keepNext w:val="0"/>
              <w:keepLines w:val="0"/>
              <w:widowControl/>
              <w:suppressLineNumbers w:val="0"/>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200</w:t>
            </w:r>
          </w:p>
        </w:tc>
        <w:tc>
          <w:tcPr>
            <w:tcW w:w="1170" w:type="pct"/>
            <w:noWrap w:val="0"/>
            <w:vAlign w:val="center"/>
          </w:tcPr>
          <w:p w14:paraId="2DD9739F">
            <w:pPr>
              <w:keepNext w:val="0"/>
              <w:keepLines w:val="0"/>
              <w:widowControl/>
              <w:suppressLineNumbers w:val="0"/>
              <w:jc w:val="left"/>
              <w:textAlignment w:val="center"/>
              <w:rPr>
                <w:rStyle w:val="36"/>
                <w:rFonts w:hint="eastAsia" w:ascii="宋体" w:hAnsi="宋体" w:eastAsia="宋体" w:cs="宋体"/>
                <w:b w:val="0"/>
                <w:bCs w:val="0"/>
                <w:kern w:val="0"/>
                <w:sz w:val="24"/>
                <w:szCs w:val="24"/>
                <w:vertAlign w:val="baseline"/>
                <w:lang w:val="en-US" w:eastAsia="zh-CN" w:bidi="ar"/>
              </w:rPr>
            </w:pPr>
          </w:p>
        </w:tc>
        <w:tc>
          <w:tcPr>
            <w:tcW w:w="444" w:type="pct"/>
            <w:noWrap w:val="0"/>
            <w:vAlign w:val="top"/>
          </w:tcPr>
          <w:p w14:paraId="52FAEC9C">
            <w:pPr>
              <w:keepNext w:val="0"/>
              <w:keepLines w:val="0"/>
              <w:widowControl/>
              <w:suppressLineNumbers w:val="0"/>
              <w:jc w:val="left"/>
              <w:textAlignment w:val="center"/>
              <w:rPr>
                <w:rStyle w:val="36"/>
                <w:rFonts w:hint="default" w:ascii="宋体" w:hAnsi="宋体" w:eastAsia="宋体" w:cs="宋体"/>
                <w:b w:val="0"/>
                <w:bCs w:val="0"/>
                <w:kern w:val="0"/>
                <w:sz w:val="24"/>
                <w:szCs w:val="24"/>
                <w:vertAlign w:val="baseline"/>
                <w:lang w:val="en-US" w:eastAsia="zh-CN" w:bidi="ar"/>
              </w:rPr>
            </w:pPr>
          </w:p>
        </w:tc>
        <w:tc>
          <w:tcPr>
            <w:tcW w:w="975" w:type="pct"/>
            <w:vMerge w:val="continue"/>
            <w:noWrap w:val="0"/>
            <w:vAlign w:val="top"/>
          </w:tcPr>
          <w:p w14:paraId="6CB512FD">
            <w:pPr>
              <w:pStyle w:val="10"/>
              <w:numPr>
                <w:ilvl w:val="0"/>
                <w:numId w:val="0"/>
              </w:numPr>
              <w:jc w:val="center"/>
              <w:rPr>
                <w:rStyle w:val="36"/>
                <w:rFonts w:hint="default" w:ascii="宋体" w:hAnsi="宋体" w:cs="宋体"/>
                <w:b w:val="0"/>
                <w:bCs w:val="0"/>
                <w:kern w:val="0"/>
                <w:sz w:val="24"/>
                <w:szCs w:val="24"/>
                <w:vertAlign w:val="baseline"/>
                <w:lang w:val="en-US" w:eastAsia="zh-CN" w:bidi="ar"/>
              </w:rPr>
            </w:pPr>
          </w:p>
        </w:tc>
      </w:tr>
      <w:tr w14:paraId="10D3D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6" w:hRule="atLeast"/>
        </w:trPr>
        <w:tc>
          <w:tcPr>
            <w:tcW w:w="438" w:type="pct"/>
            <w:noWrap w:val="0"/>
            <w:vAlign w:val="top"/>
          </w:tcPr>
          <w:p w14:paraId="50A46B86">
            <w:pPr>
              <w:pStyle w:val="10"/>
              <w:numPr>
                <w:ilvl w:val="0"/>
                <w:numId w:val="0"/>
              </w:numPr>
              <w:jc w:val="center"/>
              <w:rPr>
                <w:rStyle w:val="36"/>
                <w:rFonts w:hint="default" w:ascii="宋体" w:hAnsi="宋体" w:cs="宋体"/>
                <w:b w:val="0"/>
                <w:bCs w:val="0"/>
                <w:kern w:val="0"/>
                <w:sz w:val="24"/>
                <w:szCs w:val="24"/>
                <w:vertAlign w:val="baseline"/>
                <w:lang w:val="en-US" w:eastAsia="zh-CN" w:bidi="ar"/>
              </w:rPr>
            </w:pPr>
            <w:r>
              <w:rPr>
                <w:rStyle w:val="36"/>
                <w:rFonts w:hint="eastAsia" w:ascii="宋体" w:hAnsi="宋体" w:cs="宋体"/>
                <w:b w:val="0"/>
                <w:bCs w:val="0"/>
                <w:kern w:val="0"/>
                <w:sz w:val="24"/>
                <w:szCs w:val="24"/>
                <w:vertAlign w:val="baseline"/>
                <w:lang w:val="en-US" w:eastAsia="zh-CN" w:bidi="ar"/>
              </w:rPr>
              <w:t>19</w:t>
            </w:r>
          </w:p>
        </w:tc>
        <w:tc>
          <w:tcPr>
            <w:tcW w:w="1076" w:type="pct"/>
            <w:noWrap w:val="0"/>
            <w:vAlign w:val="center"/>
          </w:tcPr>
          <w:p w14:paraId="20DCE1CC">
            <w:pPr>
              <w:keepNext w:val="0"/>
              <w:keepLines w:val="0"/>
              <w:widowControl/>
              <w:suppressLineNumbers w:val="0"/>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赛事纪念品</w:t>
            </w:r>
          </w:p>
        </w:tc>
        <w:tc>
          <w:tcPr>
            <w:tcW w:w="419" w:type="pct"/>
            <w:noWrap w:val="0"/>
            <w:vAlign w:val="center"/>
          </w:tcPr>
          <w:p w14:paraId="4E13842B">
            <w:pPr>
              <w:keepNext w:val="0"/>
              <w:keepLines w:val="0"/>
              <w:widowControl/>
              <w:suppressLineNumbers w:val="0"/>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份</w:t>
            </w:r>
          </w:p>
        </w:tc>
        <w:tc>
          <w:tcPr>
            <w:tcW w:w="473" w:type="pct"/>
            <w:noWrap w:val="0"/>
            <w:vAlign w:val="center"/>
          </w:tcPr>
          <w:p w14:paraId="61D70E92">
            <w:pPr>
              <w:keepNext w:val="0"/>
              <w:keepLines w:val="0"/>
              <w:widowControl/>
              <w:suppressLineNumbers w:val="0"/>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600</w:t>
            </w:r>
          </w:p>
        </w:tc>
        <w:tc>
          <w:tcPr>
            <w:tcW w:w="1170" w:type="pct"/>
            <w:noWrap w:val="0"/>
            <w:vAlign w:val="center"/>
          </w:tcPr>
          <w:p w14:paraId="034C5B0C">
            <w:pPr>
              <w:keepNext w:val="0"/>
              <w:keepLines w:val="0"/>
              <w:widowControl/>
              <w:suppressLineNumbers w:val="0"/>
              <w:jc w:val="left"/>
              <w:textAlignment w:val="center"/>
              <w:rPr>
                <w:rStyle w:val="36"/>
                <w:rFonts w:hint="eastAsia" w:ascii="宋体" w:hAnsi="宋体" w:eastAsia="宋体" w:cs="宋体"/>
                <w:b w:val="0"/>
                <w:bCs w:val="0"/>
                <w:kern w:val="0"/>
                <w:sz w:val="24"/>
                <w:szCs w:val="24"/>
                <w:vertAlign w:val="baseline"/>
                <w:lang w:val="en-US" w:eastAsia="zh-CN" w:bidi="ar"/>
              </w:rPr>
            </w:pPr>
          </w:p>
        </w:tc>
        <w:tc>
          <w:tcPr>
            <w:tcW w:w="444" w:type="pct"/>
            <w:noWrap w:val="0"/>
            <w:vAlign w:val="top"/>
          </w:tcPr>
          <w:p w14:paraId="57910658">
            <w:pPr>
              <w:keepNext w:val="0"/>
              <w:keepLines w:val="0"/>
              <w:widowControl/>
              <w:suppressLineNumbers w:val="0"/>
              <w:jc w:val="left"/>
              <w:textAlignment w:val="center"/>
              <w:rPr>
                <w:rStyle w:val="36"/>
                <w:rFonts w:hint="default" w:ascii="宋体" w:hAnsi="宋体" w:eastAsia="宋体" w:cs="宋体"/>
                <w:b w:val="0"/>
                <w:bCs w:val="0"/>
                <w:kern w:val="0"/>
                <w:sz w:val="24"/>
                <w:szCs w:val="24"/>
                <w:vertAlign w:val="baseline"/>
                <w:lang w:val="en-US" w:eastAsia="zh-CN" w:bidi="ar"/>
              </w:rPr>
            </w:pPr>
          </w:p>
        </w:tc>
        <w:tc>
          <w:tcPr>
            <w:tcW w:w="975" w:type="pct"/>
            <w:vMerge w:val="continue"/>
            <w:noWrap w:val="0"/>
            <w:vAlign w:val="top"/>
          </w:tcPr>
          <w:p w14:paraId="157C9D3A">
            <w:pPr>
              <w:pStyle w:val="10"/>
              <w:numPr>
                <w:ilvl w:val="0"/>
                <w:numId w:val="0"/>
              </w:numPr>
              <w:jc w:val="center"/>
              <w:rPr>
                <w:rStyle w:val="36"/>
                <w:rFonts w:hint="default" w:ascii="宋体" w:hAnsi="宋体" w:cs="宋体"/>
                <w:b w:val="0"/>
                <w:bCs w:val="0"/>
                <w:kern w:val="0"/>
                <w:sz w:val="24"/>
                <w:szCs w:val="24"/>
                <w:vertAlign w:val="baseline"/>
                <w:lang w:val="en-US" w:eastAsia="zh-CN" w:bidi="ar"/>
              </w:rPr>
            </w:pPr>
          </w:p>
        </w:tc>
      </w:tr>
      <w:tr w14:paraId="2F662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6" w:hRule="atLeast"/>
        </w:trPr>
        <w:tc>
          <w:tcPr>
            <w:tcW w:w="438" w:type="pct"/>
            <w:noWrap w:val="0"/>
            <w:vAlign w:val="top"/>
          </w:tcPr>
          <w:p w14:paraId="5104FF65">
            <w:pPr>
              <w:pStyle w:val="10"/>
              <w:numPr>
                <w:ilvl w:val="0"/>
                <w:numId w:val="0"/>
              </w:numPr>
              <w:jc w:val="center"/>
              <w:rPr>
                <w:rStyle w:val="36"/>
                <w:rFonts w:hint="default" w:ascii="宋体" w:hAnsi="宋体" w:cs="宋体"/>
                <w:b w:val="0"/>
                <w:bCs w:val="0"/>
                <w:kern w:val="0"/>
                <w:sz w:val="24"/>
                <w:szCs w:val="24"/>
                <w:vertAlign w:val="baseline"/>
                <w:lang w:val="en-US" w:eastAsia="zh-CN" w:bidi="ar"/>
              </w:rPr>
            </w:pPr>
            <w:r>
              <w:rPr>
                <w:rStyle w:val="36"/>
                <w:rFonts w:hint="eastAsia" w:ascii="宋体" w:hAnsi="宋体" w:cs="宋体"/>
                <w:b w:val="0"/>
                <w:bCs w:val="0"/>
                <w:kern w:val="0"/>
                <w:sz w:val="24"/>
                <w:szCs w:val="24"/>
                <w:vertAlign w:val="baseline"/>
                <w:lang w:val="en-US" w:eastAsia="zh-CN" w:bidi="ar"/>
              </w:rPr>
              <w:t>20</w:t>
            </w:r>
          </w:p>
        </w:tc>
        <w:tc>
          <w:tcPr>
            <w:tcW w:w="1076" w:type="pct"/>
            <w:noWrap w:val="0"/>
            <w:vAlign w:val="center"/>
          </w:tcPr>
          <w:p w14:paraId="2439F090">
            <w:pPr>
              <w:keepNext w:val="0"/>
              <w:keepLines w:val="0"/>
              <w:widowControl/>
              <w:suppressLineNumbers w:val="0"/>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空调扇</w:t>
            </w:r>
          </w:p>
        </w:tc>
        <w:tc>
          <w:tcPr>
            <w:tcW w:w="419" w:type="pct"/>
            <w:noWrap w:val="0"/>
            <w:vAlign w:val="center"/>
          </w:tcPr>
          <w:p w14:paraId="40ECBFAA">
            <w:pPr>
              <w:keepNext w:val="0"/>
              <w:keepLines w:val="0"/>
              <w:widowControl/>
              <w:suppressLineNumbers w:val="0"/>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台</w:t>
            </w:r>
          </w:p>
        </w:tc>
        <w:tc>
          <w:tcPr>
            <w:tcW w:w="473" w:type="pct"/>
            <w:noWrap w:val="0"/>
            <w:vAlign w:val="center"/>
          </w:tcPr>
          <w:p w14:paraId="2A081445">
            <w:pPr>
              <w:keepNext w:val="0"/>
              <w:keepLines w:val="0"/>
              <w:widowControl/>
              <w:suppressLineNumbers w:val="0"/>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250</w:t>
            </w:r>
          </w:p>
        </w:tc>
        <w:tc>
          <w:tcPr>
            <w:tcW w:w="1170" w:type="pct"/>
            <w:noWrap w:val="0"/>
            <w:vAlign w:val="center"/>
          </w:tcPr>
          <w:p w14:paraId="56FC4A1D">
            <w:pPr>
              <w:keepNext w:val="0"/>
              <w:keepLines w:val="0"/>
              <w:widowControl/>
              <w:suppressLineNumbers w:val="0"/>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 xml:space="preserve">240间住房,备10间 </w:t>
            </w:r>
          </w:p>
        </w:tc>
        <w:tc>
          <w:tcPr>
            <w:tcW w:w="444" w:type="pct"/>
            <w:noWrap w:val="0"/>
            <w:vAlign w:val="top"/>
          </w:tcPr>
          <w:p w14:paraId="05049FE8">
            <w:pPr>
              <w:keepNext w:val="0"/>
              <w:keepLines w:val="0"/>
              <w:widowControl/>
              <w:suppressLineNumbers w:val="0"/>
              <w:jc w:val="left"/>
              <w:textAlignment w:val="center"/>
              <w:rPr>
                <w:rStyle w:val="36"/>
                <w:rFonts w:hint="default" w:ascii="宋体" w:hAnsi="宋体" w:eastAsia="宋体" w:cs="宋体"/>
                <w:b w:val="0"/>
                <w:bCs w:val="0"/>
                <w:kern w:val="0"/>
                <w:sz w:val="24"/>
                <w:szCs w:val="24"/>
                <w:vertAlign w:val="baseline"/>
                <w:lang w:val="en-US" w:eastAsia="zh-CN" w:bidi="ar"/>
              </w:rPr>
            </w:pPr>
          </w:p>
        </w:tc>
        <w:tc>
          <w:tcPr>
            <w:tcW w:w="975" w:type="pct"/>
            <w:vMerge w:val="continue"/>
            <w:noWrap w:val="0"/>
            <w:vAlign w:val="top"/>
          </w:tcPr>
          <w:p w14:paraId="7BA6BF1A">
            <w:pPr>
              <w:pStyle w:val="10"/>
              <w:numPr>
                <w:ilvl w:val="0"/>
                <w:numId w:val="0"/>
              </w:numPr>
              <w:jc w:val="center"/>
              <w:rPr>
                <w:rStyle w:val="36"/>
                <w:rFonts w:hint="default" w:ascii="宋体" w:hAnsi="宋体" w:cs="宋体"/>
                <w:b w:val="0"/>
                <w:bCs w:val="0"/>
                <w:kern w:val="0"/>
                <w:sz w:val="24"/>
                <w:szCs w:val="24"/>
                <w:vertAlign w:val="baseline"/>
                <w:lang w:val="en-US" w:eastAsia="zh-CN" w:bidi="ar"/>
              </w:rPr>
            </w:pPr>
          </w:p>
        </w:tc>
      </w:tr>
      <w:tr w14:paraId="3C09F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6" w:hRule="atLeast"/>
        </w:trPr>
        <w:tc>
          <w:tcPr>
            <w:tcW w:w="438" w:type="pct"/>
            <w:noWrap w:val="0"/>
            <w:vAlign w:val="top"/>
          </w:tcPr>
          <w:p w14:paraId="62FA58BE">
            <w:pPr>
              <w:pStyle w:val="10"/>
              <w:numPr>
                <w:ilvl w:val="0"/>
                <w:numId w:val="0"/>
              </w:numPr>
              <w:jc w:val="center"/>
              <w:rPr>
                <w:rStyle w:val="36"/>
                <w:rFonts w:hint="default" w:ascii="宋体" w:hAnsi="宋体" w:cs="宋体"/>
                <w:b w:val="0"/>
                <w:bCs w:val="0"/>
                <w:kern w:val="0"/>
                <w:sz w:val="24"/>
                <w:szCs w:val="24"/>
                <w:vertAlign w:val="baseline"/>
                <w:lang w:val="en-US" w:eastAsia="zh-CN" w:bidi="ar"/>
              </w:rPr>
            </w:pPr>
            <w:r>
              <w:rPr>
                <w:rStyle w:val="36"/>
                <w:rFonts w:hint="eastAsia" w:ascii="宋体" w:hAnsi="宋体" w:cs="宋体"/>
                <w:b w:val="0"/>
                <w:bCs w:val="0"/>
                <w:kern w:val="0"/>
                <w:sz w:val="24"/>
                <w:szCs w:val="24"/>
                <w:vertAlign w:val="baseline"/>
                <w:lang w:val="en-US" w:eastAsia="zh-CN" w:bidi="ar"/>
              </w:rPr>
              <w:t>21</w:t>
            </w:r>
          </w:p>
        </w:tc>
        <w:tc>
          <w:tcPr>
            <w:tcW w:w="1076" w:type="pct"/>
            <w:noWrap w:val="0"/>
            <w:vAlign w:val="center"/>
          </w:tcPr>
          <w:p w14:paraId="5104E1C1">
            <w:pPr>
              <w:keepNext w:val="0"/>
              <w:keepLines w:val="0"/>
              <w:widowControl/>
              <w:suppressLineNumbers w:val="0"/>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学生宿舍及领队房间洗漱用品</w:t>
            </w:r>
          </w:p>
        </w:tc>
        <w:tc>
          <w:tcPr>
            <w:tcW w:w="419" w:type="pct"/>
            <w:noWrap w:val="0"/>
            <w:vAlign w:val="center"/>
          </w:tcPr>
          <w:p w14:paraId="541CF15C">
            <w:pPr>
              <w:keepNext w:val="0"/>
              <w:keepLines w:val="0"/>
              <w:widowControl/>
              <w:suppressLineNumbers w:val="0"/>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套</w:t>
            </w:r>
          </w:p>
        </w:tc>
        <w:tc>
          <w:tcPr>
            <w:tcW w:w="473" w:type="pct"/>
            <w:noWrap w:val="0"/>
            <w:vAlign w:val="center"/>
          </w:tcPr>
          <w:p w14:paraId="4DF84E19">
            <w:pPr>
              <w:keepNext w:val="0"/>
              <w:keepLines w:val="0"/>
              <w:widowControl/>
              <w:suppressLineNumbers w:val="0"/>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650</w:t>
            </w:r>
          </w:p>
        </w:tc>
        <w:tc>
          <w:tcPr>
            <w:tcW w:w="1170" w:type="pct"/>
            <w:noWrap w:val="0"/>
            <w:vAlign w:val="center"/>
          </w:tcPr>
          <w:p w14:paraId="5F68E9E0">
            <w:pPr>
              <w:keepNext w:val="0"/>
              <w:keepLines w:val="0"/>
              <w:widowControl/>
              <w:suppressLineNumbers w:val="0"/>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按每人每套(含洗发水、洗衣液、护发素、沐浴液、拖鞋、卫生纸2卷、抽纸2包、洗漱包、漱口杯、脸盆、垃圾桶、垃圾袋、毛巾、衣架保障一人5个等）</w:t>
            </w:r>
          </w:p>
        </w:tc>
        <w:tc>
          <w:tcPr>
            <w:tcW w:w="444" w:type="pct"/>
            <w:noWrap w:val="0"/>
            <w:vAlign w:val="top"/>
          </w:tcPr>
          <w:p w14:paraId="6E1B1F67">
            <w:pPr>
              <w:keepNext w:val="0"/>
              <w:keepLines w:val="0"/>
              <w:widowControl/>
              <w:suppressLineNumbers w:val="0"/>
              <w:jc w:val="left"/>
              <w:textAlignment w:val="center"/>
              <w:rPr>
                <w:rStyle w:val="36"/>
                <w:rFonts w:hint="default" w:ascii="宋体" w:hAnsi="宋体" w:eastAsia="宋体" w:cs="宋体"/>
                <w:b w:val="0"/>
                <w:bCs w:val="0"/>
                <w:kern w:val="0"/>
                <w:sz w:val="24"/>
                <w:szCs w:val="24"/>
                <w:vertAlign w:val="baseline"/>
                <w:lang w:val="en-US" w:eastAsia="zh-CN" w:bidi="ar"/>
              </w:rPr>
            </w:pPr>
          </w:p>
        </w:tc>
        <w:tc>
          <w:tcPr>
            <w:tcW w:w="975" w:type="pct"/>
            <w:vMerge w:val="continue"/>
            <w:noWrap w:val="0"/>
            <w:vAlign w:val="top"/>
          </w:tcPr>
          <w:p w14:paraId="4C29B865">
            <w:pPr>
              <w:pStyle w:val="10"/>
              <w:numPr>
                <w:ilvl w:val="0"/>
                <w:numId w:val="0"/>
              </w:numPr>
              <w:jc w:val="center"/>
              <w:rPr>
                <w:rStyle w:val="36"/>
                <w:rFonts w:hint="default" w:ascii="宋体" w:hAnsi="宋体" w:cs="宋体"/>
                <w:b w:val="0"/>
                <w:bCs w:val="0"/>
                <w:kern w:val="0"/>
                <w:sz w:val="24"/>
                <w:szCs w:val="24"/>
                <w:vertAlign w:val="baseline"/>
                <w:lang w:val="en-US" w:eastAsia="zh-CN" w:bidi="ar"/>
              </w:rPr>
            </w:pPr>
          </w:p>
        </w:tc>
      </w:tr>
      <w:tr w14:paraId="11FDF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6" w:hRule="atLeast"/>
        </w:trPr>
        <w:tc>
          <w:tcPr>
            <w:tcW w:w="438" w:type="pct"/>
            <w:noWrap w:val="0"/>
            <w:vAlign w:val="top"/>
          </w:tcPr>
          <w:p w14:paraId="7A0391F8">
            <w:pPr>
              <w:pStyle w:val="10"/>
              <w:numPr>
                <w:ilvl w:val="0"/>
                <w:numId w:val="0"/>
              </w:numPr>
              <w:jc w:val="center"/>
              <w:rPr>
                <w:rStyle w:val="36"/>
                <w:rFonts w:hint="default" w:ascii="宋体" w:hAnsi="宋体" w:cs="宋体"/>
                <w:b w:val="0"/>
                <w:bCs w:val="0"/>
                <w:kern w:val="0"/>
                <w:sz w:val="24"/>
                <w:szCs w:val="24"/>
                <w:vertAlign w:val="baseline"/>
                <w:lang w:val="en-US" w:eastAsia="zh-CN" w:bidi="ar"/>
              </w:rPr>
            </w:pPr>
            <w:r>
              <w:rPr>
                <w:rStyle w:val="36"/>
                <w:rFonts w:hint="eastAsia" w:ascii="宋体" w:hAnsi="宋体" w:cs="宋体"/>
                <w:b w:val="0"/>
                <w:bCs w:val="0"/>
                <w:kern w:val="0"/>
                <w:sz w:val="24"/>
                <w:szCs w:val="24"/>
                <w:vertAlign w:val="baseline"/>
                <w:lang w:val="en-US" w:eastAsia="zh-CN" w:bidi="ar"/>
              </w:rPr>
              <w:t>22</w:t>
            </w:r>
          </w:p>
        </w:tc>
        <w:tc>
          <w:tcPr>
            <w:tcW w:w="1076" w:type="pct"/>
            <w:noWrap w:val="0"/>
            <w:vAlign w:val="center"/>
          </w:tcPr>
          <w:p w14:paraId="5B1181AB">
            <w:pPr>
              <w:keepNext w:val="0"/>
              <w:keepLines w:val="0"/>
              <w:widowControl/>
              <w:suppressLineNumbers w:val="0"/>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信鸽</w:t>
            </w:r>
          </w:p>
        </w:tc>
        <w:tc>
          <w:tcPr>
            <w:tcW w:w="419" w:type="pct"/>
            <w:noWrap w:val="0"/>
            <w:vAlign w:val="center"/>
          </w:tcPr>
          <w:p w14:paraId="6275748A">
            <w:pPr>
              <w:keepNext w:val="0"/>
              <w:keepLines w:val="0"/>
              <w:widowControl/>
              <w:suppressLineNumbers w:val="0"/>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批</w:t>
            </w:r>
          </w:p>
        </w:tc>
        <w:tc>
          <w:tcPr>
            <w:tcW w:w="473" w:type="pct"/>
            <w:noWrap w:val="0"/>
            <w:vAlign w:val="center"/>
          </w:tcPr>
          <w:p w14:paraId="6132E07A">
            <w:pPr>
              <w:keepNext w:val="0"/>
              <w:keepLines w:val="0"/>
              <w:widowControl/>
              <w:suppressLineNumbers w:val="0"/>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1</w:t>
            </w:r>
          </w:p>
        </w:tc>
        <w:tc>
          <w:tcPr>
            <w:tcW w:w="1170" w:type="pct"/>
            <w:noWrap w:val="0"/>
            <w:vAlign w:val="center"/>
          </w:tcPr>
          <w:p w14:paraId="32CE61ED">
            <w:pPr>
              <w:keepNext w:val="0"/>
              <w:keepLines w:val="0"/>
              <w:widowControl/>
              <w:suppressLineNumbers w:val="0"/>
              <w:jc w:val="left"/>
              <w:textAlignment w:val="center"/>
              <w:rPr>
                <w:rStyle w:val="36"/>
                <w:rFonts w:hint="eastAsia" w:ascii="宋体" w:hAnsi="宋体" w:eastAsia="宋体" w:cs="宋体"/>
                <w:b w:val="0"/>
                <w:bCs w:val="0"/>
                <w:kern w:val="0"/>
                <w:sz w:val="24"/>
                <w:szCs w:val="24"/>
                <w:vertAlign w:val="baseline"/>
                <w:lang w:val="en-US" w:eastAsia="zh-CN" w:bidi="ar"/>
              </w:rPr>
            </w:pPr>
          </w:p>
        </w:tc>
        <w:tc>
          <w:tcPr>
            <w:tcW w:w="444" w:type="pct"/>
            <w:noWrap w:val="0"/>
            <w:vAlign w:val="top"/>
          </w:tcPr>
          <w:p w14:paraId="33E3E1A0">
            <w:pPr>
              <w:keepNext w:val="0"/>
              <w:keepLines w:val="0"/>
              <w:widowControl/>
              <w:suppressLineNumbers w:val="0"/>
              <w:jc w:val="left"/>
              <w:textAlignment w:val="center"/>
              <w:rPr>
                <w:rStyle w:val="36"/>
                <w:rFonts w:hint="default" w:ascii="宋体" w:hAnsi="宋体" w:eastAsia="宋体" w:cs="宋体"/>
                <w:b w:val="0"/>
                <w:bCs w:val="0"/>
                <w:kern w:val="0"/>
                <w:sz w:val="24"/>
                <w:szCs w:val="24"/>
                <w:vertAlign w:val="baseline"/>
                <w:lang w:val="en-US" w:eastAsia="zh-CN" w:bidi="ar"/>
              </w:rPr>
            </w:pPr>
          </w:p>
        </w:tc>
        <w:tc>
          <w:tcPr>
            <w:tcW w:w="975" w:type="pct"/>
            <w:vMerge w:val="continue"/>
            <w:noWrap w:val="0"/>
            <w:vAlign w:val="top"/>
          </w:tcPr>
          <w:p w14:paraId="027949E1">
            <w:pPr>
              <w:pStyle w:val="10"/>
              <w:numPr>
                <w:ilvl w:val="0"/>
                <w:numId w:val="0"/>
              </w:numPr>
              <w:jc w:val="center"/>
              <w:rPr>
                <w:rStyle w:val="36"/>
                <w:rFonts w:hint="default" w:ascii="宋体" w:hAnsi="宋体" w:cs="宋体"/>
                <w:b w:val="0"/>
                <w:bCs w:val="0"/>
                <w:kern w:val="0"/>
                <w:sz w:val="24"/>
                <w:szCs w:val="24"/>
                <w:vertAlign w:val="baseline"/>
                <w:lang w:val="en-US" w:eastAsia="zh-CN" w:bidi="ar"/>
              </w:rPr>
            </w:pPr>
          </w:p>
        </w:tc>
      </w:tr>
      <w:tr w14:paraId="63937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6" w:hRule="atLeast"/>
        </w:trPr>
        <w:tc>
          <w:tcPr>
            <w:tcW w:w="438" w:type="pct"/>
            <w:noWrap w:val="0"/>
            <w:vAlign w:val="center"/>
          </w:tcPr>
          <w:p w14:paraId="432B9177">
            <w:pPr>
              <w:keepNext w:val="0"/>
              <w:keepLines w:val="0"/>
              <w:widowControl/>
              <w:suppressLineNumbers w:val="0"/>
              <w:jc w:val="left"/>
              <w:textAlignment w:val="center"/>
              <w:rPr>
                <w:rStyle w:val="36"/>
                <w:rFonts w:hint="default"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1</w:t>
            </w:r>
          </w:p>
        </w:tc>
        <w:tc>
          <w:tcPr>
            <w:tcW w:w="1076" w:type="pct"/>
            <w:noWrap w:val="0"/>
            <w:vAlign w:val="center"/>
          </w:tcPr>
          <w:p w14:paraId="62CF252E">
            <w:pPr>
              <w:keepNext w:val="0"/>
              <w:keepLines w:val="0"/>
              <w:widowControl/>
              <w:suppressLineNumbers w:val="0"/>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会务资料设计</w:t>
            </w:r>
          </w:p>
        </w:tc>
        <w:tc>
          <w:tcPr>
            <w:tcW w:w="419" w:type="pct"/>
            <w:noWrap w:val="0"/>
            <w:vAlign w:val="center"/>
          </w:tcPr>
          <w:p w14:paraId="6415D28C">
            <w:pPr>
              <w:keepNext w:val="0"/>
              <w:keepLines w:val="0"/>
              <w:widowControl/>
              <w:suppressLineNumbers w:val="0"/>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批</w:t>
            </w:r>
          </w:p>
        </w:tc>
        <w:tc>
          <w:tcPr>
            <w:tcW w:w="473" w:type="pct"/>
            <w:noWrap w:val="0"/>
            <w:vAlign w:val="center"/>
          </w:tcPr>
          <w:p w14:paraId="1683DD51">
            <w:pPr>
              <w:keepNext w:val="0"/>
              <w:keepLines w:val="0"/>
              <w:widowControl/>
              <w:suppressLineNumbers w:val="0"/>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1</w:t>
            </w:r>
          </w:p>
        </w:tc>
        <w:tc>
          <w:tcPr>
            <w:tcW w:w="1170" w:type="pct"/>
            <w:noWrap w:val="0"/>
            <w:vAlign w:val="center"/>
          </w:tcPr>
          <w:p w14:paraId="607457B6">
            <w:pPr>
              <w:keepNext w:val="0"/>
              <w:keepLines w:val="0"/>
              <w:widowControl/>
              <w:suppressLineNumbers w:val="0"/>
              <w:jc w:val="left"/>
              <w:textAlignment w:val="center"/>
              <w:rPr>
                <w:rStyle w:val="36"/>
                <w:rFonts w:hint="eastAsia" w:ascii="宋体" w:hAnsi="宋体" w:eastAsia="宋体" w:cs="宋体"/>
                <w:b w:val="0"/>
                <w:bCs w:val="0"/>
                <w:kern w:val="0"/>
                <w:sz w:val="24"/>
                <w:szCs w:val="24"/>
                <w:vertAlign w:val="baseline"/>
                <w:lang w:val="en-US" w:eastAsia="zh-CN" w:bidi="ar"/>
              </w:rPr>
            </w:pPr>
          </w:p>
        </w:tc>
        <w:tc>
          <w:tcPr>
            <w:tcW w:w="444" w:type="pct"/>
            <w:noWrap w:val="0"/>
            <w:vAlign w:val="top"/>
          </w:tcPr>
          <w:p w14:paraId="3F9C950E">
            <w:pPr>
              <w:keepNext w:val="0"/>
              <w:keepLines w:val="0"/>
              <w:widowControl/>
              <w:suppressLineNumbers w:val="0"/>
              <w:jc w:val="left"/>
              <w:textAlignment w:val="center"/>
              <w:rPr>
                <w:rStyle w:val="36"/>
                <w:rFonts w:hint="default" w:ascii="宋体" w:hAnsi="宋体" w:eastAsia="宋体" w:cs="宋体"/>
                <w:b w:val="0"/>
                <w:bCs w:val="0"/>
                <w:kern w:val="0"/>
                <w:sz w:val="24"/>
                <w:szCs w:val="24"/>
                <w:vertAlign w:val="baseline"/>
                <w:lang w:val="en-US" w:eastAsia="zh-CN" w:bidi="ar"/>
              </w:rPr>
            </w:pPr>
          </w:p>
        </w:tc>
        <w:tc>
          <w:tcPr>
            <w:tcW w:w="975" w:type="pct"/>
            <w:vMerge w:val="restart"/>
            <w:noWrap w:val="0"/>
            <w:vAlign w:val="top"/>
          </w:tcPr>
          <w:p w14:paraId="3115BA3B">
            <w:pPr>
              <w:pStyle w:val="10"/>
              <w:numPr>
                <w:ilvl w:val="0"/>
                <w:numId w:val="0"/>
              </w:numPr>
              <w:jc w:val="center"/>
              <w:rPr>
                <w:rStyle w:val="36"/>
                <w:rFonts w:hint="default" w:ascii="宋体" w:hAnsi="宋体" w:cs="宋体"/>
                <w:b w:val="0"/>
                <w:bCs w:val="0"/>
                <w:kern w:val="0"/>
                <w:sz w:val="24"/>
                <w:szCs w:val="24"/>
                <w:vertAlign w:val="baseline"/>
                <w:lang w:val="en-US" w:eastAsia="zh-CN" w:bidi="ar"/>
              </w:rPr>
            </w:pPr>
            <w:r>
              <w:rPr>
                <w:rStyle w:val="36"/>
                <w:rFonts w:hint="default" w:ascii="宋体" w:hAnsi="宋体" w:cs="宋体"/>
                <w:b w:val="0"/>
                <w:bCs w:val="0"/>
                <w:kern w:val="0"/>
                <w:sz w:val="24"/>
                <w:szCs w:val="24"/>
                <w:vertAlign w:val="baseline"/>
                <w:lang w:val="en-US" w:eastAsia="zh-CN" w:bidi="ar"/>
              </w:rPr>
              <w:t>设计、印刷</w:t>
            </w:r>
            <w:r>
              <w:rPr>
                <w:rStyle w:val="36"/>
                <w:rFonts w:hint="eastAsia" w:ascii="宋体" w:hAnsi="宋体" w:cs="宋体"/>
                <w:b w:val="0"/>
                <w:bCs w:val="0"/>
                <w:kern w:val="0"/>
                <w:sz w:val="24"/>
                <w:szCs w:val="24"/>
                <w:vertAlign w:val="baseline"/>
                <w:lang w:val="en-US" w:eastAsia="zh-CN" w:bidi="ar"/>
              </w:rPr>
              <w:t>（包含但不限于此内容，具体以和招标人商议为主）</w:t>
            </w:r>
          </w:p>
        </w:tc>
      </w:tr>
      <w:tr w14:paraId="641C9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6" w:hRule="atLeast"/>
        </w:trPr>
        <w:tc>
          <w:tcPr>
            <w:tcW w:w="438" w:type="pct"/>
            <w:noWrap w:val="0"/>
            <w:vAlign w:val="center"/>
          </w:tcPr>
          <w:p w14:paraId="20E32F99">
            <w:pPr>
              <w:keepNext w:val="0"/>
              <w:keepLines w:val="0"/>
              <w:widowControl/>
              <w:suppressLineNumbers w:val="0"/>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2</w:t>
            </w:r>
          </w:p>
        </w:tc>
        <w:tc>
          <w:tcPr>
            <w:tcW w:w="1076" w:type="pct"/>
            <w:noWrap w:val="0"/>
            <w:vAlign w:val="center"/>
          </w:tcPr>
          <w:p w14:paraId="29BAE449">
            <w:pPr>
              <w:keepNext w:val="0"/>
              <w:keepLines w:val="0"/>
              <w:widowControl/>
              <w:suppressLineNumbers w:val="0"/>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会务资料印刷</w:t>
            </w:r>
          </w:p>
        </w:tc>
        <w:tc>
          <w:tcPr>
            <w:tcW w:w="419" w:type="pct"/>
            <w:noWrap w:val="0"/>
            <w:vAlign w:val="center"/>
          </w:tcPr>
          <w:p w14:paraId="64875727">
            <w:pPr>
              <w:keepNext w:val="0"/>
              <w:keepLines w:val="0"/>
              <w:widowControl/>
              <w:suppressLineNumbers w:val="0"/>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本</w:t>
            </w:r>
          </w:p>
        </w:tc>
        <w:tc>
          <w:tcPr>
            <w:tcW w:w="473" w:type="pct"/>
            <w:noWrap w:val="0"/>
            <w:vAlign w:val="center"/>
          </w:tcPr>
          <w:p w14:paraId="1A10D5AB">
            <w:pPr>
              <w:keepNext w:val="0"/>
              <w:keepLines w:val="0"/>
              <w:widowControl/>
              <w:suppressLineNumbers w:val="0"/>
              <w:jc w:val="left"/>
              <w:textAlignment w:val="center"/>
              <w:rPr>
                <w:rStyle w:val="36"/>
                <w:rFonts w:hint="default"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1</w:t>
            </w:r>
            <w:r>
              <w:rPr>
                <w:rStyle w:val="36"/>
                <w:rFonts w:hint="eastAsia" w:cs="宋体"/>
                <w:b w:val="0"/>
                <w:bCs w:val="0"/>
                <w:kern w:val="0"/>
                <w:sz w:val="24"/>
                <w:szCs w:val="24"/>
                <w:vertAlign w:val="baseline"/>
                <w:lang w:val="en-US" w:eastAsia="zh-CN" w:bidi="ar"/>
              </w:rPr>
              <w:t>20</w:t>
            </w:r>
          </w:p>
        </w:tc>
        <w:tc>
          <w:tcPr>
            <w:tcW w:w="1170" w:type="pct"/>
            <w:noWrap w:val="0"/>
            <w:vAlign w:val="center"/>
          </w:tcPr>
          <w:p w14:paraId="3B938035">
            <w:pPr>
              <w:keepNext w:val="0"/>
              <w:keepLines w:val="0"/>
              <w:widowControl/>
              <w:suppressLineNumbers w:val="0"/>
              <w:jc w:val="left"/>
              <w:textAlignment w:val="center"/>
              <w:rPr>
                <w:rStyle w:val="36"/>
                <w:rFonts w:hint="eastAsia" w:ascii="宋体" w:hAnsi="宋体" w:eastAsia="宋体" w:cs="宋体"/>
                <w:b w:val="0"/>
                <w:bCs w:val="0"/>
                <w:kern w:val="0"/>
                <w:sz w:val="24"/>
                <w:szCs w:val="24"/>
                <w:highlight w:val="none"/>
                <w:vertAlign w:val="baseline"/>
                <w:lang w:val="en-US" w:eastAsia="zh-CN" w:bidi="ar"/>
              </w:rPr>
            </w:pPr>
            <w:r>
              <w:rPr>
                <w:rStyle w:val="36"/>
                <w:rFonts w:hint="eastAsia" w:ascii="宋体" w:hAnsi="宋体" w:eastAsia="宋体" w:cs="宋体"/>
                <w:b w:val="0"/>
                <w:bCs w:val="0"/>
                <w:kern w:val="0"/>
                <w:sz w:val="24"/>
                <w:szCs w:val="24"/>
                <w:highlight w:val="none"/>
                <w:vertAlign w:val="baseline"/>
                <w:lang w:val="en-US" w:eastAsia="zh-CN" w:bidi="ar"/>
              </w:rPr>
              <w:t>秩序册按不少于80页一本,彩印胶装计算,运动员、裁判</w:t>
            </w:r>
            <w:r>
              <w:rPr>
                <w:rStyle w:val="36"/>
                <w:rFonts w:hint="eastAsia" w:cs="宋体"/>
                <w:b w:val="0"/>
                <w:bCs w:val="0"/>
                <w:kern w:val="0"/>
                <w:sz w:val="24"/>
                <w:szCs w:val="24"/>
                <w:highlight w:val="none"/>
                <w:vertAlign w:val="baseline"/>
                <w:lang w:val="en-US" w:eastAsia="zh-CN" w:bidi="ar"/>
              </w:rPr>
              <w:t>员及相关工作人员使用</w:t>
            </w:r>
          </w:p>
        </w:tc>
        <w:tc>
          <w:tcPr>
            <w:tcW w:w="444" w:type="pct"/>
            <w:noWrap w:val="0"/>
            <w:vAlign w:val="top"/>
          </w:tcPr>
          <w:p w14:paraId="2249D011">
            <w:pPr>
              <w:keepNext w:val="0"/>
              <w:keepLines w:val="0"/>
              <w:widowControl/>
              <w:suppressLineNumbers w:val="0"/>
              <w:jc w:val="left"/>
              <w:textAlignment w:val="center"/>
              <w:rPr>
                <w:rStyle w:val="36"/>
                <w:rFonts w:hint="default" w:ascii="宋体" w:hAnsi="宋体" w:eastAsia="宋体" w:cs="宋体"/>
                <w:b w:val="0"/>
                <w:bCs w:val="0"/>
                <w:kern w:val="0"/>
                <w:sz w:val="24"/>
                <w:szCs w:val="24"/>
                <w:vertAlign w:val="baseline"/>
                <w:lang w:val="en-US" w:eastAsia="zh-CN" w:bidi="ar"/>
              </w:rPr>
            </w:pPr>
          </w:p>
        </w:tc>
        <w:tc>
          <w:tcPr>
            <w:tcW w:w="975" w:type="pct"/>
            <w:vMerge w:val="continue"/>
            <w:noWrap w:val="0"/>
            <w:vAlign w:val="top"/>
          </w:tcPr>
          <w:p w14:paraId="4CB98BE4">
            <w:pPr>
              <w:pStyle w:val="10"/>
              <w:numPr>
                <w:ilvl w:val="0"/>
                <w:numId w:val="0"/>
              </w:numPr>
              <w:jc w:val="center"/>
              <w:rPr>
                <w:rStyle w:val="36"/>
                <w:rFonts w:hint="default" w:ascii="宋体" w:hAnsi="宋体" w:cs="宋体"/>
                <w:b w:val="0"/>
                <w:bCs w:val="0"/>
                <w:kern w:val="0"/>
                <w:sz w:val="24"/>
                <w:szCs w:val="24"/>
                <w:vertAlign w:val="baseline"/>
                <w:lang w:val="en-US" w:eastAsia="zh-CN" w:bidi="ar"/>
              </w:rPr>
            </w:pPr>
          </w:p>
        </w:tc>
      </w:tr>
      <w:tr w14:paraId="71251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6" w:hRule="atLeast"/>
        </w:trPr>
        <w:tc>
          <w:tcPr>
            <w:tcW w:w="438" w:type="pct"/>
            <w:noWrap w:val="0"/>
            <w:vAlign w:val="center"/>
          </w:tcPr>
          <w:p w14:paraId="034DE513">
            <w:pPr>
              <w:keepNext w:val="0"/>
              <w:keepLines w:val="0"/>
              <w:widowControl/>
              <w:suppressLineNumbers w:val="0"/>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3</w:t>
            </w:r>
          </w:p>
        </w:tc>
        <w:tc>
          <w:tcPr>
            <w:tcW w:w="1076" w:type="pct"/>
            <w:noWrap w:val="0"/>
            <w:vAlign w:val="center"/>
          </w:tcPr>
          <w:p w14:paraId="0EF906DD">
            <w:pPr>
              <w:keepNext w:val="0"/>
              <w:keepLines w:val="0"/>
              <w:widowControl/>
              <w:suppressLineNumbers w:val="0"/>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视觉设计</w:t>
            </w:r>
          </w:p>
        </w:tc>
        <w:tc>
          <w:tcPr>
            <w:tcW w:w="419" w:type="pct"/>
            <w:noWrap w:val="0"/>
            <w:vAlign w:val="center"/>
          </w:tcPr>
          <w:p w14:paraId="5E133627">
            <w:pPr>
              <w:keepNext w:val="0"/>
              <w:keepLines w:val="0"/>
              <w:widowControl/>
              <w:suppressLineNumbers w:val="0"/>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批</w:t>
            </w:r>
          </w:p>
        </w:tc>
        <w:tc>
          <w:tcPr>
            <w:tcW w:w="473" w:type="pct"/>
            <w:noWrap w:val="0"/>
            <w:vAlign w:val="center"/>
          </w:tcPr>
          <w:p w14:paraId="32B18363">
            <w:pPr>
              <w:keepNext w:val="0"/>
              <w:keepLines w:val="0"/>
              <w:widowControl/>
              <w:suppressLineNumbers w:val="0"/>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1</w:t>
            </w:r>
          </w:p>
        </w:tc>
        <w:tc>
          <w:tcPr>
            <w:tcW w:w="1170" w:type="pct"/>
            <w:noWrap w:val="0"/>
            <w:vAlign w:val="center"/>
          </w:tcPr>
          <w:p w14:paraId="7B9DB2F1">
            <w:pPr>
              <w:keepNext w:val="0"/>
              <w:keepLines w:val="0"/>
              <w:widowControl/>
              <w:suppressLineNumbers w:val="0"/>
              <w:jc w:val="left"/>
              <w:textAlignment w:val="center"/>
              <w:rPr>
                <w:rStyle w:val="36"/>
                <w:rFonts w:hint="eastAsia" w:ascii="宋体" w:hAnsi="宋体" w:eastAsia="宋体" w:cs="宋体"/>
                <w:b w:val="0"/>
                <w:bCs w:val="0"/>
                <w:kern w:val="0"/>
                <w:sz w:val="24"/>
                <w:szCs w:val="24"/>
                <w:vertAlign w:val="baseline"/>
                <w:lang w:val="en-US" w:eastAsia="zh-CN" w:bidi="ar"/>
              </w:rPr>
            </w:pPr>
          </w:p>
        </w:tc>
        <w:tc>
          <w:tcPr>
            <w:tcW w:w="444" w:type="pct"/>
            <w:noWrap w:val="0"/>
            <w:vAlign w:val="top"/>
          </w:tcPr>
          <w:p w14:paraId="4EFB65E0">
            <w:pPr>
              <w:keepNext w:val="0"/>
              <w:keepLines w:val="0"/>
              <w:widowControl/>
              <w:suppressLineNumbers w:val="0"/>
              <w:jc w:val="left"/>
              <w:textAlignment w:val="center"/>
              <w:rPr>
                <w:rStyle w:val="36"/>
                <w:rFonts w:hint="default" w:ascii="宋体" w:hAnsi="宋体" w:eastAsia="宋体" w:cs="宋体"/>
                <w:b w:val="0"/>
                <w:bCs w:val="0"/>
                <w:kern w:val="0"/>
                <w:sz w:val="24"/>
                <w:szCs w:val="24"/>
                <w:vertAlign w:val="baseline"/>
                <w:lang w:val="en-US" w:eastAsia="zh-CN" w:bidi="ar"/>
              </w:rPr>
            </w:pPr>
          </w:p>
        </w:tc>
        <w:tc>
          <w:tcPr>
            <w:tcW w:w="975" w:type="pct"/>
            <w:vMerge w:val="continue"/>
            <w:noWrap w:val="0"/>
            <w:vAlign w:val="top"/>
          </w:tcPr>
          <w:p w14:paraId="7C4D1DA1">
            <w:pPr>
              <w:pStyle w:val="10"/>
              <w:numPr>
                <w:ilvl w:val="0"/>
                <w:numId w:val="0"/>
              </w:numPr>
              <w:jc w:val="center"/>
              <w:rPr>
                <w:rStyle w:val="36"/>
                <w:rFonts w:hint="default" w:ascii="宋体" w:hAnsi="宋体" w:cs="宋体"/>
                <w:b w:val="0"/>
                <w:bCs w:val="0"/>
                <w:kern w:val="0"/>
                <w:sz w:val="24"/>
                <w:szCs w:val="24"/>
                <w:vertAlign w:val="baseline"/>
                <w:lang w:val="en-US" w:eastAsia="zh-CN" w:bidi="ar"/>
              </w:rPr>
            </w:pPr>
          </w:p>
        </w:tc>
      </w:tr>
      <w:tr w14:paraId="7AAF4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6" w:hRule="atLeast"/>
        </w:trPr>
        <w:tc>
          <w:tcPr>
            <w:tcW w:w="438" w:type="pct"/>
            <w:noWrap w:val="0"/>
            <w:vAlign w:val="center"/>
          </w:tcPr>
          <w:p w14:paraId="05B53D05">
            <w:pPr>
              <w:keepNext w:val="0"/>
              <w:keepLines w:val="0"/>
              <w:widowControl/>
              <w:suppressLineNumbers w:val="0"/>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4</w:t>
            </w:r>
          </w:p>
        </w:tc>
        <w:tc>
          <w:tcPr>
            <w:tcW w:w="1076" w:type="pct"/>
            <w:noWrap w:val="0"/>
            <w:vAlign w:val="center"/>
          </w:tcPr>
          <w:p w14:paraId="62F2B273">
            <w:pPr>
              <w:keepNext w:val="0"/>
              <w:keepLines w:val="0"/>
              <w:widowControl/>
              <w:suppressLineNumbers w:val="0"/>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其他物料印刷</w:t>
            </w:r>
          </w:p>
        </w:tc>
        <w:tc>
          <w:tcPr>
            <w:tcW w:w="419" w:type="pct"/>
            <w:noWrap w:val="0"/>
            <w:vAlign w:val="center"/>
          </w:tcPr>
          <w:p w14:paraId="01B16124">
            <w:pPr>
              <w:keepNext w:val="0"/>
              <w:keepLines w:val="0"/>
              <w:widowControl/>
              <w:suppressLineNumbers w:val="0"/>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批</w:t>
            </w:r>
          </w:p>
        </w:tc>
        <w:tc>
          <w:tcPr>
            <w:tcW w:w="473" w:type="pct"/>
            <w:noWrap w:val="0"/>
            <w:vAlign w:val="center"/>
          </w:tcPr>
          <w:p w14:paraId="60EED0E0">
            <w:pPr>
              <w:keepNext w:val="0"/>
              <w:keepLines w:val="0"/>
              <w:widowControl/>
              <w:suppressLineNumbers w:val="0"/>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1</w:t>
            </w:r>
          </w:p>
        </w:tc>
        <w:tc>
          <w:tcPr>
            <w:tcW w:w="1170" w:type="pct"/>
            <w:noWrap w:val="0"/>
            <w:vAlign w:val="center"/>
          </w:tcPr>
          <w:p w14:paraId="7B75B550">
            <w:pPr>
              <w:keepNext w:val="0"/>
              <w:keepLines w:val="0"/>
              <w:widowControl/>
              <w:suppressLineNumbers w:val="0"/>
              <w:jc w:val="left"/>
              <w:textAlignment w:val="center"/>
              <w:rPr>
                <w:rStyle w:val="36"/>
                <w:rFonts w:hint="eastAsia" w:ascii="宋体" w:hAnsi="宋体" w:eastAsia="宋体" w:cs="宋体"/>
                <w:b w:val="0"/>
                <w:bCs w:val="0"/>
                <w:kern w:val="0"/>
                <w:sz w:val="24"/>
                <w:szCs w:val="24"/>
                <w:vertAlign w:val="baseline"/>
                <w:lang w:val="en-US" w:eastAsia="zh-CN" w:bidi="ar"/>
              </w:rPr>
            </w:pPr>
          </w:p>
        </w:tc>
        <w:tc>
          <w:tcPr>
            <w:tcW w:w="444" w:type="pct"/>
            <w:noWrap w:val="0"/>
            <w:vAlign w:val="top"/>
          </w:tcPr>
          <w:p w14:paraId="0D1D9A45">
            <w:pPr>
              <w:keepNext w:val="0"/>
              <w:keepLines w:val="0"/>
              <w:widowControl/>
              <w:suppressLineNumbers w:val="0"/>
              <w:jc w:val="left"/>
              <w:textAlignment w:val="center"/>
              <w:rPr>
                <w:rStyle w:val="36"/>
                <w:rFonts w:hint="default" w:ascii="宋体" w:hAnsi="宋体" w:eastAsia="宋体" w:cs="宋体"/>
                <w:b w:val="0"/>
                <w:bCs w:val="0"/>
                <w:kern w:val="0"/>
                <w:sz w:val="24"/>
                <w:szCs w:val="24"/>
                <w:vertAlign w:val="baseline"/>
                <w:lang w:val="en-US" w:eastAsia="zh-CN" w:bidi="ar"/>
              </w:rPr>
            </w:pPr>
          </w:p>
        </w:tc>
        <w:tc>
          <w:tcPr>
            <w:tcW w:w="975" w:type="pct"/>
            <w:vMerge w:val="continue"/>
            <w:noWrap w:val="0"/>
            <w:vAlign w:val="top"/>
          </w:tcPr>
          <w:p w14:paraId="39BC15AB">
            <w:pPr>
              <w:pStyle w:val="10"/>
              <w:numPr>
                <w:ilvl w:val="0"/>
                <w:numId w:val="0"/>
              </w:numPr>
              <w:jc w:val="center"/>
              <w:rPr>
                <w:rStyle w:val="36"/>
                <w:rFonts w:hint="default" w:ascii="宋体" w:hAnsi="宋体" w:cs="宋体"/>
                <w:b w:val="0"/>
                <w:bCs w:val="0"/>
                <w:kern w:val="0"/>
                <w:sz w:val="24"/>
                <w:szCs w:val="24"/>
                <w:vertAlign w:val="baseline"/>
                <w:lang w:val="en-US" w:eastAsia="zh-CN" w:bidi="ar"/>
              </w:rPr>
            </w:pPr>
          </w:p>
        </w:tc>
      </w:tr>
      <w:tr w14:paraId="5244D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1" w:hRule="atLeast"/>
        </w:trPr>
        <w:tc>
          <w:tcPr>
            <w:tcW w:w="438" w:type="pct"/>
            <w:noWrap w:val="0"/>
            <w:vAlign w:val="center"/>
          </w:tcPr>
          <w:p w14:paraId="261EA477">
            <w:pPr>
              <w:keepNext w:val="0"/>
              <w:keepLines w:val="0"/>
              <w:widowControl/>
              <w:suppressLineNumbers w:val="0"/>
              <w:shd w:val="clear" w:color="auto" w:fill="auto"/>
              <w:jc w:val="left"/>
              <w:textAlignment w:val="center"/>
              <w:rPr>
                <w:rStyle w:val="36"/>
                <w:rFonts w:hint="default"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1</w:t>
            </w:r>
          </w:p>
        </w:tc>
        <w:tc>
          <w:tcPr>
            <w:tcW w:w="1076" w:type="pct"/>
            <w:noWrap w:val="0"/>
            <w:vAlign w:val="center"/>
          </w:tcPr>
          <w:p w14:paraId="04228F7C">
            <w:pPr>
              <w:keepNext w:val="0"/>
              <w:keepLines w:val="0"/>
              <w:widowControl/>
              <w:suppressLineNumbers w:val="0"/>
              <w:shd w:val="clear" w:color="auto" w:fill="auto"/>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奖杯</w:t>
            </w:r>
          </w:p>
        </w:tc>
        <w:tc>
          <w:tcPr>
            <w:tcW w:w="419" w:type="pct"/>
            <w:noWrap w:val="0"/>
            <w:vAlign w:val="center"/>
          </w:tcPr>
          <w:p w14:paraId="4B12E645">
            <w:pPr>
              <w:keepNext w:val="0"/>
              <w:keepLines w:val="0"/>
              <w:widowControl/>
              <w:suppressLineNumbers w:val="0"/>
              <w:shd w:val="clear" w:color="auto" w:fill="auto"/>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个</w:t>
            </w:r>
          </w:p>
        </w:tc>
        <w:tc>
          <w:tcPr>
            <w:tcW w:w="473" w:type="pct"/>
            <w:noWrap w:val="0"/>
            <w:vAlign w:val="center"/>
          </w:tcPr>
          <w:p w14:paraId="40242B1E">
            <w:pPr>
              <w:keepNext w:val="0"/>
              <w:keepLines w:val="0"/>
              <w:widowControl/>
              <w:suppressLineNumbers w:val="0"/>
              <w:shd w:val="clear" w:color="auto" w:fill="auto"/>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3</w:t>
            </w:r>
          </w:p>
        </w:tc>
        <w:tc>
          <w:tcPr>
            <w:tcW w:w="1170" w:type="pct"/>
            <w:noWrap w:val="0"/>
            <w:vAlign w:val="center"/>
          </w:tcPr>
          <w:p w14:paraId="4ECC5F77">
            <w:pPr>
              <w:keepNext w:val="0"/>
              <w:keepLines w:val="0"/>
              <w:widowControl/>
              <w:suppressLineNumbers w:val="0"/>
              <w:shd w:val="clear" w:color="auto" w:fill="auto"/>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冠军、亚军、季军</w:t>
            </w:r>
          </w:p>
        </w:tc>
        <w:tc>
          <w:tcPr>
            <w:tcW w:w="444" w:type="pct"/>
            <w:noWrap w:val="0"/>
            <w:vAlign w:val="top"/>
          </w:tcPr>
          <w:p w14:paraId="2E859DE5">
            <w:pPr>
              <w:keepNext w:val="0"/>
              <w:keepLines w:val="0"/>
              <w:widowControl/>
              <w:suppressLineNumbers w:val="0"/>
              <w:shd w:val="clear" w:color="auto" w:fill="auto"/>
              <w:jc w:val="left"/>
              <w:textAlignment w:val="center"/>
              <w:rPr>
                <w:rStyle w:val="36"/>
                <w:rFonts w:hint="default" w:ascii="宋体" w:hAnsi="宋体" w:eastAsia="宋体" w:cs="宋体"/>
                <w:b w:val="0"/>
                <w:bCs w:val="0"/>
                <w:kern w:val="0"/>
                <w:sz w:val="24"/>
                <w:szCs w:val="24"/>
                <w:vertAlign w:val="baseline"/>
                <w:lang w:val="en-US" w:eastAsia="zh-CN" w:bidi="ar"/>
              </w:rPr>
            </w:pPr>
          </w:p>
        </w:tc>
        <w:tc>
          <w:tcPr>
            <w:tcW w:w="975" w:type="pct"/>
            <w:vMerge w:val="restart"/>
            <w:noWrap w:val="0"/>
            <w:vAlign w:val="top"/>
          </w:tcPr>
          <w:p w14:paraId="4AB81963">
            <w:pPr>
              <w:keepNext w:val="0"/>
              <w:keepLines w:val="0"/>
              <w:widowControl/>
              <w:suppressLineNumbers w:val="0"/>
              <w:shd w:val="clear" w:color="auto" w:fill="auto"/>
              <w:jc w:val="left"/>
              <w:textAlignment w:val="center"/>
              <w:rPr>
                <w:rStyle w:val="36"/>
                <w:rFonts w:hint="default" w:ascii="宋体" w:hAnsi="宋体" w:eastAsia="宋体" w:cs="宋体"/>
                <w:b w:val="0"/>
                <w:bCs w:val="0"/>
                <w:kern w:val="0"/>
                <w:sz w:val="24"/>
                <w:szCs w:val="24"/>
                <w:vertAlign w:val="baseline"/>
                <w:lang w:val="en-US" w:eastAsia="zh-CN" w:bidi="ar"/>
              </w:rPr>
            </w:pPr>
            <w:r>
              <w:rPr>
                <w:rStyle w:val="36"/>
                <w:rFonts w:hint="default" w:ascii="宋体" w:hAnsi="宋体" w:eastAsia="宋体" w:cs="宋体"/>
                <w:b w:val="0"/>
                <w:bCs w:val="0"/>
                <w:kern w:val="0"/>
                <w:sz w:val="24"/>
                <w:szCs w:val="24"/>
                <w:vertAlign w:val="baseline"/>
                <w:lang w:val="en-US" w:eastAsia="zh-CN" w:bidi="ar"/>
              </w:rPr>
              <w:t>奖杯、奖牌</w:t>
            </w:r>
            <w:r>
              <w:rPr>
                <w:rStyle w:val="36"/>
                <w:rFonts w:hint="eastAsia" w:ascii="宋体" w:hAnsi="宋体" w:eastAsia="宋体" w:cs="宋体"/>
                <w:b w:val="0"/>
                <w:bCs w:val="0"/>
                <w:kern w:val="0"/>
                <w:sz w:val="24"/>
                <w:szCs w:val="24"/>
                <w:vertAlign w:val="baseline"/>
                <w:lang w:val="en-US" w:eastAsia="zh-CN" w:bidi="ar"/>
              </w:rPr>
              <w:t>（包含但不限于此内容，具体以和招标人商议为主）</w:t>
            </w:r>
          </w:p>
        </w:tc>
      </w:tr>
      <w:tr w14:paraId="1FAEE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1" w:hRule="atLeast"/>
        </w:trPr>
        <w:tc>
          <w:tcPr>
            <w:tcW w:w="438" w:type="pct"/>
            <w:noWrap w:val="0"/>
            <w:vAlign w:val="center"/>
          </w:tcPr>
          <w:p w14:paraId="23BA2750">
            <w:pPr>
              <w:keepNext w:val="0"/>
              <w:keepLines w:val="0"/>
              <w:widowControl/>
              <w:suppressLineNumbers w:val="0"/>
              <w:shd w:val="clear" w:color="auto" w:fill="auto"/>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2</w:t>
            </w:r>
          </w:p>
        </w:tc>
        <w:tc>
          <w:tcPr>
            <w:tcW w:w="1076" w:type="pct"/>
            <w:noWrap w:val="0"/>
            <w:vAlign w:val="center"/>
          </w:tcPr>
          <w:p w14:paraId="501000DF">
            <w:pPr>
              <w:keepNext w:val="0"/>
              <w:keepLines w:val="0"/>
              <w:widowControl/>
              <w:suppressLineNumbers w:val="0"/>
              <w:shd w:val="clear" w:color="auto" w:fill="auto"/>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牌匾</w:t>
            </w:r>
          </w:p>
        </w:tc>
        <w:tc>
          <w:tcPr>
            <w:tcW w:w="419" w:type="pct"/>
            <w:noWrap w:val="0"/>
            <w:vAlign w:val="center"/>
          </w:tcPr>
          <w:p w14:paraId="600A1DB2">
            <w:pPr>
              <w:keepNext w:val="0"/>
              <w:keepLines w:val="0"/>
              <w:widowControl/>
              <w:suppressLineNumbers w:val="0"/>
              <w:shd w:val="clear" w:color="auto" w:fill="auto"/>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个</w:t>
            </w:r>
          </w:p>
        </w:tc>
        <w:tc>
          <w:tcPr>
            <w:tcW w:w="473" w:type="pct"/>
            <w:noWrap w:val="0"/>
            <w:vAlign w:val="center"/>
          </w:tcPr>
          <w:p w14:paraId="076E59DE">
            <w:pPr>
              <w:keepNext w:val="0"/>
              <w:keepLines w:val="0"/>
              <w:widowControl/>
              <w:suppressLineNumbers w:val="0"/>
              <w:shd w:val="clear" w:color="auto" w:fill="auto"/>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3</w:t>
            </w:r>
          </w:p>
        </w:tc>
        <w:tc>
          <w:tcPr>
            <w:tcW w:w="1170" w:type="pct"/>
            <w:noWrap w:val="0"/>
            <w:vAlign w:val="center"/>
          </w:tcPr>
          <w:p w14:paraId="01998297">
            <w:pPr>
              <w:keepNext w:val="0"/>
              <w:keepLines w:val="0"/>
              <w:widowControl/>
              <w:suppressLineNumbers w:val="0"/>
              <w:shd w:val="clear" w:color="auto" w:fill="auto"/>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冠军、亚军、季军</w:t>
            </w:r>
          </w:p>
        </w:tc>
        <w:tc>
          <w:tcPr>
            <w:tcW w:w="444" w:type="pct"/>
            <w:noWrap w:val="0"/>
            <w:vAlign w:val="top"/>
          </w:tcPr>
          <w:p w14:paraId="1BBFA272">
            <w:pPr>
              <w:keepNext w:val="0"/>
              <w:keepLines w:val="0"/>
              <w:widowControl/>
              <w:suppressLineNumbers w:val="0"/>
              <w:shd w:val="clear" w:color="auto" w:fill="auto"/>
              <w:jc w:val="left"/>
              <w:textAlignment w:val="center"/>
              <w:rPr>
                <w:rStyle w:val="36"/>
                <w:rFonts w:hint="default" w:ascii="宋体" w:hAnsi="宋体" w:eastAsia="宋体" w:cs="宋体"/>
                <w:b w:val="0"/>
                <w:bCs w:val="0"/>
                <w:kern w:val="0"/>
                <w:sz w:val="24"/>
                <w:szCs w:val="24"/>
                <w:vertAlign w:val="baseline"/>
                <w:lang w:val="en-US" w:eastAsia="zh-CN" w:bidi="ar"/>
              </w:rPr>
            </w:pPr>
          </w:p>
        </w:tc>
        <w:tc>
          <w:tcPr>
            <w:tcW w:w="975" w:type="pct"/>
            <w:vMerge w:val="continue"/>
            <w:noWrap w:val="0"/>
            <w:vAlign w:val="top"/>
          </w:tcPr>
          <w:p w14:paraId="40276D49">
            <w:pPr>
              <w:keepNext w:val="0"/>
              <w:keepLines w:val="0"/>
              <w:widowControl/>
              <w:suppressLineNumbers w:val="0"/>
              <w:shd w:val="clear" w:color="auto" w:fill="auto"/>
              <w:jc w:val="left"/>
              <w:textAlignment w:val="center"/>
              <w:rPr>
                <w:rStyle w:val="36"/>
                <w:rFonts w:hint="default" w:ascii="宋体" w:hAnsi="宋体" w:eastAsia="宋体" w:cs="宋体"/>
                <w:b w:val="0"/>
                <w:bCs w:val="0"/>
                <w:kern w:val="0"/>
                <w:sz w:val="24"/>
                <w:szCs w:val="24"/>
                <w:vertAlign w:val="baseline"/>
                <w:lang w:val="en-US" w:eastAsia="zh-CN" w:bidi="ar"/>
              </w:rPr>
            </w:pPr>
          </w:p>
        </w:tc>
      </w:tr>
      <w:tr w14:paraId="205C2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1" w:hRule="atLeast"/>
        </w:trPr>
        <w:tc>
          <w:tcPr>
            <w:tcW w:w="438" w:type="pct"/>
            <w:noWrap w:val="0"/>
            <w:vAlign w:val="center"/>
          </w:tcPr>
          <w:p w14:paraId="2BD7A0B8">
            <w:pPr>
              <w:keepNext w:val="0"/>
              <w:keepLines w:val="0"/>
              <w:widowControl/>
              <w:suppressLineNumbers w:val="0"/>
              <w:shd w:val="clear" w:color="auto" w:fill="auto"/>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3</w:t>
            </w:r>
          </w:p>
        </w:tc>
        <w:tc>
          <w:tcPr>
            <w:tcW w:w="1076" w:type="pct"/>
            <w:noWrap w:val="0"/>
            <w:vAlign w:val="center"/>
          </w:tcPr>
          <w:p w14:paraId="68160632">
            <w:pPr>
              <w:keepNext w:val="0"/>
              <w:keepLines w:val="0"/>
              <w:widowControl/>
              <w:suppressLineNumbers w:val="0"/>
              <w:shd w:val="clear" w:color="auto" w:fill="auto"/>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奖牌(挂脖)</w:t>
            </w:r>
          </w:p>
        </w:tc>
        <w:tc>
          <w:tcPr>
            <w:tcW w:w="419" w:type="pct"/>
            <w:noWrap w:val="0"/>
            <w:vAlign w:val="center"/>
          </w:tcPr>
          <w:p w14:paraId="052724B3">
            <w:pPr>
              <w:keepNext w:val="0"/>
              <w:keepLines w:val="0"/>
              <w:widowControl/>
              <w:suppressLineNumbers w:val="0"/>
              <w:shd w:val="clear" w:color="auto" w:fill="auto"/>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个</w:t>
            </w:r>
          </w:p>
        </w:tc>
        <w:tc>
          <w:tcPr>
            <w:tcW w:w="473" w:type="pct"/>
            <w:noWrap w:val="0"/>
            <w:vAlign w:val="center"/>
          </w:tcPr>
          <w:p w14:paraId="1F82D3D5">
            <w:pPr>
              <w:keepNext w:val="0"/>
              <w:keepLines w:val="0"/>
              <w:widowControl/>
              <w:suppressLineNumbers w:val="0"/>
              <w:shd w:val="clear" w:color="auto" w:fill="auto"/>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60</w:t>
            </w:r>
          </w:p>
        </w:tc>
        <w:tc>
          <w:tcPr>
            <w:tcW w:w="1170" w:type="pct"/>
            <w:noWrap w:val="0"/>
            <w:vAlign w:val="center"/>
          </w:tcPr>
          <w:p w14:paraId="165BFBD1">
            <w:pPr>
              <w:keepNext w:val="0"/>
              <w:keepLines w:val="0"/>
              <w:widowControl/>
              <w:suppressLineNumbers w:val="0"/>
              <w:shd w:val="clear" w:color="auto" w:fill="auto"/>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冠军、亚军、季军,每队20人</w:t>
            </w:r>
          </w:p>
        </w:tc>
        <w:tc>
          <w:tcPr>
            <w:tcW w:w="444" w:type="pct"/>
            <w:noWrap w:val="0"/>
            <w:vAlign w:val="top"/>
          </w:tcPr>
          <w:p w14:paraId="24AD1712">
            <w:pPr>
              <w:keepNext w:val="0"/>
              <w:keepLines w:val="0"/>
              <w:widowControl/>
              <w:suppressLineNumbers w:val="0"/>
              <w:shd w:val="clear" w:color="auto" w:fill="auto"/>
              <w:jc w:val="left"/>
              <w:textAlignment w:val="center"/>
              <w:rPr>
                <w:rStyle w:val="36"/>
                <w:rFonts w:hint="default" w:ascii="宋体" w:hAnsi="宋体" w:eastAsia="宋体" w:cs="宋体"/>
                <w:b w:val="0"/>
                <w:bCs w:val="0"/>
                <w:kern w:val="0"/>
                <w:sz w:val="24"/>
                <w:szCs w:val="24"/>
                <w:vertAlign w:val="baseline"/>
                <w:lang w:val="en-US" w:eastAsia="zh-CN" w:bidi="ar"/>
              </w:rPr>
            </w:pPr>
          </w:p>
        </w:tc>
        <w:tc>
          <w:tcPr>
            <w:tcW w:w="975" w:type="pct"/>
            <w:vMerge w:val="continue"/>
            <w:noWrap w:val="0"/>
            <w:vAlign w:val="top"/>
          </w:tcPr>
          <w:p w14:paraId="1F01BD23">
            <w:pPr>
              <w:keepNext w:val="0"/>
              <w:keepLines w:val="0"/>
              <w:widowControl/>
              <w:suppressLineNumbers w:val="0"/>
              <w:shd w:val="clear" w:color="auto" w:fill="auto"/>
              <w:jc w:val="left"/>
              <w:textAlignment w:val="center"/>
              <w:rPr>
                <w:rStyle w:val="36"/>
                <w:rFonts w:hint="default" w:ascii="宋体" w:hAnsi="宋体" w:eastAsia="宋体" w:cs="宋体"/>
                <w:b w:val="0"/>
                <w:bCs w:val="0"/>
                <w:kern w:val="0"/>
                <w:sz w:val="24"/>
                <w:szCs w:val="24"/>
                <w:vertAlign w:val="baseline"/>
                <w:lang w:val="en-US" w:eastAsia="zh-CN" w:bidi="ar"/>
              </w:rPr>
            </w:pPr>
          </w:p>
        </w:tc>
      </w:tr>
      <w:tr w14:paraId="0C01A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1" w:hRule="atLeast"/>
        </w:trPr>
        <w:tc>
          <w:tcPr>
            <w:tcW w:w="438" w:type="pct"/>
            <w:noWrap w:val="0"/>
            <w:vAlign w:val="center"/>
          </w:tcPr>
          <w:p w14:paraId="5AE23379">
            <w:pPr>
              <w:keepNext w:val="0"/>
              <w:keepLines w:val="0"/>
              <w:widowControl/>
              <w:suppressLineNumbers w:val="0"/>
              <w:shd w:val="clear" w:color="auto" w:fill="auto"/>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4</w:t>
            </w:r>
          </w:p>
        </w:tc>
        <w:tc>
          <w:tcPr>
            <w:tcW w:w="1076" w:type="pct"/>
            <w:noWrap w:val="0"/>
            <w:vAlign w:val="center"/>
          </w:tcPr>
          <w:p w14:paraId="6E6A5E15">
            <w:pPr>
              <w:keepNext w:val="0"/>
              <w:keepLines w:val="0"/>
              <w:widowControl/>
              <w:suppressLineNumbers w:val="0"/>
              <w:shd w:val="clear" w:color="auto" w:fill="auto"/>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奖杯</w:t>
            </w:r>
          </w:p>
        </w:tc>
        <w:tc>
          <w:tcPr>
            <w:tcW w:w="419" w:type="pct"/>
            <w:noWrap w:val="0"/>
            <w:vAlign w:val="center"/>
          </w:tcPr>
          <w:p w14:paraId="6E178BCD">
            <w:pPr>
              <w:keepNext w:val="0"/>
              <w:keepLines w:val="0"/>
              <w:widowControl/>
              <w:suppressLineNumbers w:val="0"/>
              <w:shd w:val="clear" w:color="auto" w:fill="auto"/>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个</w:t>
            </w:r>
          </w:p>
        </w:tc>
        <w:tc>
          <w:tcPr>
            <w:tcW w:w="473" w:type="pct"/>
            <w:noWrap w:val="0"/>
            <w:vAlign w:val="center"/>
          </w:tcPr>
          <w:p w14:paraId="1F24A8FE">
            <w:pPr>
              <w:keepNext w:val="0"/>
              <w:keepLines w:val="0"/>
              <w:widowControl/>
              <w:suppressLineNumbers w:val="0"/>
              <w:shd w:val="clear" w:color="auto" w:fill="auto"/>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2</w:t>
            </w:r>
          </w:p>
        </w:tc>
        <w:tc>
          <w:tcPr>
            <w:tcW w:w="1170" w:type="pct"/>
            <w:noWrap w:val="0"/>
            <w:vAlign w:val="center"/>
          </w:tcPr>
          <w:p w14:paraId="59C4EDBD">
            <w:pPr>
              <w:keepNext w:val="0"/>
              <w:keepLines w:val="0"/>
              <w:widowControl/>
              <w:suppressLineNumbers w:val="0"/>
              <w:shd w:val="clear" w:color="auto" w:fill="auto"/>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最佳射手、最佳守门员</w:t>
            </w:r>
          </w:p>
        </w:tc>
        <w:tc>
          <w:tcPr>
            <w:tcW w:w="444" w:type="pct"/>
            <w:noWrap w:val="0"/>
            <w:vAlign w:val="top"/>
          </w:tcPr>
          <w:p w14:paraId="5511CD0D">
            <w:pPr>
              <w:keepNext w:val="0"/>
              <w:keepLines w:val="0"/>
              <w:widowControl/>
              <w:suppressLineNumbers w:val="0"/>
              <w:shd w:val="clear" w:color="auto" w:fill="auto"/>
              <w:jc w:val="left"/>
              <w:textAlignment w:val="center"/>
              <w:rPr>
                <w:rStyle w:val="36"/>
                <w:rFonts w:hint="default" w:ascii="宋体" w:hAnsi="宋体" w:eastAsia="宋体" w:cs="宋体"/>
                <w:b w:val="0"/>
                <w:bCs w:val="0"/>
                <w:kern w:val="0"/>
                <w:sz w:val="24"/>
                <w:szCs w:val="24"/>
                <w:vertAlign w:val="baseline"/>
                <w:lang w:val="en-US" w:eastAsia="zh-CN" w:bidi="ar"/>
              </w:rPr>
            </w:pPr>
          </w:p>
        </w:tc>
        <w:tc>
          <w:tcPr>
            <w:tcW w:w="975" w:type="pct"/>
            <w:vMerge w:val="continue"/>
            <w:noWrap w:val="0"/>
            <w:vAlign w:val="top"/>
          </w:tcPr>
          <w:p w14:paraId="37A7CDEE">
            <w:pPr>
              <w:keepNext w:val="0"/>
              <w:keepLines w:val="0"/>
              <w:widowControl/>
              <w:suppressLineNumbers w:val="0"/>
              <w:shd w:val="clear" w:color="auto" w:fill="auto"/>
              <w:jc w:val="left"/>
              <w:textAlignment w:val="center"/>
              <w:rPr>
                <w:rStyle w:val="36"/>
                <w:rFonts w:hint="default" w:ascii="宋体" w:hAnsi="宋体" w:eastAsia="宋体" w:cs="宋体"/>
                <w:b w:val="0"/>
                <w:bCs w:val="0"/>
                <w:kern w:val="0"/>
                <w:sz w:val="24"/>
                <w:szCs w:val="24"/>
                <w:vertAlign w:val="baseline"/>
                <w:lang w:val="en-US" w:eastAsia="zh-CN" w:bidi="ar"/>
              </w:rPr>
            </w:pPr>
          </w:p>
        </w:tc>
      </w:tr>
      <w:tr w14:paraId="1F8ED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1" w:hRule="atLeast"/>
        </w:trPr>
        <w:tc>
          <w:tcPr>
            <w:tcW w:w="438" w:type="pct"/>
            <w:noWrap w:val="0"/>
            <w:vAlign w:val="center"/>
          </w:tcPr>
          <w:p w14:paraId="00828BFA">
            <w:pPr>
              <w:keepNext w:val="0"/>
              <w:keepLines w:val="0"/>
              <w:widowControl/>
              <w:suppressLineNumbers w:val="0"/>
              <w:shd w:val="clear" w:color="auto" w:fill="auto"/>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5</w:t>
            </w:r>
          </w:p>
        </w:tc>
        <w:tc>
          <w:tcPr>
            <w:tcW w:w="1076" w:type="pct"/>
            <w:noWrap w:val="0"/>
            <w:vAlign w:val="center"/>
          </w:tcPr>
          <w:p w14:paraId="2B2AFF59">
            <w:pPr>
              <w:keepNext w:val="0"/>
              <w:keepLines w:val="0"/>
              <w:widowControl/>
              <w:suppressLineNumbers w:val="0"/>
              <w:shd w:val="clear" w:color="auto" w:fill="auto"/>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奖牌</w:t>
            </w:r>
          </w:p>
        </w:tc>
        <w:tc>
          <w:tcPr>
            <w:tcW w:w="419" w:type="pct"/>
            <w:noWrap w:val="0"/>
            <w:vAlign w:val="center"/>
          </w:tcPr>
          <w:p w14:paraId="26588218">
            <w:pPr>
              <w:keepNext w:val="0"/>
              <w:keepLines w:val="0"/>
              <w:widowControl/>
              <w:suppressLineNumbers w:val="0"/>
              <w:shd w:val="clear" w:color="auto" w:fill="auto"/>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个</w:t>
            </w:r>
          </w:p>
        </w:tc>
        <w:tc>
          <w:tcPr>
            <w:tcW w:w="473" w:type="pct"/>
            <w:noWrap w:val="0"/>
            <w:vAlign w:val="center"/>
          </w:tcPr>
          <w:p w14:paraId="0A512C1A">
            <w:pPr>
              <w:keepNext w:val="0"/>
              <w:keepLines w:val="0"/>
              <w:widowControl/>
              <w:suppressLineNumbers w:val="0"/>
              <w:shd w:val="clear" w:color="auto" w:fill="auto"/>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27</w:t>
            </w:r>
          </w:p>
        </w:tc>
        <w:tc>
          <w:tcPr>
            <w:tcW w:w="1170" w:type="pct"/>
            <w:noWrap w:val="0"/>
            <w:vAlign w:val="center"/>
          </w:tcPr>
          <w:p w14:paraId="3FB7A072">
            <w:pPr>
              <w:keepNext w:val="0"/>
              <w:keepLines w:val="0"/>
              <w:widowControl/>
              <w:suppressLineNumbers w:val="0"/>
              <w:shd w:val="clear" w:color="auto" w:fill="auto"/>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民族团结友谊奖</w:t>
            </w:r>
          </w:p>
        </w:tc>
        <w:tc>
          <w:tcPr>
            <w:tcW w:w="444" w:type="pct"/>
            <w:noWrap w:val="0"/>
            <w:vAlign w:val="top"/>
          </w:tcPr>
          <w:p w14:paraId="5D4C0B72">
            <w:pPr>
              <w:keepNext w:val="0"/>
              <w:keepLines w:val="0"/>
              <w:widowControl/>
              <w:suppressLineNumbers w:val="0"/>
              <w:shd w:val="clear" w:color="auto" w:fill="auto"/>
              <w:jc w:val="left"/>
              <w:textAlignment w:val="center"/>
              <w:rPr>
                <w:rStyle w:val="36"/>
                <w:rFonts w:hint="default" w:ascii="宋体" w:hAnsi="宋体" w:eastAsia="宋体" w:cs="宋体"/>
                <w:b w:val="0"/>
                <w:bCs w:val="0"/>
                <w:kern w:val="0"/>
                <w:sz w:val="24"/>
                <w:szCs w:val="24"/>
                <w:vertAlign w:val="baseline"/>
                <w:lang w:val="en-US" w:eastAsia="zh-CN" w:bidi="ar"/>
              </w:rPr>
            </w:pPr>
          </w:p>
        </w:tc>
        <w:tc>
          <w:tcPr>
            <w:tcW w:w="975" w:type="pct"/>
            <w:vMerge w:val="continue"/>
            <w:noWrap w:val="0"/>
            <w:vAlign w:val="top"/>
          </w:tcPr>
          <w:p w14:paraId="5025EF4B">
            <w:pPr>
              <w:keepNext w:val="0"/>
              <w:keepLines w:val="0"/>
              <w:widowControl/>
              <w:suppressLineNumbers w:val="0"/>
              <w:shd w:val="clear" w:color="auto" w:fill="auto"/>
              <w:jc w:val="left"/>
              <w:textAlignment w:val="center"/>
              <w:rPr>
                <w:rStyle w:val="36"/>
                <w:rFonts w:hint="default" w:ascii="宋体" w:hAnsi="宋体" w:eastAsia="宋体" w:cs="宋体"/>
                <w:b w:val="0"/>
                <w:bCs w:val="0"/>
                <w:kern w:val="0"/>
                <w:sz w:val="24"/>
                <w:szCs w:val="24"/>
                <w:vertAlign w:val="baseline"/>
                <w:lang w:val="en-US" w:eastAsia="zh-CN" w:bidi="ar"/>
              </w:rPr>
            </w:pPr>
          </w:p>
        </w:tc>
      </w:tr>
      <w:tr w14:paraId="555D7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1" w:hRule="atLeast"/>
        </w:trPr>
        <w:tc>
          <w:tcPr>
            <w:tcW w:w="438" w:type="pct"/>
            <w:noWrap w:val="0"/>
            <w:vAlign w:val="center"/>
          </w:tcPr>
          <w:p w14:paraId="39A53D63">
            <w:pPr>
              <w:keepNext w:val="0"/>
              <w:keepLines w:val="0"/>
              <w:widowControl/>
              <w:suppressLineNumbers w:val="0"/>
              <w:shd w:val="clear" w:color="auto" w:fill="auto"/>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6</w:t>
            </w:r>
          </w:p>
        </w:tc>
        <w:tc>
          <w:tcPr>
            <w:tcW w:w="1076" w:type="pct"/>
            <w:noWrap w:val="0"/>
            <w:vAlign w:val="center"/>
          </w:tcPr>
          <w:p w14:paraId="0E7C13FB">
            <w:pPr>
              <w:keepNext w:val="0"/>
              <w:keepLines w:val="0"/>
              <w:widowControl/>
              <w:suppressLineNumbers w:val="0"/>
              <w:shd w:val="clear" w:color="auto" w:fill="auto"/>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奖杯</w:t>
            </w:r>
          </w:p>
        </w:tc>
        <w:tc>
          <w:tcPr>
            <w:tcW w:w="419" w:type="pct"/>
            <w:noWrap w:val="0"/>
            <w:vAlign w:val="center"/>
          </w:tcPr>
          <w:p w14:paraId="76ED1AE1">
            <w:pPr>
              <w:keepNext w:val="0"/>
              <w:keepLines w:val="0"/>
              <w:widowControl/>
              <w:suppressLineNumbers w:val="0"/>
              <w:shd w:val="clear" w:color="auto" w:fill="auto"/>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个</w:t>
            </w:r>
          </w:p>
        </w:tc>
        <w:tc>
          <w:tcPr>
            <w:tcW w:w="473" w:type="pct"/>
            <w:noWrap w:val="0"/>
            <w:vAlign w:val="center"/>
          </w:tcPr>
          <w:p w14:paraId="744E21B2">
            <w:pPr>
              <w:keepNext w:val="0"/>
              <w:keepLines w:val="0"/>
              <w:widowControl/>
              <w:suppressLineNumbers w:val="0"/>
              <w:shd w:val="clear" w:color="auto" w:fill="auto"/>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30</w:t>
            </w:r>
          </w:p>
        </w:tc>
        <w:tc>
          <w:tcPr>
            <w:tcW w:w="1170" w:type="pct"/>
            <w:noWrap w:val="0"/>
            <w:vAlign w:val="center"/>
          </w:tcPr>
          <w:p w14:paraId="28ECDB16">
            <w:pPr>
              <w:keepNext w:val="0"/>
              <w:keepLines w:val="0"/>
              <w:widowControl/>
              <w:suppressLineNumbers w:val="0"/>
              <w:shd w:val="clear" w:color="auto" w:fill="auto"/>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优秀运动员、每个队伍</w:t>
            </w:r>
          </w:p>
        </w:tc>
        <w:tc>
          <w:tcPr>
            <w:tcW w:w="444" w:type="pct"/>
            <w:noWrap w:val="0"/>
            <w:vAlign w:val="top"/>
          </w:tcPr>
          <w:p w14:paraId="62565712">
            <w:pPr>
              <w:keepNext w:val="0"/>
              <w:keepLines w:val="0"/>
              <w:widowControl/>
              <w:suppressLineNumbers w:val="0"/>
              <w:shd w:val="clear" w:color="auto" w:fill="auto"/>
              <w:jc w:val="left"/>
              <w:textAlignment w:val="center"/>
              <w:rPr>
                <w:rStyle w:val="36"/>
                <w:rFonts w:hint="default" w:ascii="宋体" w:hAnsi="宋体" w:eastAsia="宋体" w:cs="宋体"/>
                <w:b w:val="0"/>
                <w:bCs w:val="0"/>
                <w:kern w:val="0"/>
                <w:sz w:val="24"/>
                <w:szCs w:val="24"/>
                <w:vertAlign w:val="baseline"/>
                <w:lang w:val="en-US" w:eastAsia="zh-CN" w:bidi="ar"/>
              </w:rPr>
            </w:pPr>
          </w:p>
        </w:tc>
        <w:tc>
          <w:tcPr>
            <w:tcW w:w="975" w:type="pct"/>
            <w:vMerge w:val="continue"/>
            <w:noWrap w:val="0"/>
            <w:vAlign w:val="top"/>
          </w:tcPr>
          <w:p w14:paraId="61F810DE">
            <w:pPr>
              <w:keepNext w:val="0"/>
              <w:keepLines w:val="0"/>
              <w:widowControl/>
              <w:suppressLineNumbers w:val="0"/>
              <w:shd w:val="clear" w:color="auto" w:fill="auto"/>
              <w:jc w:val="left"/>
              <w:textAlignment w:val="center"/>
              <w:rPr>
                <w:rStyle w:val="36"/>
                <w:rFonts w:hint="default" w:ascii="宋体" w:hAnsi="宋体" w:eastAsia="宋体" w:cs="宋体"/>
                <w:b w:val="0"/>
                <w:bCs w:val="0"/>
                <w:kern w:val="0"/>
                <w:sz w:val="24"/>
                <w:szCs w:val="24"/>
                <w:vertAlign w:val="baseline"/>
                <w:lang w:val="en-US" w:eastAsia="zh-CN" w:bidi="ar"/>
              </w:rPr>
            </w:pPr>
          </w:p>
        </w:tc>
      </w:tr>
      <w:tr w14:paraId="5545A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1" w:hRule="atLeast"/>
        </w:trPr>
        <w:tc>
          <w:tcPr>
            <w:tcW w:w="438" w:type="pct"/>
            <w:noWrap w:val="0"/>
            <w:vAlign w:val="center"/>
          </w:tcPr>
          <w:p w14:paraId="49E57DD3">
            <w:pPr>
              <w:keepNext w:val="0"/>
              <w:keepLines w:val="0"/>
              <w:widowControl/>
              <w:suppressLineNumbers w:val="0"/>
              <w:shd w:val="clear" w:color="auto" w:fill="auto"/>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7</w:t>
            </w:r>
          </w:p>
        </w:tc>
        <w:tc>
          <w:tcPr>
            <w:tcW w:w="1076" w:type="pct"/>
            <w:noWrap w:val="0"/>
            <w:vAlign w:val="center"/>
          </w:tcPr>
          <w:p w14:paraId="78F0C545">
            <w:pPr>
              <w:keepNext w:val="0"/>
              <w:keepLines w:val="0"/>
              <w:widowControl/>
              <w:suppressLineNumbers w:val="0"/>
              <w:shd w:val="clear" w:color="auto" w:fill="auto"/>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花束</w:t>
            </w:r>
          </w:p>
        </w:tc>
        <w:tc>
          <w:tcPr>
            <w:tcW w:w="419" w:type="pct"/>
            <w:noWrap w:val="0"/>
            <w:vAlign w:val="center"/>
          </w:tcPr>
          <w:p w14:paraId="6E9B3905">
            <w:pPr>
              <w:keepNext w:val="0"/>
              <w:keepLines w:val="0"/>
              <w:widowControl/>
              <w:suppressLineNumbers w:val="0"/>
              <w:shd w:val="clear" w:color="auto" w:fill="auto"/>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个</w:t>
            </w:r>
          </w:p>
        </w:tc>
        <w:tc>
          <w:tcPr>
            <w:tcW w:w="473" w:type="pct"/>
            <w:noWrap w:val="0"/>
            <w:vAlign w:val="center"/>
          </w:tcPr>
          <w:p w14:paraId="16EFF439">
            <w:pPr>
              <w:keepNext w:val="0"/>
              <w:keepLines w:val="0"/>
              <w:widowControl/>
              <w:suppressLineNumbers w:val="0"/>
              <w:shd w:val="clear" w:color="auto" w:fill="auto"/>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60</w:t>
            </w:r>
          </w:p>
        </w:tc>
        <w:tc>
          <w:tcPr>
            <w:tcW w:w="1170" w:type="pct"/>
            <w:noWrap w:val="0"/>
            <w:vAlign w:val="center"/>
          </w:tcPr>
          <w:p w14:paraId="2216364C">
            <w:pPr>
              <w:keepNext w:val="0"/>
              <w:keepLines w:val="0"/>
              <w:widowControl/>
              <w:suppressLineNumbers w:val="0"/>
              <w:shd w:val="clear" w:color="auto" w:fill="auto"/>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冠军、亚军、季军</w:t>
            </w:r>
          </w:p>
        </w:tc>
        <w:tc>
          <w:tcPr>
            <w:tcW w:w="444" w:type="pct"/>
            <w:noWrap w:val="0"/>
            <w:vAlign w:val="top"/>
          </w:tcPr>
          <w:p w14:paraId="69957587">
            <w:pPr>
              <w:keepNext w:val="0"/>
              <w:keepLines w:val="0"/>
              <w:widowControl/>
              <w:suppressLineNumbers w:val="0"/>
              <w:shd w:val="clear" w:color="auto" w:fill="auto"/>
              <w:jc w:val="left"/>
              <w:textAlignment w:val="center"/>
              <w:rPr>
                <w:rStyle w:val="36"/>
                <w:rFonts w:hint="default" w:ascii="宋体" w:hAnsi="宋体" w:eastAsia="宋体" w:cs="宋体"/>
                <w:b w:val="0"/>
                <w:bCs w:val="0"/>
                <w:kern w:val="0"/>
                <w:sz w:val="24"/>
                <w:szCs w:val="24"/>
                <w:vertAlign w:val="baseline"/>
                <w:lang w:val="en-US" w:eastAsia="zh-CN" w:bidi="ar"/>
              </w:rPr>
            </w:pPr>
          </w:p>
        </w:tc>
        <w:tc>
          <w:tcPr>
            <w:tcW w:w="975" w:type="pct"/>
            <w:vMerge w:val="continue"/>
            <w:noWrap w:val="0"/>
            <w:vAlign w:val="top"/>
          </w:tcPr>
          <w:p w14:paraId="5AABC85A">
            <w:pPr>
              <w:keepNext w:val="0"/>
              <w:keepLines w:val="0"/>
              <w:widowControl/>
              <w:suppressLineNumbers w:val="0"/>
              <w:shd w:val="clear" w:color="auto" w:fill="auto"/>
              <w:jc w:val="left"/>
              <w:textAlignment w:val="center"/>
              <w:rPr>
                <w:rStyle w:val="36"/>
                <w:rFonts w:hint="default" w:ascii="宋体" w:hAnsi="宋体" w:eastAsia="宋体" w:cs="宋体"/>
                <w:b w:val="0"/>
                <w:bCs w:val="0"/>
                <w:kern w:val="0"/>
                <w:sz w:val="24"/>
                <w:szCs w:val="24"/>
                <w:vertAlign w:val="baseline"/>
                <w:lang w:val="en-US" w:eastAsia="zh-CN" w:bidi="ar"/>
              </w:rPr>
            </w:pPr>
          </w:p>
        </w:tc>
      </w:tr>
      <w:tr w14:paraId="444B7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1" w:hRule="atLeast"/>
        </w:trPr>
        <w:tc>
          <w:tcPr>
            <w:tcW w:w="438" w:type="pct"/>
            <w:noWrap w:val="0"/>
            <w:vAlign w:val="center"/>
          </w:tcPr>
          <w:p w14:paraId="3C0817F4">
            <w:pPr>
              <w:keepNext w:val="0"/>
              <w:keepLines w:val="0"/>
              <w:widowControl/>
              <w:suppressLineNumbers w:val="0"/>
              <w:shd w:val="clear" w:color="auto" w:fill="auto"/>
              <w:jc w:val="left"/>
              <w:textAlignment w:val="center"/>
              <w:rPr>
                <w:rStyle w:val="36"/>
                <w:rFonts w:hint="default"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1</w:t>
            </w:r>
          </w:p>
        </w:tc>
        <w:tc>
          <w:tcPr>
            <w:tcW w:w="1076" w:type="pct"/>
            <w:noWrap w:val="0"/>
            <w:vAlign w:val="center"/>
          </w:tcPr>
          <w:p w14:paraId="64B18AEB">
            <w:pPr>
              <w:keepNext w:val="0"/>
              <w:keepLines w:val="0"/>
              <w:widowControl/>
              <w:suppressLineNumbers w:val="0"/>
              <w:shd w:val="clear" w:color="auto" w:fill="auto"/>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固定机位</w:t>
            </w:r>
          </w:p>
        </w:tc>
        <w:tc>
          <w:tcPr>
            <w:tcW w:w="419" w:type="pct"/>
            <w:noWrap w:val="0"/>
            <w:vAlign w:val="center"/>
          </w:tcPr>
          <w:p w14:paraId="0FA9D8DB">
            <w:pPr>
              <w:keepNext w:val="0"/>
              <w:keepLines w:val="0"/>
              <w:widowControl/>
              <w:suppressLineNumbers w:val="0"/>
              <w:shd w:val="clear" w:color="auto" w:fill="auto"/>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个</w:t>
            </w:r>
          </w:p>
        </w:tc>
        <w:tc>
          <w:tcPr>
            <w:tcW w:w="473" w:type="pct"/>
            <w:noWrap w:val="0"/>
            <w:vAlign w:val="center"/>
          </w:tcPr>
          <w:p w14:paraId="1123AFF1">
            <w:pPr>
              <w:keepNext w:val="0"/>
              <w:keepLines w:val="0"/>
              <w:widowControl/>
              <w:suppressLineNumbers w:val="0"/>
              <w:shd w:val="clear" w:color="auto" w:fill="auto"/>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3</w:t>
            </w:r>
          </w:p>
        </w:tc>
        <w:tc>
          <w:tcPr>
            <w:tcW w:w="1170" w:type="pct"/>
            <w:noWrap w:val="0"/>
            <w:vAlign w:val="center"/>
          </w:tcPr>
          <w:p w14:paraId="57146CFF">
            <w:pPr>
              <w:keepNext w:val="0"/>
              <w:keepLines w:val="0"/>
              <w:widowControl/>
              <w:suppressLineNumbers w:val="0"/>
              <w:shd w:val="clear" w:color="auto" w:fill="auto"/>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开闭幕式左中右三机位</w:t>
            </w:r>
          </w:p>
        </w:tc>
        <w:tc>
          <w:tcPr>
            <w:tcW w:w="444" w:type="pct"/>
            <w:noWrap w:val="0"/>
            <w:vAlign w:val="top"/>
          </w:tcPr>
          <w:p w14:paraId="081A9209">
            <w:pPr>
              <w:keepNext w:val="0"/>
              <w:keepLines w:val="0"/>
              <w:widowControl/>
              <w:suppressLineNumbers w:val="0"/>
              <w:shd w:val="clear" w:color="auto" w:fill="auto"/>
              <w:jc w:val="left"/>
              <w:textAlignment w:val="center"/>
              <w:rPr>
                <w:rStyle w:val="36"/>
                <w:rFonts w:hint="default" w:ascii="宋体" w:hAnsi="宋体" w:eastAsia="宋体" w:cs="宋体"/>
                <w:b w:val="0"/>
                <w:bCs w:val="0"/>
                <w:kern w:val="0"/>
                <w:sz w:val="24"/>
                <w:szCs w:val="24"/>
                <w:vertAlign w:val="baseline"/>
                <w:lang w:val="en-US" w:eastAsia="zh-CN" w:bidi="ar"/>
              </w:rPr>
            </w:pPr>
          </w:p>
        </w:tc>
        <w:tc>
          <w:tcPr>
            <w:tcW w:w="975" w:type="pct"/>
            <w:vMerge w:val="restart"/>
            <w:noWrap w:val="0"/>
            <w:vAlign w:val="top"/>
          </w:tcPr>
          <w:p w14:paraId="67E91960">
            <w:pPr>
              <w:keepNext w:val="0"/>
              <w:keepLines w:val="0"/>
              <w:widowControl/>
              <w:suppressLineNumbers w:val="0"/>
              <w:shd w:val="clear" w:color="auto" w:fill="auto"/>
              <w:jc w:val="left"/>
              <w:textAlignment w:val="center"/>
              <w:rPr>
                <w:rStyle w:val="36"/>
                <w:rFonts w:hint="default" w:ascii="宋体" w:hAnsi="宋体" w:eastAsia="宋体" w:cs="宋体"/>
                <w:b w:val="0"/>
                <w:bCs w:val="0"/>
                <w:kern w:val="0"/>
                <w:sz w:val="24"/>
                <w:szCs w:val="24"/>
                <w:vertAlign w:val="baseline"/>
                <w:lang w:val="en-US" w:eastAsia="zh-CN" w:bidi="ar"/>
              </w:rPr>
            </w:pPr>
            <w:r>
              <w:rPr>
                <w:rStyle w:val="36"/>
                <w:rFonts w:hint="default" w:ascii="宋体" w:hAnsi="宋体" w:eastAsia="宋体" w:cs="宋体"/>
                <w:b w:val="0"/>
                <w:bCs w:val="0"/>
                <w:kern w:val="0"/>
                <w:sz w:val="24"/>
                <w:szCs w:val="24"/>
                <w:vertAlign w:val="baseline"/>
                <w:lang w:val="en-US" w:eastAsia="zh-CN" w:bidi="ar"/>
              </w:rPr>
              <w:t>直播及摄录</w:t>
            </w:r>
            <w:r>
              <w:rPr>
                <w:rStyle w:val="36"/>
                <w:rFonts w:hint="eastAsia" w:ascii="宋体" w:hAnsi="宋体" w:eastAsia="宋体" w:cs="宋体"/>
                <w:b w:val="0"/>
                <w:bCs w:val="0"/>
                <w:kern w:val="0"/>
                <w:sz w:val="24"/>
                <w:szCs w:val="24"/>
                <w:vertAlign w:val="baseline"/>
                <w:lang w:val="en-US" w:eastAsia="zh-CN" w:bidi="ar"/>
              </w:rPr>
              <w:t>（包含但不限于此内容，具体以和招标人商议为主）</w:t>
            </w:r>
          </w:p>
        </w:tc>
      </w:tr>
      <w:tr w14:paraId="24864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1" w:hRule="atLeast"/>
        </w:trPr>
        <w:tc>
          <w:tcPr>
            <w:tcW w:w="438" w:type="pct"/>
            <w:noWrap w:val="0"/>
            <w:vAlign w:val="center"/>
          </w:tcPr>
          <w:p w14:paraId="00D9A053">
            <w:pPr>
              <w:keepNext w:val="0"/>
              <w:keepLines w:val="0"/>
              <w:widowControl/>
              <w:suppressLineNumbers w:val="0"/>
              <w:shd w:val="clear" w:color="auto" w:fill="auto"/>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2</w:t>
            </w:r>
          </w:p>
        </w:tc>
        <w:tc>
          <w:tcPr>
            <w:tcW w:w="1076" w:type="pct"/>
            <w:noWrap w:val="0"/>
            <w:vAlign w:val="center"/>
          </w:tcPr>
          <w:p w14:paraId="04FFA871">
            <w:pPr>
              <w:keepNext w:val="0"/>
              <w:keepLines w:val="0"/>
              <w:widowControl/>
              <w:suppressLineNumbers w:val="0"/>
              <w:shd w:val="clear" w:color="auto" w:fill="auto"/>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移动机位</w:t>
            </w:r>
          </w:p>
        </w:tc>
        <w:tc>
          <w:tcPr>
            <w:tcW w:w="419" w:type="pct"/>
            <w:noWrap w:val="0"/>
            <w:vAlign w:val="center"/>
          </w:tcPr>
          <w:p w14:paraId="7D3AF562">
            <w:pPr>
              <w:keepNext w:val="0"/>
              <w:keepLines w:val="0"/>
              <w:widowControl/>
              <w:suppressLineNumbers w:val="0"/>
              <w:shd w:val="clear" w:color="auto" w:fill="auto"/>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个</w:t>
            </w:r>
          </w:p>
        </w:tc>
        <w:tc>
          <w:tcPr>
            <w:tcW w:w="473" w:type="pct"/>
            <w:noWrap w:val="0"/>
            <w:vAlign w:val="center"/>
          </w:tcPr>
          <w:p w14:paraId="54269B9F">
            <w:pPr>
              <w:keepNext w:val="0"/>
              <w:keepLines w:val="0"/>
              <w:widowControl/>
              <w:suppressLineNumbers w:val="0"/>
              <w:shd w:val="clear" w:color="auto" w:fill="auto"/>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2</w:t>
            </w:r>
          </w:p>
        </w:tc>
        <w:tc>
          <w:tcPr>
            <w:tcW w:w="1170" w:type="pct"/>
            <w:noWrap w:val="0"/>
            <w:vAlign w:val="center"/>
          </w:tcPr>
          <w:p w14:paraId="15FF523F">
            <w:pPr>
              <w:keepNext w:val="0"/>
              <w:keepLines w:val="0"/>
              <w:widowControl/>
              <w:suppressLineNumbers w:val="0"/>
              <w:shd w:val="clear" w:color="auto" w:fill="auto"/>
              <w:jc w:val="left"/>
              <w:textAlignment w:val="center"/>
              <w:rPr>
                <w:rStyle w:val="36"/>
                <w:rFonts w:hint="eastAsia" w:ascii="宋体" w:hAnsi="宋体" w:eastAsia="宋体" w:cs="宋体"/>
                <w:b w:val="0"/>
                <w:bCs w:val="0"/>
                <w:kern w:val="0"/>
                <w:sz w:val="24"/>
                <w:szCs w:val="24"/>
                <w:vertAlign w:val="baseline"/>
                <w:lang w:val="en-US" w:eastAsia="zh-CN" w:bidi="ar"/>
              </w:rPr>
            </w:pPr>
          </w:p>
        </w:tc>
        <w:tc>
          <w:tcPr>
            <w:tcW w:w="444" w:type="pct"/>
            <w:noWrap w:val="0"/>
            <w:vAlign w:val="top"/>
          </w:tcPr>
          <w:p w14:paraId="5DA74050">
            <w:pPr>
              <w:keepNext w:val="0"/>
              <w:keepLines w:val="0"/>
              <w:widowControl/>
              <w:suppressLineNumbers w:val="0"/>
              <w:shd w:val="clear" w:color="auto" w:fill="auto"/>
              <w:jc w:val="left"/>
              <w:textAlignment w:val="center"/>
              <w:rPr>
                <w:rStyle w:val="36"/>
                <w:rFonts w:hint="default" w:ascii="宋体" w:hAnsi="宋体" w:eastAsia="宋体" w:cs="宋体"/>
                <w:b w:val="0"/>
                <w:bCs w:val="0"/>
                <w:kern w:val="0"/>
                <w:sz w:val="24"/>
                <w:szCs w:val="24"/>
                <w:vertAlign w:val="baseline"/>
                <w:lang w:val="en-US" w:eastAsia="zh-CN" w:bidi="ar"/>
              </w:rPr>
            </w:pPr>
          </w:p>
        </w:tc>
        <w:tc>
          <w:tcPr>
            <w:tcW w:w="975" w:type="pct"/>
            <w:vMerge w:val="continue"/>
            <w:noWrap w:val="0"/>
            <w:vAlign w:val="top"/>
          </w:tcPr>
          <w:p w14:paraId="412A1683">
            <w:pPr>
              <w:keepNext w:val="0"/>
              <w:keepLines w:val="0"/>
              <w:widowControl/>
              <w:suppressLineNumbers w:val="0"/>
              <w:shd w:val="clear" w:color="auto" w:fill="auto"/>
              <w:jc w:val="left"/>
              <w:textAlignment w:val="center"/>
              <w:rPr>
                <w:rStyle w:val="36"/>
                <w:rFonts w:hint="default" w:ascii="宋体" w:hAnsi="宋体" w:eastAsia="宋体" w:cs="宋体"/>
                <w:b w:val="0"/>
                <w:bCs w:val="0"/>
                <w:kern w:val="0"/>
                <w:sz w:val="24"/>
                <w:szCs w:val="24"/>
                <w:vertAlign w:val="baseline"/>
                <w:lang w:val="en-US" w:eastAsia="zh-CN" w:bidi="ar"/>
              </w:rPr>
            </w:pPr>
          </w:p>
        </w:tc>
      </w:tr>
      <w:tr w14:paraId="54A5E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1" w:hRule="atLeast"/>
        </w:trPr>
        <w:tc>
          <w:tcPr>
            <w:tcW w:w="438" w:type="pct"/>
            <w:noWrap w:val="0"/>
            <w:vAlign w:val="center"/>
          </w:tcPr>
          <w:p w14:paraId="0E98481B">
            <w:pPr>
              <w:keepNext w:val="0"/>
              <w:keepLines w:val="0"/>
              <w:widowControl/>
              <w:suppressLineNumbers w:val="0"/>
              <w:shd w:val="clear" w:color="auto" w:fill="auto"/>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3</w:t>
            </w:r>
          </w:p>
        </w:tc>
        <w:tc>
          <w:tcPr>
            <w:tcW w:w="1076" w:type="pct"/>
            <w:noWrap w:val="0"/>
            <w:vAlign w:val="center"/>
          </w:tcPr>
          <w:p w14:paraId="33428E11">
            <w:pPr>
              <w:keepNext w:val="0"/>
              <w:keepLines w:val="0"/>
              <w:widowControl/>
              <w:suppressLineNumbers w:val="0"/>
              <w:shd w:val="clear" w:color="auto" w:fill="auto"/>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航拍</w:t>
            </w:r>
          </w:p>
        </w:tc>
        <w:tc>
          <w:tcPr>
            <w:tcW w:w="419" w:type="pct"/>
            <w:noWrap w:val="0"/>
            <w:vAlign w:val="center"/>
          </w:tcPr>
          <w:p w14:paraId="37A47439">
            <w:pPr>
              <w:keepNext w:val="0"/>
              <w:keepLines w:val="0"/>
              <w:widowControl/>
              <w:suppressLineNumbers w:val="0"/>
              <w:shd w:val="clear" w:color="auto" w:fill="auto"/>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个</w:t>
            </w:r>
          </w:p>
        </w:tc>
        <w:tc>
          <w:tcPr>
            <w:tcW w:w="473" w:type="pct"/>
            <w:noWrap w:val="0"/>
            <w:vAlign w:val="center"/>
          </w:tcPr>
          <w:p w14:paraId="302F23D7">
            <w:pPr>
              <w:keepNext w:val="0"/>
              <w:keepLines w:val="0"/>
              <w:widowControl/>
              <w:suppressLineNumbers w:val="0"/>
              <w:shd w:val="clear" w:color="auto" w:fill="auto"/>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1</w:t>
            </w:r>
          </w:p>
        </w:tc>
        <w:tc>
          <w:tcPr>
            <w:tcW w:w="1170" w:type="pct"/>
            <w:noWrap w:val="0"/>
            <w:vAlign w:val="center"/>
          </w:tcPr>
          <w:p w14:paraId="120FE3E5">
            <w:pPr>
              <w:keepNext w:val="0"/>
              <w:keepLines w:val="0"/>
              <w:widowControl/>
              <w:suppressLineNumbers w:val="0"/>
              <w:shd w:val="clear" w:color="auto" w:fill="auto"/>
              <w:jc w:val="left"/>
              <w:textAlignment w:val="center"/>
              <w:rPr>
                <w:rStyle w:val="36"/>
                <w:rFonts w:hint="eastAsia" w:ascii="宋体" w:hAnsi="宋体" w:eastAsia="宋体" w:cs="宋体"/>
                <w:b w:val="0"/>
                <w:bCs w:val="0"/>
                <w:kern w:val="0"/>
                <w:sz w:val="24"/>
                <w:szCs w:val="24"/>
                <w:vertAlign w:val="baseline"/>
                <w:lang w:val="en-US" w:eastAsia="zh-CN" w:bidi="ar"/>
              </w:rPr>
            </w:pPr>
          </w:p>
        </w:tc>
        <w:tc>
          <w:tcPr>
            <w:tcW w:w="444" w:type="pct"/>
            <w:noWrap w:val="0"/>
            <w:vAlign w:val="top"/>
          </w:tcPr>
          <w:p w14:paraId="7B4E487D">
            <w:pPr>
              <w:keepNext w:val="0"/>
              <w:keepLines w:val="0"/>
              <w:widowControl/>
              <w:suppressLineNumbers w:val="0"/>
              <w:shd w:val="clear" w:color="auto" w:fill="auto"/>
              <w:jc w:val="left"/>
              <w:textAlignment w:val="center"/>
              <w:rPr>
                <w:rStyle w:val="36"/>
                <w:rFonts w:hint="default" w:ascii="宋体" w:hAnsi="宋体" w:eastAsia="宋体" w:cs="宋体"/>
                <w:b w:val="0"/>
                <w:bCs w:val="0"/>
                <w:kern w:val="0"/>
                <w:sz w:val="24"/>
                <w:szCs w:val="24"/>
                <w:vertAlign w:val="baseline"/>
                <w:lang w:val="en-US" w:eastAsia="zh-CN" w:bidi="ar"/>
              </w:rPr>
            </w:pPr>
          </w:p>
        </w:tc>
        <w:tc>
          <w:tcPr>
            <w:tcW w:w="975" w:type="pct"/>
            <w:vMerge w:val="continue"/>
            <w:noWrap w:val="0"/>
            <w:vAlign w:val="top"/>
          </w:tcPr>
          <w:p w14:paraId="66025CD6">
            <w:pPr>
              <w:keepNext w:val="0"/>
              <w:keepLines w:val="0"/>
              <w:widowControl/>
              <w:suppressLineNumbers w:val="0"/>
              <w:shd w:val="clear" w:color="auto" w:fill="auto"/>
              <w:jc w:val="left"/>
              <w:textAlignment w:val="center"/>
              <w:rPr>
                <w:rStyle w:val="36"/>
                <w:rFonts w:hint="default" w:ascii="宋体" w:hAnsi="宋体" w:eastAsia="宋体" w:cs="宋体"/>
                <w:b w:val="0"/>
                <w:bCs w:val="0"/>
                <w:kern w:val="0"/>
                <w:sz w:val="24"/>
                <w:szCs w:val="24"/>
                <w:vertAlign w:val="baseline"/>
                <w:lang w:val="en-US" w:eastAsia="zh-CN" w:bidi="ar"/>
              </w:rPr>
            </w:pPr>
          </w:p>
        </w:tc>
      </w:tr>
      <w:tr w14:paraId="24C07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1" w:hRule="atLeast"/>
        </w:trPr>
        <w:tc>
          <w:tcPr>
            <w:tcW w:w="438" w:type="pct"/>
            <w:noWrap w:val="0"/>
            <w:vAlign w:val="center"/>
          </w:tcPr>
          <w:p w14:paraId="45CCB02E">
            <w:pPr>
              <w:keepNext w:val="0"/>
              <w:keepLines w:val="0"/>
              <w:widowControl/>
              <w:suppressLineNumbers w:val="0"/>
              <w:shd w:val="clear" w:color="auto" w:fill="auto"/>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4</w:t>
            </w:r>
          </w:p>
        </w:tc>
        <w:tc>
          <w:tcPr>
            <w:tcW w:w="1076" w:type="pct"/>
            <w:noWrap w:val="0"/>
            <w:vAlign w:val="center"/>
          </w:tcPr>
          <w:p w14:paraId="7162A479">
            <w:pPr>
              <w:keepNext w:val="0"/>
              <w:keepLines w:val="0"/>
              <w:widowControl/>
              <w:suppressLineNumbers w:val="0"/>
              <w:shd w:val="clear" w:color="auto" w:fill="auto"/>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开闭幕式直播</w:t>
            </w:r>
          </w:p>
        </w:tc>
        <w:tc>
          <w:tcPr>
            <w:tcW w:w="419" w:type="pct"/>
            <w:noWrap w:val="0"/>
            <w:vAlign w:val="center"/>
          </w:tcPr>
          <w:p w14:paraId="5D68E39E">
            <w:pPr>
              <w:keepNext w:val="0"/>
              <w:keepLines w:val="0"/>
              <w:widowControl/>
              <w:suppressLineNumbers w:val="0"/>
              <w:shd w:val="clear" w:color="auto" w:fill="auto"/>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场</w:t>
            </w:r>
          </w:p>
        </w:tc>
        <w:tc>
          <w:tcPr>
            <w:tcW w:w="473" w:type="pct"/>
            <w:noWrap w:val="0"/>
            <w:vAlign w:val="center"/>
          </w:tcPr>
          <w:p w14:paraId="5984BF87">
            <w:pPr>
              <w:keepNext w:val="0"/>
              <w:keepLines w:val="0"/>
              <w:widowControl/>
              <w:suppressLineNumbers w:val="0"/>
              <w:shd w:val="clear" w:color="auto" w:fill="auto"/>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全程</w:t>
            </w:r>
          </w:p>
        </w:tc>
        <w:tc>
          <w:tcPr>
            <w:tcW w:w="1170" w:type="pct"/>
            <w:noWrap w:val="0"/>
            <w:vAlign w:val="center"/>
          </w:tcPr>
          <w:p w14:paraId="69C82A7C">
            <w:pPr>
              <w:keepNext w:val="0"/>
              <w:keepLines w:val="0"/>
              <w:widowControl/>
              <w:suppressLineNumbers w:val="0"/>
              <w:shd w:val="clear" w:color="auto" w:fill="auto"/>
              <w:jc w:val="left"/>
              <w:textAlignment w:val="center"/>
              <w:rPr>
                <w:rStyle w:val="36"/>
                <w:rFonts w:hint="eastAsia" w:ascii="宋体" w:hAnsi="宋体" w:eastAsia="宋体" w:cs="宋体"/>
                <w:b w:val="0"/>
                <w:bCs w:val="0"/>
                <w:kern w:val="0"/>
                <w:sz w:val="24"/>
                <w:szCs w:val="24"/>
                <w:vertAlign w:val="baseline"/>
                <w:lang w:val="en-US" w:eastAsia="zh-CN" w:bidi="ar"/>
              </w:rPr>
            </w:pPr>
          </w:p>
        </w:tc>
        <w:tc>
          <w:tcPr>
            <w:tcW w:w="444" w:type="pct"/>
            <w:noWrap w:val="0"/>
            <w:vAlign w:val="top"/>
          </w:tcPr>
          <w:p w14:paraId="6BB5EA37">
            <w:pPr>
              <w:keepNext w:val="0"/>
              <w:keepLines w:val="0"/>
              <w:widowControl/>
              <w:suppressLineNumbers w:val="0"/>
              <w:shd w:val="clear" w:color="auto" w:fill="auto"/>
              <w:jc w:val="left"/>
              <w:textAlignment w:val="center"/>
              <w:rPr>
                <w:rStyle w:val="36"/>
                <w:rFonts w:hint="default" w:ascii="宋体" w:hAnsi="宋体" w:eastAsia="宋体" w:cs="宋体"/>
                <w:b w:val="0"/>
                <w:bCs w:val="0"/>
                <w:kern w:val="0"/>
                <w:sz w:val="24"/>
                <w:szCs w:val="24"/>
                <w:vertAlign w:val="baseline"/>
                <w:lang w:val="en-US" w:eastAsia="zh-CN" w:bidi="ar"/>
              </w:rPr>
            </w:pPr>
          </w:p>
        </w:tc>
        <w:tc>
          <w:tcPr>
            <w:tcW w:w="975" w:type="pct"/>
            <w:vMerge w:val="continue"/>
            <w:noWrap w:val="0"/>
            <w:vAlign w:val="top"/>
          </w:tcPr>
          <w:p w14:paraId="43CB641A">
            <w:pPr>
              <w:keepNext w:val="0"/>
              <w:keepLines w:val="0"/>
              <w:widowControl/>
              <w:suppressLineNumbers w:val="0"/>
              <w:shd w:val="clear" w:color="auto" w:fill="auto"/>
              <w:jc w:val="left"/>
              <w:textAlignment w:val="center"/>
              <w:rPr>
                <w:rStyle w:val="36"/>
                <w:rFonts w:hint="default" w:ascii="宋体" w:hAnsi="宋体" w:eastAsia="宋体" w:cs="宋体"/>
                <w:b w:val="0"/>
                <w:bCs w:val="0"/>
                <w:kern w:val="0"/>
                <w:sz w:val="24"/>
                <w:szCs w:val="24"/>
                <w:vertAlign w:val="baseline"/>
                <w:lang w:val="en-US" w:eastAsia="zh-CN" w:bidi="ar"/>
              </w:rPr>
            </w:pPr>
          </w:p>
        </w:tc>
      </w:tr>
      <w:tr w14:paraId="77D5A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1" w:hRule="atLeast"/>
        </w:trPr>
        <w:tc>
          <w:tcPr>
            <w:tcW w:w="438" w:type="pct"/>
            <w:noWrap w:val="0"/>
            <w:vAlign w:val="center"/>
          </w:tcPr>
          <w:p w14:paraId="2314D85C">
            <w:pPr>
              <w:keepNext w:val="0"/>
              <w:keepLines w:val="0"/>
              <w:widowControl/>
              <w:suppressLineNumbers w:val="0"/>
              <w:shd w:val="clear" w:color="auto" w:fill="auto"/>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5</w:t>
            </w:r>
          </w:p>
        </w:tc>
        <w:tc>
          <w:tcPr>
            <w:tcW w:w="1076" w:type="pct"/>
            <w:noWrap w:val="0"/>
            <w:vAlign w:val="center"/>
          </w:tcPr>
          <w:p w14:paraId="52DAC282">
            <w:pPr>
              <w:keepNext w:val="0"/>
              <w:keepLines w:val="0"/>
              <w:widowControl/>
              <w:suppressLineNumbers w:val="0"/>
              <w:shd w:val="clear" w:color="auto" w:fill="auto"/>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比赛直播</w:t>
            </w:r>
          </w:p>
        </w:tc>
        <w:tc>
          <w:tcPr>
            <w:tcW w:w="419" w:type="pct"/>
            <w:noWrap w:val="0"/>
            <w:vAlign w:val="center"/>
          </w:tcPr>
          <w:p w14:paraId="7F4B61EA">
            <w:pPr>
              <w:keepNext w:val="0"/>
              <w:keepLines w:val="0"/>
              <w:widowControl/>
              <w:suppressLineNumbers w:val="0"/>
              <w:shd w:val="clear" w:color="auto" w:fill="auto"/>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场</w:t>
            </w:r>
          </w:p>
        </w:tc>
        <w:tc>
          <w:tcPr>
            <w:tcW w:w="473" w:type="pct"/>
            <w:noWrap w:val="0"/>
            <w:vAlign w:val="center"/>
          </w:tcPr>
          <w:p w14:paraId="548F9E63">
            <w:pPr>
              <w:keepNext w:val="0"/>
              <w:keepLines w:val="0"/>
              <w:widowControl/>
              <w:suppressLineNumbers w:val="0"/>
              <w:shd w:val="clear" w:color="auto" w:fill="auto"/>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全程</w:t>
            </w:r>
          </w:p>
        </w:tc>
        <w:tc>
          <w:tcPr>
            <w:tcW w:w="1170" w:type="pct"/>
            <w:noWrap w:val="0"/>
            <w:vAlign w:val="center"/>
          </w:tcPr>
          <w:p w14:paraId="4CAEF3EC">
            <w:pPr>
              <w:keepNext w:val="0"/>
              <w:keepLines w:val="0"/>
              <w:widowControl/>
              <w:suppressLineNumbers w:val="0"/>
              <w:shd w:val="clear" w:color="auto" w:fill="auto"/>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5个场地</w:t>
            </w:r>
          </w:p>
        </w:tc>
        <w:tc>
          <w:tcPr>
            <w:tcW w:w="444" w:type="pct"/>
            <w:noWrap w:val="0"/>
            <w:vAlign w:val="top"/>
          </w:tcPr>
          <w:p w14:paraId="3B4979CC">
            <w:pPr>
              <w:keepNext w:val="0"/>
              <w:keepLines w:val="0"/>
              <w:widowControl/>
              <w:suppressLineNumbers w:val="0"/>
              <w:shd w:val="clear" w:color="auto" w:fill="auto"/>
              <w:jc w:val="left"/>
              <w:textAlignment w:val="center"/>
              <w:rPr>
                <w:rStyle w:val="36"/>
                <w:rFonts w:hint="default" w:ascii="宋体" w:hAnsi="宋体" w:eastAsia="宋体" w:cs="宋体"/>
                <w:b w:val="0"/>
                <w:bCs w:val="0"/>
                <w:kern w:val="0"/>
                <w:sz w:val="24"/>
                <w:szCs w:val="24"/>
                <w:vertAlign w:val="baseline"/>
                <w:lang w:val="en-US" w:eastAsia="zh-CN" w:bidi="ar"/>
              </w:rPr>
            </w:pPr>
          </w:p>
        </w:tc>
        <w:tc>
          <w:tcPr>
            <w:tcW w:w="975" w:type="pct"/>
            <w:vMerge w:val="continue"/>
            <w:noWrap w:val="0"/>
            <w:vAlign w:val="top"/>
          </w:tcPr>
          <w:p w14:paraId="5536E6E4">
            <w:pPr>
              <w:keepNext w:val="0"/>
              <w:keepLines w:val="0"/>
              <w:widowControl/>
              <w:suppressLineNumbers w:val="0"/>
              <w:shd w:val="clear" w:color="auto" w:fill="auto"/>
              <w:jc w:val="left"/>
              <w:textAlignment w:val="center"/>
              <w:rPr>
                <w:rStyle w:val="36"/>
                <w:rFonts w:hint="default" w:ascii="宋体" w:hAnsi="宋体" w:eastAsia="宋体" w:cs="宋体"/>
                <w:b w:val="0"/>
                <w:bCs w:val="0"/>
                <w:kern w:val="0"/>
                <w:sz w:val="24"/>
                <w:szCs w:val="24"/>
                <w:vertAlign w:val="baseline"/>
                <w:lang w:val="en-US" w:eastAsia="zh-CN" w:bidi="ar"/>
              </w:rPr>
            </w:pPr>
          </w:p>
        </w:tc>
      </w:tr>
      <w:tr w14:paraId="65333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1" w:hRule="atLeast"/>
        </w:trPr>
        <w:tc>
          <w:tcPr>
            <w:tcW w:w="438" w:type="pct"/>
            <w:noWrap w:val="0"/>
            <w:vAlign w:val="center"/>
          </w:tcPr>
          <w:p w14:paraId="24F27869">
            <w:pPr>
              <w:keepNext w:val="0"/>
              <w:keepLines w:val="0"/>
              <w:widowControl/>
              <w:suppressLineNumbers w:val="0"/>
              <w:shd w:val="clear" w:color="auto" w:fill="auto"/>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6</w:t>
            </w:r>
          </w:p>
        </w:tc>
        <w:tc>
          <w:tcPr>
            <w:tcW w:w="1076" w:type="pct"/>
            <w:noWrap w:val="0"/>
            <w:vAlign w:val="center"/>
          </w:tcPr>
          <w:p w14:paraId="2835456A">
            <w:pPr>
              <w:keepNext w:val="0"/>
              <w:keepLines w:val="0"/>
              <w:widowControl/>
              <w:suppressLineNumbers w:val="0"/>
              <w:shd w:val="clear" w:color="auto" w:fill="auto"/>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图片直播</w:t>
            </w:r>
          </w:p>
        </w:tc>
        <w:tc>
          <w:tcPr>
            <w:tcW w:w="419" w:type="pct"/>
            <w:noWrap w:val="0"/>
            <w:vAlign w:val="center"/>
          </w:tcPr>
          <w:p w14:paraId="02130780">
            <w:pPr>
              <w:keepNext w:val="0"/>
              <w:keepLines w:val="0"/>
              <w:widowControl/>
              <w:suppressLineNumbers w:val="0"/>
              <w:shd w:val="clear" w:color="auto" w:fill="auto"/>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场</w:t>
            </w:r>
          </w:p>
        </w:tc>
        <w:tc>
          <w:tcPr>
            <w:tcW w:w="473" w:type="pct"/>
            <w:noWrap w:val="0"/>
            <w:vAlign w:val="center"/>
          </w:tcPr>
          <w:p w14:paraId="1DDE8075">
            <w:pPr>
              <w:keepNext w:val="0"/>
              <w:keepLines w:val="0"/>
              <w:widowControl/>
              <w:suppressLineNumbers w:val="0"/>
              <w:shd w:val="clear" w:color="auto" w:fill="auto"/>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11</w:t>
            </w:r>
          </w:p>
        </w:tc>
        <w:tc>
          <w:tcPr>
            <w:tcW w:w="1170" w:type="pct"/>
            <w:noWrap w:val="0"/>
            <w:vAlign w:val="center"/>
          </w:tcPr>
          <w:p w14:paraId="5BDEC786">
            <w:pPr>
              <w:keepNext w:val="0"/>
              <w:keepLines w:val="0"/>
              <w:widowControl/>
              <w:suppressLineNumbers w:val="0"/>
              <w:shd w:val="clear" w:color="auto" w:fill="auto"/>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开闭幕式+所有比赛、四批参观研学</w:t>
            </w:r>
          </w:p>
        </w:tc>
        <w:tc>
          <w:tcPr>
            <w:tcW w:w="444" w:type="pct"/>
            <w:noWrap w:val="0"/>
            <w:vAlign w:val="top"/>
          </w:tcPr>
          <w:p w14:paraId="49F5D2B5">
            <w:pPr>
              <w:keepNext w:val="0"/>
              <w:keepLines w:val="0"/>
              <w:widowControl/>
              <w:suppressLineNumbers w:val="0"/>
              <w:shd w:val="clear" w:color="auto" w:fill="auto"/>
              <w:jc w:val="left"/>
              <w:textAlignment w:val="center"/>
              <w:rPr>
                <w:rStyle w:val="36"/>
                <w:rFonts w:hint="default" w:ascii="宋体" w:hAnsi="宋体" w:eastAsia="宋体" w:cs="宋体"/>
                <w:b w:val="0"/>
                <w:bCs w:val="0"/>
                <w:kern w:val="0"/>
                <w:sz w:val="24"/>
                <w:szCs w:val="24"/>
                <w:vertAlign w:val="baseline"/>
                <w:lang w:val="en-US" w:eastAsia="zh-CN" w:bidi="ar"/>
              </w:rPr>
            </w:pPr>
          </w:p>
        </w:tc>
        <w:tc>
          <w:tcPr>
            <w:tcW w:w="975" w:type="pct"/>
            <w:vMerge w:val="continue"/>
            <w:noWrap w:val="0"/>
            <w:vAlign w:val="top"/>
          </w:tcPr>
          <w:p w14:paraId="02452F81">
            <w:pPr>
              <w:keepNext w:val="0"/>
              <w:keepLines w:val="0"/>
              <w:widowControl/>
              <w:suppressLineNumbers w:val="0"/>
              <w:shd w:val="clear" w:color="auto" w:fill="auto"/>
              <w:jc w:val="left"/>
              <w:textAlignment w:val="center"/>
              <w:rPr>
                <w:rStyle w:val="36"/>
                <w:rFonts w:hint="default" w:ascii="宋体" w:hAnsi="宋体" w:eastAsia="宋体" w:cs="宋体"/>
                <w:b w:val="0"/>
                <w:bCs w:val="0"/>
                <w:kern w:val="0"/>
                <w:sz w:val="24"/>
                <w:szCs w:val="24"/>
                <w:vertAlign w:val="baseline"/>
                <w:lang w:val="en-US" w:eastAsia="zh-CN" w:bidi="ar"/>
              </w:rPr>
            </w:pPr>
          </w:p>
        </w:tc>
      </w:tr>
      <w:tr w14:paraId="08A70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1" w:hRule="atLeast"/>
        </w:trPr>
        <w:tc>
          <w:tcPr>
            <w:tcW w:w="438" w:type="pct"/>
            <w:noWrap w:val="0"/>
            <w:vAlign w:val="center"/>
          </w:tcPr>
          <w:p w14:paraId="7A52F4E2">
            <w:pPr>
              <w:keepNext w:val="0"/>
              <w:keepLines w:val="0"/>
              <w:widowControl/>
              <w:suppressLineNumbers w:val="0"/>
              <w:shd w:val="clear" w:color="auto" w:fill="auto"/>
              <w:jc w:val="left"/>
              <w:textAlignment w:val="center"/>
              <w:rPr>
                <w:rStyle w:val="36"/>
                <w:rFonts w:hint="default"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1</w:t>
            </w:r>
          </w:p>
        </w:tc>
        <w:tc>
          <w:tcPr>
            <w:tcW w:w="1076" w:type="pct"/>
            <w:noWrap w:val="0"/>
            <w:vAlign w:val="center"/>
          </w:tcPr>
          <w:p w14:paraId="61F1F9EC">
            <w:pPr>
              <w:keepNext w:val="0"/>
              <w:keepLines w:val="0"/>
              <w:widowControl/>
              <w:suppressLineNumbers w:val="0"/>
              <w:shd w:val="clear" w:color="auto" w:fill="auto"/>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赛事宣传片</w:t>
            </w:r>
          </w:p>
        </w:tc>
        <w:tc>
          <w:tcPr>
            <w:tcW w:w="419" w:type="pct"/>
            <w:noWrap w:val="0"/>
            <w:vAlign w:val="center"/>
          </w:tcPr>
          <w:p w14:paraId="08647D91">
            <w:pPr>
              <w:keepNext w:val="0"/>
              <w:keepLines w:val="0"/>
              <w:widowControl/>
              <w:suppressLineNumbers w:val="0"/>
              <w:shd w:val="clear" w:color="auto" w:fill="auto"/>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个</w:t>
            </w:r>
          </w:p>
        </w:tc>
        <w:tc>
          <w:tcPr>
            <w:tcW w:w="473" w:type="pct"/>
            <w:noWrap w:val="0"/>
            <w:vAlign w:val="center"/>
          </w:tcPr>
          <w:p w14:paraId="2B7FB56C">
            <w:pPr>
              <w:keepNext w:val="0"/>
              <w:keepLines w:val="0"/>
              <w:widowControl/>
              <w:suppressLineNumbers w:val="0"/>
              <w:shd w:val="clear" w:color="auto" w:fill="auto"/>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2</w:t>
            </w:r>
          </w:p>
        </w:tc>
        <w:tc>
          <w:tcPr>
            <w:tcW w:w="1170" w:type="pct"/>
            <w:noWrap w:val="0"/>
            <w:vAlign w:val="center"/>
          </w:tcPr>
          <w:p w14:paraId="02B14A17">
            <w:pPr>
              <w:keepNext w:val="0"/>
              <w:keepLines w:val="0"/>
              <w:widowControl/>
              <w:suppressLineNumbers w:val="0"/>
              <w:shd w:val="clear" w:color="auto" w:fill="auto"/>
              <w:jc w:val="left"/>
              <w:textAlignment w:val="center"/>
              <w:rPr>
                <w:rStyle w:val="36"/>
                <w:rFonts w:hint="eastAsia" w:ascii="宋体" w:hAnsi="宋体" w:eastAsia="宋体" w:cs="宋体"/>
                <w:b w:val="0"/>
                <w:bCs w:val="0"/>
                <w:kern w:val="0"/>
                <w:sz w:val="24"/>
                <w:szCs w:val="24"/>
                <w:vertAlign w:val="baseline"/>
                <w:lang w:val="en-US" w:eastAsia="zh-CN" w:bidi="ar"/>
              </w:rPr>
            </w:pPr>
          </w:p>
        </w:tc>
        <w:tc>
          <w:tcPr>
            <w:tcW w:w="444" w:type="pct"/>
            <w:noWrap w:val="0"/>
            <w:vAlign w:val="top"/>
          </w:tcPr>
          <w:p w14:paraId="30DFB972">
            <w:pPr>
              <w:keepNext w:val="0"/>
              <w:keepLines w:val="0"/>
              <w:widowControl/>
              <w:suppressLineNumbers w:val="0"/>
              <w:shd w:val="clear" w:color="auto" w:fill="auto"/>
              <w:jc w:val="left"/>
              <w:textAlignment w:val="center"/>
              <w:rPr>
                <w:rStyle w:val="36"/>
                <w:rFonts w:hint="default" w:ascii="宋体" w:hAnsi="宋体" w:eastAsia="宋体" w:cs="宋体"/>
                <w:b w:val="0"/>
                <w:bCs w:val="0"/>
                <w:kern w:val="0"/>
                <w:sz w:val="24"/>
                <w:szCs w:val="24"/>
                <w:vertAlign w:val="baseline"/>
                <w:lang w:val="en-US" w:eastAsia="zh-CN" w:bidi="ar"/>
              </w:rPr>
            </w:pPr>
          </w:p>
        </w:tc>
        <w:tc>
          <w:tcPr>
            <w:tcW w:w="975" w:type="pct"/>
            <w:vMerge w:val="restart"/>
            <w:noWrap w:val="0"/>
            <w:vAlign w:val="top"/>
          </w:tcPr>
          <w:p w14:paraId="10E5BD62">
            <w:pPr>
              <w:keepNext w:val="0"/>
              <w:keepLines w:val="0"/>
              <w:widowControl/>
              <w:suppressLineNumbers w:val="0"/>
              <w:shd w:val="clear" w:color="auto" w:fill="auto"/>
              <w:jc w:val="left"/>
              <w:textAlignment w:val="center"/>
              <w:rPr>
                <w:rStyle w:val="36"/>
                <w:rFonts w:hint="default" w:ascii="宋体" w:hAnsi="宋体" w:eastAsia="宋体" w:cs="宋体"/>
                <w:b w:val="0"/>
                <w:bCs w:val="0"/>
                <w:kern w:val="0"/>
                <w:sz w:val="24"/>
                <w:szCs w:val="24"/>
                <w:vertAlign w:val="baseline"/>
                <w:lang w:val="en-US" w:eastAsia="zh-CN" w:bidi="ar"/>
              </w:rPr>
            </w:pPr>
            <w:r>
              <w:rPr>
                <w:rStyle w:val="36"/>
                <w:rFonts w:hint="default" w:ascii="宋体" w:hAnsi="宋体" w:eastAsia="宋体" w:cs="宋体"/>
                <w:b w:val="0"/>
                <w:bCs w:val="0"/>
                <w:kern w:val="0"/>
                <w:sz w:val="24"/>
                <w:szCs w:val="24"/>
                <w:vertAlign w:val="baseline"/>
                <w:lang w:val="en-US" w:eastAsia="zh-CN" w:bidi="ar"/>
              </w:rPr>
              <w:t>赛事宣传片、宣传海报制作</w:t>
            </w:r>
            <w:r>
              <w:rPr>
                <w:rStyle w:val="36"/>
                <w:rFonts w:hint="eastAsia" w:ascii="宋体" w:hAnsi="宋体" w:eastAsia="宋体" w:cs="宋体"/>
                <w:b w:val="0"/>
                <w:bCs w:val="0"/>
                <w:kern w:val="0"/>
                <w:sz w:val="24"/>
                <w:szCs w:val="24"/>
                <w:vertAlign w:val="baseline"/>
                <w:lang w:val="en-US" w:eastAsia="zh-CN" w:bidi="ar"/>
              </w:rPr>
              <w:t>（包含但不限于此内容，具体以和招标人商议为主）</w:t>
            </w:r>
          </w:p>
        </w:tc>
      </w:tr>
      <w:tr w14:paraId="297F2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1" w:hRule="atLeast"/>
        </w:trPr>
        <w:tc>
          <w:tcPr>
            <w:tcW w:w="438" w:type="pct"/>
            <w:noWrap w:val="0"/>
            <w:vAlign w:val="center"/>
          </w:tcPr>
          <w:p w14:paraId="1D7C1158">
            <w:pPr>
              <w:keepNext w:val="0"/>
              <w:keepLines w:val="0"/>
              <w:widowControl/>
              <w:suppressLineNumbers w:val="0"/>
              <w:shd w:val="clear" w:color="auto" w:fill="auto"/>
              <w:jc w:val="left"/>
              <w:textAlignment w:val="center"/>
              <w:rPr>
                <w:rStyle w:val="36"/>
                <w:rFonts w:hint="default"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2</w:t>
            </w:r>
          </w:p>
        </w:tc>
        <w:tc>
          <w:tcPr>
            <w:tcW w:w="1076" w:type="pct"/>
            <w:noWrap w:val="0"/>
            <w:vAlign w:val="center"/>
          </w:tcPr>
          <w:p w14:paraId="66098198">
            <w:pPr>
              <w:keepNext w:val="0"/>
              <w:keepLines w:val="0"/>
              <w:widowControl/>
              <w:suppressLineNumbers w:val="0"/>
              <w:shd w:val="clear" w:color="auto" w:fill="auto"/>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宣传海报</w:t>
            </w:r>
          </w:p>
        </w:tc>
        <w:tc>
          <w:tcPr>
            <w:tcW w:w="419" w:type="pct"/>
            <w:noWrap w:val="0"/>
            <w:vAlign w:val="center"/>
          </w:tcPr>
          <w:p w14:paraId="276F1FBD">
            <w:pPr>
              <w:keepNext w:val="0"/>
              <w:keepLines w:val="0"/>
              <w:widowControl/>
              <w:suppressLineNumbers w:val="0"/>
              <w:shd w:val="clear" w:color="auto" w:fill="auto"/>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批</w:t>
            </w:r>
          </w:p>
        </w:tc>
        <w:tc>
          <w:tcPr>
            <w:tcW w:w="473" w:type="pct"/>
            <w:noWrap w:val="0"/>
            <w:vAlign w:val="center"/>
          </w:tcPr>
          <w:p w14:paraId="3804C4EE">
            <w:pPr>
              <w:keepNext w:val="0"/>
              <w:keepLines w:val="0"/>
              <w:widowControl/>
              <w:suppressLineNumbers w:val="0"/>
              <w:shd w:val="clear" w:color="auto" w:fill="auto"/>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1</w:t>
            </w:r>
          </w:p>
        </w:tc>
        <w:tc>
          <w:tcPr>
            <w:tcW w:w="1170" w:type="pct"/>
            <w:noWrap w:val="0"/>
            <w:vAlign w:val="center"/>
          </w:tcPr>
          <w:p w14:paraId="14632EC6">
            <w:pPr>
              <w:keepNext w:val="0"/>
              <w:keepLines w:val="0"/>
              <w:widowControl/>
              <w:suppressLineNumbers w:val="0"/>
              <w:shd w:val="clear" w:color="auto" w:fill="auto"/>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不少于5个主片、5个备用不含素材和拍摄(5分钟以内)</w:t>
            </w:r>
          </w:p>
        </w:tc>
        <w:tc>
          <w:tcPr>
            <w:tcW w:w="444" w:type="pct"/>
            <w:noWrap w:val="0"/>
            <w:vAlign w:val="top"/>
          </w:tcPr>
          <w:p w14:paraId="54D96965">
            <w:pPr>
              <w:keepNext w:val="0"/>
              <w:keepLines w:val="0"/>
              <w:widowControl/>
              <w:suppressLineNumbers w:val="0"/>
              <w:shd w:val="clear" w:color="auto" w:fill="auto"/>
              <w:jc w:val="left"/>
              <w:textAlignment w:val="center"/>
              <w:rPr>
                <w:rStyle w:val="36"/>
                <w:rFonts w:hint="default" w:ascii="宋体" w:hAnsi="宋体" w:eastAsia="宋体" w:cs="宋体"/>
                <w:b w:val="0"/>
                <w:bCs w:val="0"/>
                <w:kern w:val="0"/>
                <w:sz w:val="24"/>
                <w:szCs w:val="24"/>
                <w:vertAlign w:val="baseline"/>
                <w:lang w:val="en-US" w:eastAsia="zh-CN" w:bidi="ar"/>
              </w:rPr>
            </w:pPr>
          </w:p>
        </w:tc>
        <w:tc>
          <w:tcPr>
            <w:tcW w:w="975" w:type="pct"/>
            <w:vMerge w:val="continue"/>
            <w:noWrap w:val="0"/>
            <w:vAlign w:val="top"/>
          </w:tcPr>
          <w:p w14:paraId="156C5E49">
            <w:pPr>
              <w:keepNext w:val="0"/>
              <w:keepLines w:val="0"/>
              <w:widowControl/>
              <w:suppressLineNumbers w:val="0"/>
              <w:shd w:val="clear" w:color="auto" w:fill="auto"/>
              <w:jc w:val="left"/>
              <w:textAlignment w:val="center"/>
              <w:rPr>
                <w:rStyle w:val="36"/>
                <w:rFonts w:hint="default" w:ascii="宋体" w:hAnsi="宋体" w:eastAsia="宋体" w:cs="宋体"/>
                <w:b w:val="0"/>
                <w:bCs w:val="0"/>
                <w:kern w:val="0"/>
                <w:sz w:val="24"/>
                <w:szCs w:val="24"/>
                <w:vertAlign w:val="baseline"/>
                <w:lang w:val="en-US" w:eastAsia="zh-CN" w:bidi="ar"/>
              </w:rPr>
            </w:pPr>
          </w:p>
        </w:tc>
      </w:tr>
      <w:tr w14:paraId="42E29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1" w:hRule="atLeast"/>
        </w:trPr>
        <w:tc>
          <w:tcPr>
            <w:tcW w:w="438" w:type="pct"/>
            <w:noWrap w:val="0"/>
            <w:vAlign w:val="center"/>
          </w:tcPr>
          <w:p w14:paraId="5547A8C3">
            <w:pPr>
              <w:keepNext w:val="0"/>
              <w:keepLines w:val="0"/>
              <w:widowControl/>
              <w:suppressLineNumbers w:val="0"/>
              <w:shd w:val="clear" w:color="auto" w:fill="auto"/>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1</w:t>
            </w:r>
          </w:p>
        </w:tc>
        <w:tc>
          <w:tcPr>
            <w:tcW w:w="1076" w:type="pct"/>
            <w:noWrap w:val="0"/>
            <w:vAlign w:val="center"/>
          </w:tcPr>
          <w:p w14:paraId="3414E663">
            <w:pPr>
              <w:keepNext w:val="0"/>
              <w:keepLines w:val="0"/>
              <w:widowControl/>
              <w:suppressLineNumbers w:val="0"/>
              <w:shd w:val="clear" w:color="auto" w:fill="auto"/>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矿泉水</w:t>
            </w:r>
          </w:p>
        </w:tc>
        <w:tc>
          <w:tcPr>
            <w:tcW w:w="419" w:type="pct"/>
            <w:noWrap w:val="0"/>
            <w:vAlign w:val="center"/>
          </w:tcPr>
          <w:p w14:paraId="012E838F">
            <w:pPr>
              <w:keepNext w:val="0"/>
              <w:keepLines w:val="0"/>
              <w:widowControl/>
              <w:suppressLineNumbers w:val="0"/>
              <w:shd w:val="clear" w:color="auto" w:fill="auto"/>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件</w:t>
            </w:r>
          </w:p>
        </w:tc>
        <w:tc>
          <w:tcPr>
            <w:tcW w:w="473" w:type="pct"/>
            <w:noWrap w:val="0"/>
            <w:vAlign w:val="center"/>
          </w:tcPr>
          <w:p w14:paraId="3B9F4FCE">
            <w:pPr>
              <w:keepNext w:val="0"/>
              <w:keepLines w:val="0"/>
              <w:widowControl/>
              <w:suppressLineNumbers w:val="0"/>
              <w:shd w:val="clear" w:color="auto" w:fill="auto"/>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50000</w:t>
            </w:r>
          </w:p>
        </w:tc>
        <w:tc>
          <w:tcPr>
            <w:tcW w:w="1170" w:type="pct"/>
            <w:vMerge w:val="restart"/>
            <w:noWrap w:val="0"/>
            <w:vAlign w:val="center"/>
          </w:tcPr>
          <w:p w14:paraId="09DCCBB3">
            <w:pPr>
              <w:keepNext w:val="0"/>
              <w:keepLines w:val="0"/>
              <w:widowControl/>
              <w:suppressLineNumbers w:val="0"/>
              <w:shd w:val="clear" w:color="auto" w:fill="auto"/>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各比赛场地备用</w:t>
            </w:r>
          </w:p>
          <w:p w14:paraId="1745BA05">
            <w:pPr>
              <w:keepNext w:val="0"/>
              <w:keepLines w:val="0"/>
              <w:widowControl/>
              <w:suppressLineNumbers w:val="0"/>
              <w:shd w:val="clear" w:color="auto" w:fill="auto"/>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运动功能饮料：产品须符合GB 7101《食品安全国家标准 饮料》 及相关国标要求，无变质、漏液、破损，剩余保质期充足，供货及验收以甲方要求为准。</w:t>
            </w:r>
          </w:p>
        </w:tc>
        <w:tc>
          <w:tcPr>
            <w:tcW w:w="444" w:type="pct"/>
            <w:noWrap w:val="0"/>
            <w:vAlign w:val="top"/>
          </w:tcPr>
          <w:p w14:paraId="750D8C83">
            <w:pPr>
              <w:keepNext w:val="0"/>
              <w:keepLines w:val="0"/>
              <w:widowControl/>
              <w:suppressLineNumbers w:val="0"/>
              <w:shd w:val="clear" w:color="auto" w:fill="auto"/>
              <w:jc w:val="left"/>
              <w:textAlignment w:val="center"/>
              <w:rPr>
                <w:rStyle w:val="36"/>
                <w:rFonts w:hint="default" w:ascii="宋体" w:hAnsi="宋体" w:eastAsia="宋体" w:cs="宋体"/>
                <w:b w:val="0"/>
                <w:bCs w:val="0"/>
                <w:kern w:val="0"/>
                <w:sz w:val="24"/>
                <w:szCs w:val="24"/>
                <w:vertAlign w:val="baseline"/>
                <w:lang w:val="en-US" w:eastAsia="zh-CN" w:bidi="ar"/>
              </w:rPr>
            </w:pPr>
          </w:p>
        </w:tc>
        <w:tc>
          <w:tcPr>
            <w:tcW w:w="975" w:type="pct"/>
            <w:vMerge w:val="restart"/>
            <w:noWrap w:val="0"/>
            <w:vAlign w:val="top"/>
          </w:tcPr>
          <w:p w14:paraId="3E8D6C0F">
            <w:pPr>
              <w:keepNext w:val="0"/>
              <w:keepLines w:val="0"/>
              <w:widowControl/>
              <w:suppressLineNumbers w:val="0"/>
              <w:shd w:val="clear" w:color="auto" w:fill="auto"/>
              <w:jc w:val="left"/>
              <w:textAlignment w:val="center"/>
              <w:rPr>
                <w:rStyle w:val="36"/>
                <w:rFonts w:hint="default" w:ascii="宋体" w:hAnsi="宋体" w:eastAsia="宋体" w:cs="宋体"/>
                <w:b w:val="0"/>
                <w:bCs w:val="0"/>
                <w:kern w:val="0"/>
                <w:sz w:val="24"/>
                <w:szCs w:val="24"/>
                <w:vertAlign w:val="baseline"/>
                <w:lang w:val="en-US" w:eastAsia="zh-CN" w:bidi="ar"/>
              </w:rPr>
            </w:pPr>
            <w:r>
              <w:rPr>
                <w:rStyle w:val="36"/>
                <w:rFonts w:hint="default" w:ascii="宋体" w:hAnsi="宋体" w:eastAsia="宋体" w:cs="宋体"/>
                <w:b w:val="0"/>
                <w:bCs w:val="0"/>
                <w:kern w:val="0"/>
                <w:sz w:val="24"/>
                <w:szCs w:val="24"/>
                <w:vertAlign w:val="baseline"/>
                <w:lang w:val="en-US" w:eastAsia="zh-CN" w:bidi="ar"/>
              </w:rPr>
              <w:t>矿泉水、饮料、补给品</w:t>
            </w:r>
            <w:r>
              <w:rPr>
                <w:rStyle w:val="36"/>
                <w:rFonts w:hint="eastAsia" w:ascii="宋体" w:hAnsi="宋体" w:eastAsia="宋体" w:cs="宋体"/>
                <w:b w:val="0"/>
                <w:bCs w:val="0"/>
                <w:kern w:val="0"/>
                <w:sz w:val="24"/>
                <w:szCs w:val="24"/>
                <w:vertAlign w:val="baseline"/>
                <w:lang w:val="en-US" w:eastAsia="zh-CN" w:bidi="ar"/>
              </w:rPr>
              <w:t>（包含但不限于此内容，具体以和招标人商议为主）</w:t>
            </w:r>
          </w:p>
        </w:tc>
      </w:tr>
      <w:tr w14:paraId="4FAA9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1" w:hRule="atLeast"/>
        </w:trPr>
        <w:tc>
          <w:tcPr>
            <w:tcW w:w="438" w:type="pct"/>
            <w:noWrap w:val="0"/>
            <w:vAlign w:val="center"/>
          </w:tcPr>
          <w:p w14:paraId="21FB96BF">
            <w:pPr>
              <w:keepNext w:val="0"/>
              <w:keepLines w:val="0"/>
              <w:widowControl/>
              <w:suppressLineNumbers w:val="0"/>
              <w:shd w:val="clear" w:color="auto" w:fill="auto"/>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2</w:t>
            </w:r>
          </w:p>
        </w:tc>
        <w:tc>
          <w:tcPr>
            <w:tcW w:w="1076" w:type="pct"/>
            <w:noWrap w:val="0"/>
            <w:vAlign w:val="center"/>
          </w:tcPr>
          <w:p w14:paraId="76B7B10E">
            <w:pPr>
              <w:keepNext w:val="0"/>
              <w:keepLines w:val="0"/>
              <w:widowControl/>
              <w:suppressLineNumbers w:val="0"/>
              <w:shd w:val="clear" w:color="auto" w:fill="auto"/>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运动功能饮料</w:t>
            </w:r>
          </w:p>
        </w:tc>
        <w:tc>
          <w:tcPr>
            <w:tcW w:w="419" w:type="pct"/>
            <w:noWrap w:val="0"/>
            <w:vAlign w:val="center"/>
          </w:tcPr>
          <w:p w14:paraId="70305A47">
            <w:pPr>
              <w:keepNext w:val="0"/>
              <w:keepLines w:val="0"/>
              <w:widowControl/>
              <w:suppressLineNumbers w:val="0"/>
              <w:shd w:val="clear" w:color="auto" w:fill="auto"/>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件</w:t>
            </w:r>
          </w:p>
        </w:tc>
        <w:tc>
          <w:tcPr>
            <w:tcW w:w="473" w:type="pct"/>
            <w:noWrap w:val="0"/>
            <w:vAlign w:val="center"/>
          </w:tcPr>
          <w:p w14:paraId="74F40010">
            <w:pPr>
              <w:keepNext w:val="0"/>
              <w:keepLines w:val="0"/>
              <w:widowControl/>
              <w:suppressLineNumbers w:val="0"/>
              <w:shd w:val="clear" w:color="auto" w:fill="auto"/>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500</w:t>
            </w:r>
          </w:p>
        </w:tc>
        <w:tc>
          <w:tcPr>
            <w:tcW w:w="1170" w:type="pct"/>
            <w:vMerge w:val="continue"/>
            <w:noWrap w:val="0"/>
            <w:vAlign w:val="center"/>
          </w:tcPr>
          <w:p w14:paraId="2638BF65">
            <w:pPr>
              <w:keepNext w:val="0"/>
              <w:keepLines w:val="0"/>
              <w:widowControl/>
              <w:suppressLineNumbers w:val="0"/>
              <w:shd w:val="clear" w:color="auto" w:fill="auto"/>
              <w:jc w:val="left"/>
              <w:textAlignment w:val="center"/>
              <w:rPr>
                <w:rStyle w:val="36"/>
                <w:rFonts w:hint="eastAsia" w:ascii="宋体" w:hAnsi="宋体" w:eastAsia="宋体" w:cs="宋体"/>
                <w:b w:val="0"/>
                <w:bCs w:val="0"/>
                <w:kern w:val="0"/>
                <w:sz w:val="24"/>
                <w:szCs w:val="24"/>
                <w:vertAlign w:val="baseline"/>
                <w:lang w:val="en-US" w:eastAsia="zh-CN" w:bidi="ar"/>
              </w:rPr>
            </w:pPr>
          </w:p>
        </w:tc>
        <w:tc>
          <w:tcPr>
            <w:tcW w:w="444" w:type="pct"/>
            <w:noWrap w:val="0"/>
            <w:vAlign w:val="top"/>
          </w:tcPr>
          <w:p w14:paraId="1390E19D">
            <w:pPr>
              <w:keepNext w:val="0"/>
              <w:keepLines w:val="0"/>
              <w:widowControl/>
              <w:suppressLineNumbers w:val="0"/>
              <w:shd w:val="clear" w:color="auto" w:fill="auto"/>
              <w:jc w:val="left"/>
              <w:textAlignment w:val="center"/>
              <w:rPr>
                <w:rStyle w:val="36"/>
                <w:rFonts w:hint="default" w:ascii="宋体" w:hAnsi="宋体" w:eastAsia="宋体" w:cs="宋体"/>
                <w:b w:val="0"/>
                <w:bCs w:val="0"/>
                <w:kern w:val="0"/>
                <w:sz w:val="24"/>
                <w:szCs w:val="24"/>
                <w:vertAlign w:val="baseline"/>
                <w:lang w:val="en-US" w:eastAsia="zh-CN" w:bidi="ar"/>
              </w:rPr>
            </w:pPr>
          </w:p>
        </w:tc>
        <w:tc>
          <w:tcPr>
            <w:tcW w:w="975" w:type="pct"/>
            <w:vMerge w:val="continue"/>
            <w:noWrap w:val="0"/>
            <w:vAlign w:val="top"/>
          </w:tcPr>
          <w:p w14:paraId="1558E897">
            <w:pPr>
              <w:keepNext w:val="0"/>
              <w:keepLines w:val="0"/>
              <w:widowControl/>
              <w:suppressLineNumbers w:val="0"/>
              <w:shd w:val="clear" w:color="auto" w:fill="auto"/>
              <w:jc w:val="left"/>
              <w:textAlignment w:val="center"/>
              <w:rPr>
                <w:rStyle w:val="36"/>
                <w:rFonts w:hint="default" w:ascii="宋体" w:hAnsi="宋体" w:eastAsia="宋体" w:cs="宋体"/>
                <w:b w:val="0"/>
                <w:bCs w:val="0"/>
                <w:kern w:val="0"/>
                <w:sz w:val="24"/>
                <w:szCs w:val="24"/>
                <w:vertAlign w:val="baseline"/>
                <w:lang w:val="en-US" w:eastAsia="zh-CN" w:bidi="ar"/>
              </w:rPr>
            </w:pPr>
          </w:p>
        </w:tc>
      </w:tr>
      <w:tr w14:paraId="60C78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1" w:hRule="atLeast"/>
        </w:trPr>
        <w:tc>
          <w:tcPr>
            <w:tcW w:w="438" w:type="pct"/>
            <w:noWrap w:val="0"/>
            <w:vAlign w:val="center"/>
          </w:tcPr>
          <w:p w14:paraId="3262D565">
            <w:pPr>
              <w:keepNext w:val="0"/>
              <w:keepLines w:val="0"/>
              <w:widowControl/>
              <w:suppressLineNumbers w:val="0"/>
              <w:shd w:val="clear" w:color="auto" w:fill="auto"/>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3</w:t>
            </w:r>
          </w:p>
        </w:tc>
        <w:tc>
          <w:tcPr>
            <w:tcW w:w="1076" w:type="pct"/>
            <w:noWrap w:val="0"/>
            <w:vAlign w:val="center"/>
          </w:tcPr>
          <w:p w14:paraId="04A5B61C">
            <w:pPr>
              <w:keepNext w:val="0"/>
              <w:keepLines w:val="0"/>
              <w:widowControl/>
              <w:suppressLineNumbers w:val="0"/>
              <w:shd w:val="clear" w:color="auto" w:fill="auto"/>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防暑解暑用品</w:t>
            </w:r>
          </w:p>
        </w:tc>
        <w:tc>
          <w:tcPr>
            <w:tcW w:w="419" w:type="pct"/>
            <w:noWrap w:val="0"/>
            <w:vAlign w:val="center"/>
          </w:tcPr>
          <w:p w14:paraId="0A943376">
            <w:pPr>
              <w:keepNext w:val="0"/>
              <w:keepLines w:val="0"/>
              <w:widowControl/>
              <w:suppressLineNumbers w:val="0"/>
              <w:shd w:val="clear" w:color="auto" w:fill="auto"/>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批</w:t>
            </w:r>
          </w:p>
        </w:tc>
        <w:tc>
          <w:tcPr>
            <w:tcW w:w="473" w:type="pct"/>
            <w:noWrap w:val="0"/>
            <w:vAlign w:val="center"/>
          </w:tcPr>
          <w:p w14:paraId="44CAB6F4">
            <w:pPr>
              <w:keepNext w:val="0"/>
              <w:keepLines w:val="0"/>
              <w:widowControl/>
              <w:suppressLineNumbers w:val="0"/>
              <w:shd w:val="clear" w:color="auto" w:fill="auto"/>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1</w:t>
            </w:r>
          </w:p>
        </w:tc>
        <w:tc>
          <w:tcPr>
            <w:tcW w:w="1170" w:type="pct"/>
            <w:vMerge w:val="continue"/>
            <w:noWrap w:val="0"/>
            <w:vAlign w:val="center"/>
          </w:tcPr>
          <w:p w14:paraId="41F1E833">
            <w:pPr>
              <w:keepNext w:val="0"/>
              <w:keepLines w:val="0"/>
              <w:widowControl/>
              <w:suppressLineNumbers w:val="0"/>
              <w:shd w:val="clear" w:color="auto" w:fill="auto"/>
              <w:jc w:val="left"/>
              <w:textAlignment w:val="center"/>
              <w:rPr>
                <w:rStyle w:val="36"/>
                <w:rFonts w:hint="eastAsia" w:ascii="宋体" w:hAnsi="宋体" w:eastAsia="宋体" w:cs="宋体"/>
                <w:b w:val="0"/>
                <w:bCs w:val="0"/>
                <w:kern w:val="0"/>
                <w:sz w:val="24"/>
                <w:szCs w:val="24"/>
                <w:vertAlign w:val="baseline"/>
                <w:lang w:val="en-US" w:eastAsia="zh-CN" w:bidi="ar"/>
              </w:rPr>
            </w:pPr>
          </w:p>
        </w:tc>
        <w:tc>
          <w:tcPr>
            <w:tcW w:w="444" w:type="pct"/>
            <w:noWrap w:val="0"/>
            <w:vAlign w:val="top"/>
          </w:tcPr>
          <w:p w14:paraId="4592B58D">
            <w:pPr>
              <w:keepNext w:val="0"/>
              <w:keepLines w:val="0"/>
              <w:widowControl/>
              <w:suppressLineNumbers w:val="0"/>
              <w:shd w:val="clear" w:color="auto" w:fill="auto"/>
              <w:jc w:val="left"/>
              <w:textAlignment w:val="center"/>
              <w:rPr>
                <w:rStyle w:val="36"/>
                <w:rFonts w:hint="default" w:ascii="宋体" w:hAnsi="宋体" w:eastAsia="宋体" w:cs="宋体"/>
                <w:b w:val="0"/>
                <w:bCs w:val="0"/>
                <w:kern w:val="0"/>
                <w:sz w:val="24"/>
                <w:szCs w:val="24"/>
                <w:vertAlign w:val="baseline"/>
                <w:lang w:val="en-US" w:eastAsia="zh-CN" w:bidi="ar"/>
              </w:rPr>
            </w:pPr>
          </w:p>
        </w:tc>
        <w:tc>
          <w:tcPr>
            <w:tcW w:w="975" w:type="pct"/>
            <w:vMerge w:val="continue"/>
            <w:noWrap w:val="0"/>
            <w:vAlign w:val="top"/>
          </w:tcPr>
          <w:p w14:paraId="4A837F83">
            <w:pPr>
              <w:keepNext w:val="0"/>
              <w:keepLines w:val="0"/>
              <w:widowControl/>
              <w:suppressLineNumbers w:val="0"/>
              <w:shd w:val="clear" w:color="auto" w:fill="auto"/>
              <w:jc w:val="left"/>
              <w:textAlignment w:val="center"/>
              <w:rPr>
                <w:rStyle w:val="36"/>
                <w:rFonts w:hint="default" w:ascii="宋体" w:hAnsi="宋体" w:eastAsia="宋体" w:cs="宋体"/>
                <w:b w:val="0"/>
                <w:bCs w:val="0"/>
                <w:kern w:val="0"/>
                <w:sz w:val="24"/>
                <w:szCs w:val="24"/>
                <w:vertAlign w:val="baseline"/>
                <w:lang w:val="en-US" w:eastAsia="zh-CN" w:bidi="ar"/>
              </w:rPr>
            </w:pPr>
          </w:p>
        </w:tc>
      </w:tr>
      <w:tr w14:paraId="42E7A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1" w:hRule="atLeast"/>
        </w:trPr>
        <w:tc>
          <w:tcPr>
            <w:tcW w:w="438" w:type="pct"/>
            <w:noWrap w:val="0"/>
            <w:vAlign w:val="center"/>
          </w:tcPr>
          <w:p w14:paraId="686C080A">
            <w:pPr>
              <w:keepNext w:val="0"/>
              <w:keepLines w:val="0"/>
              <w:widowControl/>
              <w:suppressLineNumbers w:val="0"/>
              <w:shd w:val="clear" w:color="auto" w:fill="auto"/>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4</w:t>
            </w:r>
          </w:p>
        </w:tc>
        <w:tc>
          <w:tcPr>
            <w:tcW w:w="1076" w:type="pct"/>
            <w:noWrap w:val="0"/>
            <w:vAlign w:val="center"/>
          </w:tcPr>
          <w:p w14:paraId="37A6D593">
            <w:pPr>
              <w:keepNext w:val="0"/>
              <w:keepLines w:val="0"/>
              <w:widowControl/>
              <w:suppressLineNumbers w:val="0"/>
              <w:shd w:val="clear" w:color="auto" w:fill="auto"/>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纸巾湿巾</w:t>
            </w:r>
          </w:p>
        </w:tc>
        <w:tc>
          <w:tcPr>
            <w:tcW w:w="419" w:type="pct"/>
            <w:noWrap w:val="0"/>
            <w:vAlign w:val="center"/>
          </w:tcPr>
          <w:p w14:paraId="39126DA7">
            <w:pPr>
              <w:keepNext w:val="0"/>
              <w:keepLines w:val="0"/>
              <w:widowControl/>
              <w:suppressLineNumbers w:val="0"/>
              <w:shd w:val="clear" w:color="auto" w:fill="auto"/>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批</w:t>
            </w:r>
          </w:p>
        </w:tc>
        <w:tc>
          <w:tcPr>
            <w:tcW w:w="473" w:type="pct"/>
            <w:noWrap w:val="0"/>
            <w:vAlign w:val="center"/>
          </w:tcPr>
          <w:p w14:paraId="3B0D2166">
            <w:pPr>
              <w:keepNext w:val="0"/>
              <w:keepLines w:val="0"/>
              <w:widowControl/>
              <w:suppressLineNumbers w:val="0"/>
              <w:shd w:val="clear" w:color="auto" w:fill="auto"/>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1</w:t>
            </w:r>
          </w:p>
        </w:tc>
        <w:tc>
          <w:tcPr>
            <w:tcW w:w="1170" w:type="pct"/>
            <w:vMerge w:val="continue"/>
            <w:noWrap w:val="0"/>
            <w:vAlign w:val="center"/>
          </w:tcPr>
          <w:p w14:paraId="4325E7E1">
            <w:pPr>
              <w:keepNext w:val="0"/>
              <w:keepLines w:val="0"/>
              <w:widowControl/>
              <w:suppressLineNumbers w:val="0"/>
              <w:shd w:val="clear" w:color="auto" w:fill="auto"/>
              <w:jc w:val="left"/>
              <w:textAlignment w:val="center"/>
              <w:rPr>
                <w:rStyle w:val="36"/>
                <w:rFonts w:hint="eastAsia" w:ascii="宋体" w:hAnsi="宋体" w:eastAsia="宋体" w:cs="宋体"/>
                <w:b w:val="0"/>
                <w:bCs w:val="0"/>
                <w:kern w:val="0"/>
                <w:sz w:val="24"/>
                <w:szCs w:val="24"/>
                <w:vertAlign w:val="baseline"/>
                <w:lang w:val="en-US" w:eastAsia="zh-CN" w:bidi="ar"/>
              </w:rPr>
            </w:pPr>
          </w:p>
        </w:tc>
        <w:tc>
          <w:tcPr>
            <w:tcW w:w="444" w:type="pct"/>
            <w:noWrap w:val="0"/>
            <w:vAlign w:val="top"/>
          </w:tcPr>
          <w:p w14:paraId="2CB05EBB">
            <w:pPr>
              <w:keepNext w:val="0"/>
              <w:keepLines w:val="0"/>
              <w:widowControl/>
              <w:suppressLineNumbers w:val="0"/>
              <w:shd w:val="clear" w:color="auto" w:fill="auto"/>
              <w:jc w:val="left"/>
              <w:textAlignment w:val="center"/>
              <w:rPr>
                <w:rStyle w:val="36"/>
                <w:rFonts w:hint="default" w:ascii="宋体" w:hAnsi="宋体" w:eastAsia="宋体" w:cs="宋体"/>
                <w:b w:val="0"/>
                <w:bCs w:val="0"/>
                <w:kern w:val="0"/>
                <w:sz w:val="24"/>
                <w:szCs w:val="24"/>
                <w:vertAlign w:val="baseline"/>
                <w:lang w:val="en-US" w:eastAsia="zh-CN" w:bidi="ar"/>
              </w:rPr>
            </w:pPr>
          </w:p>
        </w:tc>
        <w:tc>
          <w:tcPr>
            <w:tcW w:w="975" w:type="pct"/>
            <w:vMerge w:val="continue"/>
            <w:noWrap w:val="0"/>
            <w:vAlign w:val="top"/>
          </w:tcPr>
          <w:p w14:paraId="4B6C1D87">
            <w:pPr>
              <w:keepNext w:val="0"/>
              <w:keepLines w:val="0"/>
              <w:widowControl/>
              <w:suppressLineNumbers w:val="0"/>
              <w:shd w:val="clear" w:color="auto" w:fill="auto"/>
              <w:jc w:val="left"/>
              <w:textAlignment w:val="center"/>
              <w:rPr>
                <w:rStyle w:val="36"/>
                <w:rFonts w:hint="default" w:ascii="宋体" w:hAnsi="宋体" w:eastAsia="宋体" w:cs="宋体"/>
                <w:b w:val="0"/>
                <w:bCs w:val="0"/>
                <w:kern w:val="0"/>
                <w:sz w:val="24"/>
                <w:szCs w:val="24"/>
                <w:vertAlign w:val="baseline"/>
                <w:lang w:val="en-US" w:eastAsia="zh-CN" w:bidi="ar"/>
              </w:rPr>
            </w:pPr>
          </w:p>
        </w:tc>
      </w:tr>
      <w:tr w14:paraId="67A28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1" w:hRule="atLeast"/>
        </w:trPr>
        <w:tc>
          <w:tcPr>
            <w:tcW w:w="438" w:type="pct"/>
            <w:noWrap w:val="0"/>
            <w:vAlign w:val="center"/>
          </w:tcPr>
          <w:p w14:paraId="2690CCC5">
            <w:pPr>
              <w:keepNext w:val="0"/>
              <w:keepLines w:val="0"/>
              <w:widowControl/>
              <w:suppressLineNumbers w:val="0"/>
              <w:shd w:val="clear" w:color="auto" w:fill="auto"/>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1</w:t>
            </w:r>
          </w:p>
        </w:tc>
        <w:tc>
          <w:tcPr>
            <w:tcW w:w="1076" w:type="pct"/>
            <w:noWrap w:val="0"/>
            <w:vAlign w:val="center"/>
          </w:tcPr>
          <w:p w14:paraId="7A2048D6">
            <w:pPr>
              <w:keepNext w:val="0"/>
              <w:keepLines w:val="0"/>
              <w:widowControl/>
              <w:suppressLineNumbers w:val="0"/>
              <w:shd w:val="clear" w:color="auto" w:fill="auto"/>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选手用车</w:t>
            </w:r>
          </w:p>
        </w:tc>
        <w:tc>
          <w:tcPr>
            <w:tcW w:w="419" w:type="pct"/>
            <w:noWrap w:val="0"/>
            <w:vAlign w:val="center"/>
          </w:tcPr>
          <w:p w14:paraId="57B3EE87">
            <w:pPr>
              <w:keepNext w:val="0"/>
              <w:keepLines w:val="0"/>
              <w:widowControl/>
              <w:suppressLineNumbers w:val="0"/>
              <w:shd w:val="clear" w:color="auto" w:fill="auto"/>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辆</w:t>
            </w:r>
          </w:p>
        </w:tc>
        <w:tc>
          <w:tcPr>
            <w:tcW w:w="473" w:type="pct"/>
            <w:noWrap w:val="0"/>
            <w:vAlign w:val="center"/>
          </w:tcPr>
          <w:p w14:paraId="76FE54C8">
            <w:pPr>
              <w:keepNext w:val="0"/>
              <w:keepLines w:val="0"/>
              <w:widowControl/>
              <w:suppressLineNumbers w:val="0"/>
              <w:shd w:val="clear" w:color="auto" w:fill="auto"/>
              <w:jc w:val="left"/>
              <w:textAlignment w:val="center"/>
              <w:rPr>
                <w:rStyle w:val="36"/>
                <w:rFonts w:hint="eastAsia" w:ascii="宋体" w:hAnsi="宋体" w:eastAsia="宋体" w:cs="宋体"/>
                <w:b w:val="0"/>
                <w:bCs w:val="0"/>
                <w:kern w:val="0"/>
                <w:sz w:val="24"/>
                <w:szCs w:val="24"/>
                <w:vertAlign w:val="baseline"/>
                <w:lang w:val="en-US" w:eastAsia="zh-CN" w:bidi="ar"/>
              </w:rPr>
            </w:pPr>
          </w:p>
        </w:tc>
        <w:tc>
          <w:tcPr>
            <w:tcW w:w="1170" w:type="pct"/>
            <w:noWrap w:val="0"/>
            <w:vAlign w:val="center"/>
          </w:tcPr>
          <w:p w14:paraId="4F0E3348">
            <w:pPr>
              <w:keepNext w:val="0"/>
              <w:keepLines w:val="0"/>
              <w:widowControl/>
              <w:suppressLineNumbers w:val="0"/>
              <w:shd w:val="clear" w:color="auto" w:fill="auto"/>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使用时间不少于比赛7天，含接送及赛事通勤用车，按需提供</w:t>
            </w:r>
          </w:p>
        </w:tc>
        <w:tc>
          <w:tcPr>
            <w:tcW w:w="444" w:type="pct"/>
            <w:noWrap w:val="0"/>
            <w:vAlign w:val="top"/>
          </w:tcPr>
          <w:p w14:paraId="35D764B8">
            <w:pPr>
              <w:keepNext w:val="0"/>
              <w:keepLines w:val="0"/>
              <w:widowControl/>
              <w:suppressLineNumbers w:val="0"/>
              <w:shd w:val="clear" w:color="auto" w:fill="auto"/>
              <w:jc w:val="left"/>
              <w:textAlignment w:val="center"/>
              <w:rPr>
                <w:rStyle w:val="36"/>
                <w:rFonts w:hint="default" w:ascii="宋体" w:hAnsi="宋体" w:eastAsia="宋体" w:cs="宋体"/>
                <w:b w:val="0"/>
                <w:bCs w:val="0"/>
                <w:kern w:val="0"/>
                <w:sz w:val="24"/>
                <w:szCs w:val="24"/>
                <w:vertAlign w:val="baseline"/>
                <w:lang w:val="en-US" w:eastAsia="zh-CN" w:bidi="ar"/>
              </w:rPr>
            </w:pPr>
          </w:p>
        </w:tc>
        <w:tc>
          <w:tcPr>
            <w:tcW w:w="975" w:type="pct"/>
            <w:vMerge w:val="restart"/>
            <w:noWrap w:val="0"/>
            <w:vAlign w:val="top"/>
          </w:tcPr>
          <w:p w14:paraId="70E560BF">
            <w:pPr>
              <w:keepNext w:val="0"/>
              <w:keepLines w:val="0"/>
              <w:widowControl/>
              <w:suppressLineNumbers w:val="0"/>
              <w:shd w:val="clear" w:color="auto" w:fill="auto"/>
              <w:jc w:val="center"/>
              <w:textAlignment w:val="center"/>
              <w:rPr>
                <w:rStyle w:val="36"/>
                <w:rFonts w:hint="default" w:ascii="宋体" w:hAnsi="宋体" w:eastAsia="宋体" w:cs="宋体"/>
                <w:b w:val="0"/>
                <w:bCs w:val="0"/>
                <w:kern w:val="0"/>
                <w:sz w:val="24"/>
                <w:szCs w:val="24"/>
                <w:vertAlign w:val="baseline"/>
                <w:lang w:val="en-US" w:eastAsia="zh-CN" w:bidi="ar"/>
              </w:rPr>
            </w:pPr>
            <w:r>
              <w:rPr>
                <w:rStyle w:val="36"/>
                <w:rFonts w:hint="default" w:ascii="宋体" w:hAnsi="宋体" w:eastAsia="宋体" w:cs="宋体"/>
                <w:b w:val="0"/>
                <w:bCs w:val="0"/>
                <w:kern w:val="0"/>
                <w:sz w:val="24"/>
                <w:szCs w:val="24"/>
                <w:vertAlign w:val="baseline"/>
                <w:lang w:val="en-US" w:eastAsia="zh-CN" w:bidi="ar"/>
              </w:rPr>
              <w:t>车辆租赁、人员邀请、导摄服务</w:t>
            </w:r>
            <w:r>
              <w:rPr>
                <w:rStyle w:val="36"/>
                <w:rFonts w:hint="eastAsia" w:ascii="宋体" w:hAnsi="宋体" w:eastAsia="宋体" w:cs="宋体"/>
                <w:b w:val="0"/>
                <w:bCs w:val="0"/>
                <w:kern w:val="0"/>
                <w:sz w:val="24"/>
                <w:szCs w:val="24"/>
                <w:vertAlign w:val="baseline"/>
                <w:lang w:val="en-US" w:eastAsia="zh-CN" w:bidi="ar"/>
              </w:rPr>
              <w:t>（包含但不限于此内容，具体以和招标人商议为主）</w:t>
            </w:r>
          </w:p>
        </w:tc>
      </w:tr>
      <w:tr w14:paraId="1DFD7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1" w:hRule="atLeast"/>
        </w:trPr>
        <w:tc>
          <w:tcPr>
            <w:tcW w:w="438" w:type="pct"/>
            <w:noWrap w:val="0"/>
            <w:vAlign w:val="center"/>
          </w:tcPr>
          <w:p w14:paraId="7D4B9D00">
            <w:pPr>
              <w:keepNext w:val="0"/>
              <w:keepLines w:val="0"/>
              <w:widowControl/>
              <w:suppressLineNumbers w:val="0"/>
              <w:shd w:val="clear" w:color="auto" w:fill="auto"/>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2</w:t>
            </w:r>
          </w:p>
        </w:tc>
        <w:tc>
          <w:tcPr>
            <w:tcW w:w="1076" w:type="pct"/>
            <w:noWrap w:val="0"/>
            <w:vAlign w:val="center"/>
          </w:tcPr>
          <w:p w14:paraId="6FB6A39C">
            <w:pPr>
              <w:keepNext w:val="0"/>
              <w:keepLines w:val="0"/>
              <w:widowControl/>
              <w:suppressLineNumbers w:val="0"/>
              <w:shd w:val="clear" w:color="auto" w:fill="auto"/>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领导嘉宾备用车</w:t>
            </w:r>
          </w:p>
        </w:tc>
        <w:tc>
          <w:tcPr>
            <w:tcW w:w="419" w:type="pct"/>
            <w:noWrap w:val="0"/>
            <w:vAlign w:val="center"/>
          </w:tcPr>
          <w:p w14:paraId="2DC8B844">
            <w:pPr>
              <w:keepNext w:val="0"/>
              <w:keepLines w:val="0"/>
              <w:widowControl/>
              <w:suppressLineNumbers w:val="0"/>
              <w:shd w:val="clear" w:color="auto" w:fill="auto"/>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辆</w:t>
            </w:r>
          </w:p>
        </w:tc>
        <w:tc>
          <w:tcPr>
            <w:tcW w:w="473" w:type="pct"/>
            <w:noWrap w:val="0"/>
            <w:vAlign w:val="center"/>
          </w:tcPr>
          <w:p w14:paraId="36D2D128">
            <w:pPr>
              <w:keepNext w:val="0"/>
              <w:keepLines w:val="0"/>
              <w:widowControl/>
              <w:suppressLineNumbers w:val="0"/>
              <w:shd w:val="clear" w:color="auto" w:fill="auto"/>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7</w:t>
            </w:r>
          </w:p>
        </w:tc>
        <w:tc>
          <w:tcPr>
            <w:tcW w:w="1170" w:type="pct"/>
            <w:noWrap w:val="0"/>
            <w:vAlign w:val="center"/>
          </w:tcPr>
          <w:p w14:paraId="1FAB6283">
            <w:pPr>
              <w:keepNext w:val="0"/>
              <w:keepLines w:val="0"/>
              <w:widowControl/>
              <w:suppressLineNumbers w:val="0"/>
              <w:shd w:val="clear" w:color="auto" w:fill="auto"/>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使用时间不少于比赛7天，提供不少于5辆（全程待命）含接送、应急转运等</w:t>
            </w:r>
          </w:p>
        </w:tc>
        <w:tc>
          <w:tcPr>
            <w:tcW w:w="444" w:type="pct"/>
            <w:noWrap w:val="0"/>
            <w:vAlign w:val="top"/>
          </w:tcPr>
          <w:p w14:paraId="2A0A1E3C">
            <w:pPr>
              <w:keepNext w:val="0"/>
              <w:keepLines w:val="0"/>
              <w:widowControl/>
              <w:suppressLineNumbers w:val="0"/>
              <w:shd w:val="clear" w:color="auto" w:fill="auto"/>
              <w:jc w:val="left"/>
              <w:textAlignment w:val="center"/>
              <w:rPr>
                <w:rStyle w:val="36"/>
                <w:rFonts w:hint="default" w:ascii="宋体" w:hAnsi="宋体" w:eastAsia="宋体" w:cs="宋体"/>
                <w:b w:val="0"/>
                <w:bCs w:val="0"/>
                <w:kern w:val="0"/>
                <w:sz w:val="24"/>
                <w:szCs w:val="24"/>
                <w:vertAlign w:val="baseline"/>
                <w:lang w:val="en-US" w:eastAsia="zh-CN" w:bidi="ar"/>
              </w:rPr>
            </w:pPr>
          </w:p>
        </w:tc>
        <w:tc>
          <w:tcPr>
            <w:tcW w:w="975" w:type="pct"/>
            <w:vMerge w:val="continue"/>
            <w:noWrap w:val="0"/>
            <w:vAlign w:val="top"/>
          </w:tcPr>
          <w:p w14:paraId="23B43216">
            <w:pPr>
              <w:keepNext w:val="0"/>
              <w:keepLines w:val="0"/>
              <w:widowControl/>
              <w:suppressLineNumbers w:val="0"/>
              <w:shd w:val="clear" w:color="auto" w:fill="auto"/>
              <w:jc w:val="left"/>
              <w:textAlignment w:val="center"/>
              <w:rPr>
                <w:rStyle w:val="36"/>
                <w:rFonts w:hint="default" w:ascii="宋体" w:hAnsi="宋体" w:eastAsia="宋体" w:cs="宋体"/>
                <w:b w:val="0"/>
                <w:bCs w:val="0"/>
                <w:kern w:val="0"/>
                <w:sz w:val="24"/>
                <w:szCs w:val="24"/>
                <w:vertAlign w:val="baseline"/>
                <w:lang w:val="en-US" w:eastAsia="zh-CN" w:bidi="ar"/>
              </w:rPr>
            </w:pPr>
          </w:p>
        </w:tc>
      </w:tr>
      <w:tr w14:paraId="6BCAF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1" w:hRule="atLeast"/>
        </w:trPr>
        <w:tc>
          <w:tcPr>
            <w:tcW w:w="438" w:type="pct"/>
            <w:noWrap w:val="0"/>
            <w:vAlign w:val="center"/>
          </w:tcPr>
          <w:p w14:paraId="5493A5D0">
            <w:pPr>
              <w:keepNext w:val="0"/>
              <w:keepLines w:val="0"/>
              <w:widowControl/>
              <w:suppressLineNumbers w:val="0"/>
              <w:shd w:val="clear" w:color="auto" w:fill="auto"/>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3</w:t>
            </w:r>
          </w:p>
        </w:tc>
        <w:tc>
          <w:tcPr>
            <w:tcW w:w="1076" w:type="pct"/>
            <w:noWrap w:val="0"/>
            <w:vAlign w:val="center"/>
          </w:tcPr>
          <w:p w14:paraId="335DCA52">
            <w:pPr>
              <w:keepNext w:val="0"/>
              <w:keepLines w:val="0"/>
              <w:widowControl/>
              <w:suppressLineNumbers w:val="0"/>
              <w:shd w:val="clear" w:color="auto" w:fill="auto"/>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礼仪邀请</w:t>
            </w:r>
          </w:p>
        </w:tc>
        <w:tc>
          <w:tcPr>
            <w:tcW w:w="419" w:type="pct"/>
            <w:noWrap w:val="0"/>
            <w:vAlign w:val="center"/>
          </w:tcPr>
          <w:p w14:paraId="3DDC3C61">
            <w:pPr>
              <w:keepNext w:val="0"/>
              <w:keepLines w:val="0"/>
              <w:widowControl/>
              <w:suppressLineNumbers w:val="0"/>
              <w:shd w:val="clear" w:color="auto" w:fill="auto"/>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人</w:t>
            </w:r>
          </w:p>
        </w:tc>
        <w:tc>
          <w:tcPr>
            <w:tcW w:w="473" w:type="pct"/>
            <w:noWrap w:val="0"/>
            <w:vAlign w:val="center"/>
          </w:tcPr>
          <w:p w14:paraId="388587C3">
            <w:pPr>
              <w:keepNext w:val="0"/>
              <w:keepLines w:val="0"/>
              <w:widowControl/>
              <w:suppressLineNumbers w:val="0"/>
              <w:shd w:val="clear" w:color="auto" w:fill="auto"/>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10</w:t>
            </w:r>
          </w:p>
        </w:tc>
        <w:tc>
          <w:tcPr>
            <w:tcW w:w="1170" w:type="pct"/>
            <w:noWrap w:val="0"/>
            <w:vAlign w:val="center"/>
          </w:tcPr>
          <w:p w14:paraId="296659BA">
            <w:pPr>
              <w:keepNext w:val="0"/>
              <w:keepLines w:val="0"/>
              <w:widowControl/>
              <w:suppressLineNumbers w:val="0"/>
              <w:shd w:val="clear" w:color="auto" w:fill="auto"/>
              <w:jc w:val="left"/>
              <w:textAlignment w:val="center"/>
              <w:rPr>
                <w:rStyle w:val="36"/>
                <w:rFonts w:hint="eastAsia" w:ascii="宋体" w:hAnsi="宋体" w:eastAsia="宋体" w:cs="宋体"/>
                <w:b w:val="0"/>
                <w:bCs w:val="0"/>
                <w:kern w:val="0"/>
                <w:sz w:val="24"/>
                <w:szCs w:val="24"/>
                <w:vertAlign w:val="baseline"/>
                <w:lang w:val="en-US" w:eastAsia="zh-CN" w:bidi="ar"/>
              </w:rPr>
            </w:pPr>
          </w:p>
        </w:tc>
        <w:tc>
          <w:tcPr>
            <w:tcW w:w="444" w:type="pct"/>
            <w:noWrap w:val="0"/>
            <w:vAlign w:val="top"/>
          </w:tcPr>
          <w:p w14:paraId="67B19BE1">
            <w:pPr>
              <w:keepNext w:val="0"/>
              <w:keepLines w:val="0"/>
              <w:widowControl/>
              <w:suppressLineNumbers w:val="0"/>
              <w:shd w:val="clear" w:color="auto" w:fill="auto"/>
              <w:jc w:val="left"/>
              <w:textAlignment w:val="center"/>
              <w:rPr>
                <w:rStyle w:val="36"/>
                <w:rFonts w:hint="default" w:ascii="宋体" w:hAnsi="宋体" w:eastAsia="宋体" w:cs="宋体"/>
                <w:b w:val="0"/>
                <w:bCs w:val="0"/>
                <w:kern w:val="0"/>
                <w:sz w:val="24"/>
                <w:szCs w:val="24"/>
                <w:vertAlign w:val="baseline"/>
                <w:lang w:val="en-US" w:eastAsia="zh-CN" w:bidi="ar"/>
              </w:rPr>
            </w:pPr>
          </w:p>
        </w:tc>
        <w:tc>
          <w:tcPr>
            <w:tcW w:w="975" w:type="pct"/>
            <w:vMerge w:val="continue"/>
            <w:noWrap w:val="0"/>
            <w:vAlign w:val="top"/>
          </w:tcPr>
          <w:p w14:paraId="4F7F890D">
            <w:pPr>
              <w:keepNext w:val="0"/>
              <w:keepLines w:val="0"/>
              <w:widowControl/>
              <w:suppressLineNumbers w:val="0"/>
              <w:shd w:val="clear" w:color="auto" w:fill="auto"/>
              <w:jc w:val="left"/>
              <w:textAlignment w:val="center"/>
              <w:rPr>
                <w:rStyle w:val="36"/>
                <w:rFonts w:hint="default" w:ascii="宋体" w:hAnsi="宋体" w:eastAsia="宋体" w:cs="宋体"/>
                <w:b w:val="0"/>
                <w:bCs w:val="0"/>
                <w:kern w:val="0"/>
                <w:sz w:val="24"/>
                <w:szCs w:val="24"/>
                <w:vertAlign w:val="baseline"/>
                <w:lang w:val="en-US" w:eastAsia="zh-CN" w:bidi="ar"/>
              </w:rPr>
            </w:pPr>
          </w:p>
        </w:tc>
      </w:tr>
      <w:tr w14:paraId="71E61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1" w:hRule="atLeast"/>
        </w:trPr>
        <w:tc>
          <w:tcPr>
            <w:tcW w:w="438" w:type="pct"/>
            <w:noWrap w:val="0"/>
            <w:vAlign w:val="center"/>
          </w:tcPr>
          <w:p w14:paraId="268B1002">
            <w:pPr>
              <w:keepNext w:val="0"/>
              <w:keepLines w:val="0"/>
              <w:widowControl/>
              <w:suppressLineNumbers w:val="0"/>
              <w:shd w:val="clear" w:color="auto" w:fill="auto"/>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4</w:t>
            </w:r>
          </w:p>
        </w:tc>
        <w:tc>
          <w:tcPr>
            <w:tcW w:w="1076" w:type="pct"/>
            <w:noWrap w:val="0"/>
            <w:vAlign w:val="center"/>
          </w:tcPr>
          <w:p w14:paraId="0FDD1E16">
            <w:pPr>
              <w:keepNext w:val="0"/>
              <w:keepLines w:val="0"/>
              <w:widowControl/>
              <w:suppressLineNumbers w:val="0"/>
              <w:shd w:val="clear" w:color="auto" w:fill="auto"/>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举牌、引导员</w:t>
            </w:r>
          </w:p>
        </w:tc>
        <w:tc>
          <w:tcPr>
            <w:tcW w:w="419" w:type="pct"/>
            <w:noWrap w:val="0"/>
            <w:vAlign w:val="center"/>
          </w:tcPr>
          <w:p w14:paraId="30A486B9">
            <w:pPr>
              <w:keepNext w:val="0"/>
              <w:keepLines w:val="0"/>
              <w:widowControl/>
              <w:suppressLineNumbers w:val="0"/>
              <w:shd w:val="clear" w:color="auto" w:fill="auto"/>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个</w:t>
            </w:r>
          </w:p>
        </w:tc>
        <w:tc>
          <w:tcPr>
            <w:tcW w:w="473" w:type="pct"/>
            <w:noWrap w:val="0"/>
            <w:vAlign w:val="center"/>
          </w:tcPr>
          <w:p w14:paraId="31057C0E">
            <w:pPr>
              <w:keepNext w:val="0"/>
              <w:keepLines w:val="0"/>
              <w:widowControl/>
              <w:suppressLineNumbers w:val="0"/>
              <w:shd w:val="clear" w:color="auto" w:fill="auto"/>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30</w:t>
            </w:r>
          </w:p>
        </w:tc>
        <w:tc>
          <w:tcPr>
            <w:tcW w:w="1170" w:type="pct"/>
            <w:noWrap w:val="0"/>
            <w:vAlign w:val="center"/>
          </w:tcPr>
          <w:p w14:paraId="14F41D5A">
            <w:pPr>
              <w:keepNext w:val="0"/>
              <w:keepLines w:val="0"/>
              <w:widowControl/>
              <w:suppressLineNumbers w:val="0"/>
              <w:shd w:val="clear" w:color="auto" w:fill="auto"/>
              <w:jc w:val="left"/>
              <w:textAlignment w:val="center"/>
              <w:rPr>
                <w:rStyle w:val="36"/>
                <w:rFonts w:hint="eastAsia" w:ascii="宋体" w:hAnsi="宋体" w:eastAsia="宋体" w:cs="宋体"/>
                <w:b w:val="0"/>
                <w:bCs w:val="0"/>
                <w:kern w:val="0"/>
                <w:sz w:val="24"/>
                <w:szCs w:val="24"/>
                <w:vertAlign w:val="baseline"/>
                <w:lang w:val="en-US" w:eastAsia="zh-CN" w:bidi="ar"/>
              </w:rPr>
            </w:pPr>
          </w:p>
        </w:tc>
        <w:tc>
          <w:tcPr>
            <w:tcW w:w="444" w:type="pct"/>
            <w:noWrap w:val="0"/>
            <w:vAlign w:val="top"/>
          </w:tcPr>
          <w:p w14:paraId="3A9EF291">
            <w:pPr>
              <w:keepNext w:val="0"/>
              <w:keepLines w:val="0"/>
              <w:widowControl/>
              <w:suppressLineNumbers w:val="0"/>
              <w:shd w:val="clear" w:color="auto" w:fill="auto"/>
              <w:jc w:val="left"/>
              <w:textAlignment w:val="center"/>
              <w:rPr>
                <w:rStyle w:val="36"/>
                <w:rFonts w:hint="default" w:ascii="宋体" w:hAnsi="宋体" w:eastAsia="宋体" w:cs="宋体"/>
                <w:b w:val="0"/>
                <w:bCs w:val="0"/>
                <w:kern w:val="0"/>
                <w:sz w:val="24"/>
                <w:szCs w:val="24"/>
                <w:vertAlign w:val="baseline"/>
                <w:lang w:val="en-US" w:eastAsia="zh-CN" w:bidi="ar"/>
              </w:rPr>
            </w:pPr>
          </w:p>
        </w:tc>
        <w:tc>
          <w:tcPr>
            <w:tcW w:w="975" w:type="pct"/>
            <w:vMerge w:val="continue"/>
            <w:noWrap w:val="0"/>
            <w:vAlign w:val="top"/>
          </w:tcPr>
          <w:p w14:paraId="0E2BE908">
            <w:pPr>
              <w:keepNext w:val="0"/>
              <w:keepLines w:val="0"/>
              <w:widowControl/>
              <w:suppressLineNumbers w:val="0"/>
              <w:shd w:val="clear" w:color="auto" w:fill="auto"/>
              <w:jc w:val="left"/>
              <w:textAlignment w:val="center"/>
              <w:rPr>
                <w:rStyle w:val="36"/>
                <w:rFonts w:hint="default" w:ascii="宋体" w:hAnsi="宋体" w:eastAsia="宋体" w:cs="宋体"/>
                <w:b w:val="0"/>
                <w:bCs w:val="0"/>
                <w:kern w:val="0"/>
                <w:sz w:val="24"/>
                <w:szCs w:val="24"/>
                <w:vertAlign w:val="baseline"/>
                <w:lang w:val="en-US" w:eastAsia="zh-CN" w:bidi="ar"/>
              </w:rPr>
            </w:pPr>
          </w:p>
        </w:tc>
      </w:tr>
      <w:tr w14:paraId="467BE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1" w:hRule="atLeast"/>
        </w:trPr>
        <w:tc>
          <w:tcPr>
            <w:tcW w:w="438" w:type="pct"/>
            <w:noWrap w:val="0"/>
            <w:vAlign w:val="center"/>
          </w:tcPr>
          <w:p w14:paraId="6EE41931">
            <w:pPr>
              <w:keepNext w:val="0"/>
              <w:keepLines w:val="0"/>
              <w:widowControl/>
              <w:suppressLineNumbers w:val="0"/>
              <w:shd w:val="clear" w:color="auto" w:fill="auto"/>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5</w:t>
            </w:r>
          </w:p>
        </w:tc>
        <w:tc>
          <w:tcPr>
            <w:tcW w:w="1076" w:type="pct"/>
            <w:noWrap w:val="0"/>
            <w:vAlign w:val="center"/>
          </w:tcPr>
          <w:p w14:paraId="3347CB3D">
            <w:pPr>
              <w:keepNext w:val="0"/>
              <w:keepLines w:val="0"/>
              <w:widowControl/>
              <w:suppressLineNumbers w:val="0"/>
              <w:shd w:val="clear" w:color="auto" w:fill="auto"/>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开幕式节目编排</w:t>
            </w:r>
          </w:p>
        </w:tc>
        <w:tc>
          <w:tcPr>
            <w:tcW w:w="419" w:type="pct"/>
            <w:noWrap w:val="0"/>
            <w:vAlign w:val="center"/>
          </w:tcPr>
          <w:p w14:paraId="1724C2E4">
            <w:pPr>
              <w:keepNext w:val="0"/>
              <w:keepLines w:val="0"/>
              <w:widowControl/>
              <w:suppressLineNumbers w:val="0"/>
              <w:shd w:val="clear" w:color="auto" w:fill="auto"/>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个</w:t>
            </w:r>
          </w:p>
        </w:tc>
        <w:tc>
          <w:tcPr>
            <w:tcW w:w="473" w:type="pct"/>
            <w:noWrap w:val="0"/>
            <w:vAlign w:val="center"/>
          </w:tcPr>
          <w:p w14:paraId="568EDEA0">
            <w:pPr>
              <w:keepNext w:val="0"/>
              <w:keepLines w:val="0"/>
              <w:widowControl/>
              <w:suppressLineNumbers w:val="0"/>
              <w:shd w:val="clear" w:color="auto" w:fill="auto"/>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4</w:t>
            </w:r>
          </w:p>
        </w:tc>
        <w:tc>
          <w:tcPr>
            <w:tcW w:w="1170" w:type="pct"/>
            <w:noWrap w:val="0"/>
            <w:vAlign w:val="center"/>
          </w:tcPr>
          <w:p w14:paraId="42CD632D">
            <w:pPr>
              <w:keepNext w:val="0"/>
              <w:keepLines w:val="0"/>
              <w:widowControl/>
              <w:suppressLineNumbers w:val="0"/>
              <w:shd w:val="clear" w:color="auto" w:fill="auto"/>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1500人，不少于4个</w:t>
            </w:r>
          </w:p>
        </w:tc>
        <w:tc>
          <w:tcPr>
            <w:tcW w:w="444" w:type="pct"/>
            <w:noWrap w:val="0"/>
            <w:vAlign w:val="top"/>
          </w:tcPr>
          <w:p w14:paraId="6E6EA858">
            <w:pPr>
              <w:keepNext w:val="0"/>
              <w:keepLines w:val="0"/>
              <w:widowControl/>
              <w:suppressLineNumbers w:val="0"/>
              <w:shd w:val="clear" w:color="auto" w:fill="auto"/>
              <w:jc w:val="left"/>
              <w:textAlignment w:val="center"/>
              <w:rPr>
                <w:rStyle w:val="36"/>
                <w:rFonts w:hint="default" w:ascii="宋体" w:hAnsi="宋体" w:eastAsia="宋体" w:cs="宋体"/>
                <w:b w:val="0"/>
                <w:bCs w:val="0"/>
                <w:kern w:val="0"/>
                <w:sz w:val="24"/>
                <w:szCs w:val="24"/>
                <w:vertAlign w:val="baseline"/>
                <w:lang w:val="en-US" w:eastAsia="zh-CN" w:bidi="ar"/>
              </w:rPr>
            </w:pPr>
          </w:p>
        </w:tc>
        <w:tc>
          <w:tcPr>
            <w:tcW w:w="975" w:type="pct"/>
            <w:vMerge w:val="continue"/>
            <w:noWrap w:val="0"/>
            <w:vAlign w:val="top"/>
          </w:tcPr>
          <w:p w14:paraId="53B25221">
            <w:pPr>
              <w:keepNext w:val="0"/>
              <w:keepLines w:val="0"/>
              <w:widowControl/>
              <w:suppressLineNumbers w:val="0"/>
              <w:shd w:val="clear" w:color="auto" w:fill="auto"/>
              <w:jc w:val="left"/>
              <w:textAlignment w:val="center"/>
              <w:rPr>
                <w:rStyle w:val="36"/>
                <w:rFonts w:hint="default" w:ascii="宋体" w:hAnsi="宋体" w:eastAsia="宋体" w:cs="宋体"/>
                <w:b w:val="0"/>
                <w:bCs w:val="0"/>
                <w:kern w:val="0"/>
                <w:sz w:val="24"/>
                <w:szCs w:val="24"/>
                <w:vertAlign w:val="baseline"/>
                <w:lang w:val="en-US" w:eastAsia="zh-CN" w:bidi="ar"/>
              </w:rPr>
            </w:pPr>
          </w:p>
        </w:tc>
      </w:tr>
      <w:tr w14:paraId="0E8C9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1" w:hRule="atLeast"/>
        </w:trPr>
        <w:tc>
          <w:tcPr>
            <w:tcW w:w="438" w:type="pct"/>
            <w:noWrap w:val="0"/>
            <w:vAlign w:val="center"/>
          </w:tcPr>
          <w:p w14:paraId="2CDCA651">
            <w:pPr>
              <w:keepNext w:val="0"/>
              <w:keepLines w:val="0"/>
              <w:widowControl/>
              <w:suppressLineNumbers w:val="0"/>
              <w:shd w:val="clear" w:color="auto" w:fill="auto"/>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6</w:t>
            </w:r>
          </w:p>
        </w:tc>
        <w:tc>
          <w:tcPr>
            <w:tcW w:w="1076" w:type="pct"/>
            <w:noWrap w:val="0"/>
            <w:vAlign w:val="center"/>
          </w:tcPr>
          <w:p w14:paraId="7C875357">
            <w:pPr>
              <w:keepNext w:val="0"/>
              <w:keepLines w:val="0"/>
              <w:widowControl/>
              <w:suppressLineNumbers w:val="0"/>
              <w:shd w:val="clear" w:color="auto" w:fill="auto"/>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新疆台主持人邀请</w:t>
            </w:r>
          </w:p>
        </w:tc>
        <w:tc>
          <w:tcPr>
            <w:tcW w:w="419" w:type="pct"/>
            <w:noWrap w:val="0"/>
            <w:vAlign w:val="center"/>
          </w:tcPr>
          <w:p w14:paraId="5CF149EB">
            <w:pPr>
              <w:keepNext w:val="0"/>
              <w:keepLines w:val="0"/>
              <w:widowControl/>
              <w:suppressLineNumbers w:val="0"/>
              <w:shd w:val="clear" w:color="auto" w:fill="auto"/>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人</w:t>
            </w:r>
          </w:p>
        </w:tc>
        <w:tc>
          <w:tcPr>
            <w:tcW w:w="473" w:type="pct"/>
            <w:noWrap w:val="0"/>
            <w:vAlign w:val="center"/>
          </w:tcPr>
          <w:p w14:paraId="00D801CF">
            <w:pPr>
              <w:keepNext w:val="0"/>
              <w:keepLines w:val="0"/>
              <w:widowControl/>
              <w:suppressLineNumbers w:val="0"/>
              <w:shd w:val="clear" w:color="auto" w:fill="auto"/>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1</w:t>
            </w:r>
          </w:p>
        </w:tc>
        <w:tc>
          <w:tcPr>
            <w:tcW w:w="1170" w:type="pct"/>
            <w:noWrap w:val="0"/>
            <w:vAlign w:val="center"/>
          </w:tcPr>
          <w:p w14:paraId="211651B3">
            <w:pPr>
              <w:keepNext w:val="0"/>
              <w:keepLines w:val="0"/>
              <w:widowControl/>
              <w:suppressLineNumbers w:val="0"/>
              <w:shd w:val="clear" w:color="auto" w:fill="auto"/>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含交通食宿,主持开闭幕式两场</w:t>
            </w:r>
          </w:p>
        </w:tc>
        <w:tc>
          <w:tcPr>
            <w:tcW w:w="444" w:type="pct"/>
            <w:noWrap w:val="0"/>
            <w:vAlign w:val="top"/>
          </w:tcPr>
          <w:p w14:paraId="7CBA46DE">
            <w:pPr>
              <w:keepNext w:val="0"/>
              <w:keepLines w:val="0"/>
              <w:widowControl/>
              <w:suppressLineNumbers w:val="0"/>
              <w:shd w:val="clear" w:color="auto" w:fill="auto"/>
              <w:jc w:val="left"/>
              <w:textAlignment w:val="center"/>
              <w:rPr>
                <w:rStyle w:val="36"/>
                <w:rFonts w:hint="default" w:ascii="宋体" w:hAnsi="宋体" w:eastAsia="宋体" w:cs="宋体"/>
                <w:b w:val="0"/>
                <w:bCs w:val="0"/>
                <w:kern w:val="0"/>
                <w:sz w:val="24"/>
                <w:szCs w:val="24"/>
                <w:vertAlign w:val="baseline"/>
                <w:lang w:val="en-US" w:eastAsia="zh-CN" w:bidi="ar"/>
              </w:rPr>
            </w:pPr>
          </w:p>
        </w:tc>
        <w:tc>
          <w:tcPr>
            <w:tcW w:w="975" w:type="pct"/>
            <w:vMerge w:val="continue"/>
            <w:noWrap w:val="0"/>
            <w:vAlign w:val="top"/>
          </w:tcPr>
          <w:p w14:paraId="454614C0">
            <w:pPr>
              <w:keepNext w:val="0"/>
              <w:keepLines w:val="0"/>
              <w:widowControl/>
              <w:suppressLineNumbers w:val="0"/>
              <w:shd w:val="clear" w:color="auto" w:fill="auto"/>
              <w:jc w:val="left"/>
              <w:textAlignment w:val="center"/>
              <w:rPr>
                <w:rStyle w:val="36"/>
                <w:rFonts w:hint="default" w:ascii="宋体" w:hAnsi="宋体" w:eastAsia="宋体" w:cs="宋体"/>
                <w:b w:val="0"/>
                <w:bCs w:val="0"/>
                <w:kern w:val="0"/>
                <w:sz w:val="24"/>
                <w:szCs w:val="24"/>
                <w:vertAlign w:val="baseline"/>
                <w:lang w:val="en-US" w:eastAsia="zh-CN" w:bidi="ar"/>
              </w:rPr>
            </w:pPr>
          </w:p>
        </w:tc>
      </w:tr>
      <w:tr w14:paraId="7A131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1" w:hRule="atLeast"/>
        </w:trPr>
        <w:tc>
          <w:tcPr>
            <w:tcW w:w="438" w:type="pct"/>
            <w:noWrap w:val="0"/>
            <w:vAlign w:val="center"/>
          </w:tcPr>
          <w:p w14:paraId="653B6A3E">
            <w:pPr>
              <w:keepNext w:val="0"/>
              <w:keepLines w:val="0"/>
              <w:widowControl/>
              <w:suppressLineNumbers w:val="0"/>
              <w:shd w:val="clear" w:color="auto" w:fill="auto"/>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7</w:t>
            </w:r>
          </w:p>
        </w:tc>
        <w:tc>
          <w:tcPr>
            <w:tcW w:w="1076" w:type="pct"/>
            <w:noWrap w:val="0"/>
            <w:vAlign w:val="center"/>
          </w:tcPr>
          <w:p w14:paraId="6087FB61">
            <w:pPr>
              <w:keepNext w:val="0"/>
              <w:keepLines w:val="0"/>
              <w:widowControl/>
              <w:suppressLineNumbers w:val="0"/>
              <w:shd w:val="clear" w:color="auto" w:fill="auto"/>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地区融媒体中心主持人邀请</w:t>
            </w:r>
          </w:p>
        </w:tc>
        <w:tc>
          <w:tcPr>
            <w:tcW w:w="419" w:type="pct"/>
            <w:noWrap w:val="0"/>
            <w:vAlign w:val="center"/>
          </w:tcPr>
          <w:p w14:paraId="74E679C5">
            <w:pPr>
              <w:keepNext w:val="0"/>
              <w:keepLines w:val="0"/>
              <w:widowControl/>
              <w:suppressLineNumbers w:val="0"/>
              <w:shd w:val="clear" w:color="auto" w:fill="auto"/>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人</w:t>
            </w:r>
          </w:p>
        </w:tc>
        <w:tc>
          <w:tcPr>
            <w:tcW w:w="473" w:type="pct"/>
            <w:noWrap w:val="0"/>
            <w:vAlign w:val="center"/>
          </w:tcPr>
          <w:p w14:paraId="528FAF8D">
            <w:pPr>
              <w:keepNext w:val="0"/>
              <w:keepLines w:val="0"/>
              <w:widowControl/>
              <w:suppressLineNumbers w:val="0"/>
              <w:shd w:val="clear" w:color="auto" w:fill="auto"/>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1</w:t>
            </w:r>
          </w:p>
        </w:tc>
        <w:tc>
          <w:tcPr>
            <w:tcW w:w="1170" w:type="pct"/>
            <w:noWrap w:val="0"/>
            <w:vAlign w:val="center"/>
          </w:tcPr>
          <w:p w14:paraId="3248FE75">
            <w:pPr>
              <w:keepNext w:val="0"/>
              <w:keepLines w:val="0"/>
              <w:widowControl/>
              <w:suppressLineNumbers w:val="0"/>
              <w:shd w:val="clear" w:color="auto" w:fill="auto"/>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含服装化妆,主持开闭幕式两场</w:t>
            </w:r>
          </w:p>
        </w:tc>
        <w:tc>
          <w:tcPr>
            <w:tcW w:w="444" w:type="pct"/>
            <w:noWrap w:val="0"/>
            <w:vAlign w:val="top"/>
          </w:tcPr>
          <w:p w14:paraId="15E6128F">
            <w:pPr>
              <w:keepNext w:val="0"/>
              <w:keepLines w:val="0"/>
              <w:widowControl/>
              <w:suppressLineNumbers w:val="0"/>
              <w:shd w:val="clear" w:color="auto" w:fill="auto"/>
              <w:jc w:val="left"/>
              <w:textAlignment w:val="center"/>
              <w:rPr>
                <w:rStyle w:val="36"/>
                <w:rFonts w:hint="default" w:ascii="宋体" w:hAnsi="宋体" w:eastAsia="宋体" w:cs="宋体"/>
                <w:b w:val="0"/>
                <w:bCs w:val="0"/>
                <w:kern w:val="0"/>
                <w:sz w:val="24"/>
                <w:szCs w:val="24"/>
                <w:vertAlign w:val="baseline"/>
                <w:lang w:val="en-US" w:eastAsia="zh-CN" w:bidi="ar"/>
              </w:rPr>
            </w:pPr>
          </w:p>
        </w:tc>
        <w:tc>
          <w:tcPr>
            <w:tcW w:w="975" w:type="pct"/>
            <w:vMerge w:val="continue"/>
            <w:noWrap w:val="0"/>
            <w:vAlign w:val="top"/>
          </w:tcPr>
          <w:p w14:paraId="665A08D4">
            <w:pPr>
              <w:keepNext w:val="0"/>
              <w:keepLines w:val="0"/>
              <w:widowControl/>
              <w:suppressLineNumbers w:val="0"/>
              <w:shd w:val="clear" w:color="auto" w:fill="auto"/>
              <w:jc w:val="left"/>
              <w:textAlignment w:val="center"/>
              <w:rPr>
                <w:rStyle w:val="36"/>
                <w:rFonts w:hint="default" w:ascii="宋体" w:hAnsi="宋体" w:eastAsia="宋体" w:cs="宋体"/>
                <w:b w:val="0"/>
                <w:bCs w:val="0"/>
                <w:kern w:val="0"/>
                <w:sz w:val="24"/>
                <w:szCs w:val="24"/>
                <w:vertAlign w:val="baseline"/>
                <w:lang w:val="en-US" w:eastAsia="zh-CN" w:bidi="ar"/>
              </w:rPr>
            </w:pPr>
          </w:p>
        </w:tc>
      </w:tr>
      <w:tr w14:paraId="4C63E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1" w:hRule="atLeast"/>
        </w:trPr>
        <w:tc>
          <w:tcPr>
            <w:tcW w:w="438" w:type="pct"/>
            <w:noWrap w:val="0"/>
            <w:vAlign w:val="center"/>
          </w:tcPr>
          <w:p w14:paraId="041E27DB">
            <w:pPr>
              <w:keepNext w:val="0"/>
              <w:keepLines w:val="0"/>
              <w:widowControl/>
              <w:suppressLineNumbers w:val="0"/>
              <w:shd w:val="clear" w:color="auto" w:fill="auto"/>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8</w:t>
            </w:r>
          </w:p>
        </w:tc>
        <w:tc>
          <w:tcPr>
            <w:tcW w:w="1076" w:type="pct"/>
            <w:noWrap w:val="0"/>
            <w:vAlign w:val="center"/>
          </w:tcPr>
          <w:p w14:paraId="00A7BB38">
            <w:pPr>
              <w:keepNext w:val="0"/>
              <w:keepLines w:val="0"/>
              <w:widowControl/>
              <w:suppressLineNumbers w:val="0"/>
              <w:shd w:val="clear" w:color="auto" w:fill="auto"/>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开闭幕式主持稿撰写</w:t>
            </w:r>
          </w:p>
        </w:tc>
        <w:tc>
          <w:tcPr>
            <w:tcW w:w="419" w:type="pct"/>
            <w:noWrap w:val="0"/>
            <w:vAlign w:val="center"/>
          </w:tcPr>
          <w:p w14:paraId="1F73E0A6">
            <w:pPr>
              <w:keepNext w:val="0"/>
              <w:keepLines w:val="0"/>
              <w:widowControl/>
              <w:suppressLineNumbers w:val="0"/>
              <w:shd w:val="clear" w:color="auto" w:fill="auto"/>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场</w:t>
            </w:r>
          </w:p>
        </w:tc>
        <w:tc>
          <w:tcPr>
            <w:tcW w:w="473" w:type="pct"/>
            <w:noWrap w:val="0"/>
            <w:vAlign w:val="center"/>
          </w:tcPr>
          <w:p w14:paraId="0D36388D">
            <w:pPr>
              <w:keepNext w:val="0"/>
              <w:keepLines w:val="0"/>
              <w:widowControl/>
              <w:suppressLineNumbers w:val="0"/>
              <w:shd w:val="clear" w:color="auto" w:fill="auto"/>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2</w:t>
            </w:r>
          </w:p>
        </w:tc>
        <w:tc>
          <w:tcPr>
            <w:tcW w:w="1170" w:type="pct"/>
            <w:noWrap w:val="0"/>
            <w:vAlign w:val="center"/>
          </w:tcPr>
          <w:p w14:paraId="42C5DA2E">
            <w:pPr>
              <w:keepNext w:val="0"/>
              <w:keepLines w:val="0"/>
              <w:widowControl/>
              <w:suppressLineNumbers w:val="0"/>
              <w:shd w:val="clear" w:color="auto" w:fill="auto"/>
              <w:jc w:val="left"/>
              <w:textAlignment w:val="center"/>
              <w:rPr>
                <w:rStyle w:val="36"/>
                <w:rFonts w:hint="eastAsia" w:ascii="宋体" w:hAnsi="宋体" w:eastAsia="宋体" w:cs="宋体"/>
                <w:b w:val="0"/>
                <w:bCs w:val="0"/>
                <w:kern w:val="0"/>
                <w:sz w:val="24"/>
                <w:szCs w:val="24"/>
                <w:vertAlign w:val="baseline"/>
                <w:lang w:val="en-US" w:eastAsia="zh-CN" w:bidi="ar"/>
              </w:rPr>
            </w:pPr>
          </w:p>
        </w:tc>
        <w:tc>
          <w:tcPr>
            <w:tcW w:w="444" w:type="pct"/>
            <w:noWrap w:val="0"/>
            <w:vAlign w:val="top"/>
          </w:tcPr>
          <w:p w14:paraId="0F741053">
            <w:pPr>
              <w:keepNext w:val="0"/>
              <w:keepLines w:val="0"/>
              <w:widowControl/>
              <w:suppressLineNumbers w:val="0"/>
              <w:shd w:val="clear" w:color="auto" w:fill="auto"/>
              <w:jc w:val="left"/>
              <w:textAlignment w:val="center"/>
              <w:rPr>
                <w:rStyle w:val="36"/>
                <w:rFonts w:hint="default" w:ascii="宋体" w:hAnsi="宋体" w:eastAsia="宋体" w:cs="宋体"/>
                <w:b w:val="0"/>
                <w:bCs w:val="0"/>
                <w:kern w:val="0"/>
                <w:sz w:val="24"/>
                <w:szCs w:val="24"/>
                <w:vertAlign w:val="baseline"/>
                <w:lang w:val="en-US" w:eastAsia="zh-CN" w:bidi="ar"/>
              </w:rPr>
            </w:pPr>
          </w:p>
        </w:tc>
        <w:tc>
          <w:tcPr>
            <w:tcW w:w="975" w:type="pct"/>
            <w:vMerge w:val="continue"/>
            <w:noWrap w:val="0"/>
            <w:vAlign w:val="top"/>
          </w:tcPr>
          <w:p w14:paraId="1E6B740F">
            <w:pPr>
              <w:keepNext w:val="0"/>
              <w:keepLines w:val="0"/>
              <w:widowControl/>
              <w:suppressLineNumbers w:val="0"/>
              <w:shd w:val="clear" w:color="auto" w:fill="auto"/>
              <w:jc w:val="left"/>
              <w:textAlignment w:val="center"/>
              <w:rPr>
                <w:rStyle w:val="36"/>
                <w:rFonts w:hint="default" w:ascii="宋体" w:hAnsi="宋体" w:eastAsia="宋体" w:cs="宋体"/>
                <w:b w:val="0"/>
                <w:bCs w:val="0"/>
                <w:kern w:val="0"/>
                <w:sz w:val="24"/>
                <w:szCs w:val="24"/>
                <w:vertAlign w:val="baseline"/>
                <w:lang w:val="en-US" w:eastAsia="zh-CN" w:bidi="ar"/>
              </w:rPr>
            </w:pPr>
          </w:p>
        </w:tc>
      </w:tr>
      <w:tr w14:paraId="01C8B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1" w:hRule="atLeast"/>
        </w:trPr>
        <w:tc>
          <w:tcPr>
            <w:tcW w:w="438" w:type="pct"/>
            <w:noWrap w:val="0"/>
            <w:vAlign w:val="center"/>
          </w:tcPr>
          <w:p w14:paraId="735E1C30">
            <w:pPr>
              <w:keepNext w:val="0"/>
              <w:keepLines w:val="0"/>
              <w:widowControl/>
              <w:suppressLineNumbers w:val="0"/>
              <w:shd w:val="clear" w:color="auto" w:fill="auto"/>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9</w:t>
            </w:r>
          </w:p>
        </w:tc>
        <w:tc>
          <w:tcPr>
            <w:tcW w:w="1076" w:type="pct"/>
            <w:noWrap w:val="0"/>
            <w:vAlign w:val="center"/>
          </w:tcPr>
          <w:p w14:paraId="3DDAAD23">
            <w:pPr>
              <w:keepNext w:val="0"/>
              <w:keepLines w:val="0"/>
              <w:widowControl/>
              <w:suppressLineNumbers w:val="0"/>
              <w:shd w:val="clear" w:color="auto" w:fill="auto"/>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导演执行团队</w:t>
            </w:r>
          </w:p>
        </w:tc>
        <w:tc>
          <w:tcPr>
            <w:tcW w:w="419" w:type="pct"/>
            <w:noWrap w:val="0"/>
            <w:vAlign w:val="center"/>
          </w:tcPr>
          <w:p w14:paraId="43DF30E7">
            <w:pPr>
              <w:keepNext w:val="0"/>
              <w:keepLines w:val="0"/>
              <w:widowControl/>
              <w:suppressLineNumbers w:val="0"/>
              <w:shd w:val="clear" w:color="auto" w:fill="auto"/>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场</w:t>
            </w:r>
          </w:p>
        </w:tc>
        <w:tc>
          <w:tcPr>
            <w:tcW w:w="473" w:type="pct"/>
            <w:noWrap w:val="0"/>
            <w:vAlign w:val="center"/>
          </w:tcPr>
          <w:p w14:paraId="5BDF3F4B">
            <w:pPr>
              <w:keepNext w:val="0"/>
              <w:keepLines w:val="0"/>
              <w:widowControl/>
              <w:suppressLineNumbers w:val="0"/>
              <w:shd w:val="clear" w:color="auto" w:fill="auto"/>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2</w:t>
            </w:r>
          </w:p>
        </w:tc>
        <w:tc>
          <w:tcPr>
            <w:tcW w:w="1170" w:type="pct"/>
            <w:noWrap w:val="0"/>
            <w:vAlign w:val="center"/>
          </w:tcPr>
          <w:p w14:paraId="75222F0F">
            <w:pPr>
              <w:keepNext w:val="0"/>
              <w:keepLines w:val="0"/>
              <w:widowControl/>
              <w:suppressLineNumbers w:val="0"/>
              <w:shd w:val="clear" w:color="auto" w:fill="auto"/>
              <w:jc w:val="left"/>
              <w:textAlignment w:val="center"/>
              <w:rPr>
                <w:rStyle w:val="36"/>
                <w:rFonts w:hint="eastAsia" w:ascii="宋体" w:hAnsi="宋体" w:eastAsia="宋体" w:cs="宋体"/>
                <w:b w:val="0"/>
                <w:bCs w:val="0"/>
                <w:kern w:val="0"/>
                <w:sz w:val="24"/>
                <w:szCs w:val="24"/>
                <w:vertAlign w:val="baseline"/>
                <w:lang w:val="en-US" w:eastAsia="zh-CN" w:bidi="ar"/>
              </w:rPr>
            </w:pPr>
          </w:p>
        </w:tc>
        <w:tc>
          <w:tcPr>
            <w:tcW w:w="444" w:type="pct"/>
            <w:noWrap w:val="0"/>
            <w:vAlign w:val="top"/>
          </w:tcPr>
          <w:p w14:paraId="67B82BE4">
            <w:pPr>
              <w:keepNext w:val="0"/>
              <w:keepLines w:val="0"/>
              <w:widowControl/>
              <w:suppressLineNumbers w:val="0"/>
              <w:shd w:val="clear" w:color="auto" w:fill="auto"/>
              <w:jc w:val="left"/>
              <w:textAlignment w:val="center"/>
              <w:rPr>
                <w:rStyle w:val="36"/>
                <w:rFonts w:hint="default" w:ascii="宋体" w:hAnsi="宋体" w:eastAsia="宋体" w:cs="宋体"/>
                <w:b w:val="0"/>
                <w:bCs w:val="0"/>
                <w:kern w:val="0"/>
                <w:sz w:val="24"/>
                <w:szCs w:val="24"/>
                <w:vertAlign w:val="baseline"/>
                <w:lang w:val="en-US" w:eastAsia="zh-CN" w:bidi="ar"/>
              </w:rPr>
            </w:pPr>
          </w:p>
        </w:tc>
        <w:tc>
          <w:tcPr>
            <w:tcW w:w="975" w:type="pct"/>
            <w:vMerge w:val="continue"/>
            <w:noWrap w:val="0"/>
            <w:vAlign w:val="top"/>
          </w:tcPr>
          <w:p w14:paraId="566F8767">
            <w:pPr>
              <w:keepNext w:val="0"/>
              <w:keepLines w:val="0"/>
              <w:widowControl/>
              <w:suppressLineNumbers w:val="0"/>
              <w:shd w:val="clear" w:color="auto" w:fill="auto"/>
              <w:jc w:val="left"/>
              <w:textAlignment w:val="center"/>
              <w:rPr>
                <w:rStyle w:val="36"/>
                <w:rFonts w:hint="default" w:ascii="宋体" w:hAnsi="宋体" w:eastAsia="宋体" w:cs="宋体"/>
                <w:b w:val="0"/>
                <w:bCs w:val="0"/>
                <w:kern w:val="0"/>
                <w:sz w:val="24"/>
                <w:szCs w:val="24"/>
                <w:vertAlign w:val="baseline"/>
                <w:lang w:val="en-US" w:eastAsia="zh-CN" w:bidi="ar"/>
              </w:rPr>
            </w:pPr>
          </w:p>
        </w:tc>
      </w:tr>
      <w:tr w14:paraId="6117F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1" w:hRule="atLeast"/>
        </w:trPr>
        <w:tc>
          <w:tcPr>
            <w:tcW w:w="438" w:type="pct"/>
            <w:noWrap w:val="0"/>
            <w:vAlign w:val="center"/>
          </w:tcPr>
          <w:p w14:paraId="41B9E5EA">
            <w:pPr>
              <w:keepNext w:val="0"/>
              <w:keepLines w:val="0"/>
              <w:widowControl/>
              <w:suppressLineNumbers w:val="0"/>
              <w:shd w:val="clear" w:color="auto" w:fill="auto"/>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10</w:t>
            </w:r>
          </w:p>
        </w:tc>
        <w:tc>
          <w:tcPr>
            <w:tcW w:w="1076" w:type="pct"/>
            <w:noWrap w:val="0"/>
            <w:vAlign w:val="center"/>
          </w:tcPr>
          <w:p w14:paraId="2E533F5B">
            <w:pPr>
              <w:keepNext w:val="0"/>
              <w:keepLines w:val="0"/>
              <w:widowControl/>
              <w:suppressLineNumbers w:val="0"/>
              <w:shd w:val="clear" w:color="auto" w:fill="auto"/>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裁判执裁费</w:t>
            </w:r>
          </w:p>
        </w:tc>
        <w:tc>
          <w:tcPr>
            <w:tcW w:w="419" w:type="pct"/>
            <w:noWrap w:val="0"/>
            <w:vAlign w:val="center"/>
          </w:tcPr>
          <w:p w14:paraId="5E3F3FAD">
            <w:pPr>
              <w:keepNext w:val="0"/>
              <w:keepLines w:val="0"/>
              <w:widowControl/>
              <w:suppressLineNumbers w:val="0"/>
              <w:shd w:val="clear" w:color="auto" w:fill="auto"/>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天</w:t>
            </w:r>
          </w:p>
        </w:tc>
        <w:tc>
          <w:tcPr>
            <w:tcW w:w="473" w:type="pct"/>
            <w:noWrap w:val="0"/>
            <w:vAlign w:val="center"/>
          </w:tcPr>
          <w:p w14:paraId="2ED91064">
            <w:pPr>
              <w:keepNext w:val="0"/>
              <w:keepLines w:val="0"/>
              <w:widowControl/>
              <w:suppressLineNumbers w:val="0"/>
              <w:shd w:val="clear" w:color="auto" w:fill="auto"/>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7</w:t>
            </w:r>
          </w:p>
        </w:tc>
        <w:tc>
          <w:tcPr>
            <w:tcW w:w="1170" w:type="pct"/>
            <w:noWrap w:val="0"/>
            <w:vAlign w:val="center"/>
          </w:tcPr>
          <w:p w14:paraId="5EABD97B">
            <w:pPr>
              <w:keepNext w:val="0"/>
              <w:keepLines w:val="0"/>
              <w:widowControl/>
              <w:suppressLineNumbers w:val="0"/>
              <w:shd w:val="clear" w:color="auto" w:fill="auto"/>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按照自治区、地区体育局要求执行</w:t>
            </w:r>
          </w:p>
          <w:p w14:paraId="071B2010">
            <w:pPr>
              <w:keepNext w:val="0"/>
              <w:keepLines w:val="0"/>
              <w:widowControl/>
              <w:suppressLineNumbers w:val="0"/>
              <w:shd w:val="clear" w:color="auto" w:fill="auto"/>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按照比赛实际抽调裁判及发放裁判费</w:t>
            </w:r>
          </w:p>
        </w:tc>
        <w:tc>
          <w:tcPr>
            <w:tcW w:w="444" w:type="pct"/>
            <w:noWrap w:val="0"/>
            <w:vAlign w:val="top"/>
          </w:tcPr>
          <w:p w14:paraId="394F45CB">
            <w:pPr>
              <w:keepNext w:val="0"/>
              <w:keepLines w:val="0"/>
              <w:widowControl/>
              <w:suppressLineNumbers w:val="0"/>
              <w:shd w:val="clear" w:color="auto" w:fill="auto"/>
              <w:jc w:val="left"/>
              <w:textAlignment w:val="center"/>
              <w:rPr>
                <w:rStyle w:val="36"/>
                <w:rFonts w:hint="default" w:ascii="宋体" w:hAnsi="宋体" w:eastAsia="宋体" w:cs="宋体"/>
                <w:b w:val="0"/>
                <w:bCs w:val="0"/>
                <w:kern w:val="0"/>
                <w:sz w:val="24"/>
                <w:szCs w:val="24"/>
                <w:vertAlign w:val="baseline"/>
                <w:lang w:val="en-US" w:eastAsia="zh-CN" w:bidi="ar"/>
              </w:rPr>
            </w:pPr>
          </w:p>
        </w:tc>
        <w:tc>
          <w:tcPr>
            <w:tcW w:w="975" w:type="pct"/>
            <w:vMerge w:val="continue"/>
            <w:noWrap w:val="0"/>
            <w:vAlign w:val="top"/>
          </w:tcPr>
          <w:p w14:paraId="4C12143B">
            <w:pPr>
              <w:keepNext w:val="0"/>
              <w:keepLines w:val="0"/>
              <w:widowControl/>
              <w:suppressLineNumbers w:val="0"/>
              <w:shd w:val="clear" w:color="auto" w:fill="auto"/>
              <w:jc w:val="left"/>
              <w:textAlignment w:val="center"/>
              <w:rPr>
                <w:rStyle w:val="36"/>
                <w:rFonts w:hint="default" w:ascii="宋体" w:hAnsi="宋体" w:eastAsia="宋体" w:cs="宋体"/>
                <w:b w:val="0"/>
                <w:bCs w:val="0"/>
                <w:kern w:val="0"/>
                <w:sz w:val="24"/>
                <w:szCs w:val="24"/>
                <w:vertAlign w:val="baseline"/>
                <w:lang w:val="en-US" w:eastAsia="zh-CN" w:bidi="ar"/>
              </w:rPr>
            </w:pPr>
          </w:p>
        </w:tc>
      </w:tr>
      <w:tr w14:paraId="29111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1" w:hRule="atLeast"/>
        </w:trPr>
        <w:tc>
          <w:tcPr>
            <w:tcW w:w="438" w:type="pct"/>
            <w:noWrap w:val="0"/>
            <w:vAlign w:val="center"/>
          </w:tcPr>
          <w:p w14:paraId="6D5945F7">
            <w:pPr>
              <w:keepNext w:val="0"/>
              <w:keepLines w:val="0"/>
              <w:widowControl/>
              <w:suppressLineNumbers w:val="0"/>
              <w:shd w:val="clear" w:color="auto" w:fill="auto"/>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11</w:t>
            </w:r>
          </w:p>
        </w:tc>
        <w:tc>
          <w:tcPr>
            <w:tcW w:w="1076" w:type="pct"/>
            <w:noWrap w:val="0"/>
            <w:vAlign w:val="center"/>
          </w:tcPr>
          <w:p w14:paraId="11D760AA">
            <w:pPr>
              <w:keepNext w:val="0"/>
              <w:keepLines w:val="0"/>
              <w:widowControl/>
              <w:suppressLineNumbers w:val="0"/>
              <w:shd w:val="clear" w:color="auto" w:fill="auto"/>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裁判交通费</w:t>
            </w:r>
          </w:p>
        </w:tc>
        <w:tc>
          <w:tcPr>
            <w:tcW w:w="419" w:type="pct"/>
            <w:noWrap w:val="0"/>
            <w:vAlign w:val="center"/>
          </w:tcPr>
          <w:p w14:paraId="26B1E587">
            <w:pPr>
              <w:keepNext w:val="0"/>
              <w:keepLines w:val="0"/>
              <w:widowControl/>
              <w:suppressLineNumbers w:val="0"/>
              <w:shd w:val="clear" w:color="auto" w:fill="auto"/>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趟</w:t>
            </w:r>
          </w:p>
        </w:tc>
        <w:tc>
          <w:tcPr>
            <w:tcW w:w="473" w:type="pct"/>
            <w:noWrap w:val="0"/>
            <w:vAlign w:val="center"/>
          </w:tcPr>
          <w:p w14:paraId="180B542E">
            <w:pPr>
              <w:keepNext w:val="0"/>
              <w:keepLines w:val="0"/>
              <w:widowControl/>
              <w:suppressLineNumbers w:val="0"/>
              <w:shd w:val="clear" w:color="auto" w:fill="auto"/>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2</w:t>
            </w:r>
          </w:p>
        </w:tc>
        <w:tc>
          <w:tcPr>
            <w:tcW w:w="1170" w:type="pct"/>
            <w:noWrap w:val="0"/>
            <w:vAlign w:val="center"/>
          </w:tcPr>
          <w:p w14:paraId="4CC95302">
            <w:pPr>
              <w:keepNext w:val="0"/>
              <w:keepLines w:val="0"/>
              <w:widowControl/>
              <w:suppressLineNumbers w:val="0"/>
              <w:shd w:val="clear" w:color="auto" w:fill="auto"/>
              <w:jc w:val="left"/>
              <w:textAlignment w:val="center"/>
              <w:rPr>
                <w:rStyle w:val="36"/>
                <w:rFonts w:hint="eastAsia" w:ascii="宋体" w:hAnsi="宋体" w:eastAsia="宋体" w:cs="宋体"/>
                <w:b w:val="0"/>
                <w:bCs w:val="0"/>
                <w:kern w:val="0"/>
                <w:sz w:val="24"/>
                <w:szCs w:val="24"/>
                <w:vertAlign w:val="baseline"/>
                <w:lang w:val="en-US" w:eastAsia="zh-CN" w:bidi="ar"/>
              </w:rPr>
            </w:pPr>
          </w:p>
        </w:tc>
        <w:tc>
          <w:tcPr>
            <w:tcW w:w="444" w:type="pct"/>
            <w:noWrap w:val="0"/>
            <w:vAlign w:val="top"/>
          </w:tcPr>
          <w:p w14:paraId="6795B581">
            <w:pPr>
              <w:keepNext w:val="0"/>
              <w:keepLines w:val="0"/>
              <w:widowControl/>
              <w:suppressLineNumbers w:val="0"/>
              <w:shd w:val="clear" w:color="auto" w:fill="auto"/>
              <w:jc w:val="left"/>
              <w:textAlignment w:val="center"/>
              <w:rPr>
                <w:rStyle w:val="36"/>
                <w:rFonts w:hint="default" w:ascii="宋体" w:hAnsi="宋体" w:eastAsia="宋体" w:cs="宋体"/>
                <w:b w:val="0"/>
                <w:bCs w:val="0"/>
                <w:kern w:val="0"/>
                <w:sz w:val="24"/>
                <w:szCs w:val="24"/>
                <w:vertAlign w:val="baseline"/>
                <w:lang w:val="en-US" w:eastAsia="zh-CN" w:bidi="ar"/>
              </w:rPr>
            </w:pPr>
          </w:p>
        </w:tc>
        <w:tc>
          <w:tcPr>
            <w:tcW w:w="975" w:type="pct"/>
            <w:vMerge w:val="continue"/>
            <w:noWrap w:val="0"/>
            <w:vAlign w:val="top"/>
          </w:tcPr>
          <w:p w14:paraId="498AC54C">
            <w:pPr>
              <w:keepNext w:val="0"/>
              <w:keepLines w:val="0"/>
              <w:widowControl/>
              <w:suppressLineNumbers w:val="0"/>
              <w:shd w:val="clear" w:color="auto" w:fill="auto"/>
              <w:jc w:val="left"/>
              <w:textAlignment w:val="center"/>
              <w:rPr>
                <w:rStyle w:val="36"/>
                <w:rFonts w:hint="default" w:ascii="宋体" w:hAnsi="宋体" w:eastAsia="宋体" w:cs="宋体"/>
                <w:b w:val="0"/>
                <w:bCs w:val="0"/>
                <w:kern w:val="0"/>
                <w:sz w:val="24"/>
                <w:szCs w:val="24"/>
                <w:vertAlign w:val="baseline"/>
                <w:lang w:val="en-US" w:eastAsia="zh-CN" w:bidi="ar"/>
              </w:rPr>
            </w:pPr>
          </w:p>
        </w:tc>
      </w:tr>
      <w:tr w14:paraId="1C196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1" w:hRule="atLeast"/>
        </w:trPr>
        <w:tc>
          <w:tcPr>
            <w:tcW w:w="438" w:type="pct"/>
            <w:noWrap w:val="0"/>
            <w:vAlign w:val="center"/>
          </w:tcPr>
          <w:p w14:paraId="713A2932">
            <w:pPr>
              <w:keepNext w:val="0"/>
              <w:keepLines w:val="0"/>
              <w:widowControl/>
              <w:suppressLineNumbers w:val="0"/>
              <w:shd w:val="clear" w:color="auto" w:fill="auto"/>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12</w:t>
            </w:r>
          </w:p>
        </w:tc>
        <w:tc>
          <w:tcPr>
            <w:tcW w:w="1076" w:type="pct"/>
            <w:noWrap w:val="0"/>
            <w:vAlign w:val="center"/>
          </w:tcPr>
          <w:p w14:paraId="5472D87E">
            <w:pPr>
              <w:keepNext w:val="0"/>
              <w:keepLines w:val="0"/>
              <w:widowControl/>
              <w:suppressLineNumbers w:val="0"/>
              <w:shd w:val="clear" w:color="auto" w:fill="auto"/>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保险费</w:t>
            </w:r>
          </w:p>
        </w:tc>
        <w:tc>
          <w:tcPr>
            <w:tcW w:w="419" w:type="pct"/>
            <w:noWrap w:val="0"/>
            <w:vAlign w:val="center"/>
          </w:tcPr>
          <w:p w14:paraId="3FBD9660">
            <w:pPr>
              <w:keepNext w:val="0"/>
              <w:keepLines w:val="0"/>
              <w:widowControl/>
              <w:suppressLineNumbers w:val="0"/>
              <w:shd w:val="clear" w:color="auto" w:fill="auto"/>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人</w:t>
            </w:r>
          </w:p>
        </w:tc>
        <w:tc>
          <w:tcPr>
            <w:tcW w:w="473" w:type="pct"/>
            <w:noWrap w:val="0"/>
            <w:vAlign w:val="center"/>
          </w:tcPr>
          <w:p w14:paraId="731BA33D">
            <w:pPr>
              <w:keepNext w:val="0"/>
              <w:keepLines w:val="0"/>
              <w:widowControl/>
              <w:suppressLineNumbers w:val="0"/>
              <w:shd w:val="clear" w:color="auto" w:fill="auto"/>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200</w:t>
            </w:r>
          </w:p>
        </w:tc>
        <w:tc>
          <w:tcPr>
            <w:tcW w:w="1170" w:type="pct"/>
            <w:noWrap w:val="0"/>
            <w:vAlign w:val="center"/>
          </w:tcPr>
          <w:p w14:paraId="5C537B92">
            <w:pPr>
              <w:keepNext w:val="0"/>
              <w:keepLines w:val="0"/>
              <w:widowControl/>
              <w:suppressLineNumbers w:val="0"/>
              <w:shd w:val="clear" w:color="auto" w:fill="auto"/>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志愿者保险</w:t>
            </w:r>
          </w:p>
        </w:tc>
        <w:tc>
          <w:tcPr>
            <w:tcW w:w="444" w:type="pct"/>
            <w:noWrap w:val="0"/>
            <w:vAlign w:val="top"/>
          </w:tcPr>
          <w:p w14:paraId="7228BE0A">
            <w:pPr>
              <w:keepNext w:val="0"/>
              <w:keepLines w:val="0"/>
              <w:widowControl/>
              <w:suppressLineNumbers w:val="0"/>
              <w:shd w:val="clear" w:color="auto" w:fill="auto"/>
              <w:jc w:val="left"/>
              <w:textAlignment w:val="center"/>
              <w:rPr>
                <w:rStyle w:val="36"/>
                <w:rFonts w:hint="default" w:ascii="宋体" w:hAnsi="宋体" w:eastAsia="宋体" w:cs="宋体"/>
                <w:b w:val="0"/>
                <w:bCs w:val="0"/>
                <w:kern w:val="0"/>
                <w:sz w:val="24"/>
                <w:szCs w:val="24"/>
                <w:vertAlign w:val="baseline"/>
                <w:lang w:val="en-US" w:eastAsia="zh-CN" w:bidi="ar"/>
              </w:rPr>
            </w:pPr>
          </w:p>
        </w:tc>
        <w:tc>
          <w:tcPr>
            <w:tcW w:w="975" w:type="pct"/>
            <w:vMerge w:val="continue"/>
            <w:noWrap w:val="0"/>
            <w:vAlign w:val="top"/>
          </w:tcPr>
          <w:p w14:paraId="32EDBAAA">
            <w:pPr>
              <w:keepNext w:val="0"/>
              <w:keepLines w:val="0"/>
              <w:widowControl/>
              <w:suppressLineNumbers w:val="0"/>
              <w:shd w:val="clear" w:color="auto" w:fill="auto"/>
              <w:jc w:val="left"/>
              <w:textAlignment w:val="center"/>
              <w:rPr>
                <w:rStyle w:val="36"/>
                <w:rFonts w:hint="default" w:ascii="宋体" w:hAnsi="宋体" w:eastAsia="宋体" w:cs="宋体"/>
                <w:b w:val="0"/>
                <w:bCs w:val="0"/>
                <w:kern w:val="0"/>
                <w:sz w:val="24"/>
                <w:szCs w:val="24"/>
                <w:vertAlign w:val="baseline"/>
                <w:lang w:val="en-US" w:eastAsia="zh-CN" w:bidi="ar"/>
              </w:rPr>
            </w:pPr>
          </w:p>
        </w:tc>
      </w:tr>
      <w:tr w14:paraId="048E8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1" w:hRule="atLeast"/>
        </w:trPr>
        <w:tc>
          <w:tcPr>
            <w:tcW w:w="438" w:type="pct"/>
            <w:noWrap w:val="0"/>
            <w:vAlign w:val="center"/>
          </w:tcPr>
          <w:p w14:paraId="666E6DD0">
            <w:pPr>
              <w:keepNext w:val="0"/>
              <w:keepLines w:val="0"/>
              <w:widowControl/>
              <w:suppressLineNumbers w:val="0"/>
              <w:shd w:val="clear" w:color="auto" w:fill="auto"/>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1</w:t>
            </w:r>
          </w:p>
        </w:tc>
        <w:tc>
          <w:tcPr>
            <w:tcW w:w="1076" w:type="pct"/>
            <w:noWrap w:val="0"/>
            <w:vAlign w:val="center"/>
          </w:tcPr>
          <w:p w14:paraId="30EE7C70">
            <w:pPr>
              <w:keepNext w:val="0"/>
              <w:keepLines w:val="0"/>
              <w:widowControl/>
              <w:suppressLineNumbers w:val="0"/>
              <w:shd w:val="clear" w:color="auto" w:fill="auto"/>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运动员住宿</w:t>
            </w:r>
          </w:p>
        </w:tc>
        <w:tc>
          <w:tcPr>
            <w:tcW w:w="419" w:type="pct"/>
            <w:noWrap w:val="0"/>
            <w:vAlign w:val="center"/>
          </w:tcPr>
          <w:p w14:paraId="707BE873">
            <w:pPr>
              <w:keepNext w:val="0"/>
              <w:keepLines w:val="0"/>
              <w:widowControl/>
              <w:suppressLineNumbers w:val="0"/>
              <w:shd w:val="clear" w:color="auto" w:fill="auto"/>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天</w:t>
            </w:r>
          </w:p>
        </w:tc>
        <w:tc>
          <w:tcPr>
            <w:tcW w:w="473" w:type="pct"/>
            <w:noWrap w:val="0"/>
            <w:vAlign w:val="center"/>
          </w:tcPr>
          <w:p w14:paraId="0CA2699B">
            <w:pPr>
              <w:keepNext w:val="0"/>
              <w:keepLines w:val="0"/>
              <w:widowControl/>
              <w:suppressLineNumbers w:val="0"/>
              <w:shd w:val="clear" w:color="auto" w:fill="auto"/>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8</w:t>
            </w:r>
          </w:p>
        </w:tc>
        <w:tc>
          <w:tcPr>
            <w:tcW w:w="1170" w:type="pct"/>
            <w:noWrap w:val="0"/>
            <w:vAlign w:val="center"/>
          </w:tcPr>
          <w:p w14:paraId="2975EB73">
            <w:pPr>
              <w:keepNext w:val="0"/>
              <w:keepLines w:val="0"/>
              <w:widowControl/>
              <w:suppressLineNumbers w:val="0"/>
              <w:shd w:val="clear" w:color="auto" w:fill="auto"/>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 xml:space="preserve"> </w:t>
            </w:r>
          </w:p>
        </w:tc>
        <w:tc>
          <w:tcPr>
            <w:tcW w:w="444" w:type="pct"/>
            <w:noWrap w:val="0"/>
            <w:vAlign w:val="top"/>
          </w:tcPr>
          <w:p w14:paraId="3D2200E9">
            <w:pPr>
              <w:keepNext w:val="0"/>
              <w:keepLines w:val="0"/>
              <w:widowControl/>
              <w:suppressLineNumbers w:val="0"/>
              <w:shd w:val="clear" w:color="auto" w:fill="auto"/>
              <w:jc w:val="left"/>
              <w:textAlignment w:val="center"/>
              <w:rPr>
                <w:rStyle w:val="36"/>
                <w:rFonts w:hint="default" w:ascii="宋体" w:hAnsi="宋体" w:eastAsia="宋体" w:cs="宋体"/>
                <w:b w:val="0"/>
                <w:bCs w:val="0"/>
                <w:kern w:val="0"/>
                <w:sz w:val="24"/>
                <w:szCs w:val="24"/>
                <w:vertAlign w:val="baseline"/>
                <w:lang w:val="en-US" w:eastAsia="zh-CN" w:bidi="ar"/>
              </w:rPr>
            </w:pPr>
          </w:p>
        </w:tc>
        <w:tc>
          <w:tcPr>
            <w:tcW w:w="975" w:type="pct"/>
            <w:vMerge w:val="restart"/>
            <w:noWrap w:val="0"/>
            <w:vAlign w:val="top"/>
          </w:tcPr>
          <w:p w14:paraId="40981D02">
            <w:pPr>
              <w:keepNext w:val="0"/>
              <w:keepLines w:val="0"/>
              <w:widowControl/>
              <w:suppressLineNumbers w:val="0"/>
              <w:shd w:val="clear" w:color="auto" w:fill="auto"/>
              <w:jc w:val="left"/>
              <w:textAlignment w:val="center"/>
              <w:rPr>
                <w:rStyle w:val="36"/>
                <w:rFonts w:hint="default" w:ascii="宋体" w:hAnsi="宋体" w:eastAsia="宋体" w:cs="宋体"/>
                <w:b w:val="0"/>
                <w:bCs w:val="0"/>
                <w:kern w:val="0"/>
                <w:sz w:val="24"/>
                <w:szCs w:val="24"/>
                <w:vertAlign w:val="baseline"/>
                <w:lang w:val="en-US" w:eastAsia="zh-CN" w:bidi="ar"/>
              </w:rPr>
            </w:pPr>
            <w:r>
              <w:rPr>
                <w:rStyle w:val="36"/>
                <w:rFonts w:hint="default" w:ascii="宋体" w:hAnsi="宋体" w:eastAsia="宋体" w:cs="宋体"/>
                <w:b w:val="0"/>
                <w:bCs w:val="0"/>
                <w:kern w:val="0"/>
                <w:sz w:val="24"/>
                <w:szCs w:val="24"/>
                <w:vertAlign w:val="baseline"/>
                <w:lang w:val="en-US" w:eastAsia="zh-CN" w:bidi="ar"/>
              </w:rPr>
              <w:t>人员食宿</w:t>
            </w:r>
            <w:r>
              <w:rPr>
                <w:rStyle w:val="36"/>
                <w:rFonts w:hint="eastAsia" w:ascii="宋体" w:hAnsi="宋体" w:eastAsia="宋体" w:cs="宋体"/>
                <w:b w:val="0"/>
                <w:bCs w:val="0"/>
                <w:kern w:val="0"/>
                <w:sz w:val="24"/>
                <w:szCs w:val="24"/>
                <w:vertAlign w:val="baseline"/>
                <w:lang w:val="en-US" w:eastAsia="zh-CN" w:bidi="ar"/>
              </w:rPr>
              <w:t>（包含但不限于此内容，具体以和招标人商议为主）</w:t>
            </w:r>
          </w:p>
        </w:tc>
      </w:tr>
      <w:tr w14:paraId="05429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1" w:hRule="atLeast"/>
        </w:trPr>
        <w:tc>
          <w:tcPr>
            <w:tcW w:w="438" w:type="pct"/>
            <w:noWrap w:val="0"/>
            <w:vAlign w:val="center"/>
          </w:tcPr>
          <w:p w14:paraId="5F31C5A1">
            <w:pPr>
              <w:keepNext w:val="0"/>
              <w:keepLines w:val="0"/>
              <w:widowControl/>
              <w:suppressLineNumbers w:val="0"/>
              <w:shd w:val="clear" w:color="auto" w:fill="auto"/>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2</w:t>
            </w:r>
          </w:p>
        </w:tc>
        <w:tc>
          <w:tcPr>
            <w:tcW w:w="1076" w:type="pct"/>
            <w:noWrap w:val="0"/>
            <w:vAlign w:val="center"/>
          </w:tcPr>
          <w:p w14:paraId="2BF60B1A">
            <w:pPr>
              <w:keepNext w:val="0"/>
              <w:keepLines w:val="0"/>
              <w:widowControl/>
              <w:suppressLineNumbers w:val="0"/>
              <w:shd w:val="clear" w:color="auto" w:fill="auto"/>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领队住宿</w:t>
            </w:r>
          </w:p>
        </w:tc>
        <w:tc>
          <w:tcPr>
            <w:tcW w:w="419" w:type="pct"/>
            <w:noWrap w:val="0"/>
            <w:vAlign w:val="center"/>
          </w:tcPr>
          <w:p w14:paraId="786FCFB0">
            <w:pPr>
              <w:keepNext w:val="0"/>
              <w:keepLines w:val="0"/>
              <w:widowControl/>
              <w:suppressLineNumbers w:val="0"/>
              <w:shd w:val="clear" w:color="auto" w:fill="auto"/>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天</w:t>
            </w:r>
          </w:p>
        </w:tc>
        <w:tc>
          <w:tcPr>
            <w:tcW w:w="473" w:type="pct"/>
            <w:noWrap w:val="0"/>
            <w:vAlign w:val="center"/>
          </w:tcPr>
          <w:p w14:paraId="45809C4D">
            <w:pPr>
              <w:keepNext w:val="0"/>
              <w:keepLines w:val="0"/>
              <w:widowControl/>
              <w:suppressLineNumbers w:val="0"/>
              <w:shd w:val="clear" w:color="auto" w:fill="auto"/>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8</w:t>
            </w:r>
          </w:p>
        </w:tc>
        <w:tc>
          <w:tcPr>
            <w:tcW w:w="1170" w:type="pct"/>
            <w:noWrap w:val="0"/>
            <w:vAlign w:val="center"/>
          </w:tcPr>
          <w:p w14:paraId="1AB2357A">
            <w:pPr>
              <w:keepNext w:val="0"/>
              <w:keepLines w:val="0"/>
              <w:widowControl/>
              <w:suppressLineNumbers w:val="0"/>
              <w:shd w:val="clear" w:color="auto" w:fill="auto"/>
              <w:jc w:val="left"/>
              <w:textAlignment w:val="center"/>
              <w:rPr>
                <w:rStyle w:val="36"/>
                <w:rFonts w:hint="eastAsia" w:ascii="宋体" w:hAnsi="宋体" w:eastAsia="宋体" w:cs="宋体"/>
                <w:b w:val="0"/>
                <w:bCs w:val="0"/>
                <w:kern w:val="0"/>
                <w:sz w:val="24"/>
                <w:szCs w:val="24"/>
                <w:vertAlign w:val="baseline"/>
                <w:lang w:val="en-US" w:eastAsia="zh-CN" w:bidi="ar"/>
              </w:rPr>
            </w:pPr>
          </w:p>
        </w:tc>
        <w:tc>
          <w:tcPr>
            <w:tcW w:w="444" w:type="pct"/>
            <w:noWrap w:val="0"/>
            <w:vAlign w:val="top"/>
          </w:tcPr>
          <w:p w14:paraId="109109F8">
            <w:pPr>
              <w:keepNext w:val="0"/>
              <w:keepLines w:val="0"/>
              <w:widowControl/>
              <w:suppressLineNumbers w:val="0"/>
              <w:shd w:val="clear" w:color="auto" w:fill="auto"/>
              <w:jc w:val="left"/>
              <w:textAlignment w:val="center"/>
              <w:rPr>
                <w:rStyle w:val="36"/>
                <w:rFonts w:hint="default" w:ascii="宋体" w:hAnsi="宋体" w:eastAsia="宋体" w:cs="宋体"/>
                <w:b w:val="0"/>
                <w:bCs w:val="0"/>
                <w:kern w:val="0"/>
                <w:sz w:val="24"/>
                <w:szCs w:val="24"/>
                <w:vertAlign w:val="baseline"/>
                <w:lang w:val="en-US" w:eastAsia="zh-CN" w:bidi="ar"/>
              </w:rPr>
            </w:pPr>
          </w:p>
        </w:tc>
        <w:tc>
          <w:tcPr>
            <w:tcW w:w="975" w:type="pct"/>
            <w:vMerge w:val="continue"/>
            <w:noWrap w:val="0"/>
            <w:vAlign w:val="top"/>
          </w:tcPr>
          <w:p w14:paraId="5A296E52">
            <w:pPr>
              <w:keepNext w:val="0"/>
              <w:keepLines w:val="0"/>
              <w:widowControl/>
              <w:suppressLineNumbers w:val="0"/>
              <w:shd w:val="clear" w:color="auto" w:fill="auto"/>
              <w:jc w:val="left"/>
              <w:textAlignment w:val="center"/>
              <w:rPr>
                <w:rStyle w:val="36"/>
                <w:rFonts w:hint="default" w:ascii="宋体" w:hAnsi="宋体" w:eastAsia="宋体" w:cs="宋体"/>
                <w:b w:val="0"/>
                <w:bCs w:val="0"/>
                <w:kern w:val="0"/>
                <w:sz w:val="24"/>
                <w:szCs w:val="24"/>
                <w:vertAlign w:val="baseline"/>
                <w:lang w:val="en-US" w:eastAsia="zh-CN" w:bidi="ar"/>
              </w:rPr>
            </w:pPr>
          </w:p>
        </w:tc>
      </w:tr>
      <w:tr w14:paraId="33ED8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1" w:hRule="atLeast"/>
        </w:trPr>
        <w:tc>
          <w:tcPr>
            <w:tcW w:w="438" w:type="pct"/>
            <w:noWrap w:val="0"/>
            <w:vAlign w:val="center"/>
          </w:tcPr>
          <w:p w14:paraId="5EA9A3DD">
            <w:pPr>
              <w:keepNext w:val="0"/>
              <w:keepLines w:val="0"/>
              <w:widowControl/>
              <w:suppressLineNumbers w:val="0"/>
              <w:shd w:val="clear" w:color="auto" w:fill="auto"/>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3</w:t>
            </w:r>
          </w:p>
        </w:tc>
        <w:tc>
          <w:tcPr>
            <w:tcW w:w="1076" w:type="pct"/>
            <w:noWrap w:val="0"/>
            <w:vAlign w:val="center"/>
          </w:tcPr>
          <w:p w14:paraId="55D075A6">
            <w:pPr>
              <w:keepNext w:val="0"/>
              <w:keepLines w:val="0"/>
              <w:widowControl/>
              <w:suppressLineNumbers w:val="0"/>
              <w:shd w:val="clear" w:color="auto" w:fill="auto"/>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工作人员住宿</w:t>
            </w:r>
          </w:p>
        </w:tc>
        <w:tc>
          <w:tcPr>
            <w:tcW w:w="419" w:type="pct"/>
            <w:noWrap w:val="0"/>
            <w:vAlign w:val="center"/>
          </w:tcPr>
          <w:p w14:paraId="1C215507">
            <w:pPr>
              <w:keepNext w:val="0"/>
              <w:keepLines w:val="0"/>
              <w:widowControl/>
              <w:suppressLineNumbers w:val="0"/>
              <w:shd w:val="clear" w:color="auto" w:fill="auto"/>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天</w:t>
            </w:r>
          </w:p>
        </w:tc>
        <w:tc>
          <w:tcPr>
            <w:tcW w:w="473" w:type="pct"/>
            <w:noWrap w:val="0"/>
            <w:vAlign w:val="center"/>
          </w:tcPr>
          <w:p w14:paraId="20228563">
            <w:pPr>
              <w:keepNext w:val="0"/>
              <w:keepLines w:val="0"/>
              <w:widowControl/>
              <w:suppressLineNumbers w:val="0"/>
              <w:shd w:val="clear" w:color="auto" w:fill="auto"/>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9</w:t>
            </w:r>
          </w:p>
        </w:tc>
        <w:tc>
          <w:tcPr>
            <w:tcW w:w="1170" w:type="pct"/>
            <w:noWrap w:val="0"/>
            <w:vAlign w:val="center"/>
          </w:tcPr>
          <w:p w14:paraId="77D55C2E">
            <w:pPr>
              <w:keepNext w:val="0"/>
              <w:keepLines w:val="0"/>
              <w:widowControl/>
              <w:suppressLineNumbers w:val="0"/>
              <w:shd w:val="clear" w:color="auto" w:fill="auto"/>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工作人员约按50人食宿</w:t>
            </w:r>
          </w:p>
        </w:tc>
        <w:tc>
          <w:tcPr>
            <w:tcW w:w="444" w:type="pct"/>
            <w:noWrap w:val="0"/>
            <w:vAlign w:val="top"/>
          </w:tcPr>
          <w:p w14:paraId="2590B70A">
            <w:pPr>
              <w:keepNext w:val="0"/>
              <w:keepLines w:val="0"/>
              <w:widowControl/>
              <w:suppressLineNumbers w:val="0"/>
              <w:shd w:val="clear" w:color="auto" w:fill="auto"/>
              <w:jc w:val="left"/>
              <w:textAlignment w:val="center"/>
              <w:rPr>
                <w:rStyle w:val="36"/>
                <w:rFonts w:hint="default" w:ascii="宋体" w:hAnsi="宋体" w:eastAsia="宋体" w:cs="宋体"/>
                <w:b w:val="0"/>
                <w:bCs w:val="0"/>
                <w:kern w:val="0"/>
                <w:sz w:val="24"/>
                <w:szCs w:val="24"/>
                <w:vertAlign w:val="baseline"/>
                <w:lang w:val="en-US" w:eastAsia="zh-CN" w:bidi="ar"/>
              </w:rPr>
            </w:pPr>
          </w:p>
        </w:tc>
        <w:tc>
          <w:tcPr>
            <w:tcW w:w="975" w:type="pct"/>
            <w:vMerge w:val="continue"/>
            <w:noWrap w:val="0"/>
            <w:vAlign w:val="top"/>
          </w:tcPr>
          <w:p w14:paraId="65D1DF09">
            <w:pPr>
              <w:keepNext w:val="0"/>
              <w:keepLines w:val="0"/>
              <w:widowControl/>
              <w:suppressLineNumbers w:val="0"/>
              <w:shd w:val="clear" w:color="auto" w:fill="auto"/>
              <w:jc w:val="left"/>
              <w:textAlignment w:val="center"/>
              <w:rPr>
                <w:rStyle w:val="36"/>
                <w:rFonts w:hint="default" w:ascii="宋体" w:hAnsi="宋体" w:eastAsia="宋体" w:cs="宋体"/>
                <w:b w:val="0"/>
                <w:bCs w:val="0"/>
                <w:kern w:val="0"/>
                <w:sz w:val="24"/>
                <w:szCs w:val="24"/>
                <w:vertAlign w:val="baseline"/>
                <w:lang w:val="en-US" w:eastAsia="zh-CN" w:bidi="ar"/>
              </w:rPr>
            </w:pPr>
          </w:p>
        </w:tc>
      </w:tr>
      <w:tr w14:paraId="7AB71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1" w:hRule="atLeast"/>
        </w:trPr>
        <w:tc>
          <w:tcPr>
            <w:tcW w:w="438" w:type="pct"/>
            <w:noWrap w:val="0"/>
            <w:vAlign w:val="center"/>
          </w:tcPr>
          <w:p w14:paraId="2F742229">
            <w:pPr>
              <w:keepNext w:val="0"/>
              <w:keepLines w:val="0"/>
              <w:widowControl/>
              <w:suppressLineNumbers w:val="0"/>
              <w:shd w:val="clear" w:color="auto" w:fill="auto"/>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4</w:t>
            </w:r>
          </w:p>
        </w:tc>
        <w:tc>
          <w:tcPr>
            <w:tcW w:w="1076" w:type="pct"/>
            <w:noWrap w:val="0"/>
            <w:vAlign w:val="center"/>
          </w:tcPr>
          <w:p w14:paraId="6121C28A">
            <w:pPr>
              <w:keepNext w:val="0"/>
              <w:keepLines w:val="0"/>
              <w:widowControl/>
              <w:suppressLineNumbers w:val="0"/>
              <w:shd w:val="clear" w:color="auto" w:fill="auto"/>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裁判员住宿</w:t>
            </w:r>
          </w:p>
        </w:tc>
        <w:tc>
          <w:tcPr>
            <w:tcW w:w="419" w:type="pct"/>
            <w:noWrap w:val="0"/>
            <w:vAlign w:val="center"/>
          </w:tcPr>
          <w:p w14:paraId="607AC2CE">
            <w:pPr>
              <w:keepNext w:val="0"/>
              <w:keepLines w:val="0"/>
              <w:widowControl/>
              <w:suppressLineNumbers w:val="0"/>
              <w:shd w:val="clear" w:color="auto" w:fill="auto"/>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天</w:t>
            </w:r>
          </w:p>
        </w:tc>
        <w:tc>
          <w:tcPr>
            <w:tcW w:w="473" w:type="pct"/>
            <w:noWrap w:val="0"/>
            <w:vAlign w:val="center"/>
          </w:tcPr>
          <w:p w14:paraId="7CC11F13">
            <w:pPr>
              <w:keepNext w:val="0"/>
              <w:keepLines w:val="0"/>
              <w:widowControl/>
              <w:suppressLineNumbers w:val="0"/>
              <w:shd w:val="clear" w:color="auto" w:fill="auto"/>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6</w:t>
            </w:r>
          </w:p>
        </w:tc>
        <w:tc>
          <w:tcPr>
            <w:tcW w:w="1170" w:type="pct"/>
            <w:noWrap w:val="0"/>
            <w:vAlign w:val="center"/>
          </w:tcPr>
          <w:p w14:paraId="4DF2B5EA">
            <w:pPr>
              <w:keepNext w:val="0"/>
              <w:keepLines w:val="0"/>
              <w:widowControl/>
              <w:suppressLineNumbers w:val="0"/>
              <w:shd w:val="clear" w:color="auto" w:fill="auto"/>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酒店待定，30个房间</w:t>
            </w:r>
          </w:p>
        </w:tc>
        <w:tc>
          <w:tcPr>
            <w:tcW w:w="444" w:type="pct"/>
            <w:noWrap w:val="0"/>
            <w:vAlign w:val="top"/>
          </w:tcPr>
          <w:p w14:paraId="18C18CD5">
            <w:pPr>
              <w:keepNext w:val="0"/>
              <w:keepLines w:val="0"/>
              <w:widowControl/>
              <w:suppressLineNumbers w:val="0"/>
              <w:shd w:val="clear" w:color="auto" w:fill="auto"/>
              <w:jc w:val="left"/>
              <w:textAlignment w:val="center"/>
              <w:rPr>
                <w:rStyle w:val="36"/>
                <w:rFonts w:hint="default" w:ascii="宋体" w:hAnsi="宋体" w:eastAsia="宋体" w:cs="宋体"/>
                <w:b w:val="0"/>
                <w:bCs w:val="0"/>
                <w:kern w:val="0"/>
                <w:sz w:val="24"/>
                <w:szCs w:val="24"/>
                <w:vertAlign w:val="baseline"/>
                <w:lang w:val="en-US" w:eastAsia="zh-CN" w:bidi="ar"/>
              </w:rPr>
            </w:pPr>
          </w:p>
        </w:tc>
        <w:tc>
          <w:tcPr>
            <w:tcW w:w="975" w:type="pct"/>
            <w:vMerge w:val="continue"/>
            <w:noWrap w:val="0"/>
            <w:vAlign w:val="top"/>
          </w:tcPr>
          <w:p w14:paraId="2D37D593">
            <w:pPr>
              <w:keepNext w:val="0"/>
              <w:keepLines w:val="0"/>
              <w:widowControl/>
              <w:suppressLineNumbers w:val="0"/>
              <w:shd w:val="clear" w:color="auto" w:fill="auto"/>
              <w:jc w:val="left"/>
              <w:textAlignment w:val="center"/>
              <w:rPr>
                <w:rStyle w:val="36"/>
                <w:rFonts w:hint="default" w:ascii="宋体" w:hAnsi="宋体" w:eastAsia="宋体" w:cs="宋体"/>
                <w:b w:val="0"/>
                <w:bCs w:val="0"/>
                <w:kern w:val="0"/>
                <w:sz w:val="24"/>
                <w:szCs w:val="24"/>
                <w:vertAlign w:val="baseline"/>
                <w:lang w:val="en-US" w:eastAsia="zh-CN" w:bidi="ar"/>
              </w:rPr>
            </w:pPr>
          </w:p>
        </w:tc>
      </w:tr>
      <w:tr w14:paraId="07549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1" w:hRule="atLeast"/>
        </w:trPr>
        <w:tc>
          <w:tcPr>
            <w:tcW w:w="438" w:type="pct"/>
            <w:noWrap w:val="0"/>
            <w:vAlign w:val="center"/>
          </w:tcPr>
          <w:p w14:paraId="22547B6C">
            <w:pPr>
              <w:keepNext w:val="0"/>
              <w:keepLines w:val="0"/>
              <w:widowControl/>
              <w:suppressLineNumbers w:val="0"/>
              <w:shd w:val="clear" w:color="auto" w:fill="auto"/>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5</w:t>
            </w:r>
          </w:p>
        </w:tc>
        <w:tc>
          <w:tcPr>
            <w:tcW w:w="1076" w:type="pct"/>
            <w:noWrap w:val="0"/>
            <w:vAlign w:val="center"/>
          </w:tcPr>
          <w:p w14:paraId="55EFAD2F">
            <w:pPr>
              <w:keepNext w:val="0"/>
              <w:keepLines w:val="0"/>
              <w:widowControl/>
              <w:suppressLineNumbers w:val="0"/>
              <w:shd w:val="clear" w:color="auto" w:fill="auto"/>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运动员及领队用餐</w:t>
            </w:r>
          </w:p>
        </w:tc>
        <w:tc>
          <w:tcPr>
            <w:tcW w:w="419" w:type="pct"/>
            <w:noWrap w:val="0"/>
            <w:vAlign w:val="center"/>
          </w:tcPr>
          <w:p w14:paraId="12A95B72">
            <w:pPr>
              <w:keepNext w:val="0"/>
              <w:keepLines w:val="0"/>
              <w:widowControl/>
              <w:suppressLineNumbers w:val="0"/>
              <w:shd w:val="clear" w:color="auto" w:fill="auto"/>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天</w:t>
            </w:r>
          </w:p>
        </w:tc>
        <w:tc>
          <w:tcPr>
            <w:tcW w:w="473" w:type="pct"/>
            <w:noWrap w:val="0"/>
            <w:vAlign w:val="center"/>
          </w:tcPr>
          <w:p w14:paraId="34B3F6FC">
            <w:pPr>
              <w:keepNext w:val="0"/>
              <w:keepLines w:val="0"/>
              <w:widowControl/>
              <w:suppressLineNumbers w:val="0"/>
              <w:shd w:val="clear" w:color="auto" w:fill="auto"/>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7</w:t>
            </w:r>
          </w:p>
        </w:tc>
        <w:tc>
          <w:tcPr>
            <w:tcW w:w="1170" w:type="pct"/>
            <w:noWrap w:val="0"/>
            <w:vAlign w:val="center"/>
          </w:tcPr>
          <w:p w14:paraId="41629A12">
            <w:pPr>
              <w:keepNext w:val="0"/>
              <w:keepLines w:val="0"/>
              <w:widowControl/>
              <w:suppressLineNumbers w:val="0"/>
              <w:shd w:val="clear" w:color="auto" w:fill="auto"/>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按照21支队伍不少于420人计算</w:t>
            </w:r>
          </w:p>
        </w:tc>
        <w:tc>
          <w:tcPr>
            <w:tcW w:w="444" w:type="pct"/>
            <w:noWrap w:val="0"/>
            <w:vAlign w:val="top"/>
          </w:tcPr>
          <w:p w14:paraId="63C4E5D3">
            <w:pPr>
              <w:keepNext w:val="0"/>
              <w:keepLines w:val="0"/>
              <w:widowControl/>
              <w:suppressLineNumbers w:val="0"/>
              <w:shd w:val="clear" w:color="auto" w:fill="auto"/>
              <w:jc w:val="left"/>
              <w:textAlignment w:val="center"/>
              <w:rPr>
                <w:rStyle w:val="36"/>
                <w:rFonts w:hint="default" w:ascii="宋体" w:hAnsi="宋体" w:eastAsia="宋体" w:cs="宋体"/>
                <w:b w:val="0"/>
                <w:bCs w:val="0"/>
                <w:kern w:val="0"/>
                <w:sz w:val="24"/>
                <w:szCs w:val="24"/>
                <w:vertAlign w:val="baseline"/>
                <w:lang w:val="en-US" w:eastAsia="zh-CN" w:bidi="ar"/>
              </w:rPr>
            </w:pPr>
          </w:p>
        </w:tc>
        <w:tc>
          <w:tcPr>
            <w:tcW w:w="975" w:type="pct"/>
            <w:vMerge w:val="continue"/>
            <w:noWrap w:val="0"/>
            <w:vAlign w:val="top"/>
          </w:tcPr>
          <w:p w14:paraId="445F3C50">
            <w:pPr>
              <w:keepNext w:val="0"/>
              <w:keepLines w:val="0"/>
              <w:widowControl/>
              <w:suppressLineNumbers w:val="0"/>
              <w:shd w:val="clear" w:color="auto" w:fill="auto"/>
              <w:jc w:val="left"/>
              <w:textAlignment w:val="center"/>
              <w:rPr>
                <w:rStyle w:val="36"/>
                <w:rFonts w:hint="default" w:ascii="宋体" w:hAnsi="宋体" w:eastAsia="宋体" w:cs="宋体"/>
                <w:b w:val="0"/>
                <w:bCs w:val="0"/>
                <w:kern w:val="0"/>
                <w:sz w:val="24"/>
                <w:szCs w:val="24"/>
                <w:vertAlign w:val="baseline"/>
                <w:lang w:val="en-US" w:eastAsia="zh-CN" w:bidi="ar"/>
              </w:rPr>
            </w:pPr>
          </w:p>
        </w:tc>
      </w:tr>
      <w:tr w14:paraId="08DEC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1" w:hRule="atLeast"/>
        </w:trPr>
        <w:tc>
          <w:tcPr>
            <w:tcW w:w="438" w:type="pct"/>
            <w:noWrap w:val="0"/>
            <w:vAlign w:val="center"/>
          </w:tcPr>
          <w:p w14:paraId="6DE18C97">
            <w:pPr>
              <w:keepNext w:val="0"/>
              <w:keepLines w:val="0"/>
              <w:widowControl/>
              <w:suppressLineNumbers w:val="0"/>
              <w:shd w:val="clear" w:color="auto" w:fill="auto"/>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6</w:t>
            </w:r>
          </w:p>
        </w:tc>
        <w:tc>
          <w:tcPr>
            <w:tcW w:w="1076" w:type="pct"/>
            <w:noWrap w:val="0"/>
            <w:vAlign w:val="center"/>
          </w:tcPr>
          <w:p w14:paraId="6E03CE01">
            <w:pPr>
              <w:keepNext w:val="0"/>
              <w:keepLines w:val="0"/>
              <w:widowControl/>
              <w:suppressLineNumbers w:val="0"/>
              <w:shd w:val="clear" w:color="auto" w:fill="auto"/>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裁判员用餐</w:t>
            </w:r>
          </w:p>
        </w:tc>
        <w:tc>
          <w:tcPr>
            <w:tcW w:w="419" w:type="pct"/>
            <w:noWrap w:val="0"/>
            <w:vAlign w:val="center"/>
          </w:tcPr>
          <w:p w14:paraId="5D3F15BD">
            <w:pPr>
              <w:keepNext w:val="0"/>
              <w:keepLines w:val="0"/>
              <w:widowControl/>
              <w:suppressLineNumbers w:val="0"/>
              <w:shd w:val="clear" w:color="auto" w:fill="auto"/>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天</w:t>
            </w:r>
          </w:p>
        </w:tc>
        <w:tc>
          <w:tcPr>
            <w:tcW w:w="473" w:type="pct"/>
            <w:noWrap w:val="0"/>
            <w:vAlign w:val="center"/>
          </w:tcPr>
          <w:p w14:paraId="0192DDBE">
            <w:pPr>
              <w:keepNext w:val="0"/>
              <w:keepLines w:val="0"/>
              <w:widowControl/>
              <w:suppressLineNumbers w:val="0"/>
              <w:shd w:val="clear" w:color="auto" w:fill="auto"/>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7</w:t>
            </w:r>
          </w:p>
        </w:tc>
        <w:tc>
          <w:tcPr>
            <w:tcW w:w="1170" w:type="pct"/>
            <w:noWrap w:val="0"/>
            <w:vAlign w:val="center"/>
          </w:tcPr>
          <w:p w14:paraId="27F73941">
            <w:pPr>
              <w:keepNext w:val="0"/>
              <w:keepLines w:val="0"/>
              <w:widowControl/>
              <w:suppressLineNumbers w:val="0"/>
              <w:shd w:val="clear" w:color="auto" w:fill="auto"/>
              <w:jc w:val="left"/>
              <w:textAlignment w:val="center"/>
              <w:rPr>
                <w:rStyle w:val="36"/>
                <w:rFonts w:hint="eastAsia" w:ascii="宋体" w:hAnsi="宋体" w:eastAsia="宋体" w:cs="宋体"/>
                <w:b w:val="0"/>
                <w:bCs w:val="0"/>
                <w:kern w:val="0"/>
                <w:sz w:val="24"/>
                <w:szCs w:val="24"/>
                <w:vertAlign w:val="baseline"/>
                <w:lang w:val="en-US" w:eastAsia="zh-CN" w:bidi="ar"/>
              </w:rPr>
            </w:pPr>
          </w:p>
        </w:tc>
        <w:tc>
          <w:tcPr>
            <w:tcW w:w="444" w:type="pct"/>
            <w:noWrap w:val="0"/>
            <w:vAlign w:val="top"/>
          </w:tcPr>
          <w:p w14:paraId="0BFC5C0B">
            <w:pPr>
              <w:keepNext w:val="0"/>
              <w:keepLines w:val="0"/>
              <w:widowControl/>
              <w:suppressLineNumbers w:val="0"/>
              <w:shd w:val="clear" w:color="auto" w:fill="auto"/>
              <w:jc w:val="left"/>
              <w:textAlignment w:val="center"/>
              <w:rPr>
                <w:rStyle w:val="36"/>
                <w:rFonts w:hint="default" w:ascii="宋体" w:hAnsi="宋体" w:eastAsia="宋体" w:cs="宋体"/>
                <w:b w:val="0"/>
                <w:bCs w:val="0"/>
                <w:kern w:val="0"/>
                <w:sz w:val="24"/>
                <w:szCs w:val="24"/>
                <w:vertAlign w:val="baseline"/>
                <w:lang w:val="en-US" w:eastAsia="zh-CN" w:bidi="ar"/>
              </w:rPr>
            </w:pPr>
          </w:p>
        </w:tc>
        <w:tc>
          <w:tcPr>
            <w:tcW w:w="975" w:type="pct"/>
            <w:vMerge w:val="continue"/>
            <w:noWrap w:val="0"/>
            <w:vAlign w:val="top"/>
          </w:tcPr>
          <w:p w14:paraId="25683511">
            <w:pPr>
              <w:keepNext w:val="0"/>
              <w:keepLines w:val="0"/>
              <w:widowControl/>
              <w:suppressLineNumbers w:val="0"/>
              <w:shd w:val="clear" w:color="auto" w:fill="auto"/>
              <w:jc w:val="left"/>
              <w:textAlignment w:val="center"/>
              <w:rPr>
                <w:rStyle w:val="36"/>
                <w:rFonts w:hint="default" w:ascii="宋体" w:hAnsi="宋体" w:eastAsia="宋体" w:cs="宋体"/>
                <w:b w:val="0"/>
                <w:bCs w:val="0"/>
                <w:kern w:val="0"/>
                <w:sz w:val="24"/>
                <w:szCs w:val="24"/>
                <w:vertAlign w:val="baseline"/>
                <w:lang w:val="en-US" w:eastAsia="zh-CN" w:bidi="ar"/>
              </w:rPr>
            </w:pPr>
          </w:p>
        </w:tc>
      </w:tr>
      <w:tr w14:paraId="312E6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1" w:hRule="atLeast"/>
        </w:trPr>
        <w:tc>
          <w:tcPr>
            <w:tcW w:w="438" w:type="pct"/>
            <w:noWrap w:val="0"/>
            <w:vAlign w:val="center"/>
          </w:tcPr>
          <w:p w14:paraId="77E4F65C">
            <w:pPr>
              <w:keepNext w:val="0"/>
              <w:keepLines w:val="0"/>
              <w:widowControl/>
              <w:suppressLineNumbers w:val="0"/>
              <w:shd w:val="clear" w:color="auto" w:fill="auto"/>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7</w:t>
            </w:r>
          </w:p>
        </w:tc>
        <w:tc>
          <w:tcPr>
            <w:tcW w:w="1076" w:type="pct"/>
            <w:noWrap w:val="0"/>
            <w:vAlign w:val="center"/>
          </w:tcPr>
          <w:p w14:paraId="73519025">
            <w:pPr>
              <w:keepNext w:val="0"/>
              <w:keepLines w:val="0"/>
              <w:widowControl/>
              <w:suppressLineNumbers w:val="0"/>
              <w:shd w:val="clear" w:color="auto" w:fill="auto"/>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工作人员及志愿者用餐</w:t>
            </w:r>
          </w:p>
        </w:tc>
        <w:tc>
          <w:tcPr>
            <w:tcW w:w="419" w:type="pct"/>
            <w:noWrap w:val="0"/>
            <w:vAlign w:val="center"/>
          </w:tcPr>
          <w:p w14:paraId="49D0B083">
            <w:pPr>
              <w:keepNext w:val="0"/>
              <w:keepLines w:val="0"/>
              <w:widowControl/>
              <w:suppressLineNumbers w:val="0"/>
              <w:shd w:val="clear" w:color="auto" w:fill="auto"/>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天</w:t>
            </w:r>
          </w:p>
        </w:tc>
        <w:tc>
          <w:tcPr>
            <w:tcW w:w="473" w:type="pct"/>
            <w:noWrap w:val="0"/>
            <w:vAlign w:val="center"/>
          </w:tcPr>
          <w:p w14:paraId="32BF9BC5">
            <w:pPr>
              <w:keepNext w:val="0"/>
              <w:keepLines w:val="0"/>
              <w:widowControl/>
              <w:suppressLineNumbers w:val="0"/>
              <w:shd w:val="clear" w:color="auto" w:fill="auto"/>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cs="宋体"/>
                <w:b w:val="0"/>
                <w:bCs w:val="0"/>
                <w:kern w:val="0"/>
                <w:sz w:val="24"/>
                <w:szCs w:val="24"/>
                <w:vertAlign w:val="baseline"/>
                <w:lang w:val="en-US" w:eastAsia="zh-CN" w:bidi="ar"/>
              </w:rPr>
              <w:t>9</w:t>
            </w:r>
          </w:p>
        </w:tc>
        <w:tc>
          <w:tcPr>
            <w:tcW w:w="1170" w:type="pct"/>
            <w:noWrap w:val="0"/>
            <w:vAlign w:val="center"/>
          </w:tcPr>
          <w:p w14:paraId="419D6FDC">
            <w:pPr>
              <w:keepNext w:val="0"/>
              <w:keepLines w:val="0"/>
              <w:widowControl/>
              <w:suppressLineNumbers w:val="0"/>
              <w:shd w:val="clear" w:color="auto" w:fill="auto"/>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按600人</w:t>
            </w:r>
          </w:p>
        </w:tc>
        <w:tc>
          <w:tcPr>
            <w:tcW w:w="444" w:type="pct"/>
            <w:noWrap w:val="0"/>
            <w:vAlign w:val="top"/>
          </w:tcPr>
          <w:p w14:paraId="102D93D2">
            <w:pPr>
              <w:keepNext w:val="0"/>
              <w:keepLines w:val="0"/>
              <w:widowControl/>
              <w:suppressLineNumbers w:val="0"/>
              <w:shd w:val="clear" w:color="auto" w:fill="auto"/>
              <w:jc w:val="left"/>
              <w:textAlignment w:val="center"/>
              <w:rPr>
                <w:rStyle w:val="36"/>
                <w:rFonts w:hint="default" w:ascii="宋体" w:hAnsi="宋体" w:eastAsia="宋体" w:cs="宋体"/>
                <w:b w:val="0"/>
                <w:bCs w:val="0"/>
                <w:kern w:val="0"/>
                <w:sz w:val="24"/>
                <w:szCs w:val="24"/>
                <w:vertAlign w:val="baseline"/>
                <w:lang w:val="en-US" w:eastAsia="zh-CN" w:bidi="ar"/>
              </w:rPr>
            </w:pPr>
          </w:p>
        </w:tc>
        <w:tc>
          <w:tcPr>
            <w:tcW w:w="975" w:type="pct"/>
            <w:vMerge w:val="continue"/>
            <w:noWrap w:val="0"/>
            <w:vAlign w:val="top"/>
          </w:tcPr>
          <w:p w14:paraId="0A79F10C">
            <w:pPr>
              <w:keepNext w:val="0"/>
              <w:keepLines w:val="0"/>
              <w:widowControl/>
              <w:suppressLineNumbers w:val="0"/>
              <w:shd w:val="clear" w:color="auto" w:fill="auto"/>
              <w:jc w:val="left"/>
              <w:textAlignment w:val="center"/>
              <w:rPr>
                <w:rStyle w:val="36"/>
                <w:rFonts w:hint="default" w:ascii="宋体" w:hAnsi="宋体" w:eastAsia="宋体" w:cs="宋体"/>
                <w:b w:val="0"/>
                <w:bCs w:val="0"/>
                <w:kern w:val="0"/>
                <w:sz w:val="24"/>
                <w:szCs w:val="24"/>
                <w:vertAlign w:val="baseline"/>
                <w:lang w:val="en-US" w:eastAsia="zh-CN" w:bidi="ar"/>
              </w:rPr>
            </w:pPr>
          </w:p>
        </w:tc>
      </w:tr>
      <w:tr w14:paraId="1B7E9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1" w:hRule="atLeast"/>
        </w:trPr>
        <w:tc>
          <w:tcPr>
            <w:tcW w:w="438" w:type="pct"/>
            <w:noWrap w:val="0"/>
            <w:vAlign w:val="center"/>
          </w:tcPr>
          <w:p w14:paraId="06ABD873">
            <w:pPr>
              <w:keepNext w:val="0"/>
              <w:keepLines w:val="0"/>
              <w:widowControl/>
              <w:suppressLineNumbers w:val="0"/>
              <w:shd w:val="clear" w:color="auto" w:fill="auto"/>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8</w:t>
            </w:r>
          </w:p>
        </w:tc>
        <w:tc>
          <w:tcPr>
            <w:tcW w:w="1076" w:type="pct"/>
            <w:noWrap w:val="0"/>
            <w:vAlign w:val="center"/>
          </w:tcPr>
          <w:p w14:paraId="40611866">
            <w:pPr>
              <w:keepNext w:val="0"/>
              <w:keepLines w:val="0"/>
              <w:widowControl/>
              <w:suppressLineNumbers w:val="0"/>
              <w:shd w:val="clear" w:color="auto" w:fill="auto"/>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联谊学生食宿</w:t>
            </w:r>
          </w:p>
        </w:tc>
        <w:tc>
          <w:tcPr>
            <w:tcW w:w="419" w:type="pct"/>
            <w:noWrap w:val="0"/>
            <w:vAlign w:val="center"/>
          </w:tcPr>
          <w:p w14:paraId="5EA8A3D5">
            <w:pPr>
              <w:keepNext w:val="0"/>
              <w:keepLines w:val="0"/>
              <w:widowControl/>
              <w:suppressLineNumbers w:val="0"/>
              <w:shd w:val="clear" w:color="auto" w:fill="auto"/>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天</w:t>
            </w:r>
          </w:p>
        </w:tc>
        <w:tc>
          <w:tcPr>
            <w:tcW w:w="473" w:type="pct"/>
            <w:noWrap w:val="0"/>
            <w:vAlign w:val="center"/>
          </w:tcPr>
          <w:p w14:paraId="7012086C">
            <w:pPr>
              <w:keepNext w:val="0"/>
              <w:keepLines w:val="0"/>
              <w:widowControl/>
              <w:suppressLineNumbers w:val="0"/>
              <w:shd w:val="clear" w:color="auto" w:fill="auto"/>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cs="宋体"/>
                <w:b w:val="0"/>
                <w:bCs w:val="0"/>
                <w:kern w:val="0"/>
                <w:sz w:val="24"/>
                <w:szCs w:val="24"/>
                <w:vertAlign w:val="baseline"/>
                <w:lang w:val="en-US" w:eastAsia="zh-CN" w:bidi="ar"/>
              </w:rPr>
              <w:t>3</w:t>
            </w:r>
          </w:p>
        </w:tc>
        <w:tc>
          <w:tcPr>
            <w:tcW w:w="1170" w:type="pct"/>
            <w:noWrap w:val="0"/>
            <w:vAlign w:val="center"/>
          </w:tcPr>
          <w:p w14:paraId="29E2E6E2">
            <w:pPr>
              <w:keepNext w:val="0"/>
              <w:keepLines w:val="0"/>
              <w:widowControl/>
              <w:suppressLineNumbers w:val="0"/>
              <w:shd w:val="clear" w:color="auto" w:fill="auto"/>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每天200人,约3天</w:t>
            </w:r>
          </w:p>
        </w:tc>
        <w:tc>
          <w:tcPr>
            <w:tcW w:w="444" w:type="pct"/>
            <w:noWrap w:val="0"/>
            <w:vAlign w:val="top"/>
          </w:tcPr>
          <w:p w14:paraId="24D20246">
            <w:pPr>
              <w:keepNext w:val="0"/>
              <w:keepLines w:val="0"/>
              <w:widowControl/>
              <w:suppressLineNumbers w:val="0"/>
              <w:shd w:val="clear" w:color="auto" w:fill="auto"/>
              <w:jc w:val="left"/>
              <w:textAlignment w:val="center"/>
              <w:rPr>
                <w:rStyle w:val="36"/>
                <w:rFonts w:hint="default" w:ascii="宋体" w:hAnsi="宋体" w:eastAsia="宋体" w:cs="宋体"/>
                <w:b w:val="0"/>
                <w:bCs w:val="0"/>
                <w:kern w:val="0"/>
                <w:sz w:val="24"/>
                <w:szCs w:val="24"/>
                <w:vertAlign w:val="baseline"/>
                <w:lang w:val="en-US" w:eastAsia="zh-CN" w:bidi="ar"/>
              </w:rPr>
            </w:pPr>
          </w:p>
        </w:tc>
        <w:tc>
          <w:tcPr>
            <w:tcW w:w="975" w:type="pct"/>
            <w:vMerge w:val="continue"/>
            <w:noWrap w:val="0"/>
            <w:vAlign w:val="top"/>
          </w:tcPr>
          <w:p w14:paraId="54D31A0B">
            <w:pPr>
              <w:keepNext w:val="0"/>
              <w:keepLines w:val="0"/>
              <w:widowControl/>
              <w:suppressLineNumbers w:val="0"/>
              <w:shd w:val="clear" w:color="auto" w:fill="auto"/>
              <w:jc w:val="left"/>
              <w:textAlignment w:val="center"/>
              <w:rPr>
                <w:rStyle w:val="36"/>
                <w:rFonts w:hint="default" w:ascii="宋体" w:hAnsi="宋体" w:eastAsia="宋体" w:cs="宋体"/>
                <w:b w:val="0"/>
                <w:bCs w:val="0"/>
                <w:kern w:val="0"/>
                <w:sz w:val="24"/>
                <w:szCs w:val="24"/>
                <w:vertAlign w:val="baseline"/>
                <w:lang w:val="en-US" w:eastAsia="zh-CN" w:bidi="ar"/>
              </w:rPr>
            </w:pPr>
          </w:p>
        </w:tc>
      </w:tr>
      <w:tr w14:paraId="77AF8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1" w:hRule="atLeast"/>
        </w:trPr>
        <w:tc>
          <w:tcPr>
            <w:tcW w:w="438" w:type="pct"/>
            <w:noWrap w:val="0"/>
            <w:vAlign w:val="center"/>
          </w:tcPr>
          <w:p w14:paraId="395F572B">
            <w:pPr>
              <w:keepNext w:val="0"/>
              <w:keepLines w:val="0"/>
              <w:widowControl/>
              <w:suppressLineNumbers w:val="0"/>
              <w:shd w:val="clear" w:color="auto" w:fill="auto"/>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9</w:t>
            </w:r>
          </w:p>
        </w:tc>
        <w:tc>
          <w:tcPr>
            <w:tcW w:w="1076" w:type="pct"/>
            <w:noWrap w:val="0"/>
            <w:vAlign w:val="center"/>
          </w:tcPr>
          <w:p w14:paraId="3D4C7073">
            <w:pPr>
              <w:keepNext w:val="0"/>
              <w:keepLines w:val="0"/>
              <w:widowControl/>
              <w:suppressLineNumbers w:val="0"/>
              <w:shd w:val="clear" w:color="auto" w:fill="auto"/>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彩排学生用餐</w:t>
            </w:r>
          </w:p>
        </w:tc>
        <w:tc>
          <w:tcPr>
            <w:tcW w:w="419" w:type="pct"/>
            <w:noWrap w:val="0"/>
            <w:vAlign w:val="center"/>
          </w:tcPr>
          <w:p w14:paraId="0A925C76">
            <w:pPr>
              <w:keepNext w:val="0"/>
              <w:keepLines w:val="0"/>
              <w:widowControl/>
              <w:suppressLineNumbers w:val="0"/>
              <w:shd w:val="clear" w:color="auto" w:fill="auto"/>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天</w:t>
            </w:r>
          </w:p>
        </w:tc>
        <w:tc>
          <w:tcPr>
            <w:tcW w:w="473" w:type="pct"/>
            <w:noWrap w:val="0"/>
            <w:vAlign w:val="center"/>
          </w:tcPr>
          <w:p w14:paraId="5DB22E3D">
            <w:pPr>
              <w:keepNext w:val="0"/>
              <w:keepLines w:val="0"/>
              <w:widowControl/>
              <w:suppressLineNumbers w:val="0"/>
              <w:shd w:val="clear" w:color="auto" w:fill="auto"/>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3</w:t>
            </w:r>
          </w:p>
        </w:tc>
        <w:tc>
          <w:tcPr>
            <w:tcW w:w="1170" w:type="pct"/>
            <w:noWrap w:val="0"/>
            <w:vAlign w:val="center"/>
          </w:tcPr>
          <w:p w14:paraId="6B1F9E10">
            <w:pPr>
              <w:keepNext w:val="0"/>
              <w:keepLines w:val="0"/>
              <w:widowControl/>
              <w:suppressLineNumbers w:val="0"/>
              <w:shd w:val="clear" w:color="auto" w:fill="auto"/>
              <w:jc w:val="left"/>
              <w:textAlignment w:val="center"/>
              <w:rPr>
                <w:rStyle w:val="36"/>
                <w:rFonts w:hint="eastAsia" w:ascii="宋体" w:hAnsi="宋体" w:eastAsia="宋体" w:cs="宋体"/>
                <w:b w:val="0"/>
                <w:bCs w:val="0"/>
                <w:kern w:val="0"/>
                <w:sz w:val="24"/>
                <w:szCs w:val="24"/>
                <w:vertAlign w:val="baseline"/>
                <w:lang w:val="en-US" w:eastAsia="zh-CN" w:bidi="ar"/>
              </w:rPr>
            </w:pPr>
            <w:r>
              <w:rPr>
                <w:rStyle w:val="36"/>
                <w:rFonts w:hint="eastAsia" w:ascii="宋体" w:hAnsi="宋体" w:eastAsia="宋体" w:cs="宋体"/>
                <w:b w:val="0"/>
                <w:bCs w:val="0"/>
                <w:kern w:val="0"/>
                <w:sz w:val="24"/>
                <w:szCs w:val="24"/>
                <w:vertAlign w:val="baseline"/>
                <w:lang w:val="en-US" w:eastAsia="zh-CN" w:bidi="ar"/>
              </w:rPr>
              <w:t>含车辆保障</w:t>
            </w:r>
          </w:p>
        </w:tc>
        <w:tc>
          <w:tcPr>
            <w:tcW w:w="444" w:type="pct"/>
            <w:noWrap w:val="0"/>
            <w:vAlign w:val="top"/>
          </w:tcPr>
          <w:p w14:paraId="59A807E2">
            <w:pPr>
              <w:keepNext w:val="0"/>
              <w:keepLines w:val="0"/>
              <w:widowControl/>
              <w:suppressLineNumbers w:val="0"/>
              <w:shd w:val="clear" w:color="auto" w:fill="auto"/>
              <w:jc w:val="left"/>
              <w:textAlignment w:val="center"/>
              <w:rPr>
                <w:rStyle w:val="36"/>
                <w:rFonts w:hint="default" w:ascii="宋体" w:hAnsi="宋体" w:eastAsia="宋体" w:cs="宋体"/>
                <w:b w:val="0"/>
                <w:bCs w:val="0"/>
                <w:kern w:val="0"/>
                <w:sz w:val="24"/>
                <w:szCs w:val="24"/>
                <w:vertAlign w:val="baseline"/>
                <w:lang w:val="en-US" w:eastAsia="zh-CN" w:bidi="ar"/>
              </w:rPr>
            </w:pPr>
          </w:p>
        </w:tc>
        <w:tc>
          <w:tcPr>
            <w:tcW w:w="975" w:type="pct"/>
            <w:vMerge w:val="continue"/>
            <w:noWrap w:val="0"/>
            <w:vAlign w:val="top"/>
          </w:tcPr>
          <w:p w14:paraId="15C458B9">
            <w:pPr>
              <w:keepNext w:val="0"/>
              <w:keepLines w:val="0"/>
              <w:widowControl/>
              <w:suppressLineNumbers w:val="0"/>
              <w:shd w:val="clear" w:color="auto" w:fill="auto"/>
              <w:jc w:val="left"/>
              <w:textAlignment w:val="center"/>
              <w:rPr>
                <w:rStyle w:val="36"/>
                <w:rFonts w:hint="default" w:ascii="宋体" w:hAnsi="宋体" w:eastAsia="宋体" w:cs="宋体"/>
                <w:b w:val="0"/>
                <w:bCs w:val="0"/>
                <w:kern w:val="0"/>
                <w:sz w:val="24"/>
                <w:szCs w:val="24"/>
                <w:vertAlign w:val="baseline"/>
                <w:lang w:val="en-US" w:eastAsia="zh-CN" w:bidi="ar"/>
              </w:rPr>
            </w:pPr>
          </w:p>
        </w:tc>
      </w:tr>
    </w:tbl>
    <w:p w14:paraId="32C1E6F7">
      <w:pPr>
        <w:keepNext w:val="0"/>
        <w:keepLines w:val="0"/>
        <w:widowControl/>
        <w:suppressLineNumbers w:val="0"/>
        <w:jc w:val="left"/>
        <w:rPr>
          <w:rStyle w:val="36"/>
          <w:rFonts w:hint="eastAsia" w:cs="宋体"/>
          <w:kern w:val="0"/>
          <w:sz w:val="24"/>
          <w:szCs w:val="24"/>
          <w:lang w:val="en-US" w:eastAsia="zh-CN" w:bidi="ar"/>
        </w:rPr>
      </w:pPr>
      <w:r>
        <w:rPr>
          <w:rStyle w:val="36"/>
          <w:rFonts w:hint="eastAsia" w:cs="宋体"/>
          <w:kern w:val="0"/>
          <w:sz w:val="24"/>
          <w:szCs w:val="24"/>
          <w:lang w:val="en-US" w:eastAsia="zh-CN" w:bidi="ar"/>
        </w:rPr>
        <w:t>注：1、以上相关明细中，关于氛围营造物料及舞台搭建及相关涉及无人机氛围营造的等具最终结算数量，需招标人根据现场氛围验收达标情况核定结算数量。</w:t>
      </w:r>
    </w:p>
    <w:p w14:paraId="2EAB8A7C">
      <w:pPr>
        <w:pStyle w:val="10"/>
        <w:numPr>
          <w:ilvl w:val="0"/>
          <w:numId w:val="0"/>
        </w:numPr>
        <w:ind w:firstLine="482" w:firstLineChars="200"/>
        <w:rPr>
          <w:rStyle w:val="36"/>
          <w:rFonts w:hint="eastAsia" w:ascii="宋体" w:hAnsi="宋体" w:eastAsia="宋体" w:cs="宋体"/>
          <w:kern w:val="0"/>
          <w:sz w:val="24"/>
          <w:szCs w:val="24"/>
          <w:lang w:val="en-US" w:eastAsia="zh-CN" w:bidi="ar"/>
        </w:rPr>
      </w:pPr>
      <w:r>
        <w:rPr>
          <w:rStyle w:val="36"/>
          <w:rFonts w:hint="eastAsia" w:ascii="Times New Roman" w:hAnsi="Times New Roman" w:eastAsia="宋体" w:cs="宋体"/>
          <w:kern w:val="0"/>
          <w:sz w:val="24"/>
          <w:szCs w:val="24"/>
          <w:lang w:val="en-US" w:eastAsia="zh-CN" w:bidi="ar"/>
        </w:rPr>
        <w:t>2、为确保本次赛事各项工作有序落地，本采购需求载明的所有内容均为最低执行标准。投标人需完全响应并逐项达标，同时主动按照更高标准提供服务与物资；本采购需求包含但不限于以上所列内容，投标人应结合现场实际及赛事整体需求，完善配套工作。</w:t>
      </w:r>
    </w:p>
    <w:p w14:paraId="41D4AD78">
      <w:pPr>
        <w:keepNext w:val="0"/>
        <w:keepLines w:val="0"/>
        <w:widowControl/>
        <w:suppressLineNumbers w:val="0"/>
        <w:ind w:firstLine="482" w:firstLineChars="200"/>
        <w:jc w:val="left"/>
      </w:pPr>
      <w:r>
        <w:rPr>
          <w:rStyle w:val="36"/>
          <w:rFonts w:hint="eastAsia" w:ascii="宋体" w:hAnsi="宋体" w:eastAsia="宋体" w:cs="宋体"/>
          <w:kern w:val="0"/>
          <w:sz w:val="24"/>
          <w:szCs w:val="24"/>
          <w:lang w:val="en-US" w:eastAsia="zh-CN" w:bidi="ar"/>
        </w:rPr>
        <w:t>通用整体要求</w:t>
      </w:r>
      <w:r>
        <w:rPr>
          <w:rFonts w:hint="eastAsia" w:ascii="宋体" w:hAnsi="宋体" w:eastAsia="宋体" w:cs="宋体"/>
          <w:kern w:val="0"/>
          <w:sz w:val="24"/>
          <w:szCs w:val="24"/>
          <w:lang w:val="en-US" w:eastAsia="zh-CN" w:bidi="ar"/>
        </w:rPr>
        <w:t>：本项目所有物料制作、设备租赁、现场搭建、人员服务、后勤保障、宣传摄制等全部工作，均需严格贴合2026年“石榴花开·青春绽放”全国青少年女子足球民族团结友谊赛赛事主题及调性，严格遵守国家文体活动安全规范、环保标准及现场管理要求。所有物料需环保无异味、安全无隐患、美观合规；所有服务需专业规范、全程响应、无缝对接。供应商需无条件配合甲方及代理机构的统筹调度，完整完成设计、制作、运输、搭建、执行、运维、拆除、清运、场地复原</w:t>
      </w:r>
      <w:r>
        <w:rPr>
          <w:rFonts w:hint="eastAsia" w:cs="宋体"/>
          <w:kern w:val="0"/>
          <w:sz w:val="24"/>
          <w:szCs w:val="24"/>
          <w:lang w:val="en-US" w:eastAsia="zh-CN" w:bidi="ar"/>
        </w:rPr>
        <w:t>、资料归档等</w:t>
      </w:r>
      <w:r>
        <w:rPr>
          <w:rFonts w:hint="eastAsia" w:ascii="宋体" w:hAnsi="宋体" w:eastAsia="宋体" w:cs="宋体"/>
          <w:kern w:val="0"/>
          <w:sz w:val="24"/>
          <w:szCs w:val="24"/>
          <w:lang w:val="en-US" w:eastAsia="zh-CN" w:bidi="ar"/>
        </w:rPr>
        <w:t>全流程工作，确保本次赛事各项活动圆满、安全、高质量落地。</w:t>
      </w:r>
    </w:p>
    <w:p w14:paraId="176136B8">
      <w:pPr>
        <w:rPr>
          <w:rFonts w:hint="eastAsia" w:ascii="宋体" w:hAnsi="宋体" w:eastAsia="宋体" w:cs="宋体"/>
          <w:b/>
          <w:bCs/>
          <w:color w:val="auto"/>
          <w:kern w:val="44"/>
          <w:sz w:val="36"/>
          <w:szCs w:val="36"/>
          <w:highlight w:val="none"/>
          <w:lang w:val="en-US" w:eastAsia="zh-CN" w:bidi="ar-SA"/>
        </w:rPr>
        <w:sectPr>
          <w:headerReference r:id="rId10" w:type="default"/>
          <w:footerReference r:id="rId11" w:type="default"/>
          <w:pgSz w:w="11905" w:h="16840"/>
          <w:pgMar w:top="1440" w:right="1797" w:bottom="1440" w:left="1797" w:header="851" w:footer="850" w:gutter="0"/>
          <w:pgBorders>
            <w:top w:val="none" w:sz="0" w:space="0"/>
            <w:left w:val="none" w:sz="0" w:space="0"/>
            <w:bottom w:val="none" w:sz="0" w:space="0"/>
            <w:right w:val="none" w:sz="0" w:space="0"/>
          </w:pgBorders>
          <w:pgNumType w:fmt="numberInDash"/>
          <w:cols w:space="720" w:num="1"/>
        </w:sectPr>
      </w:pPr>
    </w:p>
    <w:p w14:paraId="21760CD7">
      <w:pPr>
        <w:pStyle w:val="2"/>
        <w:keepNext/>
        <w:keepLines/>
        <w:pageBreakBefore w:val="0"/>
        <w:widowControl w:val="0"/>
        <w:numPr>
          <w:ilvl w:val="0"/>
          <w:numId w:val="0"/>
        </w:numPr>
        <w:kinsoku/>
        <w:wordWrap/>
        <w:overflowPunct/>
        <w:topLinePunct w:val="0"/>
        <w:autoSpaceDE/>
        <w:autoSpaceDN/>
        <w:bidi w:val="0"/>
        <w:adjustRightInd/>
        <w:snapToGrid/>
        <w:spacing w:before="100" w:after="60" w:line="360" w:lineRule="auto"/>
        <w:ind w:left="420" w:leftChars="0" w:hanging="420" w:firstLineChars="0"/>
        <w:textAlignment w:val="auto"/>
        <w:rPr>
          <w:rFonts w:hint="eastAsia" w:ascii="宋体" w:hAnsi="宋体" w:eastAsia="宋体" w:cs="宋体"/>
          <w:b/>
          <w:bCs/>
          <w:color w:val="auto"/>
          <w:kern w:val="44"/>
          <w:sz w:val="36"/>
          <w:szCs w:val="36"/>
          <w:highlight w:val="none"/>
          <w:lang w:val="en-US" w:eastAsia="zh-CN" w:bidi="ar-SA"/>
        </w:rPr>
      </w:pPr>
      <w:r>
        <w:rPr>
          <w:rFonts w:hint="eastAsia" w:ascii="宋体" w:hAnsi="宋体" w:eastAsia="宋体" w:cs="宋体"/>
          <w:b/>
          <w:bCs/>
          <w:color w:val="auto"/>
          <w:kern w:val="44"/>
          <w:sz w:val="36"/>
          <w:szCs w:val="36"/>
          <w:highlight w:val="none"/>
          <w:lang w:val="en-US" w:eastAsia="zh-CN" w:bidi="ar-SA"/>
        </w:rPr>
        <w:t>第四章 资格审查</w:t>
      </w:r>
      <w:bookmarkEnd w:id="224"/>
      <w:bookmarkEnd w:id="225"/>
      <w:bookmarkEnd w:id="226"/>
    </w:p>
    <w:p w14:paraId="4721D241">
      <w:pPr>
        <w:pStyle w:val="3"/>
        <w:keepNext/>
        <w:keepLines/>
        <w:pageBreakBefore w:val="0"/>
        <w:widowControl w:val="0"/>
        <w:numPr>
          <w:ilvl w:val="0"/>
          <w:numId w:val="0"/>
        </w:numPr>
        <w:kinsoku/>
        <w:wordWrap/>
        <w:overflowPunct/>
        <w:topLinePunct w:val="0"/>
        <w:autoSpaceDE/>
        <w:autoSpaceDN/>
        <w:bidi w:val="0"/>
        <w:adjustRightInd/>
        <w:snapToGrid/>
        <w:spacing w:before="60" w:after="60" w:line="360" w:lineRule="auto"/>
        <w:ind w:left="420" w:leftChars="0" w:hanging="420" w:firstLineChars="0"/>
        <w:textAlignment w:val="auto"/>
        <w:rPr>
          <w:rFonts w:hint="eastAsia"/>
          <w:color w:val="auto"/>
          <w:sz w:val="28"/>
          <w:szCs w:val="28"/>
          <w:highlight w:val="none"/>
          <w:lang w:val="zh-CN" w:eastAsia="zh-CN"/>
        </w:rPr>
      </w:pPr>
      <w:bookmarkStart w:id="228" w:name="_Toc20891"/>
      <w:bookmarkStart w:id="229" w:name="_Toc26947"/>
      <w:bookmarkStart w:id="230" w:name="_Toc23139"/>
      <w:r>
        <w:rPr>
          <w:rFonts w:hint="eastAsia"/>
          <w:color w:val="auto"/>
          <w:sz w:val="28"/>
          <w:szCs w:val="28"/>
          <w:highlight w:val="none"/>
          <w:lang w:val="en-US" w:eastAsia="zh-CN"/>
        </w:rPr>
        <w:t>一、资格审查程序</w:t>
      </w:r>
      <w:bookmarkEnd w:id="228"/>
      <w:bookmarkEnd w:id="229"/>
      <w:bookmarkEnd w:id="230"/>
      <w:r>
        <w:rPr>
          <w:rFonts w:hint="eastAsia"/>
          <w:color w:val="auto"/>
          <w:sz w:val="28"/>
          <w:szCs w:val="28"/>
          <w:highlight w:val="none"/>
          <w:lang w:val="en-US" w:eastAsia="zh-CN"/>
        </w:rPr>
        <w:t xml:space="preserve"> </w:t>
      </w:r>
    </w:p>
    <w:p w14:paraId="20E35317">
      <w:pPr>
        <w:pStyle w:val="50"/>
        <w:keepNext w:val="0"/>
        <w:keepLines w:val="0"/>
        <w:pageBreakBefore w:val="0"/>
        <w:widowControl w:val="0"/>
        <w:kinsoku/>
        <w:wordWrap w:val="0"/>
        <w:overflowPunct/>
        <w:topLinePunct w:val="0"/>
        <w:autoSpaceDE/>
        <w:autoSpaceDN/>
        <w:bidi w:val="0"/>
        <w:adjustRightInd/>
        <w:snapToGrid/>
        <w:spacing w:line="400" w:lineRule="exact"/>
        <w:ind w:firstLine="482"/>
        <w:textAlignment w:val="auto"/>
        <w:rPr>
          <w:rFonts w:hint="eastAsia"/>
          <w:color w:val="auto"/>
          <w:highlight w:val="none"/>
        </w:rPr>
      </w:pPr>
      <w:r>
        <w:rPr>
          <w:rFonts w:hint="eastAsia"/>
          <w:color w:val="auto"/>
          <w:highlight w:val="none"/>
          <w:lang w:val="en-US" w:eastAsia="zh-CN"/>
        </w:rPr>
        <w:t xml:space="preserve">1 开标结束后，招标人或招标代理机构将根据《资格审查要求》中的规定，对投标人进行资格审查，并形成资格审查结果。 </w:t>
      </w:r>
    </w:p>
    <w:p w14:paraId="6EE80929">
      <w:pPr>
        <w:pStyle w:val="50"/>
        <w:keepNext w:val="0"/>
        <w:keepLines w:val="0"/>
        <w:pageBreakBefore w:val="0"/>
        <w:widowControl w:val="0"/>
        <w:kinsoku/>
        <w:wordWrap w:val="0"/>
        <w:overflowPunct/>
        <w:topLinePunct w:val="0"/>
        <w:autoSpaceDE/>
        <w:autoSpaceDN/>
        <w:bidi w:val="0"/>
        <w:adjustRightInd/>
        <w:snapToGrid/>
        <w:spacing w:line="400" w:lineRule="exact"/>
        <w:ind w:firstLine="482"/>
        <w:textAlignment w:val="auto"/>
        <w:rPr>
          <w:rFonts w:hint="eastAsia"/>
          <w:color w:val="auto"/>
          <w:highlight w:val="none"/>
        </w:rPr>
      </w:pPr>
      <w:r>
        <w:rPr>
          <w:rFonts w:hint="default"/>
          <w:color w:val="auto"/>
          <w:highlight w:val="none"/>
          <w:lang w:val="en-US" w:eastAsia="zh-CN"/>
        </w:rPr>
        <w:t xml:space="preserve">2 </w:t>
      </w:r>
      <w:r>
        <w:rPr>
          <w:rFonts w:hint="eastAsia"/>
          <w:color w:val="auto"/>
          <w:highlight w:val="none"/>
          <w:lang w:val="en-US" w:eastAsia="zh-CN"/>
        </w:rPr>
        <w:t>投标人《资格证明文件》有任何一项不符合《资格审查要求》的，资格审查不合格，其</w:t>
      </w:r>
      <w:r>
        <w:rPr>
          <w:rFonts w:hint="eastAsia"/>
          <w:b/>
          <w:bCs/>
          <w:color w:val="auto"/>
          <w:highlight w:val="none"/>
          <w:lang w:val="en-US" w:eastAsia="zh-CN"/>
        </w:rPr>
        <w:t>投标无效</w:t>
      </w:r>
      <w:r>
        <w:rPr>
          <w:rFonts w:hint="eastAsia"/>
          <w:color w:val="auto"/>
          <w:highlight w:val="none"/>
          <w:lang w:val="en-US" w:eastAsia="zh-CN"/>
        </w:rPr>
        <w:t xml:space="preserve">。 </w:t>
      </w:r>
    </w:p>
    <w:p w14:paraId="0CC9CEC7">
      <w:pPr>
        <w:pStyle w:val="50"/>
        <w:keepNext w:val="0"/>
        <w:keepLines w:val="0"/>
        <w:pageBreakBefore w:val="0"/>
        <w:widowControl w:val="0"/>
        <w:kinsoku/>
        <w:wordWrap w:val="0"/>
        <w:overflowPunct/>
        <w:topLinePunct w:val="0"/>
        <w:autoSpaceDE/>
        <w:autoSpaceDN/>
        <w:bidi w:val="0"/>
        <w:adjustRightInd/>
        <w:snapToGrid/>
        <w:spacing w:line="400" w:lineRule="exact"/>
        <w:ind w:firstLine="482"/>
        <w:textAlignment w:val="auto"/>
        <w:rPr>
          <w:rFonts w:hint="eastAsia"/>
          <w:color w:val="auto"/>
          <w:highlight w:val="none"/>
        </w:rPr>
      </w:pPr>
      <w:r>
        <w:rPr>
          <w:rFonts w:hint="eastAsia"/>
          <w:color w:val="auto"/>
          <w:highlight w:val="none"/>
          <w:lang w:val="en-US" w:eastAsia="zh-CN"/>
        </w:rPr>
        <w:t>3</w:t>
      </w:r>
      <w:r>
        <w:rPr>
          <w:rFonts w:hint="default"/>
          <w:color w:val="auto"/>
          <w:highlight w:val="none"/>
          <w:lang w:val="en-US" w:eastAsia="zh-CN"/>
        </w:rPr>
        <w:t xml:space="preserve"> </w:t>
      </w:r>
      <w:r>
        <w:rPr>
          <w:rFonts w:hint="eastAsia"/>
          <w:color w:val="auto"/>
          <w:highlight w:val="none"/>
          <w:lang w:val="en-US" w:eastAsia="zh-CN"/>
        </w:rPr>
        <w:t xml:space="preserve">资格审查合格的投标人不足 </w:t>
      </w:r>
      <w:r>
        <w:rPr>
          <w:rFonts w:hint="default"/>
          <w:color w:val="auto"/>
          <w:highlight w:val="none"/>
          <w:lang w:val="en-US" w:eastAsia="zh-CN"/>
        </w:rPr>
        <w:t xml:space="preserve">3 </w:t>
      </w:r>
      <w:r>
        <w:rPr>
          <w:rFonts w:hint="eastAsia"/>
          <w:color w:val="auto"/>
          <w:highlight w:val="none"/>
          <w:lang w:val="en-US" w:eastAsia="zh-CN"/>
        </w:rPr>
        <w:t xml:space="preserve">家的，不进行评标。 </w:t>
      </w:r>
    </w:p>
    <w:p w14:paraId="3EDCA51B">
      <w:pPr>
        <w:pStyle w:val="3"/>
        <w:keepNext/>
        <w:keepLines/>
        <w:pageBreakBefore w:val="0"/>
        <w:widowControl w:val="0"/>
        <w:numPr>
          <w:ilvl w:val="0"/>
          <w:numId w:val="0"/>
        </w:numPr>
        <w:kinsoku/>
        <w:wordWrap/>
        <w:overflowPunct/>
        <w:topLinePunct w:val="0"/>
        <w:autoSpaceDE/>
        <w:autoSpaceDN/>
        <w:bidi w:val="0"/>
        <w:adjustRightInd/>
        <w:snapToGrid/>
        <w:spacing w:before="60" w:after="60" w:line="360" w:lineRule="auto"/>
        <w:ind w:left="420" w:leftChars="0" w:hanging="420" w:firstLineChars="0"/>
        <w:textAlignment w:val="auto"/>
        <w:rPr>
          <w:rFonts w:hint="eastAsia"/>
          <w:color w:val="auto"/>
          <w:sz w:val="28"/>
          <w:szCs w:val="28"/>
          <w:highlight w:val="none"/>
          <w:lang w:val="en-US" w:eastAsia="zh-CN"/>
        </w:rPr>
      </w:pPr>
      <w:bookmarkStart w:id="231" w:name="_Toc15886"/>
      <w:bookmarkStart w:id="232" w:name="_Toc22545"/>
      <w:bookmarkStart w:id="233" w:name="_Toc17193"/>
      <w:r>
        <w:rPr>
          <w:rFonts w:hint="eastAsia"/>
          <w:color w:val="auto"/>
          <w:sz w:val="28"/>
          <w:szCs w:val="28"/>
          <w:highlight w:val="none"/>
          <w:lang w:val="en-US" w:eastAsia="zh-CN"/>
        </w:rPr>
        <w:t>二、资格审查要求</w:t>
      </w:r>
      <w:bookmarkEnd w:id="231"/>
      <w:bookmarkEnd w:id="232"/>
      <w:bookmarkEnd w:id="233"/>
      <w:r>
        <w:rPr>
          <w:rFonts w:hint="eastAsia"/>
          <w:color w:val="auto"/>
          <w:sz w:val="28"/>
          <w:szCs w:val="28"/>
          <w:highlight w:val="none"/>
          <w:lang w:val="en-US" w:eastAsia="zh-CN"/>
        </w:rPr>
        <w:t xml:space="preserve"> </w:t>
      </w:r>
    </w:p>
    <w:tbl>
      <w:tblPr>
        <w:tblStyle w:val="78"/>
        <w:tblW w:w="5653"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886"/>
        <w:gridCol w:w="1049"/>
        <w:gridCol w:w="1913"/>
        <w:gridCol w:w="4566"/>
        <w:gridCol w:w="989"/>
      </w:tblGrid>
      <w:tr w14:paraId="3CEEF0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16" w:hRule="atLeast"/>
          <w:jc w:val="center"/>
        </w:trPr>
        <w:tc>
          <w:tcPr>
            <w:tcW w:w="1029" w:type="pct"/>
            <w:gridSpan w:val="2"/>
            <w:noWrap w:val="0"/>
            <w:vAlign w:val="center"/>
          </w:tcPr>
          <w:p w14:paraId="73707409">
            <w:pPr>
              <w:kinsoku w:val="0"/>
              <w:autoSpaceDE w:val="0"/>
              <w:autoSpaceDN w:val="0"/>
              <w:adjustRightInd w:val="0"/>
              <w:snapToGrid w:val="0"/>
              <w:spacing w:before="196" w:line="219" w:lineRule="auto"/>
              <w:jc w:val="center"/>
              <w:textAlignment w:val="baseline"/>
              <w:rPr>
                <w:rFonts w:hint="eastAsia" w:ascii="宋体" w:hAnsi="宋体" w:eastAsia="宋体" w:cs="宋体"/>
                <w:snapToGrid w:val="0"/>
                <w:color w:val="000000"/>
                <w:kern w:val="0"/>
                <w:sz w:val="24"/>
                <w:szCs w:val="24"/>
                <w:highlight w:val="none"/>
                <w:lang w:val="en-US" w:eastAsia="en-US" w:bidi="ar-SA"/>
              </w:rPr>
            </w:pPr>
            <w:r>
              <w:rPr>
                <w:rFonts w:hint="eastAsia" w:ascii="宋体" w:hAnsi="宋体" w:eastAsia="宋体" w:cs="宋体"/>
                <w:b/>
                <w:bCs/>
                <w:snapToGrid w:val="0"/>
                <w:color w:val="000000"/>
                <w:spacing w:val="-5"/>
                <w:kern w:val="0"/>
                <w:sz w:val="24"/>
                <w:szCs w:val="24"/>
                <w:highlight w:val="none"/>
                <w:lang w:val="en-US" w:eastAsia="en-US" w:bidi="ar-SA"/>
              </w:rPr>
              <w:t>评审因素</w:t>
            </w:r>
          </w:p>
        </w:tc>
        <w:tc>
          <w:tcPr>
            <w:tcW w:w="1017" w:type="pct"/>
            <w:noWrap w:val="0"/>
            <w:vAlign w:val="center"/>
          </w:tcPr>
          <w:p w14:paraId="6EE0FE6D">
            <w:pPr>
              <w:kinsoku w:val="0"/>
              <w:autoSpaceDE w:val="0"/>
              <w:autoSpaceDN w:val="0"/>
              <w:adjustRightInd w:val="0"/>
              <w:snapToGrid w:val="0"/>
              <w:spacing w:before="196" w:line="219" w:lineRule="auto"/>
              <w:jc w:val="center"/>
              <w:textAlignment w:val="baseline"/>
              <w:rPr>
                <w:rFonts w:hint="eastAsia" w:ascii="宋体" w:hAnsi="宋体" w:eastAsia="宋体" w:cs="宋体"/>
                <w:snapToGrid w:val="0"/>
                <w:color w:val="000000"/>
                <w:kern w:val="0"/>
                <w:sz w:val="24"/>
                <w:szCs w:val="24"/>
                <w:highlight w:val="none"/>
                <w:lang w:val="en-US" w:eastAsia="en-US" w:bidi="ar-SA"/>
              </w:rPr>
            </w:pPr>
            <w:r>
              <w:rPr>
                <w:rFonts w:hint="eastAsia" w:ascii="宋体" w:hAnsi="宋体" w:eastAsia="宋体" w:cs="宋体"/>
                <w:b/>
                <w:bCs/>
                <w:snapToGrid w:val="0"/>
                <w:color w:val="000000"/>
                <w:spacing w:val="-5"/>
                <w:kern w:val="0"/>
                <w:sz w:val="24"/>
                <w:szCs w:val="24"/>
                <w:highlight w:val="none"/>
                <w:lang w:val="en-US" w:eastAsia="en-US" w:bidi="ar-SA"/>
              </w:rPr>
              <w:t>评审内容</w:t>
            </w:r>
          </w:p>
        </w:tc>
        <w:tc>
          <w:tcPr>
            <w:tcW w:w="2428" w:type="pct"/>
            <w:noWrap w:val="0"/>
            <w:vAlign w:val="center"/>
          </w:tcPr>
          <w:p w14:paraId="4E4ECEE6">
            <w:pPr>
              <w:kinsoku w:val="0"/>
              <w:autoSpaceDE w:val="0"/>
              <w:autoSpaceDN w:val="0"/>
              <w:adjustRightInd w:val="0"/>
              <w:snapToGrid w:val="0"/>
              <w:spacing w:before="195" w:line="220" w:lineRule="auto"/>
              <w:jc w:val="center"/>
              <w:textAlignment w:val="baseline"/>
              <w:rPr>
                <w:rFonts w:hint="eastAsia" w:ascii="宋体" w:hAnsi="宋体" w:eastAsia="宋体" w:cs="宋体"/>
                <w:snapToGrid w:val="0"/>
                <w:color w:val="000000"/>
                <w:kern w:val="0"/>
                <w:sz w:val="24"/>
                <w:szCs w:val="24"/>
                <w:highlight w:val="none"/>
                <w:lang w:val="en-US" w:eastAsia="en-US" w:bidi="ar-SA"/>
              </w:rPr>
            </w:pPr>
            <w:r>
              <w:rPr>
                <w:rFonts w:hint="eastAsia" w:ascii="宋体" w:hAnsi="宋体" w:eastAsia="宋体" w:cs="宋体"/>
                <w:b/>
                <w:bCs/>
                <w:snapToGrid w:val="0"/>
                <w:color w:val="000000"/>
                <w:spacing w:val="-5"/>
                <w:kern w:val="0"/>
                <w:sz w:val="24"/>
                <w:szCs w:val="24"/>
                <w:highlight w:val="none"/>
                <w:lang w:val="en-US" w:eastAsia="en-US" w:bidi="ar-SA"/>
              </w:rPr>
              <w:t>评审标准</w:t>
            </w:r>
          </w:p>
        </w:tc>
        <w:tc>
          <w:tcPr>
            <w:tcW w:w="525" w:type="pct"/>
            <w:noWrap w:val="0"/>
            <w:vAlign w:val="center"/>
          </w:tcPr>
          <w:p w14:paraId="12F21A6C">
            <w:pPr>
              <w:kinsoku w:val="0"/>
              <w:autoSpaceDE w:val="0"/>
              <w:autoSpaceDN w:val="0"/>
              <w:adjustRightInd w:val="0"/>
              <w:snapToGrid w:val="0"/>
              <w:spacing w:before="39" w:line="224" w:lineRule="auto"/>
              <w:ind w:right="105"/>
              <w:jc w:val="center"/>
              <w:textAlignment w:val="baseline"/>
              <w:rPr>
                <w:rFonts w:hint="eastAsia" w:ascii="宋体" w:hAnsi="宋体" w:eastAsia="宋体" w:cs="宋体"/>
                <w:snapToGrid w:val="0"/>
                <w:color w:val="000000"/>
                <w:kern w:val="0"/>
                <w:sz w:val="24"/>
                <w:szCs w:val="24"/>
                <w:highlight w:val="none"/>
                <w:lang w:val="en-US" w:eastAsia="en-US" w:bidi="ar-SA"/>
              </w:rPr>
            </w:pPr>
            <w:r>
              <w:rPr>
                <w:rFonts w:hint="eastAsia" w:ascii="宋体" w:hAnsi="宋体" w:eastAsia="宋体" w:cs="宋体"/>
                <w:b/>
                <w:bCs/>
                <w:snapToGrid w:val="0"/>
                <w:color w:val="000000"/>
                <w:spacing w:val="-5"/>
                <w:kern w:val="0"/>
                <w:sz w:val="24"/>
                <w:szCs w:val="24"/>
                <w:highlight w:val="none"/>
                <w:lang w:val="en-US" w:eastAsia="en-US" w:bidi="ar-SA"/>
              </w:rPr>
              <w:t>评审意</w:t>
            </w:r>
            <w:r>
              <w:rPr>
                <w:rFonts w:hint="eastAsia" w:ascii="宋体" w:hAnsi="宋体" w:eastAsia="宋体" w:cs="宋体"/>
                <w:b/>
                <w:bCs/>
                <w:snapToGrid w:val="0"/>
                <w:color w:val="000000"/>
                <w:spacing w:val="-3"/>
                <w:kern w:val="0"/>
                <w:sz w:val="24"/>
                <w:szCs w:val="24"/>
                <w:highlight w:val="none"/>
                <w:lang w:val="en-US" w:eastAsia="en-US" w:bidi="ar-SA"/>
              </w:rPr>
              <w:t>见</w:t>
            </w:r>
          </w:p>
        </w:tc>
      </w:tr>
      <w:tr w14:paraId="6611F2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55" w:hRule="atLeast"/>
          <w:jc w:val="center"/>
        </w:trPr>
        <w:tc>
          <w:tcPr>
            <w:tcW w:w="471" w:type="pct"/>
            <w:vMerge w:val="restart"/>
            <w:tcBorders>
              <w:bottom w:val="nil"/>
            </w:tcBorders>
            <w:noWrap w:val="0"/>
            <w:textDirection w:val="tbRlV"/>
            <w:vAlign w:val="top"/>
          </w:tcPr>
          <w:p w14:paraId="22FCE62A">
            <w:pPr>
              <w:kinsoku w:val="0"/>
              <w:autoSpaceDE w:val="0"/>
              <w:autoSpaceDN w:val="0"/>
              <w:adjustRightInd w:val="0"/>
              <w:snapToGrid w:val="0"/>
              <w:spacing w:before="95" w:line="209" w:lineRule="auto"/>
              <w:ind w:left="5326"/>
              <w:jc w:val="left"/>
              <w:textAlignment w:val="baseline"/>
              <w:rPr>
                <w:rFonts w:hint="eastAsia" w:ascii="宋体" w:hAnsi="宋体" w:eastAsia="宋体" w:cs="宋体"/>
                <w:snapToGrid w:val="0"/>
                <w:color w:val="000000"/>
                <w:kern w:val="0"/>
                <w:sz w:val="24"/>
                <w:szCs w:val="24"/>
                <w:highlight w:val="none"/>
                <w:lang w:val="en-US" w:eastAsia="en-US" w:bidi="ar-SA"/>
              </w:rPr>
            </w:pPr>
            <w:r>
              <w:rPr>
                <w:rFonts w:hint="eastAsia" w:ascii="宋体" w:hAnsi="宋体" w:eastAsia="宋体" w:cs="宋体"/>
                <w:snapToGrid w:val="0"/>
                <w:color w:val="000000"/>
                <w:spacing w:val="-1"/>
                <w:kern w:val="0"/>
                <w:sz w:val="24"/>
                <w:szCs w:val="24"/>
                <w:highlight w:val="none"/>
                <w:lang w:val="en-US" w:eastAsia="en-US" w:bidi="ar-SA"/>
              </w:rPr>
              <w:t>初</w:t>
            </w:r>
            <w:r>
              <w:rPr>
                <w:rFonts w:hint="eastAsia" w:ascii="宋体" w:hAnsi="宋体" w:eastAsia="宋体" w:cs="宋体"/>
                <w:snapToGrid w:val="0"/>
                <w:color w:val="000000"/>
                <w:spacing w:val="-46"/>
                <w:kern w:val="0"/>
                <w:sz w:val="24"/>
                <w:szCs w:val="24"/>
                <w:highlight w:val="none"/>
                <w:lang w:val="en-US" w:eastAsia="en-US" w:bidi="ar-SA"/>
              </w:rPr>
              <w:t xml:space="preserve"> </w:t>
            </w:r>
            <w:r>
              <w:rPr>
                <w:rFonts w:hint="eastAsia" w:ascii="宋体" w:hAnsi="宋体" w:eastAsia="宋体" w:cs="宋体"/>
                <w:snapToGrid w:val="0"/>
                <w:color w:val="000000"/>
                <w:spacing w:val="-1"/>
                <w:kern w:val="0"/>
                <w:sz w:val="24"/>
                <w:szCs w:val="24"/>
                <w:highlight w:val="none"/>
                <w:lang w:val="en-US" w:eastAsia="en-US" w:bidi="ar-SA"/>
              </w:rPr>
              <w:t>步</w:t>
            </w:r>
            <w:r>
              <w:rPr>
                <w:rFonts w:hint="eastAsia" w:ascii="宋体" w:hAnsi="宋体" w:eastAsia="宋体" w:cs="宋体"/>
                <w:snapToGrid w:val="0"/>
                <w:color w:val="000000"/>
                <w:spacing w:val="-50"/>
                <w:kern w:val="0"/>
                <w:sz w:val="24"/>
                <w:szCs w:val="24"/>
                <w:highlight w:val="none"/>
                <w:lang w:val="en-US" w:eastAsia="en-US" w:bidi="ar-SA"/>
              </w:rPr>
              <w:t xml:space="preserve"> </w:t>
            </w:r>
            <w:r>
              <w:rPr>
                <w:rFonts w:hint="eastAsia" w:ascii="宋体" w:hAnsi="宋体" w:eastAsia="宋体" w:cs="宋体"/>
                <w:snapToGrid w:val="0"/>
                <w:color w:val="000000"/>
                <w:spacing w:val="-1"/>
                <w:kern w:val="0"/>
                <w:sz w:val="24"/>
                <w:szCs w:val="24"/>
                <w:highlight w:val="none"/>
                <w:lang w:val="en-US" w:eastAsia="en-US" w:bidi="ar-SA"/>
              </w:rPr>
              <w:t>评</w:t>
            </w:r>
            <w:r>
              <w:rPr>
                <w:rFonts w:hint="eastAsia" w:ascii="宋体" w:hAnsi="宋体" w:eastAsia="宋体" w:cs="宋体"/>
                <w:snapToGrid w:val="0"/>
                <w:color w:val="000000"/>
                <w:spacing w:val="-48"/>
                <w:kern w:val="0"/>
                <w:sz w:val="24"/>
                <w:szCs w:val="24"/>
                <w:highlight w:val="none"/>
                <w:lang w:val="en-US" w:eastAsia="en-US" w:bidi="ar-SA"/>
              </w:rPr>
              <w:t xml:space="preserve"> </w:t>
            </w:r>
            <w:r>
              <w:rPr>
                <w:rFonts w:hint="eastAsia" w:ascii="宋体" w:hAnsi="宋体" w:eastAsia="宋体" w:cs="宋体"/>
                <w:snapToGrid w:val="0"/>
                <w:color w:val="000000"/>
                <w:spacing w:val="-1"/>
                <w:kern w:val="0"/>
                <w:sz w:val="24"/>
                <w:szCs w:val="24"/>
                <w:highlight w:val="none"/>
                <w:lang w:val="en-US" w:eastAsia="en-US" w:bidi="ar-SA"/>
              </w:rPr>
              <w:t>审</w:t>
            </w:r>
          </w:p>
        </w:tc>
        <w:tc>
          <w:tcPr>
            <w:tcW w:w="558" w:type="pct"/>
            <w:vMerge w:val="restart"/>
            <w:tcBorders>
              <w:bottom w:val="nil"/>
            </w:tcBorders>
            <w:noWrap w:val="0"/>
            <w:textDirection w:val="tbRlV"/>
            <w:vAlign w:val="top"/>
          </w:tcPr>
          <w:p w14:paraId="2DBD331C">
            <w:pPr>
              <w:kinsoku w:val="0"/>
              <w:autoSpaceDE w:val="0"/>
              <w:autoSpaceDN w:val="0"/>
              <w:adjustRightInd w:val="0"/>
              <w:snapToGrid w:val="0"/>
              <w:spacing w:before="87" w:line="208" w:lineRule="auto"/>
              <w:ind w:left="4889"/>
              <w:jc w:val="left"/>
              <w:textAlignment w:val="baseline"/>
              <w:rPr>
                <w:rFonts w:hint="eastAsia" w:ascii="宋体" w:hAnsi="宋体" w:eastAsia="宋体" w:cs="宋体"/>
                <w:snapToGrid w:val="0"/>
                <w:color w:val="000000"/>
                <w:kern w:val="0"/>
                <w:sz w:val="24"/>
                <w:szCs w:val="24"/>
                <w:highlight w:val="none"/>
                <w:lang w:val="en-US" w:eastAsia="en-US" w:bidi="ar-SA"/>
              </w:rPr>
            </w:pPr>
            <w:r>
              <w:rPr>
                <w:rFonts w:hint="eastAsia" w:ascii="宋体" w:hAnsi="宋体" w:eastAsia="宋体" w:cs="宋体"/>
                <w:snapToGrid w:val="0"/>
                <w:color w:val="000000"/>
                <w:spacing w:val="53"/>
                <w:kern w:val="0"/>
                <w:sz w:val="24"/>
                <w:szCs w:val="24"/>
                <w:highlight w:val="none"/>
                <w:lang w:val="en-US" w:eastAsia="en-US" w:bidi="ar-SA"/>
              </w:rPr>
              <w:t>资格审查</w:t>
            </w:r>
          </w:p>
        </w:tc>
        <w:tc>
          <w:tcPr>
            <w:tcW w:w="1017" w:type="pct"/>
            <w:noWrap w:val="0"/>
            <w:vAlign w:val="center"/>
          </w:tcPr>
          <w:p w14:paraId="39D73660">
            <w:pPr>
              <w:kinsoku w:val="0"/>
              <w:autoSpaceDE w:val="0"/>
              <w:autoSpaceDN w:val="0"/>
              <w:adjustRightInd w:val="0"/>
              <w:snapToGrid w:val="0"/>
              <w:spacing w:before="91" w:line="229" w:lineRule="auto"/>
              <w:ind w:left="33" w:right="243" w:hanging="17"/>
              <w:jc w:val="left"/>
              <w:textAlignment w:val="baseline"/>
              <w:rPr>
                <w:rFonts w:hint="eastAsia" w:ascii="宋体" w:hAnsi="宋体" w:eastAsia="宋体" w:cs="宋体"/>
                <w:snapToGrid w:val="0"/>
                <w:color w:val="000000"/>
                <w:kern w:val="0"/>
                <w:sz w:val="24"/>
                <w:szCs w:val="24"/>
                <w:highlight w:val="none"/>
                <w:lang w:val="en-US" w:eastAsia="en-US" w:bidi="ar-SA"/>
              </w:rPr>
            </w:pPr>
            <w:r>
              <w:rPr>
                <w:rFonts w:hint="eastAsia" w:ascii="宋体" w:hAnsi="宋体" w:eastAsia="宋体" w:cs="宋体"/>
                <w:snapToGrid w:val="0"/>
                <w:color w:val="000000"/>
                <w:spacing w:val="-6"/>
                <w:kern w:val="0"/>
                <w:sz w:val="24"/>
                <w:szCs w:val="24"/>
                <w:highlight w:val="none"/>
                <w:lang w:val="en-US" w:eastAsia="en-US" w:bidi="ar-SA"/>
              </w:rPr>
              <w:t>具有独立承担民事责任</w:t>
            </w:r>
            <w:r>
              <w:rPr>
                <w:rFonts w:hint="eastAsia" w:ascii="宋体" w:hAnsi="宋体" w:eastAsia="宋体" w:cs="宋体"/>
                <w:snapToGrid w:val="0"/>
                <w:color w:val="000000"/>
                <w:spacing w:val="-13"/>
                <w:kern w:val="0"/>
                <w:sz w:val="24"/>
                <w:szCs w:val="24"/>
                <w:highlight w:val="none"/>
                <w:lang w:val="en-US" w:eastAsia="en-US" w:bidi="ar-SA"/>
              </w:rPr>
              <w:t>的能力</w:t>
            </w:r>
          </w:p>
        </w:tc>
        <w:tc>
          <w:tcPr>
            <w:tcW w:w="2428" w:type="pct"/>
            <w:noWrap w:val="0"/>
            <w:vAlign w:val="top"/>
          </w:tcPr>
          <w:p w14:paraId="1A38954C">
            <w:pPr>
              <w:kinsoku w:val="0"/>
              <w:autoSpaceDE w:val="0"/>
              <w:autoSpaceDN w:val="0"/>
              <w:adjustRightInd w:val="0"/>
              <w:snapToGrid w:val="0"/>
              <w:spacing w:before="25" w:line="229" w:lineRule="auto"/>
              <w:ind w:left="13" w:right="1" w:hanging="2"/>
              <w:jc w:val="both"/>
              <w:textAlignment w:val="baseline"/>
              <w:rPr>
                <w:rFonts w:hint="eastAsia" w:ascii="宋体" w:hAnsi="宋体" w:eastAsia="宋体" w:cs="宋体"/>
                <w:snapToGrid w:val="0"/>
                <w:color w:val="000000"/>
                <w:kern w:val="0"/>
                <w:sz w:val="24"/>
                <w:szCs w:val="24"/>
                <w:highlight w:val="none"/>
                <w:lang w:val="en-US" w:eastAsia="en-US" w:bidi="ar-SA"/>
              </w:rPr>
            </w:pPr>
            <w:r>
              <w:rPr>
                <w:rFonts w:hint="eastAsia" w:ascii="宋体" w:hAnsi="宋体" w:eastAsia="宋体" w:cs="宋体"/>
                <w:snapToGrid w:val="0"/>
                <w:color w:val="000000"/>
                <w:kern w:val="0"/>
                <w:sz w:val="24"/>
                <w:szCs w:val="24"/>
                <w:highlight w:val="none"/>
                <w:lang w:val="en-US" w:eastAsia="en-US" w:bidi="ar-SA"/>
              </w:rPr>
              <w:t>如供应商是企业（包括合伙企业），应提供在工商部门注册的有效“企业法人营业执照”或“营业执照”（三证或五证合一）；如供应商是事业单位，应提供有效的“事业单位法人证书”；如供应商是非企业专业服务机构的，应提供执业许可证等证明文件；如供应商是个体工商户，应提供有效的“个体工商户营业执照”；如供应商是自然人，应提供有效的自然人身份证明。</w:t>
            </w:r>
          </w:p>
        </w:tc>
        <w:tc>
          <w:tcPr>
            <w:tcW w:w="525" w:type="pct"/>
            <w:noWrap w:val="0"/>
            <w:vAlign w:val="top"/>
          </w:tcPr>
          <w:p w14:paraId="39594678">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kern w:val="0"/>
                <w:sz w:val="24"/>
                <w:szCs w:val="24"/>
                <w:highlight w:val="none"/>
                <w:lang w:eastAsia="en-US"/>
              </w:rPr>
            </w:pPr>
          </w:p>
        </w:tc>
      </w:tr>
      <w:tr w14:paraId="1527BA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2" w:hRule="atLeast"/>
          <w:jc w:val="center"/>
        </w:trPr>
        <w:tc>
          <w:tcPr>
            <w:tcW w:w="471" w:type="pct"/>
            <w:vMerge w:val="continue"/>
            <w:noWrap w:val="0"/>
            <w:textDirection w:val="tbRlV"/>
            <w:vAlign w:val="top"/>
          </w:tcPr>
          <w:p w14:paraId="351D1D6C">
            <w:pPr>
              <w:kinsoku w:val="0"/>
              <w:autoSpaceDE w:val="0"/>
              <w:autoSpaceDN w:val="0"/>
              <w:adjustRightInd w:val="0"/>
              <w:snapToGrid w:val="0"/>
              <w:spacing w:before="95" w:line="209" w:lineRule="auto"/>
              <w:ind w:left="5326"/>
              <w:jc w:val="left"/>
              <w:textAlignment w:val="baseline"/>
              <w:rPr>
                <w:rFonts w:hint="eastAsia" w:ascii="宋体" w:hAnsi="宋体" w:eastAsia="宋体" w:cs="宋体"/>
                <w:snapToGrid w:val="0"/>
                <w:color w:val="000000"/>
                <w:spacing w:val="-1"/>
                <w:kern w:val="0"/>
                <w:sz w:val="24"/>
                <w:szCs w:val="24"/>
                <w:highlight w:val="none"/>
                <w:lang w:val="en-US" w:eastAsia="en-US" w:bidi="ar-SA"/>
              </w:rPr>
            </w:pPr>
          </w:p>
        </w:tc>
        <w:tc>
          <w:tcPr>
            <w:tcW w:w="558" w:type="pct"/>
            <w:vMerge w:val="continue"/>
            <w:noWrap w:val="0"/>
            <w:textDirection w:val="tbRlV"/>
            <w:vAlign w:val="top"/>
          </w:tcPr>
          <w:p w14:paraId="6208C163">
            <w:pPr>
              <w:kinsoku w:val="0"/>
              <w:autoSpaceDE w:val="0"/>
              <w:autoSpaceDN w:val="0"/>
              <w:adjustRightInd w:val="0"/>
              <w:snapToGrid w:val="0"/>
              <w:spacing w:before="87" w:line="208" w:lineRule="auto"/>
              <w:ind w:left="4889"/>
              <w:jc w:val="left"/>
              <w:textAlignment w:val="baseline"/>
              <w:rPr>
                <w:rFonts w:hint="eastAsia" w:ascii="宋体" w:hAnsi="宋体" w:eastAsia="宋体" w:cs="宋体"/>
                <w:snapToGrid w:val="0"/>
                <w:color w:val="000000"/>
                <w:spacing w:val="53"/>
                <w:kern w:val="0"/>
                <w:sz w:val="24"/>
                <w:szCs w:val="24"/>
                <w:highlight w:val="none"/>
                <w:lang w:val="en-US" w:eastAsia="en-US" w:bidi="ar-SA"/>
              </w:rPr>
            </w:pPr>
          </w:p>
        </w:tc>
        <w:tc>
          <w:tcPr>
            <w:tcW w:w="1017" w:type="pct"/>
            <w:noWrap w:val="0"/>
            <w:vAlign w:val="top"/>
          </w:tcPr>
          <w:p w14:paraId="1A4BFA13">
            <w:pPr>
              <w:pStyle w:val="79"/>
              <w:spacing w:before="104" w:line="228" w:lineRule="auto"/>
              <w:jc w:val="left"/>
              <w:rPr>
                <w:rFonts w:hint="eastAsia" w:ascii="宋体" w:hAnsi="宋体" w:eastAsia="宋体" w:cs="宋体"/>
                <w:snapToGrid w:val="0"/>
                <w:color w:val="000000"/>
                <w:kern w:val="0"/>
                <w:sz w:val="24"/>
                <w:szCs w:val="24"/>
                <w:highlight w:val="none"/>
                <w:lang w:val="en-US" w:eastAsia="en-US" w:bidi="ar-SA"/>
              </w:rPr>
            </w:pPr>
            <w:r>
              <w:rPr>
                <w:rFonts w:hint="eastAsia" w:ascii="宋体" w:hAnsi="宋体" w:eastAsia="宋体" w:cs="宋体"/>
                <w:snapToGrid w:val="0"/>
                <w:color w:val="000000"/>
                <w:kern w:val="0"/>
                <w:sz w:val="24"/>
                <w:szCs w:val="24"/>
                <w:highlight w:val="none"/>
                <w:lang w:val="en-US" w:eastAsia="zh-CN" w:bidi="ar-SA"/>
              </w:rPr>
              <w:t>授权委托书</w:t>
            </w:r>
          </w:p>
        </w:tc>
        <w:tc>
          <w:tcPr>
            <w:tcW w:w="2428" w:type="pct"/>
            <w:noWrap w:val="0"/>
            <w:vAlign w:val="top"/>
          </w:tcPr>
          <w:p w14:paraId="0B3622B9">
            <w:pPr>
              <w:pStyle w:val="79"/>
              <w:spacing w:before="104" w:line="227" w:lineRule="auto"/>
              <w:ind w:left="11" w:leftChars="0"/>
              <w:rPr>
                <w:rFonts w:hint="eastAsia" w:ascii="宋体" w:hAnsi="宋体" w:eastAsia="宋体" w:cs="宋体"/>
                <w:snapToGrid w:val="0"/>
                <w:color w:val="000000"/>
                <w:kern w:val="0"/>
                <w:sz w:val="24"/>
                <w:szCs w:val="24"/>
                <w:highlight w:val="none"/>
                <w:lang w:val="en-US" w:eastAsia="zh-CN" w:bidi="ar-SA"/>
              </w:rPr>
            </w:pPr>
            <w:r>
              <w:rPr>
                <w:rFonts w:hint="eastAsia" w:ascii="宋体" w:hAnsi="宋体" w:eastAsia="宋体" w:cs="宋体"/>
                <w:snapToGrid w:val="0"/>
                <w:color w:val="000000"/>
                <w:kern w:val="0"/>
                <w:sz w:val="24"/>
                <w:szCs w:val="24"/>
                <w:highlight w:val="none"/>
                <w:lang w:val="en-US" w:eastAsia="en-US" w:bidi="ar-SA"/>
              </w:rPr>
              <w:t>供应商代表按照招标文件规定提供了法定代表人（单位负责人）身份证明或授权委托书</w:t>
            </w:r>
            <w:r>
              <w:rPr>
                <w:rFonts w:hint="eastAsia" w:ascii="宋体" w:hAnsi="宋体" w:eastAsia="宋体" w:cs="宋体"/>
                <w:snapToGrid w:val="0"/>
                <w:color w:val="000000"/>
                <w:kern w:val="0"/>
                <w:sz w:val="24"/>
                <w:szCs w:val="24"/>
                <w:highlight w:val="none"/>
                <w:lang w:val="en-US" w:eastAsia="zh-CN" w:bidi="ar-SA"/>
              </w:rPr>
              <w:t>。</w:t>
            </w:r>
          </w:p>
        </w:tc>
        <w:tc>
          <w:tcPr>
            <w:tcW w:w="525" w:type="pct"/>
            <w:noWrap w:val="0"/>
            <w:vAlign w:val="top"/>
          </w:tcPr>
          <w:p w14:paraId="410B193D">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kern w:val="0"/>
                <w:sz w:val="24"/>
                <w:szCs w:val="24"/>
                <w:highlight w:val="none"/>
                <w:lang w:eastAsia="en-US"/>
              </w:rPr>
            </w:pPr>
          </w:p>
        </w:tc>
      </w:tr>
      <w:tr w14:paraId="118B92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28" w:hRule="atLeast"/>
          <w:jc w:val="center"/>
        </w:trPr>
        <w:tc>
          <w:tcPr>
            <w:tcW w:w="471" w:type="pct"/>
            <w:vMerge w:val="continue"/>
            <w:tcBorders>
              <w:top w:val="nil"/>
              <w:bottom w:val="nil"/>
            </w:tcBorders>
            <w:noWrap w:val="0"/>
            <w:textDirection w:val="tbRlV"/>
            <w:vAlign w:val="top"/>
          </w:tcPr>
          <w:p w14:paraId="10ED1293">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kern w:val="0"/>
                <w:sz w:val="24"/>
                <w:szCs w:val="24"/>
                <w:highlight w:val="none"/>
                <w:lang w:eastAsia="en-US"/>
              </w:rPr>
            </w:pPr>
          </w:p>
        </w:tc>
        <w:tc>
          <w:tcPr>
            <w:tcW w:w="558" w:type="pct"/>
            <w:vMerge w:val="continue"/>
            <w:tcBorders>
              <w:top w:val="nil"/>
              <w:bottom w:val="nil"/>
            </w:tcBorders>
            <w:noWrap w:val="0"/>
            <w:textDirection w:val="tbRlV"/>
            <w:vAlign w:val="top"/>
          </w:tcPr>
          <w:p w14:paraId="5E19FF5D">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kern w:val="0"/>
                <w:sz w:val="24"/>
                <w:szCs w:val="24"/>
                <w:highlight w:val="none"/>
                <w:lang w:eastAsia="en-US"/>
              </w:rPr>
            </w:pPr>
          </w:p>
        </w:tc>
        <w:tc>
          <w:tcPr>
            <w:tcW w:w="1017" w:type="pct"/>
            <w:noWrap w:val="0"/>
            <w:vAlign w:val="top"/>
          </w:tcPr>
          <w:p w14:paraId="25ECF0C4">
            <w:pPr>
              <w:kinsoku w:val="0"/>
              <w:autoSpaceDE w:val="0"/>
              <w:autoSpaceDN w:val="0"/>
              <w:adjustRightInd w:val="0"/>
              <w:snapToGrid w:val="0"/>
              <w:spacing w:before="25" w:line="229" w:lineRule="auto"/>
              <w:ind w:right="1"/>
              <w:jc w:val="both"/>
              <w:textAlignment w:val="baseline"/>
              <w:rPr>
                <w:rFonts w:hint="eastAsia" w:ascii="宋体" w:hAnsi="宋体" w:eastAsia="宋体" w:cs="宋体"/>
                <w:snapToGrid w:val="0"/>
                <w:color w:val="000000"/>
                <w:kern w:val="0"/>
                <w:sz w:val="24"/>
                <w:szCs w:val="24"/>
                <w:highlight w:val="none"/>
                <w:lang w:val="en-US" w:eastAsia="en-US" w:bidi="ar-SA"/>
              </w:rPr>
            </w:pPr>
          </w:p>
          <w:p w14:paraId="119674A4">
            <w:pPr>
              <w:kinsoku w:val="0"/>
              <w:autoSpaceDE w:val="0"/>
              <w:autoSpaceDN w:val="0"/>
              <w:adjustRightInd w:val="0"/>
              <w:snapToGrid w:val="0"/>
              <w:spacing w:before="25" w:line="229" w:lineRule="auto"/>
              <w:ind w:right="1"/>
              <w:jc w:val="both"/>
              <w:textAlignment w:val="baseline"/>
              <w:rPr>
                <w:rFonts w:hint="eastAsia" w:ascii="宋体" w:hAnsi="宋体" w:eastAsia="宋体" w:cs="宋体"/>
                <w:snapToGrid w:val="0"/>
                <w:color w:val="000000"/>
                <w:kern w:val="0"/>
                <w:sz w:val="24"/>
                <w:szCs w:val="24"/>
                <w:highlight w:val="none"/>
                <w:lang w:val="en-US" w:eastAsia="en-US" w:bidi="ar-SA"/>
              </w:rPr>
            </w:pPr>
            <w:r>
              <w:rPr>
                <w:rFonts w:hint="eastAsia" w:ascii="宋体" w:hAnsi="宋体" w:eastAsia="宋体" w:cs="宋体"/>
                <w:snapToGrid w:val="0"/>
                <w:color w:val="000000"/>
                <w:kern w:val="0"/>
                <w:sz w:val="24"/>
                <w:szCs w:val="24"/>
                <w:highlight w:val="none"/>
                <w:lang w:val="en-US" w:eastAsia="en-US" w:bidi="ar-SA"/>
              </w:rPr>
              <w:t>具有良好的商业信誉和健全的财务会计制度</w:t>
            </w:r>
          </w:p>
        </w:tc>
        <w:tc>
          <w:tcPr>
            <w:tcW w:w="2428" w:type="pct"/>
            <w:noWrap w:val="0"/>
            <w:vAlign w:val="top"/>
          </w:tcPr>
          <w:p w14:paraId="1253A84A">
            <w:pPr>
              <w:kinsoku w:val="0"/>
              <w:autoSpaceDE w:val="0"/>
              <w:autoSpaceDN w:val="0"/>
              <w:adjustRightInd w:val="0"/>
              <w:snapToGrid w:val="0"/>
              <w:spacing w:before="25" w:line="229" w:lineRule="auto"/>
              <w:ind w:left="13" w:right="1" w:hanging="2"/>
              <w:jc w:val="both"/>
              <w:textAlignment w:val="baseline"/>
              <w:rPr>
                <w:rFonts w:hint="eastAsia" w:ascii="宋体" w:hAnsi="宋体" w:eastAsia="宋体" w:cs="宋体"/>
                <w:snapToGrid w:val="0"/>
                <w:color w:val="000000"/>
                <w:kern w:val="0"/>
                <w:sz w:val="24"/>
                <w:szCs w:val="24"/>
                <w:highlight w:val="none"/>
                <w:lang w:val="en-US" w:eastAsia="en-US" w:bidi="ar-SA"/>
              </w:rPr>
            </w:pPr>
            <w:r>
              <w:rPr>
                <w:rFonts w:hint="eastAsia" w:ascii="宋体" w:hAnsi="宋体" w:eastAsia="宋体" w:cs="宋体"/>
                <w:snapToGrid w:val="0"/>
                <w:color w:val="000000"/>
                <w:kern w:val="0"/>
                <w:sz w:val="24"/>
                <w:szCs w:val="24"/>
                <w:highlight w:val="none"/>
                <w:lang w:val="en-US" w:eastAsia="en-US" w:bidi="ar-SA"/>
              </w:rPr>
              <w:t>具有良好的商业信誉（2025年度财务审计报告或财务报表；成立时间至提交投标文件截止时间不足一年的可提供成立至今的财务报表，成立时间未满一年的公司提供近三个月内任意一个月的银行资信证明。）和健全的财务会计制度。</w:t>
            </w:r>
          </w:p>
        </w:tc>
        <w:tc>
          <w:tcPr>
            <w:tcW w:w="525" w:type="pct"/>
            <w:noWrap w:val="0"/>
            <w:vAlign w:val="top"/>
          </w:tcPr>
          <w:p w14:paraId="068F671B">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kern w:val="0"/>
                <w:sz w:val="24"/>
                <w:szCs w:val="24"/>
                <w:highlight w:val="none"/>
                <w:lang w:eastAsia="en-US"/>
              </w:rPr>
            </w:pPr>
          </w:p>
        </w:tc>
      </w:tr>
      <w:tr w14:paraId="66F41F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1" w:hRule="atLeast"/>
          <w:jc w:val="center"/>
        </w:trPr>
        <w:tc>
          <w:tcPr>
            <w:tcW w:w="471" w:type="pct"/>
            <w:vMerge w:val="continue"/>
            <w:tcBorders>
              <w:top w:val="nil"/>
              <w:bottom w:val="nil"/>
            </w:tcBorders>
            <w:noWrap w:val="0"/>
            <w:textDirection w:val="tbRlV"/>
            <w:vAlign w:val="top"/>
          </w:tcPr>
          <w:p w14:paraId="4951CE64">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kern w:val="0"/>
                <w:sz w:val="24"/>
                <w:szCs w:val="24"/>
                <w:highlight w:val="none"/>
                <w:lang w:eastAsia="en-US"/>
              </w:rPr>
            </w:pPr>
          </w:p>
        </w:tc>
        <w:tc>
          <w:tcPr>
            <w:tcW w:w="558" w:type="pct"/>
            <w:vMerge w:val="continue"/>
            <w:tcBorders>
              <w:top w:val="nil"/>
              <w:bottom w:val="nil"/>
            </w:tcBorders>
            <w:noWrap w:val="0"/>
            <w:textDirection w:val="tbRlV"/>
            <w:vAlign w:val="top"/>
          </w:tcPr>
          <w:p w14:paraId="3120DD3F">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kern w:val="0"/>
                <w:sz w:val="24"/>
                <w:szCs w:val="24"/>
                <w:highlight w:val="none"/>
                <w:lang w:eastAsia="en-US"/>
              </w:rPr>
            </w:pPr>
          </w:p>
        </w:tc>
        <w:tc>
          <w:tcPr>
            <w:tcW w:w="1017" w:type="pct"/>
            <w:noWrap w:val="0"/>
            <w:vAlign w:val="top"/>
          </w:tcPr>
          <w:p w14:paraId="7ED2C605">
            <w:pPr>
              <w:kinsoku w:val="0"/>
              <w:autoSpaceDE w:val="0"/>
              <w:autoSpaceDN w:val="0"/>
              <w:adjustRightInd w:val="0"/>
              <w:snapToGrid w:val="0"/>
              <w:spacing w:before="38" w:line="223" w:lineRule="auto"/>
              <w:ind w:left="10" w:right="128" w:firstLine="3"/>
              <w:jc w:val="left"/>
              <w:textAlignment w:val="baseline"/>
              <w:rPr>
                <w:rFonts w:hint="eastAsia" w:ascii="宋体" w:hAnsi="宋体" w:eastAsia="宋体" w:cs="宋体"/>
                <w:snapToGrid w:val="0"/>
                <w:color w:val="000000"/>
                <w:kern w:val="0"/>
                <w:sz w:val="24"/>
                <w:szCs w:val="24"/>
                <w:highlight w:val="none"/>
                <w:lang w:val="en-US" w:eastAsia="en-US" w:bidi="ar-SA"/>
              </w:rPr>
            </w:pPr>
            <w:r>
              <w:rPr>
                <w:rFonts w:hint="eastAsia" w:ascii="宋体" w:hAnsi="宋体" w:eastAsia="宋体" w:cs="宋体"/>
                <w:snapToGrid w:val="0"/>
                <w:color w:val="000000"/>
                <w:spacing w:val="-2"/>
                <w:kern w:val="0"/>
                <w:sz w:val="24"/>
                <w:szCs w:val="24"/>
                <w:highlight w:val="none"/>
                <w:lang w:val="en-US" w:eastAsia="en-US" w:bidi="ar-SA"/>
              </w:rPr>
              <w:t>具有履行合同所必需的设备和专业技术能力</w:t>
            </w:r>
          </w:p>
        </w:tc>
        <w:tc>
          <w:tcPr>
            <w:tcW w:w="2428" w:type="pct"/>
            <w:noWrap w:val="0"/>
            <w:vAlign w:val="center"/>
          </w:tcPr>
          <w:p w14:paraId="5EA3B352">
            <w:pPr>
              <w:kinsoku w:val="0"/>
              <w:autoSpaceDE w:val="0"/>
              <w:autoSpaceDN w:val="0"/>
              <w:adjustRightInd w:val="0"/>
              <w:snapToGrid w:val="0"/>
              <w:spacing w:before="38" w:line="223" w:lineRule="auto"/>
              <w:ind w:left="14" w:right="135" w:firstLine="4"/>
              <w:jc w:val="left"/>
              <w:textAlignment w:val="baseline"/>
              <w:rPr>
                <w:rFonts w:hint="eastAsia" w:ascii="宋体" w:hAnsi="宋体" w:eastAsia="宋体" w:cs="宋体"/>
                <w:snapToGrid w:val="0"/>
                <w:color w:val="000000"/>
                <w:kern w:val="0"/>
                <w:sz w:val="24"/>
                <w:szCs w:val="24"/>
                <w:highlight w:val="none"/>
                <w:lang w:val="en-US" w:eastAsia="zh-CN" w:bidi="ar-SA"/>
              </w:rPr>
            </w:pPr>
            <w:r>
              <w:rPr>
                <w:rFonts w:hint="eastAsia" w:ascii="宋体" w:hAnsi="宋体" w:eastAsia="宋体" w:cs="宋体"/>
                <w:snapToGrid w:val="0"/>
                <w:color w:val="000000"/>
                <w:kern w:val="0"/>
                <w:sz w:val="24"/>
                <w:szCs w:val="24"/>
                <w:highlight w:val="none"/>
                <w:lang w:val="en-US" w:eastAsia="en-US" w:bidi="ar-SA"/>
              </w:rPr>
              <w:t>提供书面声明</w:t>
            </w:r>
            <w:r>
              <w:rPr>
                <w:rFonts w:hint="eastAsia" w:cs="宋体"/>
                <w:snapToGrid w:val="0"/>
                <w:color w:val="000000"/>
                <w:kern w:val="0"/>
                <w:sz w:val="24"/>
                <w:szCs w:val="24"/>
                <w:highlight w:val="none"/>
                <w:lang w:val="en-US" w:eastAsia="zh-CN" w:bidi="ar-SA"/>
              </w:rPr>
              <w:t>。</w:t>
            </w:r>
          </w:p>
        </w:tc>
        <w:tc>
          <w:tcPr>
            <w:tcW w:w="525" w:type="pct"/>
            <w:noWrap w:val="0"/>
            <w:vAlign w:val="top"/>
          </w:tcPr>
          <w:p w14:paraId="3FD862C1">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kern w:val="0"/>
                <w:sz w:val="24"/>
                <w:szCs w:val="24"/>
                <w:highlight w:val="none"/>
                <w:lang w:eastAsia="en-US"/>
              </w:rPr>
            </w:pPr>
          </w:p>
        </w:tc>
      </w:tr>
      <w:tr w14:paraId="2DEF0F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82" w:hRule="atLeast"/>
          <w:jc w:val="center"/>
        </w:trPr>
        <w:tc>
          <w:tcPr>
            <w:tcW w:w="471" w:type="pct"/>
            <w:vMerge w:val="continue"/>
            <w:tcBorders>
              <w:top w:val="nil"/>
              <w:bottom w:val="nil"/>
            </w:tcBorders>
            <w:noWrap w:val="0"/>
            <w:textDirection w:val="tbRlV"/>
            <w:vAlign w:val="top"/>
          </w:tcPr>
          <w:p w14:paraId="65F727D4">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kern w:val="0"/>
                <w:sz w:val="24"/>
                <w:szCs w:val="24"/>
                <w:highlight w:val="none"/>
                <w:lang w:eastAsia="en-US"/>
              </w:rPr>
            </w:pPr>
          </w:p>
        </w:tc>
        <w:tc>
          <w:tcPr>
            <w:tcW w:w="558" w:type="pct"/>
            <w:vMerge w:val="continue"/>
            <w:tcBorders>
              <w:top w:val="nil"/>
              <w:bottom w:val="nil"/>
            </w:tcBorders>
            <w:noWrap w:val="0"/>
            <w:textDirection w:val="tbRlV"/>
            <w:vAlign w:val="top"/>
          </w:tcPr>
          <w:p w14:paraId="64F0DA59">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kern w:val="0"/>
                <w:sz w:val="24"/>
                <w:szCs w:val="24"/>
                <w:highlight w:val="none"/>
                <w:lang w:eastAsia="en-US"/>
              </w:rPr>
            </w:pPr>
          </w:p>
        </w:tc>
        <w:tc>
          <w:tcPr>
            <w:tcW w:w="1017" w:type="pct"/>
            <w:noWrap w:val="0"/>
            <w:vAlign w:val="center"/>
          </w:tcPr>
          <w:p w14:paraId="4F3BD172">
            <w:pPr>
              <w:kinsoku w:val="0"/>
              <w:autoSpaceDE w:val="0"/>
              <w:autoSpaceDN w:val="0"/>
              <w:adjustRightInd w:val="0"/>
              <w:snapToGrid w:val="0"/>
              <w:spacing w:before="78" w:line="230" w:lineRule="auto"/>
              <w:ind w:left="19" w:right="128" w:hanging="9"/>
              <w:jc w:val="left"/>
              <w:textAlignment w:val="baseline"/>
              <w:rPr>
                <w:rFonts w:hint="eastAsia" w:ascii="宋体" w:hAnsi="宋体" w:eastAsia="宋体" w:cs="宋体"/>
                <w:snapToGrid w:val="0"/>
                <w:color w:val="000000"/>
                <w:kern w:val="0"/>
                <w:sz w:val="24"/>
                <w:szCs w:val="24"/>
                <w:highlight w:val="none"/>
                <w:lang w:val="en-US" w:eastAsia="en-US" w:bidi="ar-SA"/>
              </w:rPr>
            </w:pPr>
            <w:r>
              <w:rPr>
                <w:rFonts w:hint="eastAsia" w:ascii="宋体" w:hAnsi="宋体" w:eastAsia="宋体" w:cs="宋体"/>
                <w:snapToGrid w:val="0"/>
                <w:color w:val="000000"/>
                <w:spacing w:val="-1"/>
                <w:kern w:val="0"/>
                <w:sz w:val="24"/>
                <w:szCs w:val="24"/>
                <w:highlight w:val="none"/>
                <w:lang w:val="en-US" w:eastAsia="en-US" w:bidi="ar-SA"/>
              </w:rPr>
              <w:t>有依法缴纳税收和社会保障</w:t>
            </w:r>
            <w:r>
              <w:rPr>
                <w:rFonts w:hint="eastAsia" w:ascii="宋体" w:hAnsi="宋体" w:eastAsia="宋体" w:cs="宋体"/>
                <w:snapToGrid w:val="0"/>
                <w:color w:val="000000"/>
                <w:spacing w:val="-3"/>
                <w:kern w:val="0"/>
                <w:sz w:val="24"/>
                <w:szCs w:val="24"/>
                <w:highlight w:val="none"/>
                <w:lang w:val="en-US" w:eastAsia="en-US" w:bidi="ar-SA"/>
              </w:rPr>
              <w:t>资金的良好记录</w:t>
            </w:r>
          </w:p>
        </w:tc>
        <w:tc>
          <w:tcPr>
            <w:tcW w:w="2428" w:type="pct"/>
            <w:noWrap w:val="0"/>
            <w:vAlign w:val="top"/>
          </w:tcPr>
          <w:p w14:paraId="051624E9">
            <w:pPr>
              <w:kinsoku w:val="0"/>
              <w:autoSpaceDE w:val="0"/>
              <w:autoSpaceDN w:val="0"/>
              <w:adjustRightInd w:val="0"/>
              <w:snapToGrid w:val="0"/>
              <w:spacing w:before="26" w:line="233" w:lineRule="auto"/>
              <w:ind w:left="12" w:firstLine="2"/>
              <w:jc w:val="left"/>
              <w:textAlignment w:val="baseline"/>
              <w:rPr>
                <w:rFonts w:hint="eastAsia" w:ascii="宋体" w:hAnsi="宋体" w:eastAsia="宋体" w:cs="宋体"/>
                <w:snapToGrid w:val="0"/>
                <w:color w:val="000000"/>
                <w:kern w:val="0"/>
                <w:sz w:val="24"/>
                <w:szCs w:val="24"/>
                <w:highlight w:val="none"/>
                <w:lang w:val="en-US" w:eastAsia="zh-CN" w:bidi="ar-SA"/>
              </w:rPr>
            </w:pPr>
            <w:r>
              <w:rPr>
                <w:rFonts w:hint="eastAsia" w:ascii="宋体" w:hAnsi="宋体" w:eastAsia="宋体" w:cs="宋体"/>
                <w:snapToGrid w:val="0"/>
                <w:color w:val="000000"/>
                <w:kern w:val="0"/>
                <w:sz w:val="24"/>
                <w:szCs w:val="24"/>
                <w:highlight w:val="none"/>
                <w:lang w:val="en-US" w:eastAsia="en-US" w:bidi="ar-SA"/>
              </w:rPr>
              <w:t>提供近六个月内任意一个月的缴纳税收的凭据以及缴纳社会保险的凭据（专用收据或社会保险缴纳清单）原件扫描件；依法免税或不需要缴纳社会保障资金的供应商，提供相应文件证明原件扫描件。供应商成立时间少于该规定时限的，提供成立至今的材料原件扫描件</w:t>
            </w:r>
            <w:r>
              <w:rPr>
                <w:rFonts w:hint="eastAsia" w:cs="宋体"/>
                <w:snapToGrid w:val="0"/>
                <w:color w:val="000000"/>
                <w:kern w:val="0"/>
                <w:sz w:val="24"/>
                <w:szCs w:val="24"/>
                <w:highlight w:val="none"/>
                <w:lang w:val="en-US" w:eastAsia="zh-CN" w:bidi="ar-SA"/>
              </w:rPr>
              <w:t>。</w:t>
            </w:r>
          </w:p>
        </w:tc>
        <w:tc>
          <w:tcPr>
            <w:tcW w:w="525" w:type="pct"/>
            <w:noWrap w:val="0"/>
            <w:vAlign w:val="top"/>
          </w:tcPr>
          <w:p w14:paraId="79F3E253">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kern w:val="0"/>
                <w:sz w:val="24"/>
                <w:szCs w:val="24"/>
                <w:highlight w:val="none"/>
                <w:lang w:eastAsia="en-US"/>
              </w:rPr>
            </w:pPr>
          </w:p>
        </w:tc>
      </w:tr>
      <w:tr w14:paraId="6E18DE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2" w:hRule="atLeast"/>
          <w:jc w:val="center"/>
        </w:trPr>
        <w:tc>
          <w:tcPr>
            <w:tcW w:w="471" w:type="pct"/>
            <w:vMerge w:val="continue"/>
            <w:tcBorders>
              <w:top w:val="nil"/>
              <w:bottom w:val="nil"/>
            </w:tcBorders>
            <w:noWrap w:val="0"/>
            <w:textDirection w:val="tbRlV"/>
            <w:vAlign w:val="top"/>
          </w:tcPr>
          <w:p w14:paraId="15156640">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kern w:val="0"/>
                <w:sz w:val="24"/>
                <w:szCs w:val="24"/>
                <w:highlight w:val="none"/>
                <w:lang w:eastAsia="en-US"/>
              </w:rPr>
            </w:pPr>
          </w:p>
        </w:tc>
        <w:tc>
          <w:tcPr>
            <w:tcW w:w="558" w:type="pct"/>
            <w:vMerge w:val="continue"/>
            <w:tcBorders>
              <w:top w:val="nil"/>
              <w:bottom w:val="nil"/>
            </w:tcBorders>
            <w:noWrap w:val="0"/>
            <w:textDirection w:val="tbRlV"/>
            <w:vAlign w:val="top"/>
          </w:tcPr>
          <w:p w14:paraId="699B40D5">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kern w:val="0"/>
                <w:sz w:val="24"/>
                <w:szCs w:val="24"/>
                <w:highlight w:val="none"/>
                <w:lang w:eastAsia="en-US"/>
              </w:rPr>
            </w:pPr>
          </w:p>
        </w:tc>
        <w:tc>
          <w:tcPr>
            <w:tcW w:w="1017" w:type="pct"/>
            <w:noWrap w:val="0"/>
            <w:vAlign w:val="top"/>
          </w:tcPr>
          <w:p w14:paraId="4FC55180">
            <w:pPr>
              <w:kinsoku w:val="0"/>
              <w:autoSpaceDE w:val="0"/>
              <w:autoSpaceDN w:val="0"/>
              <w:adjustRightInd w:val="0"/>
              <w:snapToGrid w:val="0"/>
              <w:spacing w:before="39" w:line="228" w:lineRule="auto"/>
              <w:ind w:left="8" w:firstLine="2"/>
              <w:jc w:val="both"/>
              <w:textAlignment w:val="baseline"/>
              <w:rPr>
                <w:rFonts w:hint="eastAsia" w:ascii="宋体" w:hAnsi="宋体" w:eastAsia="宋体" w:cs="宋体"/>
                <w:snapToGrid w:val="0"/>
                <w:color w:val="000000"/>
                <w:kern w:val="0"/>
                <w:sz w:val="24"/>
                <w:szCs w:val="24"/>
                <w:highlight w:val="none"/>
                <w:lang w:val="en-US" w:eastAsia="en-US" w:bidi="ar-SA"/>
              </w:rPr>
            </w:pPr>
            <w:r>
              <w:rPr>
                <w:rFonts w:hint="eastAsia" w:ascii="宋体" w:hAnsi="宋体" w:eastAsia="宋体" w:cs="宋体"/>
                <w:snapToGrid w:val="0"/>
                <w:color w:val="000000"/>
                <w:spacing w:val="-10"/>
                <w:kern w:val="0"/>
                <w:sz w:val="24"/>
                <w:szCs w:val="24"/>
                <w:highlight w:val="none"/>
                <w:lang w:val="en-US" w:eastAsia="en-US" w:bidi="ar-SA"/>
              </w:rPr>
              <w:t>参加政府采购活动前三年内，</w:t>
            </w:r>
            <w:r>
              <w:rPr>
                <w:rFonts w:hint="eastAsia" w:ascii="宋体" w:hAnsi="宋体" w:eastAsia="宋体" w:cs="宋体"/>
                <w:snapToGrid w:val="0"/>
                <w:color w:val="000000"/>
                <w:spacing w:val="-5"/>
                <w:kern w:val="0"/>
                <w:sz w:val="24"/>
                <w:szCs w:val="24"/>
                <w:highlight w:val="none"/>
                <w:lang w:val="en-US" w:eastAsia="en-US" w:bidi="ar-SA"/>
              </w:rPr>
              <w:t>在经营活动中没有重大违法</w:t>
            </w:r>
            <w:r>
              <w:rPr>
                <w:rFonts w:hint="eastAsia" w:ascii="宋体" w:hAnsi="宋体" w:eastAsia="宋体" w:cs="宋体"/>
                <w:snapToGrid w:val="0"/>
                <w:color w:val="000000"/>
                <w:spacing w:val="-7"/>
                <w:kern w:val="0"/>
                <w:sz w:val="24"/>
                <w:szCs w:val="24"/>
                <w:highlight w:val="none"/>
                <w:lang w:val="en-US" w:eastAsia="en-US" w:bidi="ar-SA"/>
              </w:rPr>
              <w:t>记录</w:t>
            </w:r>
          </w:p>
        </w:tc>
        <w:tc>
          <w:tcPr>
            <w:tcW w:w="2428" w:type="pct"/>
            <w:noWrap w:val="0"/>
            <w:vAlign w:val="top"/>
          </w:tcPr>
          <w:p w14:paraId="04D6481E">
            <w:pPr>
              <w:widowControl/>
              <w:kinsoku w:val="0"/>
              <w:autoSpaceDE w:val="0"/>
              <w:autoSpaceDN w:val="0"/>
              <w:adjustRightInd w:val="0"/>
              <w:snapToGrid w:val="0"/>
              <w:spacing w:line="268" w:lineRule="auto"/>
              <w:jc w:val="left"/>
              <w:textAlignment w:val="baseline"/>
              <w:rPr>
                <w:rFonts w:hint="eastAsia" w:ascii="宋体" w:hAnsi="宋体" w:eastAsia="宋体" w:cs="宋体"/>
                <w:snapToGrid w:val="0"/>
                <w:color w:val="000000"/>
                <w:kern w:val="0"/>
                <w:sz w:val="24"/>
                <w:szCs w:val="24"/>
                <w:highlight w:val="none"/>
                <w:lang w:eastAsia="en-US"/>
              </w:rPr>
            </w:pPr>
          </w:p>
          <w:p w14:paraId="1935955E">
            <w:pPr>
              <w:kinsoku w:val="0"/>
              <w:autoSpaceDE w:val="0"/>
              <w:autoSpaceDN w:val="0"/>
              <w:adjustRightInd w:val="0"/>
              <w:snapToGrid w:val="0"/>
              <w:spacing w:before="78" w:line="219" w:lineRule="auto"/>
              <w:ind w:left="13"/>
              <w:jc w:val="left"/>
              <w:textAlignment w:val="baseline"/>
              <w:rPr>
                <w:rFonts w:hint="eastAsia" w:ascii="宋体" w:hAnsi="宋体" w:eastAsia="宋体" w:cs="宋体"/>
                <w:snapToGrid w:val="0"/>
                <w:color w:val="000000"/>
                <w:kern w:val="0"/>
                <w:sz w:val="24"/>
                <w:szCs w:val="24"/>
                <w:highlight w:val="none"/>
                <w:lang w:val="en-US" w:eastAsia="zh-CN" w:bidi="ar-SA"/>
              </w:rPr>
            </w:pPr>
            <w:r>
              <w:rPr>
                <w:rFonts w:hint="eastAsia" w:ascii="宋体" w:hAnsi="宋体" w:eastAsia="宋体" w:cs="宋体"/>
                <w:snapToGrid w:val="0"/>
                <w:color w:val="000000"/>
                <w:spacing w:val="-2"/>
                <w:kern w:val="0"/>
                <w:sz w:val="24"/>
                <w:szCs w:val="24"/>
                <w:highlight w:val="none"/>
                <w:lang w:val="en-US" w:eastAsia="en-US" w:bidi="ar-SA"/>
              </w:rPr>
              <w:t>提供书面声明</w:t>
            </w:r>
            <w:r>
              <w:rPr>
                <w:rFonts w:hint="eastAsia" w:cs="宋体"/>
                <w:snapToGrid w:val="0"/>
                <w:color w:val="000000"/>
                <w:spacing w:val="-2"/>
                <w:kern w:val="0"/>
                <w:sz w:val="24"/>
                <w:szCs w:val="24"/>
                <w:highlight w:val="none"/>
                <w:lang w:val="en-US" w:eastAsia="zh-CN" w:bidi="ar-SA"/>
              </w:rPr>
              <w:t>。</w:t>
            </w:r>
          </w:p>
        </w:tc>
        <w:tc>
          <w:tcPr>
            <w:tcW w:w="525" w:type="pct"/>
            <w:noWrap w:val="0"/>
            <w:vAlign w:val="top"/>
          </w:tcPr>
          <w:p w14:paraId="19C9779F">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kern w:val="0"/>
                <w:sz w:val="24"/>
                <w:szCs w:val="24"/>
                <w:highlight w:val="none"/>
                <w:lang w:eastAsia="en-US"/>
              </w:rPr>
            </w:pPr>
          </w:p>
        </w:tc>
      </w:tr>
      <w:tr w14:paraId="4A36F8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8" w:hRule="atLeast"/>
          <w:jc w:val="center"/>
        </w:trPr>
        <w:tc>
          <w:tcPr>
            <w:tcW w:w="471" w:type="pct"/>
            <w:tcBorders>
              <w:top w:val="nil"/>
              <w:bottom w:val="nil"/>
            </w:tcBorders>
            <w:noWrap w:val="0"/>
            <w:textDirection w:val="tbRlV"/>
            <w:vAlign w:val="top"/>
          </w:tcPr>
          <w:p w14:paraId="3E3B457B">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kern w:val="0"/>
                <w:sz w:val="24"/>
                <w:szCs w:val="24"/>
                <w:highlight w:val="none"/>
                <w:lang w:eastAsia="en-US"/>
              </w:rPr>
            </w:pPr>
          </w:p>
        </w:tc>
        <w:tc>
          <w:tcPr>
            <w:tcW w:w="558" w:type="pct"/>
            <w:tcBorders>
              <w:top w:val="nil"/>
              <w:bottom w:val="nil"/>
            </w:tcBorders>
            <w:noWrap w:val="0"/>
            <w:textDirection w:val="tbRlV"/>
            <w:vAlign w:val="top"/>
          </w:tcPr>
          <w:p w14:paraId="7B4E3F5B">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kern w:val="0"/>
                <w:sz w:val="24"/>
                <w:szCs w:val="24"/>
                <w:highlight w:val="none"/>
                <w:lang w:eastAsia="en-US"/>
              </w:rPr>
            </w:pPr>
          </w:p>
        </w:tc>
        <w:tc>
          <w:tcPr>
            <w:tcW w:w="1017" w:type="pct"/>
            <w:noWrap w:val="0"/>
            <w:vAlign w:val="center"/>
          </w:tcPr>
          <w:p w14:paraId="4842E24C">
            <w:pPr>
              <w:kinsoku w:val="0"/>
              <w:autoSpaceDE w:val="0"/>
              <w:autoSpaceDN w:val="0"/>
              <w:adjustRightInd w:val="0"/>
              <w:snapToGrid w:val="0"/>
              <w:spacing w:before="78" w:line="219" w:lineRule="auto"/>
              <w:ind w:left="10"/>
              <w:jc w:val="left"/>
              <w:textAlignment w:val="baseline"/>
              <w:rPr>
                <w:rFonts w:hint="eastAsia" w:ascii="宋体" w:hAnsi="宋体" w:eastAsia="宋体" w:cs="宋体"/>
                <w:snapToGrid w:val="0"/>
                <w:color w:val="000000"/>
                <w:spacing w:val="-2"/>
                <w:kern w:val="0"/>
                <w:sz w:val="24"/>
                <w:szCs w:val="24"/>
                <w:highlight w:val="none"/>
                <w:lang w:val="en-US" w:eastAsia="en-US" w:bidi="ar-SA"/>
              </w:rPr>
            </w:pPr>
            <w:r>
              <w:rPr>
                <w:rFonts w:hint="eastAsia" w:ascii="宋体" w:hAnsi="宋体" w:eastAsia="宋体" w:cs="宋体"/>
                <w:spacing w:val="-3"/>
                <w:sz w:val="24"/>
                <w:szCs w:val="24"/>
                <w:highlight w:val="none"/>
              </w:rPr>
              <w:t>其他要求</w:t>
            </w:r>
          </w:p>
        </w:tc>
        <w:tc>
          <w:tcPr>
            <w:tcW w:w="2428" w:type="pct"/>
            <w:noWrap w:val="0"/>
            <w:vAlign w:val="center"/>
          </w:tcPr>
          <w:p w14:paraId="07CA2D01">
            <w:pPr>
              <w:kinsoku w:val="0"/>
              <w:autoSpaceDE w:val="0"/>
              <w:autoSpaceDN w:val="0"/>
              <w:adjustRightInd w:val="0"/>
              <w:snapToGrid w:val="0"/>
              <w:spacing w:before="45" w:line="236" w:lineRule="auto"/>
              <w:ind w:left="11" w:right="1" w:firstLine="2"/>
              <w:jc w:val="left"/>
              <w:textAlignment w:val="baseline"/>
              <w:rPr>
                <w:rFonts w:hint="eastAsia" w:ascii="宋体" w:hAnsi="宋体" w:eastAsia="宋体" w:cs="宋体"/>
                <w:snapToGrid w:val="0"/>
                <w:color w:val="000000"/>
                <w:spacing w:val="-1"/>
                <w:kern w:val="0"/>
                <w:sz w:val="24"/>
                <w:szCs w:val="24"/>
                <w:highlight w:val="none"/>
                <w:lang w:val="en-US" w:eastAsia="en-US" w:bidi="ar-SA"/>
              </w:rPr>
            </w:pPr>
            <w:r>
              <w:rPr>
                <w:rFonts w:hint="eastAsia" w:ascii="宋体" w:hAnsi="宋体" w:eastAsia="宋体" w:cs="宋体"/>
                <w:snapToGrid w:val="0"/>
                <w:color w:val="000000"/>
                <w:spacing w:val="-1"/>
                <w:kern w:val="0"/>
                <w:sz w:val="24"/>
                <w:szCs w:val="24"/>
                <w:highlight w:val="none"/>
                <w:lang w:val="en-US" w:eastAsia="en-US" w:bidi="ar-SA"/>
              </w:rPr>
              <w:t>供应商如在“信用中国 ”网站、中国政府采购网被列入严重违法失信行为记录名单的（尚在处罚期内的），将拒绝其参加本次政府采购活动（注：开标当天由</w:t>
            </w:r>
            <w:r>
              <w:rPr>
                <w:rFonts w:hint="eastAsia" w:cs="宋体"/>
                <w:snapToGrid w:val="0"/>
                <w:color w:val="000000"/>
                <w:spacing w:val="-1"/>
                <w:kern w:val="0"/>
                <w:sz w:val="24"/>
                <w:szCs w:val="24"/>
                <w:highlight w:val="none"/>
                <w:lang w:val="en-US" w:eastAsia="zh-CN" w:bidi="ar-SA"/>
              </w:rPr>
              <w:t>招标人</w:t>
            </w:r>
            <w:r>
              <w:rPr>
                <w:rFonts w:hint="eastAsia" w:ascii="宋体" w:hAnsi="宋体" w:eastAsia="宋体" w:cs="宋体"/>
                <w:snapToGrid w:val="0"/>
                <w:color w:val="000000"/>
                <w:spacing w:val="-1"/>
                <w:kern w:val="0"/>
                <w:sz w:val="24"/>
                <w:szCs w:val="24"/>
                <w:highlight w:val="none"/>
                <w:lang w:val="en-US" w:eastAsia="en-US" w:bidi="ar-SA"/>
              </w:rPr>
              <w:t>或</w:t>
            </w:r>
            <w:r>
              <w:rPr>
                <w:rFonts w:hint="eastAsia" w:cs="宋体"/>
                <w:snapToGrid w:val="0"/>
                <w:color w:val="000000"/>
                <w:spacing w:val="-1"/>
                <w:kern w:val="0"/>
                <w:sz w:val="24"/>
                <w:szCs w:val="24"/>
                <w:highlight w:val="none"/>
                <w:lang w:val="en-US" w:eastAsia="zh-CN" w:bidi="ar-SA"/>
              </w:rPr>
              <w:t>招标代理机构</w:t>
            </w:r>
            <w:r>
              <w:rPr>
                <w:rFonts w:hint="eastAsia" w:ascii="宋体" w:hAnsi="宋体" w:eastAsia="宋体" w:cs="宋体"/>
                <w:snapToGrid w:val="0"/>
                <w:color w:val="000000"/>
                <w:spacing w:val="-1"/>
                <w:kern w:val="0"/>
                <w:sz w:val="24"/>
                <w:szCs w:val="24"/>
                <w:highlight w:val="none"/>
                <w:lang w:val="en-US" w:eastAsia="en-US" w:bidi="ar-SA"/>
              </w:rPr>
              <w:t>在线查询供应商的信用记录供应商存在不良信用记录的，其投标按无效投标处理。</w:t>
            </w:r>
          </w:p>
        </w:tc>
        <w:tc>
          <w:tcPr>
            <w:tcW w:w="525" w:type="pct"/>
            <w:noWrap w:val="0"/>
            <w:vAlign w:val="top"/>
          </w:tcPr>
          <w:p w14:paraId="5EDFB9F2">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kern w:val="0"/>
                <w:sz w:val="24"/>
                <w:szCs w:val="24"/>
                <w:highlight w:val="none"/>
                <w:lang w:eastAsia="en-US"/>
              </w:rPr>
            </w:pPr>
          </w:p>
        </w:tc>
      </w:tr>
      <w:tr w14:paraId="6FD0F5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8" w:hRule="atLeast"/>
          <w:jc w:val="center"/>
        </w:trPr>
        <w:tc>
          <w:tcPr>
            <w:tcW w:w="471" w:type="pct"/>
            <w:tcBorders>
              <w:top w:val="nil"/>
              <w:bottom w:val="nil"/>
            </w:tcBorders>
            <w:noWrap w:val="0"/>
            <w:textDirection w:val="tbRlV"/>
            <w:vAlign w:val="top"/>
          </w:tcPr>
          <w:p w14:paraId="756A8D69">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kern w:val="0"/>
                <w:sz w:val="24"/>
                <w:szCs w:val="24"/>
                <w:highlight w:val="none"/>
                <w:lang w:eastAsia="en-US"/>
              </w:rPr>
            </w:pPr>
          </w:p>
        </w:tc>
        <w:tc>
          <w:tcPr>
            <w:tcW w:w="558" w:type="pct"/>
            <w:tcBorders>
              <w:top w:val="nil"/>
              <w:bottom w:val="nil"/>
            </w:tcBorders>
            <w:noWrap w:val="0"/>
            <w:textDirection w:val="tbRlV"/>
            <w:vAlign w:val="top"/>
          </w:tcPr>
          <w:p w14:paraId="6426A96F">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kern w:val="0"/>
                <w:sz w:val="24"/>
                <w:szCs w:val="24"/>
                <w:highlight w:val="none"/>
                <w:lang w:eastAsia="en-US"/>
              </w:rPr>
            </w:pPr>
          </w:p>
        </w:tc>
        <w:tc>
          <w:tcPr>
            <w:tcW w:w="1017" w:type="pct"/>
            <w:noWrap w:val="0"/>
            <w:vAlign w:val="top"/>
          </w:tcPr>
          <w:p w14:paraId="43AA5CF0">
            <w:pPr>
              <w:pStyle w:val="79"/>
              <w:spacing w:before="40" w:line="222" w:lineRule="auto"/>
              <w:ind w:left="19" w:leftChars="0" w:right="128" w:rightChars="0" w:hanging="8" w:firstLineChars="0"/>
              <w:rPr>
                <w:rFonts w:hint="eastAsia" w:ascii="宋体" w:hAnsi="宋体" w:eastAsia="宋体" w:cs="宋体"/>
                <w:spacing w:val="-3"/>
                <w:sz w:val="24"/>
                <w:szCs w:val="24"/>
                <w:highlight w:val="none"/>
              </w:rPr>
            </w:pPr>
            <w:r>
              <w:rPr>
                <w:rFonts w:hint="eastAsia" w:ascii="宋体" w:hAnsi="宋体" w:eastAsia="宋体" w:cs="宋体"/>
                <w:spacing w:val="-1"/>
                <w:sz w:val="24"/>
                <w:szCs w:val="24"/>
                <w:highlight w:val="none"/>
              </w:rPr>
              <w:t>落实政府采购政策需满足的</w:t>
            </w:r>
            <w:r>
              <w:rPr>
                <w:rFonts w:hint="eastAsia" w:ascii="宋体" w:hAnsi="宋体" w:eastAsia="宋体" w:cs="宋体"/>
                <w:spacing w:val="-5"/>
                <w:sz w:val="24"/>
                <w:szCs w:val="24"/>
                <w:highlight w:val="none"/>
              </w:rPr>
              <w:t>资格要求</w:t>
            </w:r>
          </w:p>
        </w:tc>
        <w:tc>
          <w:tcPr>
            <w:tcW w:w="2428" w:type="pct"/>
            <w:noWrap w:val="0"/>
            <w:vAlign w:val="top"/>
          </w:tcPr>
          <w:p w14:paraId="779DA444">
            <w:pPr>
              <w:pStyle w:val="79"/>
              <w:spacing w:before="192" w:line="219" w:lineRule="auto"/>
              <w:ind w:left="14" w:leftChars="0"/>
              <w:rPr>
                <w:rFonts w:hint="eastAsia" w:ascii="宋体" w:hAnsi="宋体" w:eastAsia="宋体" w:cs="宋体"/>
                <w:snapToGrid w:val="0"/>
                <w:color w:val="000000"/>
                <w:spacing w:val="-2"/>
                <w:kern w:val="0"/>
                <w:sz w:val="24"/>
                <w:szCs w:val="24"/>
                <w:highlight w:val="none"/>
                <w:lang w:val="en-US" w:eastAsia="en-US" w:bidi="ar-SA"/>
              </w:rPr>
            </w:pPr>
            <w:r>
              <w:rPr>
                <w:rFonts w:hint="eastAsia" w:ascii="宋体" w:hAnsi="宋体" w:eastAsia="宋体" w:cs="宋体"/>
                <w:snapToGrid w:val="0"/>
                <w:color w:val="000000"/>
                <w:spacing w:val="-2"/>
                <w:kern w:val="0"/>
                <w:sz w:val="24"/>
                <w:szCs w:val="24"/>
                <w:highlight w:val="none"/>
                <w:lang w:val="en-US" w:eastAsia="en-US" w:bidi="ar-SA"/>
              </w:rPr>
              <w:t>请根据要求单独上传《中小企业声明函》。格式以采购文件要求为准。</w:t>
            </w:r>
          </w:p>
        </w:tc>
        <w:tc>
          <w:tcPr>
            <w:tcW w:w="525" w:type="pct"/>
            <w:noWrap w:val="0"/>
            <w:vAlign w:val="top"/>
          </w:tcPr>
          <w:p w14:paraId="50A8E9BA">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kern w:val="0"/>
                <w:sz w:val="24"/>
                <w:szCs w:val="24"/>
                <w:highlight w:val="none"/>
                <w:lang w:eastAsia="en-US"/>
              </w:rPr>
            </w:pPr>
          </w:p>
        </w:tc>
      </w:tr>
      <w:tr w14:paraId="6CD7B4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jc w:val="center"/>
        </w:trPr>
        <w:tc>
          <w:tcPr>
            <w:tcW w:w="5000" w:type="pct"/>
            <w:gridSpan w:val="5"/>
            <w:noWrap w:val="0"/>
            <w:vAlign w:val="center"/>
          </w:tcPr>
          <w:p w14:paraId="388E022F">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kern w:val="0"/>
                <w:sz w:val="24"/>
                <w:szCs w:val="24"/>
                <w:highlight w:val="none"/>
                <w:lang w:eastAsia="en-US"/>
              </w:rPr>
            </w:pPr>
            <w:r>
              <w:rPr>
                <w:rFonts w:hint="eastAsia" w:ascii="宋体" w:hAnsi="宋体" w:eastAsia="宋体" w:cs="宋体"/>
                <w:b/>
                <w:bCs/>
                <w:spacing w:val="-2"/>
                <w:sz w:val="24"/>
                <w:szCs w:val="24"/>
                <w:highlight w:val="none"/>
              </w:rPr>
              <w:t>注：以上检查内容必须全部满足检查标准，否则视为无效投标。</w:t>
            </w:r>
          </w:p>
        </w:tc>
      </w:tr>
    </w:tbl>
    <w:p w14:paraId="77B640F7">
      <w:pPr>
        <w:keepNext w:val="0"/>
        <w:keepLines w:val="0"/>
        <w:widowControl/>
        <w:suppressLineNumbers w:val="0"/>
        <w:jc w:val="left"/>
        <w:rPr>
          <w:rFonts w:hint="eastAsia" w:ascii="宋体" w:hAnsi="宋体" w:eastAsia="宋体" w:cs="宋体"/>
          <w:b/>
          <w:bCs/>
          <w:color w:val="auto"/>
          <w:kern w:val="44"/>
          <w:sz w:val="36"/>
          <w:szCs w:val="36"/>
          <w:highlight w:val="none"/>
          <w:lang w:val="en-US" w:eastAsia="zh-CN" w:bidi="ar-SA"/>
        </w:rPr>
      </w:pPr>
      <w:r>
        <w:rPr>
          <w:rFonts w:hint="eastAsia" w:ascii="宋体" w:hAnsi="宋体" w:eastAsia="宋体" w:cs="宋体"/>
          <w:color w:val="auto"/>
          <w:kern w:val="0"/>
          <w:sz w:val="24"/>
          <w:szCs w:val="24"/>
          <w:highlight w:val="none"/>
          <w:lang w:val="en-US" w:eastAsia="zh-CN" w:bidi="ar"/>
        </w:rPr>
        <w:t xml:space="preserve"> </w:t>
      </w:r>
      <w:bookmarkStart w:id="234" w:name="_Toc155185903"/>
      <w:bookmarkStart w:id="235" w:name="_Toc30175"/>
      <w:bookmarkStart w:id="236" w:name="_Toc28158"/>
    </w:p>
    <w:p w14:paraId="357E8678">
      <w:pPr>
        <w:pStyle w:val="2"/>
        <w:keepNext/>
        <w:keepLines/>
        <w:pageBreakBefore w:val="0"/>
        <w:widowControl w:val="0"/>
        <w:numPr>
          <w:ilvl w:val="0"/>
          <w:numId w:val="0"/>
        </w:numPr>
        <w:kinsoku/>
        <w:wordWrap/>
        <w:overflowPunct/>
        <w:topLinePunct w:val="0"/>
        <w:autoSpaceDE/>
        <w:autoSpaceDN/>
        <w:bidi w:val="0"/>
        <w:adjustRightInd/>
        <w:snapToGrid/>
        <w:spacing w:before="220" w:after="220" w:line="480" w:lineRule="auto"/>
        <w:ind w:firstLine="1446" w:firstLineChars="400"/>
        <w:jc w:val="both"/>
        <w:textAlignment w:val="auto"/>
        <w:rPr>
          <w:rFonts w:hint="default" w:ascii="宋体" w:hAnsi="宋体" w:eastAsia="宋体" w:cs="宋体"/>
          <w:b/>
          <w:bCs/>
          <w:color w:val="auto"/>
          <w:kern w:val="44"/>
          <w:sz w:val="36"/>
          <w:szCs w:val="36"/>
          <w:highlight w:val="none"/>
          <w:lang w:val="en-US" w:eastAsia="zh-CN" w:bidi="ar-SA"/>
        </w:rPr>
      </w:pPr>
      <w:r>
        <w:rPr>
          <w:rFonts w:hint="eastAsia" w:ascii="宋体" w:hAnsi="宋体" w:eastAsia="宋体" w:cs="宋体"/>
          <w:b/>
          <w:bCs/>
          <w:color w:val="auto"/>
          <w:kern w:val="44"/>
          <w:sz w:val="36"/>
          <w:szCs w:val="36"/>
          <w:highlight w:val="none"/>
          <w:lang w:val="en-US" w:eastAsia="zh-CN" w:bidi="ar-SA"/>
        </w:rPr>
        <w:t>第五章 评标方法</w:t>
      </w:r>
      <w:bookmarkEnd w:id="234"/>
      <w:r>
        <w:rPr>
          <w:rFonts w:hint="eastAsia" w:ascii="宋体" w:hAnsi="宋体" w:eastAsia="宋体" w:cs="宋体"/>
          <w:b/>
          <w:bCs/>
          <w:color w:val="auto"/>
          <w:kern w:val="44"/>
          <w:sz w:val="36"/>
          <w:szCs w:val="36"/>
          <w:highlight w:val="none"/>
          <w:lang w:val="en-US" w:eastAsia="zh-CN" w:bidi="ar-SA"/>
        </w:rPr>
        <w:t>及标准(综合评分法)</w:t>
      </w:r>
      <w:bookmarkEnd w:id="235"/>
      <w:bookmarkEnd w:id="236"/>
    </w:p>
    <w:p w14:paraId="611D8D70">
      <w:pPr>
        <w:pStyle w:val="5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根据《中华人民共和国政府采购法》及其实施条例、《政府采购货物和服务招标投标管理办法》</w:t>
      </w:r>
      <w:r>
        <w:rPr>
          <w:rFonts w:hint="eastAsia" w:ascii="宋体" w:hAnsi="宋体" w:eastAsia="宋体" w:cs="宋体"/>
          <w:color w:val="auto"/>
          <w:sz w:val="24"/>
          <w:szCs w:val="24"/>
          <w:highlight w:val="none"/>
          <w:lang w:val="en-US" w:eastAsia="zh-CN"/>
        </w:rPr>
        <w:t>及</w:t>
      </w:r>
      <w:r>
        <w:rPr>
          <w:rFonts w:hint="eastAsia" w:ascii="宋体" w:hAnsi="宋体" w:eastAsia="宋体" w:cs="宋体"/>
          <w:color w:val="auto"/>
          <w:sz w:val="24"/>
          <w:szCs w:val="24"/>
          <w:highlight w:val="none"/>
        </w:rPr>
        <w:t>相关法律法规确定以下评标</w:t>
      </w:r>
      <w:r>
        <w:rPr>
          <w:rFonts w:hint="eastAsia" w:ascii="宋体" w:hAnsi="宋体" w:eastAsia="宋体" w:cs="宋体"/>
          <w:color w:val="auto"/>
          <w:sz w:val="24"/>
          <w:szCs w:val="24"/>
          <w:highlight w:val="none"/>
          <w:lang w:val="en-US" w:eastAsia="zh-CN"/>
        </w:rPr>
        <w:t>方</w:t>
      </w:r>
      <w:r>
        <w:rPr>
          <w:rFonts w:hint="eastAsia" w:ascii="宋体" w:hAnsi="宋体" w:eastAsia="宋体" w:cs="宋体"/>
          <w:color w:val="auto"/>
          <w:sz w:val="24"/>
          <w:szCs w:val="24"/>
          <w:highlight w:val="none"/>
        </w:rPr>
        <w:t>法及标准。</w:t>
      </w:r>
    </w:p>
    <w:p w14:paraId="30B52E21">
      <w:pPr>
        <w:pStyle w:val="3"/>
        <w:keepNext/>
        <w:keepLines/>
        <w:pageBreakBefore w:val="0"/>
        <w:widowControl w:val="0"/>
        <w:numPr>
          <w:ilvl w:val="0"/>
          <w:numId w:val="0"/>
        </w:numPr>
        <w:kinsoku/>
        <w:wordWrap/>
        <w:overflowPunct/>
        <w:topLinePunct w:val="0"/>
        <w:autoSpaceDE/>
        <w:autoSpaceDN/>
        <w:bidi w:val="0"/>
        <w:adjustRightInd/>
        <w:snapToGrid/>
        <w:spacing w:before="160" w:after="160" w:line="360" w:lineRule="auto"/>
        <w:ind w:left="420" w:leftChars="0" w:hanging="420" w:firstLineChars="0"/>
        <w:jc w:val="both"/>
        <w:textAlignment w:val="auto"/>
        <w:rPr>
          <w:rFonts w:hint="eastAsia" w:ascii="宋体" w:hAnsi="宋体" w:eastAsia="宋体" w:cs="宋体"/>
          <w:color w:val="auto"/>
          <w:sz w:val="28"/>
          <w:szCs w:val="28"/>
          <w:highlight w:val="none"/>
          <w:lang w:val="zh-CN" w:eastAsia="zh-CN"/>
        </w:rPr>
      </w:pPr>
      <w:bookmarkStart w:id="237" w:name="_Toc17592"/>
      <w:bookmarkStart w:id="238" w:name="_Toc4301"/>
      <w:bookmarkStart w:id="239" w:name="_Toc109899903"/>
      <w:bookmarkStart w:id="240" w:name="_Toc272247709"/>
      <w:bookmarkStart w:id="241" w:name="_Toc61280402"/>
      <w:bookmarkStart w:id="242" w:name="_Toc109900322"/>
      <w:bookmarkStart w:id="243" w:name="_Toc155185905"/>
      <w:bookmarkStart w:id="244" w:name="_Toc278891606"/>
      <w:bookmarkStart w:id="245" w:name="_Toc511894518"/>
      <w:bookmarkStart w:id="246" w:name="_Toc494561962"/>
      <w:bookmarkStart w:id="247" w:name="_Toc140132826"/>
      <w:bookmarkStart w:id="248" w:name="_Toc109899484"/>
      <w:r>
        <w:rPr>
          <w:rFonts w:hint="eastAsia" w:ascii="宋体" w:hAnsi="宋体" w:eastAsia="宋体" w:cs="宋体"/>
          <w:color w:val="auto"/>
          <w:sz w:val="28"/>
          <w:szCs w:val="28"/>
          <w:highlight w:val="none"/>
          <w:lang w:val="zh-CN" w:eastAsia="zh-CN"/>
        </w:rPr>
        <w:t>一、评标</w:t>
      </w:r>
      <w:r>
        <w:rPr>
          <w:rFonts w:hint="eastAsia" w:ascii="宋体" w:hAnsi="宋体" w:eastAsia="宋体" w:cs="宋体"/>
          <w:color w:val="auto"/>
          <w:sz w:val="28"/>
          <w:szCs w:val="28"/>
          <w:highlight w:val="none"/>
          <w:lang w:val="en-US" w:eastAsia="zh-CN"/>
        </w:rPr>
        <w:t>方</w:t>
      </w:r>
      <w:r>
        <w:rPr>
          <w:rFonts w:hint="eastAsia" w:ascii="宋体" w:hAnsi="宋体" w:eastAsia="宋体" w:cs="宋体"/>
          <w:color w:val="auto"/>
          <w:sz w:val="28"/>
          <w:szCs w:val="28"/>
          <w:highlight w:val="none"/>
          <w:lang w:val="zh-CN" w:eastAsia="zh-CN"/>
        </w:rPr>
        <w:t>法</w:t>
      </w:r>
      <w:bookmarkEnd w:id="237"/>
      <w:bookmarkEnd w:id="238"/>
    </w:p>
    <w:p w14:paraId="54A8B504">
      <w:pPr>
        <w:pStyle w:val="50"/>
        <w:keepNext w:val="0"/>
        <w:keepLines w:val="0"/>
        <w:pageBreakBefore w:val="0"/>
        <w:widowControl w:val="0"/>
        <w:kinsoku/>
        <w:wordWrap w:val="0"/>
        <w:overflowPunct/>
        <w:topLinePunct w:val="0"/>
        <w:autoSpaceDE/>
        <w:autoSpaceDN/>
        <w:bidi w:val="0"/>
        <w:adjustRightInd/>
        <w:snapToGrid/>
        <w:ind w:firstLine="482"/>
        <w:jc w:val="both"/>
        <w:textAlignment w:val="auto"/>
        <w:rPr>
          <w:color w:val="auto"/>
          <w:highlight w:val="none"/>
        </w:rPr>
      </w:pPr>
      <w:r>
        <w:rPr>
          <w:rFonts w:hint="eastAsia"/>
          <w:color w:val="auto"/>
          <w:highlight w:val="none"/>
        </w:rPr>
        <w:t>1.</w:t>
      </w:r>
      <w:r>
        <w:rPr>
          <w:rFonts w:hint="eastAsia"/>
          <w:b/>
          <w:bCs/>
          <w:color w:val="auto"/>
          <w:highlight w:val="none"/>
        </w:rPr>
        <w:t>本项目采用综合评分法</w:t>
      </w:r>
      <w:r>
        <w:rPr>
          <w:rFonts w:hint="eastAsia"/>
          <w:color w:val="auto"/>
          <w:highlight w:val="none"/>
        </w:rPr>
        <w:t>。综合评分法，是指投标文件满足招标文件全部实质性要求，且按照评审因素的量化指标评审得分最高的投标人为中标候选人的评标方法。</w:t>
      </w:r>
    </w:p>
    <w:p w14:paraId="1157A189">
      <w:pPr>
        <w:pStyle w:val="3"/>
        <w:keepNext/>
        <w:keepLines/>
        <w:pageBreakBefore w:val="0"/>
        <w:widowControl w:val="0"/>
        <w:numPr>
          <w:ilvl w:val="0"/>
          <w:numId w:val="0"/>
        </w:numPr>
        <w:kinsoku/>
        <w:wordWrap/>
        <w:overflowPunct/>
        <w:topLinePunct w:val="0"/>
        <w:autoSpaceDE/>
        <w:autoSpaceDN/>
        <w:bidi w:val="0"/>
        <w:adjustRightInd/>
        <w:snapToGrid/>
        <w:spacing w:before="160" w:after="160" w:line="360" w:lineRule="auto"/>
        <w:ind w:left="420" w:leftChars="0" w:hanging="420" w:firstLineChars="0"/>
        <w:jc w:val="both"/>
        <w:textAlignment w:val="auto"/>
        <w:rPr>
          <w:rFonts w:hint="eastAsia" w:ascii="宋体" w:hAnsi="宋体" w:eastAsia="宋体" w:cs="宋体"/>
          <w:color w:val="auto"/>
          <w:sz w:val="28"/>
          <w:szCs w:val="28"/>
          <w:highlight w:val="none"/>
          <w:lang w:val="zh-CN" w:eastAsia="zh-CN"/>
        </w:rPr>
      </w:pPr>
      <w:bookmarkStart w:id="249" w:name="_Toc27095"/>
      <w:bookmarkStart w:id="250" w:name="_Toc2887"/>
      <w:r>
        <w:rPr>
          <w:rFonts w:hint="eastAsia" w:ascii="宋体" w:hAnsi="宋体" w:eastAsia="宋体" w:cs="宋体"/>
          <w:color w:val="auto"/>
          <w:sz w:val="28"/>
          <w:szCs w:val="28"/>
          <w:highlight w:val="none"/>
          <w:lang w:val="en-US" w:eastAsia="zh-CN"/>
        </w:rPr>
        <w:t>二</w:t>
      </w:r>
      <w:r>
        <w:rPr>
          <w:rFonts w:hint="eastAsia" w:ascii="宋体" w:hAnsi="宋体" w:eastAsia="宋体" w:cs="宋体"/>
          <w:color w:val="auto"/>
          <w:sz w:val="28"/>
          <w:szCs w:val="28"/>
          <w:highlight w:val="none"/>
          <w:lang w:val="zh-CN" w:eastAsia="zh-CN"/>
        </w:rPr>
        <w:t>、评标程序</w:t>
      </w:r>
      <w:bookmarkEnd w:id="249"/>
      <w:bookmarkEnd w:id="250"/>
    </w:p>
    <w:p w14:paraId="5B5227B5">
      <w:pPr>
        <w:pStyle w:val="4"/>
        <w:keepNext/>
        <w:keepLines/>
        <w:pageBreakBefore w:val="0"/>
        <w:widowControl w:val="0"/>
        <w:numPr>
          <w:ilvl w:val="0"/>
          <w:numId w:val="0"/>
        </w:numPr>
        <w:kinsoku/>
        <w:wordWrap/>
        <w:overflowPunct/>
        <w:topLinePunct w:val="0"/>
        <w:autoSpaceDE/>
        <w:autoSpaceDN/>
        <w:bidi w:val="0"/>
        <w:adjustRightInd/>
        <w:snapToGrid/>
        <w:spacing w:before="160" w:after="160" w:line="360" w:lineRule="auto"/>
        <w:ind w:left="420" w:leftChars="0" w:hanging="420" w:firstLineChars="0"/>
        <w:jc w:val="both"/>
        <w:textAlignment w:val="auto"/>
        <w:rPr>
          <w:rFonts w:hint="eastAsia" w:ascii="宋体" w:hAnsi="宋体" w:eastAsia="宋体" w:cs="宋体"/>
          <w:b/>
          <w:bCs/>
          <w:color w:val="auto"/>
          <w:kern w:val="2"/>
          <w:sz w:val="24"/>
          <w:szCs w:val="24"/>
          <w:highlight w:val="none"/>
          <w:lang w:val="zh-CN" w:eastAsia="zh-CN" w:bidi="ar-SA"/>
        </w:rPr>
      </w:pPr>
      <w:bookmarkStart w:id="251" w:name="_Toc19642"/>
      <w:r>
        <w:rPr>
          <w:rFonts w:hint="eastAsia" w:ascii="宋体" w:hAnsi="宋体" w:eastAsia="宋体" w:cs="宋体"/>
          <w:b/>
          <w:bCs/>
          <w:color w:val="auto"/>
          <w:kern w:val="2"/>
          <w:sz w:val="24"/>
          <w:szCs w:val="24"/>
          <w:highlight w:val="none"/>
          <w:lang w:val="zh-CN" w:eastAsia="zh-CN" w:bidi="ar-SA"/>
        </w:rPr>
        <w:t>（一）符合性审查</w:t>
      </w:r>
      <w:bookmarkEnd w:id="251"/>
    </w:p>
    <w:p w14:paraId="0C89682F">
      <w:pPr>
        <w:pStyle w:val="50"/>
        <w:jc w:val="both"/>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评标委员会应当对</w:t>
      </w:r>
      <w:r>
        <w:rPr>
          <w:rFonts w:hint="eastAsia" w:ascii="宋体" w:hAnsi="宋体" w:eastAsia="宋体" w:cs="宋体"/>
          <w:color w:val="auto"/>
          <w:sz w:val="24"/>
          <w:szCs w:val="24"/>
          <w:highlight w:val="none"/>
          <w:lang w:val="en-US" w:eastAsia="zh-CN"/>
        </w:rPr>
        <w:t>通过</w:t>
      </w:r>
      <w:r>
        <w:rPr>
          <w:rFonts w:hint="eastAsia" w:ascii="宋体" w:hAnsi="宋体" w:eastAsia="宋体" w:cs="宋体"/>
          <w:color w:val="auto"/>
          <w:sz w:val="24"/>
          <w:szCs w:val="24"/>
          <w:highlight w:val="none"/>
        </w:rPr>
        <w:t>资格</w:t>
      </w:r>
      <w:r>
        <w:rPr>
          <w:rFonts w:hint="eastAsia" w:ascii="宋体" w:hAnsi="宋体" w:eastAsia="宋体" w:cs="宋体"/>
          <w:color w:val="auto"/>
          <w:sz w:val="24"/>
          <w:szCs w:val="24"/>
          <w:highlight w:val="none"/>
          <w:lang w:val="en-US" w:eastAsia="zh-CN"/>
        </w:rPr>
        <w:t>审查</w:t>
      </w:r>
      <w:r>
        <w:rPr>
          <w:rFonts w:hint="eastAsia" w:ascii="宋体" w:hAnsi="宋体" w:eastAsia="宋体" w:cs="宋体"/>
          <w:color w:val="auto"/>
          <w:sz w:val="24"/>
          <w:szCs w:val="24"/>
          <w:highlight w:val="none"/>
        </w:rPr>
        <w:t>的投标人的投标文件进行符合性审查，以确定其是否满足招标文件的实质性要求。投标人必须通过符合性审查的全部评审指标</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不满足招标文件的实质性要求的，</w:t>
      </w:r>
      <w:r>
        <w:rPr>
          <w:rFonts w:hint="eastAsia" w:ascii="宋体" w:hAnsi="宋体" w:eastAsia="宋体" w:cs="宋体"/>
          <w:color w:val="auto"/>
          <w:sz w:val="24"/>
          <w:szCs w:val="24"/>
          <w:highlight w:val="none"/>
          <w:lang w:val="en-US" w:eastAsia="zh-CN"/>
        </w:rPr>
        <w:t>其</w:t>
      </w:r>
      <w:r>
        <w:rPr>
          <w:rFonts w:hint="eastAsia" w:ascii="宋体" w:hAnsi="宋体" w:eastAsia="宋体" w:cs="宋体"/>
          <w:b/>
          <w:bCs/>
          <w:color w:val="auto"/>
          <w:sz w:val="24"/>
          <w:szCs w:val="24"/>
          <w:highlight w:val="none"/>
        </w:rPr>
        <w:t>投标无效</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具体内容详</w:t>
      </w:r>
      <w:r>
        <w:rPr>
          <w:rFonts w:hint="eastAsia" w:ascii="宋体" w:hAnsi="宋体" w:eastAsia="宋体" w:cs="宋体"/>
          <w:color w:val="auto"/>
          <w:sz w:val="24"/>
          <w:szCs w:val="24"/>
          <w:highlight w:val="none"/>
          <w:lang w:val="zh-CN"/>
        </w:rPr>
        <w:t>本章“</w:t>
      </w:r>
      <w:r>
        <w:rPr>
          <w:rFonts w:hint="eastAsia" w:ascii="宋体" w:hAnsi="宋体" w:eastAsia="宋体" w:cs="宋体"/>
          <w:color w:val="auto"/>
          <w:sz w:val="24"/>
          <w:szCs w:val="24"/>
          <w:highlight w:val="none"/>
          <w:lang w:val="en-US" w:eastAsia="zh-CN"/>
        </w:rPr>
        <w:t>四</w:t>
      </w:r>
      <w:r>
        <w:rPr>
          <w:rFonts w:hint="eastAsia" w:ascii="宋体" w:hAnsi="宋体" w:eastAsia="宋体" w:cs="宋体"/>
          <w:color w:val="auto"/>
          <w:sz w:val="24"/>
          <w:szCs w:val="24"/>
          <w:highlight w:val="none"/>
          <w:lang w:val="zh-CN"/>
        </w:rPr>
        <w:t>、评标标准”中</w:t>
      </w:r>
      <w:r>
        <w:rPr>
          <w:rFonts w:hint="eastAsia" w:ascii="宋体" w:hAnsi="宋体" w:eastAsia="宋体" w:cs="宋体"/>
          <w:color w:val="auto"/>
          <w:sz w:val="24"/>
          <w:szCs w:val="24"/>
          <w:highlight w:val="none"/>
          <w:lang w:val="en-US" w:eastAsia="zh-CN"/>
        </w:rPr>
        <w:t>的</w:t>
      </w:r>
      <w:r>
        <w:rPr>
          <w:rFonts w:hint="eastAsia" w:ascii="宋体" w:hAnsi="宋体" w:eastAsia="宋体" w:cs="宋体"/>
          <w:color w:val="auto"/>
          <w:sz w:val="24"/>
          <w:szCs w:val="24"/>
          <w:highlight w:val="none"/>
          <w:lang w:val="zh-CN"/>
        </w:rPr>
        <w:t>“（一）符合性审查”。</w:t>
      </w:r>
    </w:p>
    <w:p w14:paraId="5DBE7818">
      <w:pPr>
        <w:pStyle w:val="50"/>
        <w:jc w:val="both"/>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en-US" w:eastAsia="zh-CN"/>
        </w:rPr>
        <w:t>通过</w:t>
      </w:r>
      <w:r>
        <w:rPr>
          <w:rFonts w:hint="eastAsia" w:ascii="宋体" w:hAnsi="宋体" w:eastAsia="宋体" w:cs="宋体"/>
          <w:color w:val="auto"/>
          <w:sz w:val="24"/>
          <w:szCs w:val="24"/>
          <w:highlight w:val="none"/>
        </w:rPr>
        <w:t>符合性审查</w:t>
      </w:r>
      <w:r>
        <w:rPr>
          <w:rFonts w:hint="eastAsia" w:ascii="宋体" w:hAnsi="宋体" w:eastAsia="宋体" w:cs="宋体"/>
          <w:color w:val="auto"/>
          <w:sz w:val="24"/>
          <w:szCs w:val="24"/>
          <w:highlight w:val="none"/>
          <w:lang w:val="en-US" w:eastAsia="zh-CN"/>
        </w:rPr>
        <w:t>的</w:t>
      </w:r>
      <w:r>
        <w:rPr>
          <w:rFonts w:hint="eastAsia" w:ascii="宋体" w:hAnsi="宋体" w:eastAsia="宋体" w:cs="宋体"/>
          <w:color w:val="auto"/>
          <w:sz w:val="24"/>
          <w:szCs w:val="24"/>
          <w:highlight w:val="none"/>
        </w:rPr>
        <w:t>有效</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不足3家的应当终止采购活动，发布项目终止公告并说明原因，重新开展采购活动。</w:t>
      </w:r>
    </w:p>
    <w:p w14:paraId="3DE0E655">
      <w:pPr>
        <w:pStyle w:val="4"/>
        <w:keepNext/>
        <w:keepLines/>
        <w:pageBreakBefore w:val="0"/>
        <w:widowControl w:val="0"/>
        <w:numPr>
          <w:ilvl w:val="0"/>
          <w:numId w:val="0"/>
        </w:numPr>
        <w:kinsoku/>
        <w:wordWrap/>
        <w:overflowPunct/>
        <w:topLinePunct w:val="0"/>
        <w:autoSpaceDE/>
        <w:autoSpaceDN/>
        <w:bidi w:val="0"/>
        <w:adjustRightInd/>
        <w:snapToGrid/>
        <w:spacing w:before="160" w:after="160" w:line="360" w:lineRule="auto"/>
        <w:ind w:left="420" w:leftChars="0" w:hanging="420" w:firstLineChars="0"/>
        <w:jc w:val="both"/>
        <w:textAlignment w:val="auto"/>
        <w:rPr>
          <w:rFonts w:hint="eastAsia" w:ascii="宋体" w:hAnsi="宋体" w:eastAsia="宋体" w:cs="宋体"/>
          <w:b/>
          <w:bCs/>
          <w:color w:val="auto"/>
          <w:kern w:val="2"/>
          <w:sz w:val="24"/>
          <w:szCs w:val="24"/>
          <w:highlight w:val="none"/>
          <w:lang w:val="zh-CN" w:eastAsia="zh-CN" w:bidi="ar-SA"/>
        </w:rPr>
      </w:pPr>
      <w:bookmarkStart w:id="252" w:name="_Toc102116178"/>
      <w:bookmarkStart w:id="253" w:name="_Toc155185907"/>
      <w:bookmarkStart w:id="254" w:name="_Toc102119879"/>
      <w:bookmarkStart w:id="255" w:name="_Toc102056244"/>
      <w:bookmarkStart w:id="256" w:name="_Toc102116048"/>
      <w:bookmarkStart w:id="257" w:name="_Toc102057744"/>
      <w:bookmarkStart w:id="258" w:name="_Toc102114946"/>
      <w:bookmarkStart w:id="259" w:name="_Toc32172"/>
      <w:bookmarkStart w:id="260" w:name="_Toc163492903"/>
      <w:r>
        <w:rPr>
          <w:rFonts w:hint="eastAsia" w:ascii="宋体" w:hAnsi="宋体" w:eastAsia="宋体" w:cs="宋体"/>
          <w:b/>
          <w:bCs/>
          <w:color w:val="auto"/>
          <w:kern w:val="2"/>
          <w:sz w:val="24"/>
          <w:szCs w:val="24"/>
          <w:highlight w:val="none"/>
          <w:lang w:val="zh-CN" w:eastAsia="zh-CN" w:bidi="ar-SA"/>
        </w:rPr>
        <w:t>（</w:t>
      </w:r>
      <w:r>
        <w:rPr>
          <w:rFonts w:hint="eastAsia" w:ascii="宋体" w:hAnsi="宋体" w:eastAsia="宋体" w:cs="宋体"/>
          <w:b/>
          <w:bCs/>
          <w:color w:val="auto"/>
          <w:kern w:val="2"/>
          <w:sz w:val="24"/>
          <w:szCs w:val="24"/>
          <w:highlight w:val="none"/>
          <w:lang w:val="en-US" w:eastAsia="zh-CN" w:bidi="ar-SA"/>
        </w:rPr>
        <w:t>二</w:t>
      </w:r>
      <w:r>
        <w:rPr>
          <w:rFonts w:hint="eastAsia" w:ascii="宋体" w:hAnsi="宋体" w:eastAsia="宋体" w:cs="宋体"/>
          <w:b/>
          <w:bCs/>
          <w:color w:val="auto"/>
          <w:kern w:val="2"/>
          <w:sz w:val="24"/>
          <w:szCs w:val="24"/>
          <w:highlight w:val="none"/>
          <w:lang w:val="zh-CN" w:eastAsia="zh-CN" w:bidi="ar-SA"/>
        </w:rPr>
        <w:t>）投标文件澄清</w:t>
      </w:r>
      <w:bookmarkEnd w:id="252"/>
      <w:bookmarkEnd w:id="253"/>
      <w:bookmarkEnd w:id="254"/>
      <w:bookmarkEnd w:id="255"/>
      <w:bookmarkEnd w:id="256"/>
      <w:bookmarkEnd w:id="257"/>
      <w:bookmarkEnd w:id="258"/>
      <w:r>
        <w:rPr>
          <w:rFonts w:hint="eastAsia" w:ascii="宋体" w:hAnsi="宋体" w:eastAsia="宋体" w:cs="宋体"/>
          <w:b/>
          <w:bCs/>
          <w:color w:val="auto"/>
          <w:kern w:val="2"/>
          <w:sz w:val="24"/>
          <w:szCs w:val="24"/>
          <w:highlight w:val="none"/>
          <w:lang w:val="zh-CN" w:eastAsia="zh-CN" w:bidi="ar-SA"/>
        </w:rPr>
        <w:t>及修正</w:t>
      </w:r>
      <w:bookmarkEnd w:id="259"/>
      <w:bookmarkEnd w:id="260"/>
    </w:p>
    <w:p w14:paraId="31C83D8F">
      <w:pPr>
        <w:pStyle w:val="50"/>
        <w:jc w:val="both"/>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评标期间，对于投标文件中含义不明确、同类问题表述不一致或者有明显文字和计算错误的内容需要投标人作出必要的澄清、说明或者补正的，评标委员会应当在政采云平台评标系统中以书面形式要求投标人作出必要的澄清、说明或者补正。</w:t>
      </w:r>
    </w:p>
    <w:p w14:paraId="287A1D40">
      <w:pPr>
        <w:pStyle w:val="50"/>
        <w:jc w:val="both"/>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4.投标人应按照评标委员会要求在规定时间内作出澄清、说明或者补正，澄清、说明或者补正不得超出投标文件的范围或者改变投标文件的实质性内容。</w:t>
      </w:r>
    </w:p>
    <w:p w14:paraId="6003A281">
      <w:pPr>
        <w:pStyle w:val="5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5.投标人的澄清、说明或者补正是其投标文件的有效组成部分，澄清、说明或者补正应当在政采云平台评标系统中加盖电子印章后提交。</w:t>
      </w:r>
    </w:p>
    <w:p w14:paraId="3594584B">
      <w:pPr>
        <w:pStyle w:val="50"/>
        <w:jc w:val="both"/>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报价合理性说明：评标委员会认为投标人的报价明显低于其他通过符合性审查投标人的报价，有可能影响服务质量或者不能诚信履约的，应当要求该投标人在合理的时间内提供说明，必要时提交相关证明材料；若投标人不能证明其报价合理性的，评标委员会应当将其作</w:t>
      </w:r>
      <w:r>
        <w:rPr>
          <w:rFonts w:hint="eastAsia" w:ascii="宋体" w:hAnsi="宋体" w:eastAsia="宋体" w:cs="宋体"/>
          <w:b/>
          <w:bCs/>
          <w:color w:val="auto"/>
          <w:sz w:val="24"/>
          <w:szCs w:val="24"/>
          <w:highlight w:val="none"/>
          <w:lang w:val="en-US" w:eastAsia="zh-CN"/>
        </w:rPr>
        <w:t>无效投标</w:t>
      </w:r>
      <w:r>
        <w:rPr>
          <w:rFonts w:hint="eastAsia" w:ascii="宋体" w:hAnsi="宋体" w:eastAsia="宋体" w:cs="宋体"/>
          <w:color w:val="auto"/>
          <w:sz w:val="24"/>
          <w:szCs w:val="24"/>
          <w:highlight w:val="none"/>
          <w:lang w:val="en-US" w:eastAsia="zh-CN"/>
        </w:rPr>
        <w:t>处理。</w:t>
      </w:r>
    </w:p>
    <w:p w14:paraId="18146CF2">
      <w:pPr>
        <w:pStyle w:val="50"/>
        <w:jc w:val="both"/>
        <w:rPr>
          <w:rFonts w:hint="eastAsia"/>
          <w:color w:val="auto"/>
          <w:highlight w:val="none"/>
          <w:lang w:val="en-US" w:eastAsia="zh-CN"/>
        </w:rPr>
      </w:pPr>
      <w:r>
        <w:rPr>
          <w:rFonts w:hint="eastAsia" w:ascii="宋体" w:hAnsi="宋体" w:eastAsia="宋体" w:cs="宋体"/>
          <w:color w:val="auto"/>
          <w:sz w:val="24"/>
          <w:szCs w:val="24"/>
          <w:highlight w:val="none"/>
          <w:lang w:val="en-US" w:eastAsia="zh-CN"/>
        </w:rPr>
        <w:t>7.投标报价须包含招标文件全部内容，如分项报价表有缺漏视为已含在其他各项报价中，将不对投标总价进行调整。评标委员会有权要求投标人在评标现场合理的时间内对此进行书面确认，投标人不确认的，视为</w:t>
      </w:r>
      <w:r>
        <w:rPr>
          <w:rFonts w:hint="eastAsia"/>
          <w:color w:val="auto"/>
          <w:highlight w:val="none"/>
          <w:lang w:val="en-US" w:eastAsia="zh-CN"/>
        </w:rPr>
        <w:t>将一个采购包中的内容拆分投标，其</w:t>
      </w:r>
      <w:r>
        <w:rPr>
          <w:rFonts w:hint="eastAsia"/>
          <w:b/>
          <w:bCs/>
          <w:color w:val="auto"/>
          <w:highlight w:val="none"/>
          <w:lang w:val="en-US" w:eastAsia="zh-CN"/>
        </w:rPr>
        <w:t>投标无效</w:t>
      </w:r>
      <w:r>
        <w:rPr>
          <w:rFonts w:hint="eastAsia"/>
          <w:color w:val="auto"/>
          <w:highlight w:val="none"/>
          <w:lang w:val="en-US" w:eastAsia="zh-CN"/>
        </w:rPr>
        <w:t>。</w:t>
      </w:r>
    </w:p>
    <w:p w14:paraId="378AF6B3">
      <w:pPr>
        <w:pStyle w:val="50"/>
        <w:keepNext w:val="0"/>
        <w:keepLines w:val="0"/>
        <w:pageBreakBefore w:val="0"/>
        <w:widowControl w:val="0"/>
        <w:kinsoku/>
        <w:wordWrap w:val="0"/>
        <w:overflowPunct/>
        <w:topLinePunct w:val="0"/>
        <w:autoSpaceDE/>
        <w:autoSpaceDN/>
        <w:bidi w:val="0"/>
        <w:adjustRightInd/>
        <w:snapToGrid/>
        <w:ind w:left="0" w:leftChars="0" w:firstLine="480" w:firstLineChars="200"/>
        <w:jc w:val="both"/>
        <w:textAlignment w:val="auto"/>
        <w:rPr>
          <w:rFonts w:hint="eastAsia"/>
          <w:color w:val="auto"/>
          <w:highlight w:val="none"/>
          <w:lang w:val="en-US" w:eastAsia="zh-CN"/>
        </w:rPr>
      </w:pPr>
      <w:r>
        <w:rPr>
          <w:rFonts w:hint="eastAsia"/>
          <w:color w:val="auto"/>
          <w:highlight w:val="none"/>
          <w:lang w:val="en-US" w:eastAsia="zh-CN"/>
        </w:rPr>
        <w:t>8.投标文件报价出现前后不一致的，除招标文件另有规定外，按照下列规定修正：</w:t>
      </w:r>
    </w:p>
    <w:p w14:paraId="5A2ADE9E">
      <w:pPr>
        <w:pStyle w:val="50"/>
        <w:keepNext w:val="0"/>
        <w:keepLines w:val="0"/>
        <w:pageBreakBefore w:val="0"/>
        <w:widowControl w:val="0"/>
        <w:kinsoku/>
        <w:wordWrap w:val="0"/>
        <w:overflowPunct/>
        <w:topLinePunct w:val="0"/>
        <w:autoSpaceDE/>
        <w:autoSpaceDN/>
        <w:bidi w:val="0"/>
        <w:adjustRightInd/>
        <w:snapToGrid/>
        <w:ind w:left="0" w:leftChars="0" w:firstLine="480" w:firstLineChars="200"/>
        <w:jc w:val="both"/>
        <w:textAlignment w:val="auto"/>
        <w:rPr>
          <w:rFonts w:hint="eastAsia"/>
          <w:color w:val="auto"/>
          <w:highlight w:val="none"/>
          <w:lang w:val="en-US" w:eastAsia="zh-CN"/>
        </w:rPr>
      </w:pPr>
      <w:r>
        <w:rPr>
          <w:rFonts w:hint="eastAsia"/>
          <w:color w:val="auto"/>
          <w:highlight w:val="none"/>
          <w:lang w:val="en-US" w:eastAsia="zh-CN"/>
        </w:rPr>
        <w:t>8.1投标文件中开标一览表（报价表）内容与投标文件中相应内容不一致的，以开标一览表（报价表）为准；</w:t>
      </w:r>
    </w:p>
    <w:p w14:paraId="47BBEEEE">
      <w:pPr>
        <w:pStyle w:val="50"/>
        <w:keepNext w:val="0"/>
        <w:keepLines w:val="0"/>
        <w:pageBreakBefore w:val="0"/>
        <w:widowControl w:val="0"/>
        <w:kinsoku/>
        <w:wordWrap w:val="0"/>
        <w:overflowPunct/>
        <w:topLinePunct w:val="0"/>
        <w:autoSpaceDE/>
        <w:autoSpaceDN/>
        <w:bidi w:val="0"/>
        <w:adjustRightInd/>
        <w:snapToGrid/>
        <w:ind w:left="0" w:leftChars="0" w:firstLine="480" w:firstLineChars="200"/>
        <w:jc w:val="both"/>
        <w:textAlignment w:val="auto"/>
        <w:rPr>
          <w:rFonts w:hint="eastAsia"/>
          <w:color w:val="auto"/>
          <w:highlight w:val="none"/>
          <w:lang w:val="en-US" w:eastAsia="zh-CN"/>
        </w:rPr>
      </w:pPr>
      <w:r>
        <w:rPr>
          <w:rFonts w:hint="eastAsia"/>
          <w:color w:val="auto"/>
          <w:highlight w:val="none"/>
          <w:lang w:val="en-US" w:eastAsia="zh-CN"/>
        </w:rPr>
        <w:t>8.2大写金额和小写金额不一致的，以大写金额为准；</w:t>
      </w:r>
    </w:p>
    <w:p w14:paraId="13AC6924">
      <w:pPr>
        <w:pStyle w:val="50"/>
        <w:keepNext w:val="0"/>
        <w:keepLines w:val="0"/>
        <w:pageBreakBefore w:val="0"/>
        <w:widowControl w:val="0"/>
        <w:kinsoku/>
        <w:wordWrap w:val="0"/>
        <w:overflowPunct/>
        <w:topLinePunct w:val="0"/>
        <w:autoSpaceDE/>
        <w:autoSpaceDN/>
        <w:bidi w:val="0"/>
        <w:adjustRightInd/>
        <w:snapToGrid/>
        <w:ind w:left="0" w:leftChars="0" w:firstLine="480" w:firstLineChars="200"/>
        <w:jc w:val="both"/>
        <w:textAlignment w:val="auto"/>
        <w:rPr>
          <w:rFonts w:hint="eastAsia"/>
          <w:color w:val="auto"/>
          <w:highlight w:val="none"/>
          <w:lang w:val="en-US" w:eastAsia="zh-CN"/>
        </w:rPr>
      </w:pPr>
      <w:r>
        <w:rPr>
          <w:rFonts w:hint="eastAsia"/>
          <w:color w:val="auto"/>
          <w:highlight w:val="none"/>
          <w:lang w:val="en-US" w:eastAsia="zh-CN"/>
        </w:rPr>
        <w:t>8.3单价金额小数点或者百分比有明显错位的，以开标一览表的总价为准，并修改单价；</w:t>
      </w:r>
    </w:p>
    <w:p w14:paraId="443AD626">
      <w:pPr>
        <w:pStyle w:val="50"/>
        <w:keepNext w:val="0"/>
        <w:keepLines w:val="0"/>
        <w:pageBreakBefore w:val="0"/>
        <w:widowControl w:val="0"/>
        <w:kinsoku/>
        <w:wordWrap w:val="0"/>
        <w:overflowPunct/>
        <w:topLinePunct w:val="0"/>
        <w:autoSpaceDE/>
        <w:autoSpaceDN/>
        <w:bidi w:val="0"/>
        <w:adjustRightInd/>
        <w:snapToGrid/>
        <w:ind w:left="0" w:leftChars="0" w:firstLine="480" w:firstLineChars="200"/>
        <w:jc w:val="both"/>
        <w:textAlignment w:val="auto"/>
        <w:rPr>
          <w:rFonts w:hint="eastAsia"/>
          <w:color w:val="auto"/>
          <w:highlight w:val="none"/>
          <w:lang w:val="en-US" w:eastAsia="zh-CN"/>
        </w:rPr>
      </w:pPr>
      <w:r>
        <w:rPr>
          <w:rFonts w:hint="eastAsia"/>
          <w:color w:val="auto"/>
          <w:highlight w:val="none"/>
          <w:lang w:val="en-US" w:eastAsia="zh-CN"/>
        </w:rPr>
        <w:t>8.4总价金额与按单价汇总金额不一致的，以单价金额计算结果为准。</w:t>
      </w:r>
    </w:p>
    <w:p w14:paraId="3B34462B">
      <w:pPr>
        <w:pStyle w:val="50"/>
        <w:keepNext w:val="0"/>
        <w:keepLines w:val="0"/>
        <w:pageBreakBefore w:val="0"/>
        <w:widowControl w:val="0"/>
        <w:kinsoku/>
        <w:wordWrap w:val="0"/>
        <w:overflowPunct/>
        <w:topLinePunct w:val="0"/>
        <w:autoSpaceDE/>
        <w:autoSpaceDN/>
        <w:bidi w:val="0"/>
        <w:adjustRightInd/>
        <w:snapToGrid/>
        <w:ind w:left="0" w:leftChars="0" w:firstLine="480" w:firstLineChars="200"/>
        <w:jc w:val="both"/>
        <w:textAlignment w:val="auto"/>
        <w:rPr>
          <w:rFonts w:hint="eastAsia"/>
          <w:color w:val="auto"/>
          <w:highlight w:val="none"/>
          <w:lang w:val="en-US" w:eastAsia="zh-CN"/>
        </w:rPr>
      </w:pPr>
      <w:r>
        <w:rPr>
          <w:rFonts w:hint="eastAsia"/>
          <w:color w:val="auto"/>
          <w:highlight w:val="none"/>
          <w:lang w:val="en-US" w:eastAsia="zh-CN"/>
        </w:rPr>
        <w:t>同时出现两种以上不一致的，按照8.1—8.4的顺序修正。修正后的报价采用书面形式，并加盖公章，或者由法定代表人或其授权的代表签字，经投标人确认后产生约束力，投标人不确认的，其</w:t>
      </w:r>
      <w:r>
        <w:rPr>
          <w:rFonts w:hint="eastAsia"/>
          <w:b/>
          <w:bCs/>
          <w:color w:val="auto"/>
          <w:highlight w:val="none"/>
          <w:lang w:val="en-US" w:eastAsia="zh-CN"/>
        </w:rPr>
        <w:t>投标无效</w:t>
      </w:r>
      <w:r>
        <w:rPr>
          <w:rFonts w:hint="eastAsia"/>
          <w:color w:val="auto"/>
          <w:highlight w:val="none"/>
          <w:lang w:val="en-US" w:eastAsia="zh-CN"/>
        </w:rPr>
        <w:t>。</w:t>
      </w:r>
    </w:p>
    <w:p w14:paraId="46F55094">
      <w:pPr>
        <w:pStyle w:val="4"/>
        <w:keepNext/>
        <w:keepLines/>
        <w:pageBreakBefore w:val="0"/>
        <w:widowControl w:val="0"/>
        <w:numPr>
          <w:ilvl w:val="0"/>
          <w:numId w:val="0"/>
        </w:numPr>
        <w:kinsoku/>
        <w:wordWrap/>
        <w:overflowPunct/>
        <w:topLinePunct w:val="0"/>
        <w:autoSpaceDE/>
        <w:autoSpaceDN/>
        <w:bidi w:val="0"/>
        <w:adjustRightInd/>
        <w:snapToGrid/>
        <w:spacing w:before="160" w:after="160" w:line="360" w:lineRule="auto"/>
        <w:ind w:left="420" w:leftChars="0" w:hanging="420" w:firstLineChars="0"/>
        <w:jc w:val="both"/>
        <w:textAlignment w:val="auto"/>
        <w:rPr>
          <w:rFonts w:hint="eastAsia" w:ascii="宋体" w:hAnsi="宋体" w:eastAsia="宋体" w:cs="宋体"/>
          <w:b/>
          <w:bCs/>
          <w:color w:val="auto"/>
          <w:kern w:val="2"/>
          <w:sz w:val="24"/>
          <w:szCs w:val="24"/>
          <w:highlight w:val="none"/>
          <w:lang w:val="zh-CN" w:eastAsia="zh-CN" w:bidi="ar-SA"/>
        </w:rPr>
      </w:pPr>
      <w:bookmarkStart w:id="261" w:name="_Toc13089"/>
      <w:r>
        <w:rPr>
          <w:rFonts w:hint="eastAsia" w:ascii="宋体" w:hAnsi="宋体" w:eastAsia="宋体" w:cs="宋体"/>
          <w:b/>
          <w:bCs/>
          <w:color w:val="auto"/>
          <w:kern w:val="2"/>
          <w:sz w:val="24"/>
          <w:szCs w:val="24"/>
          <w:highlight w:val="none"/>
          <w:lang w:val="zh-CN" w:eastAsia="zh-CN" w:bidi="ar-SA"/>
        </w:rPr>
        <w:t>（</w:t>
      </w:r>
      <w:r>
        <w:rPr>
          <w:rFonts w:hint="eastAsia" w:ascii="宋体" w:hAnsi="宋体" w:eastAsia="宋体" w:cs="宋体"/>
          <w:b/>
          <w:bCs/>
          <w:color w:val="auto"/>
          <w:kern w:val="2"/>
          <w:sz w:val="24"/>
          <w:szCs w:val="24"/>
          <w:highlight w:val="none"/>
          <w:lang w:val="en-US" w:eastAsia="zh-CN" w:bidi="ar-SA"/>
        </w:rPr>
        <w:t>三</w:t>
      </w:r>
      <w:r>
        <w:rPr>
          <w:rFonts w:hint="eastAsia" w:ascii="宋体" w:hAnsi="宋体" w:eastAsia="宋体" w:cs="宋体"/>
          <w:b/>
          <w:bCs/>
          <w:color w:val="auto"/>
          <w:kern w:val="2"/>
          <w:sz w:val="24"/>
          <w:szCs w:val="24"/>
          <w:highlight w:val="none"/>
          <w:lang w:val="zh-CN" w:eastAsia="zh-CN" w:bidi="ar-SA"/>
        </w:rPr>
        <w:t>）比较与评价</w:t>
      </w:r>
      <w:bookmarkEnd w:id="261"/>
    </w:p>
    <w:p w14:paraId="475FBCC8">
      <w:pPr>
        <w:pStyle w:val="5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9.</w:t>
      </w:r>
      <w:r>
        <w:rPr>
          <w:rFonts w:hint="eastAsia" w:ascii="宋体" w:hAnsi="宋体" w:eastAsia="宋体" w:cs="宋体"/>
          <w:color w:val="auto"/>
          <w:sz w:val="24"/>
          <w:szCs w:val="24"/>
          <w:highlight w:val="none"/>
        </w:rPr>
        <w:t>评标委员会应当按照招标文件中规定的评标方法和标准，对符合性审查合格的投标文件进行商务和技术评</w:t>
      </w:r>
      <w:r>
        <w:rPr>
          <w:rFonts w:hint="eastAsia" w:ascii="宋体" w:hAnsi="宋体" w:eastAsia="宋体" w:cs="宋体"/>
          <w:color w:val="auto"/>
          <w:sz w:val="24"/>
          <w:szCs w:val="24"/>
          <w:highlight w:val="none"/>
          <w:lang w:val="en-US" w:eastAsia="zh-CN"/>
        </w:rPr>
        <w:t>估</w:t>
      </w:r>
      <w:r>
        <w:rPr>
          <w:rFonts w:hint="eastAsia" w:ascii="宋体" w:hAnsi="宋体" w:eastAsia="宋体" w:cs="宋体"/>
          <w:color w:val="auto"/>
          <w:sz w:val="24"/>
          <w:szCs w:val="24"/>
          <w:highlight w:val="none"/>
        </w:rPr>
        <w:t>，综合比较与评价</w:t>
      </w:r>
      <w:r>
        <w:rPr>
          <w:rFonts w:hint="eastAsia" w:ascii="宋体" w:hAnsi="宋体" w:eastAsia="宋体" w:cs="宋体"/>
          <w:color w:val="auto"/>
          <w:sz w:val="24"/>
          <w:szCs w:val="24"/>
          <w:highlight w:val="none"/>
          <w:lang w:val="en-US" w:eastAsia="zh-CN"/>
        </w:rPr>
        <w:t>；未通过符合性审查的投标文件不得进入比较与评价</w:t>
      </w:r>
      <w:r>
        <w:rPr>
          <w:rFonts w:hint="eastAsia" w:ascii="宋体" w:hAnsi="宋体" w:eastAsia="宋体" w:cs="宋体"/>
          <w:color w:val="auto"/>
          <w:sz w:val="24"/>
          <w:szCs w:val="24"/>
          <w:highlight w:val="none"/>
        </w:rPr>
        <w:t>。评审因素包括投标报价、商务技术以及落实政府采购政策。评审因素及标准见本章</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四、</w:t>
      </w:r>
      <w:r>
        <w:rPr>
          <w:rFonts w:hint="eastAsia" w:ascii="宋体" w:hAnsi="宋体" w:eastAsia="宋体" w:cs="宋体"/>
          <w:color w:val="auto"/>
          <w:sz w:val="24"/>
          <w:szCs w:val="24"/>
          <w:highlight w:val="none"/>
        </w:rPr>
        <w:t>评</w:t>
      </w:r>
      <w:r>
        <w:rPr>
          <w:rFonts w:hint="eastAsia" w:ascii="宋体" w:hAnsi="宋体" w:eastAsia="宋体" w:cs="宋体"/>
          <w:color w:val="auto"/>
          <w:sz w:val="24"/>
          <w:szCs w:val="24"/>
          <w:highlight w:val="none"/>
          <w:lang w:val="en-US" w:eastAsia="zh-CN"/>
        </w:rPr>
        <w:t>标</w:t>
      </w:r>
      <w:r>
        <w:rPr>
          <w:rFonts w:hint="eastAsia" w:ascii="宋体" w:hAnsi="宋体" w:eastAsia="宋体" w:cs="宋体"/>
          <w:color w:val="auto"/>
          <w:sz w:val="24"/>
          <w:szCs w:val="24"/>
          <w:highlight w:val="none"/>
        </w:rPr>
        <w:t>标准</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w:t>
      </w:r>
    </w:p>
    <w:p w14:paraId="25CBB1B3">
      <w:pPr>
        <w:pStyle w:val="5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10</w:t>
      </w:r>
      <w:r>
        <w:rPr>
          <w:rFonts w:hint="eastAsia" w:ascii="宋体" w:hAnsi="宋体" w:eastAsia="宋体" w:cs="宋体"/>
          <w:color w:val="auto"/>
          <w:sz w:val="24"/>
          <w:szCs w:val="24"/>
          <w:highlight w:val="none"/>
        </w:rPr>
        <w:t>.有效投标</w:t>
      </w:r>
      <w:r>
        <w:rPr>
          <w:rFonts w:hint="eastAsia" w:ascii="宋体" w:hAnsi="宋体" w:eastAsia="宋体" w:cs="宋体"/>
          <w:color w:val="auto"/>
          <w:sz w:val="24"/>
          <w:szCs w:val="24"/>
          <w:highlight w:val="none"/>
          <w:lang w:val="en-US" w:eastAsia="zh-CN"/>
        </w:rPr>
        <w:t>人</w:t>
      </w:r>
      <w:r>
        <w:rPr>
          <w:rFonts w:hint="eastAsia" w:ascii="宋体" w:hAnsi="宋体" w:eastAsia="宋体" w:cs="宋体"/>
          <w:color w:val="auto"/>
          <w:sz w:val="24"/>
          <w:szCs w:val="24"/>
          <w:highlight w:val="none"/>
        </w:rPr>
        <w:t>不足3家的应按</w:t>
      </w:r>
      <w:r>
        <w:rPr>
          <w:rFonts w:hint="eastAsia" w:ascii="宋体" w:hAnsi="宋体" w:eastAsia="宋体" w:cs="宋体"/>
          <w:b/>
          <w:bCs/>
          <w:color w:val="auto"/>
          <w:sz w:val="24"/>
          <w:szCs w:val="24"/>
          <w:highlight w:val="none"/>
        </w:rPr>
        <w:t>废标</w:t>
      </w:r>
      <w:r>
        <w:rPr>
          <w:rFonts w:hint="eastAsia" w:ascii="宋体" w:hAnsi="宋体" w:eastAsia="宋体" w:cs="宋体"/>
          <w:color w:val="auto"/>
          <w:sz w:val="24"/>
          <w:szCs w:val="24"/>
          <w:highlight w:val="none"/>
        </w:rPr>
        <w:t>处理。</w:t>
      </w:r>
    </w:p>
    <w:p w14:paraId="3A34600F">
      <w:pPr>
        <w:pStyle w:val="4"/>
        <w:keepNext/>
        <w:keepLines/>
        <w:pageBreakBefore w:val="0"/>
        <w:widowControl w:val="0"/>
        <w:numPr>
          <w:ilvl w:val="0"/>
          <w:numId w:val="0"/>
        </w:numPr>
        <w:kinsoku/>
        <w:wordWrap/>
        <w:overflowPunct/>
        <w:topLinePunct w:val="0"/>
        <w:autoSpaceDE/>
        <w:autoSpaceDN/>
        <w:bidi w:val="0"/>
        <w:adjustRightInd/>
        <w:snapToGrid/>
        <w:spacing w:before="160" w:after="160" w:line="360" w:lineRule="auto"/>
        <w:ind w:left="420" w:leftChars="0" w:hanging="420" w:firstLineChars="0"/>
        <w:jc w:val="both"/>
        <w:textAlignment w:val="auto"/>
        <w:rPr>
          <w:rFonts w:hint="eastAsia" w:ascii="宋体" w:hAnsi="宋体" w:eastAsia="宋体" w:cs="宋体"/>
          <w:b/>
          <w:bCs/>
          <w:color w:val="auto"/>
          <w:kern w:val="2"/>
          <w:sz w:val="24"/>
          <w:szCs w:val="24"/>
          <w:highlight w:val="none"/>
          <w:lang w:val="zh-CN" w:eastAsia="zh-CN" w:bidi="ar-SA"/>
        </w:rPr>
      </w:pPr>
      <w:bookmarkStart w:id="262" w:name="_Toc337"/>
      <w:r>
        <w:rPr>
          <w:rFonts w:hint="eastAsia" w:ascii="宋体" w:hAnsi="宋体" w:eastAsia="宋体" w:cs="宋体"/>
          <w:b/>
          <w:bCs/>
          <w:color w:val="auto"/>
          <w:kern w:val="2"/>
          <w:sz w:val="24"/>
          <w:szCs w:val="24"/>
          <w:highlight w:val="none"/>
          <w:lang w:val="zh-CN" w:eastAsia="zh-CN" w:bidi="ar-SA"/>
        </w:rPr>
        <w:t>（</w:t>
      </w:r>
      <w:r>
        <w:rPr>
          <w:rFonts w:hint="eastAsia" w:ascii="宋体" w:hAnsi="宋体" w:eastAsia="宋体" w:cs="宋体"/>
          <w:b/>
          <w:bCs/>
          <w:color w:val="auto"/>
          <w:kern w:val="2"/>
          <w:sz w:val="24"/>
          <w:szCs w:val="24"/>
          <w:highlight w:val="none"/>
          <w:lang w:val="en-US" w:eastAsia="zh-CN" w:bidi="ar-SA"/>
        </w:rPr>
        <w:t>四</w:t>
      </w:r>
      <w:r>
        <w:rPr>
          <w:rFonts w:hint="eastAsia" w:ascii="宋体" w:hAnsi="宋体" w:eastAsia="宋体" w:cs="宋体"/>
          <w:b/>
          <w:bCs/>
          <w:color w:val="auto"/>
          <w:kern w:val="2"/>
          <w:sz w:val="24"/>
          <w:szCs w:val="24"/>
          <w:highlight w:val="none"/>
          <w:lang w:val="zh-CN" w:eastAsia="zh-CN" w:bidi="ar-SA"/>
        </w:rPr>
        <w:t>）报价评审</w:t>
      </w:r>
      <w:bookmarkEnd w:id="262"/>
    </w:p>
    <w:p w14:paraId="5BB7A387">
      <w:pPr>
        <w:pStyle w:val="50"/>
        <w:jc w:val="both"/>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11.</w:t>
      </w:r>
      <w:r>
        <w:rPr>
          <w:rFonts w:hint="eastAsia" w:ascii="宋体" w:hAnsi="宋体" w:eastAsia="宋体" w:cs="宋体"/>
          <w:b/>
          <w:bCs/>
          <w:color w:val="auto"/>
          <w:sz w:val="24"/>
          <w:szCs w:val="24"/>
          <w:highlight w:val="none"/>
        </w:rPr>
        <w:t>投标报价评审</w:t>
      </w:r>
    </w:p>
    <w:p w14:paraId="0096E8D1">
      <w:pPr>
        <w:pStyle w:val="50"/>
        <w:jc w:val="both"/>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11.1服务项目的价格分值占总分值的比重不得低于</w:t>
      </w:r>
      <w:r>
        <w:rPr>
          <w:rFonts w:hint="default" w:ascii="宋体" w:hAnsi="宋体" w:eastAsia="宋体" w:cs="宋体"/>
          <w:color w:val="auto"/>
          <w:sz w:val="24"/>
          <w:szCs w:val="24"/>
          <w:highlight w:val="none"/>
          <w:lang w:val="en-US" w:eastAsia="zh-CN"/>
        </w:rPr>
        <w:t>10%。</w:t>
      </w:r>
      <w:r>
        <w:rPr>
          <w:rFonts w:hint="eastAsia" w:ascii="宋体" w:hAnsi="宋体" w:eastAsia="宋体" w:cs="宋体"/>
          <w:color w:val="auto"/>
          <w:sz w:val="24"/>
          <w:szCs w:val="24"/>
          <w:highlight w:val="none"/>
          <w:lang w:val="en-US" w:eastAsia="zh-CN"/>
        </w:rPr>
        <w:t>执行国家统一定价标准和采用固定价格采购的项目，其价格不列为评审因素。价格分应当采用低价优先法计算，即满足招标文件要求且投标价格最低的投标报价为评标基准价，其价格分为满分。其他投标人的价格分统一按照下列公式计算：</w:t>
      </w:r>
    </w:p>
    <w:p w14:paraId="043B05D3">
      <w:pPr>
        <w:pStyle w:val="50"/>
        <w:jc w:val="both"/>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投标报价得分=(评标基准价／投标报价)×价格分值</w:t>
      </w:r>
    </w:p>
    <w:p w14:paraId="20F3E0C7">
      <w:pPr>
        <w:pStyle w:val="50"/>
        <w:jc w:val="both"/>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评标过程中，不得去掉报价中的最高报价和最低报价。</w:t>
      </w:r>
    </w:p>
    <w:p w14:paraId="163FF1BE">
      <w:pPr>
        <w:pStyle w:val="50"/>
        <w:jc w:val="both"/>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11.2除算术修正和落实政府采购政策的价格扣除外，不对投标报价进行调整；</w:t>
      </w:r>
    </w:p>
    <w:p w14:paraId="46FC16E6">
      <w:pPr>
        <w:pStyle w:val="50"/>
        <w:jc w:val="both"/>
        <w:rPr>
          <w:color w:val="auto"/>
          <w:highlight w:val="none"/>
        </w:rPr>
      </w:pPr>
      <w:r>
        <w:rPr>
          <w:rFonts w:hint="eastAsia" w:ascii="宋体" w:hAnsi="宋体" w:eastAsia="宋体" w:cs="宋体"/>
          <w:color w:val="auto"/>
          <w:sz w:val="24"/>
          <w:szCs w:val="24"/>
          <w:highlight w:val="none"/>
          <w:lang w:val="en-US" w:eastAsia="zh-CN"/>
        </w:rPr>
        <w:t>11.3价格分值见本章“四、评标标准”</w:t>
      </w:r>
      <w:r>
        <w:rPr>
          <w:color w:val="auto"/>
          <w:highlight w:val="none"/>
        </w:rPr>
        <w:t>。</w:t>
      </w:r>
    </w:p>
    <w:p w14:paraId="0D77524F">
      <w:pPr>
        <w:pStyle w:val="50"/>
        <w:jc w:val="both"/>
        <w:rPr>
          <w:rFonts w:hint="default"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12.</w:t>
      </w:r>
      <w:r>
        <w:rPr>
          <w:rFonts w:hint="eastAsia" w:ascii="宋体" w:hAnsi="宋体" w:eastAsia="宋体" w:cs="宋体"/>
          <w:b/>
          <w:bCs/>
          <w:color w:val="auto"/>
          <w:sz w:val="24"/>
          <w:szCs w:val="24"/>
          <w:highlight w:val="none"/>
        </w:rPr>
        <w:t>政府采购异常低价审查</w:t>
      </w:r>
    </w:p>
    <w:p w14:paraId="0AD4BBBD">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color w:val="auto"/>
          <w:sz w:val="24"/>
          <w:szCs w:val="24"/>
          <w:highlight w:val="none"/>
        </w:rPr>
      </w:pPr>
      <w:r>
        <w:rPr>
          <w:rFonts w:hint="eastAsia"/>
          <w:color w:val="auto"/>
          <w:sz w:val="24"/>
          <w:szCs w:val="24"/>
          <w:highlight w:val="none"/>
          <w:lang w:val="en-US" w:eastAsia="zh-CN"/>
        </w:rPr>
        <w:t>12.1</w:t>
      </w:r>
      <w:r>
        <w:rPr>
          <w:rFonts w:hint="eastAsia"/>
          <w:color w:val="auto"/>
          <w:sz w:val="24"/>
          <w:szCs w:val="24"/>
          <w:highlight w:val="none"/>
        </w:rPr>
        <w:t>政府采购评审中出现下列情形之一的，评审委员会应当启动异常低价投标（响应）审查程序：</w:t>
      </w:r>
    </w:p>
    <w:p w14:paraId="669540F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color w:val="auto"/>
          <w:sz w:val="24"/>
          <w:szCs w:val="24"/>
          <w:highlight w:val="none"/>
        </w:rPr>
      </w:pPr>
      <w:r>
        <w:rPr>
          <w:rFonts w:hint="eastAsia"/>
          <w:color w:val="auto"/>
          <w:sz w:val="24"/>
          <w:szCs w:val="24"/>
          <w:highlight w:val="none"/>
          <w:lang w:eastAsia="zh-CN"/>
        </w:rPr>
        <w:t>（</w:t>
      </w:r>
      <w:r>
        <w:rPr>
          <w:rFonts w:hint="eastAsia"/>
          <w:color w:val="auto"/>
          <w:sz w:val="24"/>
          <w:szCs w:val="24"/>
          <w:highlight w:val="none"/>
          <w:lang w:val="en-US" w:eastAsia="zh-CN"/>
        </w:rPr>
        <w:t>1</w:t>
      </w:r>
      <w:r>
        <w:rPr>
          <w:rFonts w:hint="eastAsia"/>
          <w:color w:val="auto"/>
          <w:sz w:val="24"/>
          <w:szCs w:val="24"/>
          <w:highlight w:val="none"/>
          <w:lang w:eastAsia="zh-CN"/>
        </w:rPr>
        <w:t>）</w:t>
      </w:r>
      <w:r>
        <w:rPr>
          <w:rFonts w:hint="eastAsia"/>
          <w:color w:val="auto"/>
          <w:sz w:val="24"/>
          <w:szCs w:val="24"/>
          <w:highlight w:val="none"/>
        </w:rPr>
        <w:t>投标（响应）报价低于全部通过符合性审查供应商投标（响应）报价平均值</w:t>
      </w:r>
      <w:r>
        <w:rPr>
          <w:rFonts w:hint="eastAsia"/>
          <w:color w:val="auto"/>
          <w:sz w:val="24"/>
          <w:szCs w:val="24"/>
          <w:highlight w:val="none"/>
          <w:lang w:val="en-US" w:eastAsia="zh-CN"/>
        </w:rPr>
        <w:t>50</w:t>
      </w:r>
      <w:r>
        <w:rPr>
          <w:rFonts w:hint="eastAsia"/>
          <w:color w:val="auto"/>
          <w:sz w:val="24"/>
          <w:szCs w:val="24"/>
          <w:highlight w:val="none"/>
        </w:rPr>
        <w:t>%的，即投标（响应）报价&lt;全部通过符合性审查供应商投标（响应）报价平均值×</w:t>
      </w:r>
      <w:r>
        <w:rPr>
          <w:rFonts w:hint="eastAsia"/>
          <w:color w:val="auto"/>
          <w:sz w:val="24"/>
          <w:szCs w:val="24"/>
          <w:highlight w:val="none"/>
          <w:lang w:val="en-US" w:eastAsia="zh-CN"/>
        </w:rPr>
        <w:t>50</w:t>
      </w:r>
      <w:r>
        <w:rPr>
          <w:rFonts w:hint="eastAsia"/>
          <w:color w:val="auto"/>
          <w:sz w:val="24"/>
          <w:szCs w:val="24"/>
          <w:highlight w:val="none"/>
        </w:rPr>
        <w:t>%；</w:t>
      </w:r>
    </w:p>
    <w:p w14:paraId="4734456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color w:val="auto"/>
          <w:sz w:val="24"/>
          <w:szCs w:val="24"/>
          <w:highlight w:val="none"/>
        </w:rPr>
      </w:pPr>
      <w:r>
        <w:rPr>
          <w:rFonts w:hint="eastAsia"/>
          <w:color w:val="auto"/>
          <w:sz w:val="24"/>
          <w:szCs w:val="24"/>
          <w:highlight w:val="none"/>
          <w:lang w:eastAsia="zh-CN"/>
        </w:rPr>
        <w:t>（</w:t>
      </w:r>
      <w:r>
        <w:rPr>
          <w:rFonts w:hint="eastAsia"/>
          <w:color w:val="auto"/>
          <w:sz w:val="24"/>
          <w:szCs w:val="24"/>
          <w:highlight w:val="none"/>
          <w:lang w:val="en-US" w:eastAsia="zh-CN"/>
        </w:rPr>
        <w:t>2</w:t>
      </w:r>
      <w:r>
        <w:rPr>
          <w:rFonts w:hint="eastAsia"/>
          <w:color w:val="auto"/>
          <w:sz w:val="24"/>
          <w:szCs w:val="24"/>
          <w:highlight w:val="none"/>
          <w:lang w:eastAsia="zh-CN"/>
        </w:rPr>
        <w:t>）</w:t>
      </w:r>
      <w:r>
        <w:rPr>
          <w:rFonts w:hint="eastAsia"/>
          <w:color w:val="auto"/>
          <w:sz w:val="24"/>
          <w:szCs w:val="24"/>
          <w:highlight w:val="none"/>
        </w:rPr>
        <w:t>投标（响应）报价低于通过符合性审查的次低报价供应商投标（响应）报价</w:t>
      </w:r>
      <w:r>
        <w:rPr>
          <w:rFonts w:hint="eastAsia"/>
          <w:color w:val="auto"/>
          <w:sz w:val="24"/>
          <w:szCs w:val="24"/>
          <w:highlight w:val="none"/>
          <w:lang w:val="en-US" w:eastAsia="zh-CN"/>
        </w:rPr>
        <w:t>50</w:t>
      </w:r>
      <w:r>
        <w:rPr>
          <w:rFonts w:hint="eastAsia"/>
          <w:color w:val="auto"/>
          <w:sz w:val="24"/>
          <w:szCs w:val="24"/>
          <w:highlight w:val="none"/>
        </w:rPr>
        <w:t>%的，即投标（响应）报价&lt;通过符合性审查的次低报价供应商投标（响应）报价×</w:t>
      </w:r>
      <w:r>
        <w:rPr>
          <w:rFonts w:hint="eastAsia"/>
          <w:color w:val="auto"/>
          <w:sz w:val="24"/>
          <w:szCs w:val="24"/>
          <w:highlight w:val="none"/>
          <w:lang w:val="en-US" w:eastAsia="zh-CN"/>
        </w:rPr>
        <w:t>50</w:t>
      </w:r>
      <w:r>
        <w:rPr>
          <w:rFonts w:hint="eastAsia"/>
          <w:color w:val="auto"/>
          <w:sz w:val="24"/>
          <w:szCs w:val="24"/>
          <w:highlight w:val="none"/>
        </w:rPr>
        <w:t>%；</w:t>
      </w:r>
    </w:p>
    <w:p w14:paraId="2370B2FF">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color w:val="auto"/>
          <w:sz w:val="24"/>
          <w:szCs w:val="24"/>
          <w:highlight w:val="none"/>
        </w:rPr>
      </w:pPr>
      <w:r>
        <w:rPr>
          <w:rFonts w:hint="eastAsia"/>
          <w:color w:val="auto"/>
          <w:sz w:val="24"/>
          <w:szCs w:val="24"/>
          <w:highlight w:val="none"/>
          <w:lang w:eastAsia="zh-CN"/>
        </w:rPr>
        <w:t>（</w:t>
      </w:r>
      <w:r>
        <w:rPr>
          <w:rFonts w:hint="eastAsia"/>
          <w:color w:val="auto"/>
          <w:sz w:val="24"/>
          <w:szCs w:val="24"/>
          <w:highlight w:val="none"/>
          <w:lang w:val="en-US" w:eastAsia="zh-CN"/>
        </w:rPr>
        <w:t>3</w:t>
      </w:r>
      <w:r>
        <w:rPr>
          <w:rFonts w:hint="eastAsia"/>
          <w:color w:val="auto"/>
          <w:sz w:val="24"/>
          <w:szCs w:val="24"/>
          <w:highlight w:val="none"/>
          <w:lang w:eastAsia="zh-CN"/>
        </w:rPr>
        <w:t>）</w:t>
      </w:r>
      <w:r>
        <w:rPr>
          <w:rFonts w:hint="eastAsia"/>
          <w:color w:val="auto"/>
          <w:sz w:val="24"/>
          <w:szCs w:val="24"/>
          <w:highlight w:val="none"/>
        </w:rPr>
        <w:t>投标（响应）报价低于采购项目最高限价45%的，即投标（响应）报价&lt;采购项目最高限价×</w:t>
      </w:r>
      <w:r>
        <w:rPr>
          <w:rFonts w:hint="eastAsia"/>
          <w:color w:val="auto"/>
          <w:sz w:val="24"/>
          <w:szCs w:val="24"/>
          <w:highlight w:val="none"/>
          <w:lang w:val="en-US" w:eastAsia="zh-CN"/>
        </w:rPr>
        <w:t>45</w:t>
      </w:r>
      <w:r>
        <w:rPr>
          <w:rFonts w:hint="eastAsia"/>
          <w:color w:val="auto"/>
          <w:sz w:val="24"/>
          <w:szCs w:val="24"/>
          <w:highlight w:val="none"/>
        </w:rPr>
        <w:t>%；</w:t>
      </w:r>
    </w:p>
    <w:p w14:paraId="442367A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color w:val="auto"/>
          <w:sz w:val="24"/>
          <w:szCs w:val="24"/>
          <w:highlight w:val="none"/>
        </w:rPr>
      </w:pPr>
      <w:r>
        <w:rPr>
          <w:rFonts w:hint="eastAsia"/>
          <w:color w:val="auto"/>
          <w:sz w:val="24"/>
          <w:szCs w:val="24"/>
          <w:highlight w:val="none"/>
          <w:lang w:eastAsia="zh-CN"/>
        </w:rPr>
        <w:t>（</w:t>
      </w:r>
      <w:r>
        <w:rPr>
          <w:rFonts w:hint="eastAsia"/>
          <w:color w:val="auto"/>
          <w:sz w:val="24"/>
          <w:szCs w:val="24"/>
          <w:highlight w:val="none"/>
          <w:lang w:val="en-US" w:eastAsia="zh-CN"/>
        </w:rPr>
        <w:t>4</w:t>
      </w:r>
      <w:r>
        <w:rPr>
          <w:rFonts w:hint="eastAsia"/>
          <w:color w:val="auto"/>
          <w:sz w:val="24"/>
          <w:szCs w:val="24"/>
          <w:highlight w:val="none"/>
          <w:lang w:eastAsia="zh-CN"/>
        </w:rPr>
        <w:t>）</w:t>
      </w:r>
      <w:r>
        <w:rPr>
          <w:rFonts w:hint="eastAsia"/>
          <w:color w:val="auto"/>
          <w:sz w:val="24"/>
          <w:szCs w:val="24"/>
          <w:highlight w:val="none"/>
        </w:rPr>
        <w:t>评审委员会基于专业判断，认为供应商报价过低，有可能影响产品质量或者不能诚信履约的其他情形。</w:t>
      </w:r>
    </w:p>
    <w:p w14:paraId="37F59C8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color w:val="auto"/>
          <w:sz w:val="24"/>
          <w:szCs w:val="24"/>
          <w:highlight w:val="none"/>
        </w:rPr>
      </w:pPr>
      <w:r>
        <w:rPr>
          <w:rFonts w:hint="eastAsia"/>
          <w:color w:val="auto"/>
          <w:sz w:val="24"/>
          <w:szCs w:val="24"/>
          <w:highlight w:val="none"/>
          <w:lang w:val="en-US" w:eastAsia="zh-CN"/>
        </w:rPr>
        <w:t>12.2</w:t>
      </w:r>
      <w:r>
        <w:rPr>
          <w:rFonts w:hint="eastAsia"/>
          <w:color w:val="auto"/>
          <w:sz w:val="24"/>
          <w:szCs w:val="24"/>
          <w:highlight w:val="none"/>
        </w:rPr>
        <w:t>评审委员会启动异常低价投标（响应）审查后，属于前述第</w:t>
      </w:r>
      <w:r>
        <w:rPr>
          <w:rFonts w:hint="eastAsia"/>
          <w:color w:val="auto"/>
          <w:sz w:val="24"/>
          <w:szCs w:val="24"/>
          <w:highlight w:val="none"/>
          <w:lang w:eastAsia="zh-CN"/>
        </w:rPr>
        <w:t>（</w:t>
      </w:r>
      <w:r>
        <w:rPr>
          <w:rFonts w:hint="eastAsia"/>
          <w:color w:val="auto"/>
          <w:sz w:val="24"/>
          <w:szCs w:val="24"/>
          <w:highlight w:val="none"/>
          <w:lang w:val="en-US" w:eastAsia="zh-CN"/>
        </w:rPr>
        <w:t>1</w:t>
      </w:r>
      <w:r>
        <w:rPr>
          <w:rFonts w:hint="eastAsia"/>
          <w:color w:val="auto"/>
          <w:sz w:val="24"/>
          <w:szCs w:val="24"/>
          <w:highlight w:val="none"/>
          <w:lang w:eastAsia="zh-CN"/>
        </w:rPr>
        <w:t>）</w:t>
      </w:r>
      <w:r>
        <w:rPr>
          <w:rFonts w:hint="eastAsia"/>
          <w:color w:val="auto"/>
          <w:sz w:val="24"/>
          <w:szCs w:val="24"/>
          <w:highlight w:val="none"/>
        </w:rPr>
        <w:t>项至第</w:t>
      </w:r>
      <w:r>
        <w:rPr>
          <w:rFonts w:hint="eastAsia"/>
          <w:color w:val="auto"/>
          <w:sz w:val="24"/>
          <w:szCs w:val="24"/>
          <w:highlight w:val="none"/>
          <w:lang w:eastAsia="zh-CN"/>
        </w:rPr>
        <w:t>（</w:t>
      </w:r>
      <w:r>
        <w:rPr>
          <w:rFonts w:hint="eastAsia"/>
          <w:color w:val="auto"/>
          <w:sz w:val="24"/>
          <w:szCs w:val="24"/>
          <w:highlight w:val="none"/>
          <w:lang w:val="en-US" w:eastAsia="zh-CN"/>
        </w:rPr>
        <w:t>4</w:t>
      </w:r>
      <w:r>
        <w:rPr>
          <w:rFonts w:hint="eastAsia"/>
          <w:color w:val="auto"/>
          <w:sz w:val="24"/>
          <w:szCs w:val="24"/>
          <w:highlight w:val="none"/>
          <w:lang w:eastAsia="zh-CN"/>
        </w:rPr>
        <w:t>）</w:t>
      </w:r>
      <w:r>
        <w:rPr>
          <w:rFonts w:hint="eastAsia"/>
          <w:color w:val="auto"/>
          <w:sz w:val="24"/>
          <w:szCs w:val="24"/>
          <w:highlight w:val="none"/>
        </w:rPr>
        <w:t>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6B66906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color w:val="auto"/>
          <w:sz w:val="24"/>
          <w:szCs w:val="24"/>
          <w:highlight w:val="none"/>
        </w:rPr>
      </w:pPr>
      <w:r>
        <w:rPr>
          <w:rFonts w:hint="eastAsia"/>
          <w:color w:val="auto"/>
          <w:sz w:val="24"/>
          <w:szCs w:val="24"/>
          <w:highlight w:val="none"/>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23336BF5">
      <w:pPr>
        <w:pStyle w:val="50"/>
        <w:jc w:val="both"/>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w:t>
      </w:r>
      <w:r>
        <w:rPr>
          <w:rFonts w:hint="eastAsia" w:ascii="宋体" w:hAnsi="宋体" w:eastAsia="宋体" w:cs="宋体"/>
          <w:b/>
          <w:bCs/>
          <w:color w:val="auto"/>
          <w:sz w:val="24"/>
          <w:szCs w:val="24"/>
          <w:highlight w:val="none"/>
          <w:lang w:val="en-US" w:eastAsia="zh-CN"/>
        </w:rPr>
        <w:t>3</w:t>
      </w:r>
      <w:r>
        <w:rPr>
          <w:rFonts w:hint="eastAsia" w:ascii="宋体" w:hAnsi="宋体" w:eastAsia="宋体" w:cs="宋体"/>
          <w:b/>
          <w:bCs/>
          <w:color w:val="auto"/>
          <w:sz w:val="24"/>
          <w:szCs w:val="24"/>
          <w:highlight w:val="none"/>
        </w:rPr>
        <w:t>.政府采购政策评审</w:t>
      </w:r>
    </w:p>
    <w:p w14:paraId="49206C28">
      <w:pPr>
        <w:pStyle w:val="50"/>
        <w:numPr>
          <w:ilvl w:val="0"/>
          <w:numId w:val="0"/>
        </w:numPr>
        <w:ind w:firstLine="480" w:firstLineChars="200"/>
        <w:jc w:val="both"/>
        <w:rPr>
          <w:color w:val="auto"/>
          <w:highlight w:val="none"/>
        </w:rPr>
      </w:pPr>
      <w:r>
        <w:rPr>
          <w:color w:val="auto"/>
          <w:highlight w:val="none"/>
        </w:rPr>
        <w:t>1</w:t>
      </w:r>
      <w:r>
        <w:rPr>
          <w:rFonts w:hint="eastAsia"/>
          <w:color w:val="auto"/>
          <w:highlight w:val="none"/>
          <w:lang w:val="en-US" w:eastAsia="zh-CN"/>
        </w:rPr>
        <w:t>3</w:t>
      </w:r>
      <w:r>
        <w:rPr>
          <w:color w:val="auto"/>
          <w:highlight w:val="none"/>
        </w:rPr>
        <w:t>.1非专门面向中小企业的采购项目或采购包，对符合规定的小微企业（</w:t>
      </w:r>
      <w:r>
        <w:rPr>
          <w:rFonts w:hint="eastAsia"/>
          <w:color w:val="auto"/>
          <w:highlight w:val="none"/>
          <w:lang w:val="en-US" w:eastAsia="zh-CN"/>
        </w:rPr>
        <w:t>含</w:t>
      </w:r>
      <w:r>
        <w:rPr>
          <w:color w:val="auto"/>
          <w:highlight w:val="none"/>
        </w:rPr>
        <w:t>监狱企业、残疾人福利性单位、联合体各方均为小微企业的联合体、符合小微企业划分标准的个体工商户视同小微企业）报价</w:t>
      </w:r>
      <w:r>
        <w:rPr>
          <w:rFonts w:hint="eastAsia"/>
          <w:color w:val="auto"/>
          <w:highlight w:val="none"/>
        </w:rPr>
        <w:t>按照本招标文件</w:t>
      </w:r>
      <w:r>
        <w:rPr>
          <w:rFonts w:hint="eastAsia"/>
          <w:color w:val="auto"/>
          <w:highlight w:val="none"/>
          <w:lang w:eastAsia="zh-CN"/>
        </w:rPr>
        <w:t>“</w:t>
      </w:r>
      <w:r>
        <w:rPr>
          <w:rFonts w:hint="eastAsia"/>
          <w:color w:val="auto"/>
          <w:highlight w:val="none"/>
        </w:rPr>
        <w:t>投标人须知前附表”中的规定</w:t>
      </w:r>
      <w:r>
        <w:rPr>
          <w:color w:val="auto"/>
          <w:highlight w:val="none"/>
        </w:rPr>
        <w:t>扣除</w:t>
      </w:r>
      <w:r>
        <w:rPr>
          <w:rFonts w:hint="eastAsia"/>
          <w:color w:val="auto"/>
          <w:highlight w:val="none"/>
        </w:rPr>
        <w:t>，对小微企业中的监狱企业、</w:t>
      </w:r>
      <w:r>
        <w:rPr>
          <w:rFonts w:hint="eastAsia" w:ascii="宋体" w:hAnsi="宋体" w:eastAsia="宋体" w:cs="宋体"/>
          <w:color w:val="auto"/>
          <w:sz w:val="24"/>
          <w:szCs w:val="24"/>
          <w:highlight w:val="none"/>
        </w:rPr>
        <w:t>残疾人福利性单位的报价按照本</w:t>
      </w:r>
      <w:r>
        <w:rPr>
          <w:rFonts w:hint="eastAsia" w:ascii="宋体" w:hAnsi="宋体" w:eastAsia="宋体" w:cs="宋体"/>
          <w:color w:val="auto"/>
          <w:sz w:val="24"/>
          <w:szCs w:val="24"/>
          <w:highlight w:val="none"/>
          <w:lang w:val="en-US" w:eastAsia="zh-CN"/>
        </w:rPr>
        <w:t>招标</w:t>
      </w:r>
      <w:r>
        <w:rPr>
          <w:rFonts w:hint="eastAsia" w:ascii="宋体" w:hAnsi="宋体" w:eastAsia="宋体" w:cs="宋体"/>
          <w:color w:val="auto"/>
          <w:sz w:val="24"/>
          <w:szCs w:val="24"/>
          <w:highlight w:val="none"/>
        </w:rPr>
        <w:t>文件</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投标人</w:t>
      </w:r>
      <w:r>
        <w:rPr>
          <w:rFonts w:hint="eastAsia" w:ascii="宋体" w:hAnsi="宋体" w:eastAsia="宋体" w:cs="宋体"/>
          <w:color w:val="auto"/>
          <w:sz w:val="24"/>
          <w:szCs w:val="24"/>
          <w:highlight w:val="none"/>
        </w:rPr>
        <w:t>须知前附表”中的规定扣除，用扣除后的价格</w:t>
      </w:r>
      <w:r>
        <w:rPr>
          <w:rFonts w:hint="eastAsia" w:cs="宋体"/>
          <w:color w:val="auto"/>
          <w:sz w:val="24"/>
          <w:szCs w:val="24"/>
          <w:highlight w:val="none"/>
          <w:lang w:val="en-US" w:eastAsia="zh-CN"/>
        </w:rPr>
        <w:t>参与</w:t>
      </w:r>
      <w:r>
        <w:rPr>
          <w:rFonts w:hint="eastAsia" w:ascii="宋体" w:hAnsi="宋体" w:eastAsia="宋体" w:cs="宋体"/>
          <w:color w:val="auto"/>
          <w:sz w:val="24"/>
          <w:szCs w:val="24"/>
          <w:highlight w:val="none"/>
        </w:rPr>
        <w:t>评审</w:t>
      </w:r>
      <w:r>
        <w:rPr>
          <w:rFonts w:hint="eastAsia" w:cs="宋体"/>
          <w:color w:val="auto"/>
          <w:sz w:val="24"/>
          <w:szCs w:val="24"/>
          <w:highlight w:val="none"/>
          <w:lang w:eastAsia="zh-CN"/>
        </w:rPr>
        <w:t>，</w:t>
      </w:r>
      <w:r>
        <w:rPr>
          <w:rFonts w:hint="eastAsia" w:ascii="宋体" w:hAnsi="宋体" w:eastAsia="宋体" w:cs="宋体"/>
          <w:color w:val="auto"/>
          <w:sz w:val="24"/>
          <w:szCs w:val="24"/>
          <w:highlight w:val="none"/>
        </w:rPr>
        <w:t>采购产品纳入创新产品应用示范推荐目录内企业、采购产品获得节能产品或环境标志产品认证证书</w:t>
      </w:r>
      <w:r>
        <w:rPr>
          <w:rFonts w:hint="eastAsia" w:cs="宋体"/>
          <w:color w:val="auto"/>
          <w:sz w:val="24"/>
          <w:szCs w:val="24"/>
          <w:highlight w:val="none"/>
          <w:lang w:val="en-US" w:eastAsia="zh-CN"/>
        </w:rPr>
        <w:t>的投标人</w:t>
      </w:r>
      <w:r>
        <w:rPr>
          <w:rFonts w:hint="eastAsia" w:ascii="宋体" w:hAnsi="宋体" w:eastAsia="宋体" w:cs="宋体"/>
          <w:color w:val="auto"/>
          <w:sz w:val="24"/>
          <w:szCs w:val="24"/>
          <w:highlight w:val="none"/>
        </w:rPr>
        <w:t>按照本</w:t>
      </w:r>
      <w:r>
        <w:rPr>
          <w:rFonts w:hint="eastAsia" w:ascii="宋体" w:hAnsi="宋体" w:eastAsia="宋体" w:cs="宋体"/>
          <w:color w:val="auto"/>
          <w:sz w:val="24"/>
          <w:szCs w:val="24"/>
          <w:highlight w:val="none"/>
          <w:lang w:val="en-US" w:eastAsia="zh-CN"/>
        </w:rPr>
        <w:t>招标</w:t>
      </w:r>
      <w:r>
        <w:rPr>
          <w:rFonts w:hint="eastAsia" w:ascii="宋体" w:hAnsi="宋体" w:eastAsia="宋体" w:cs="宋体"/>
          <w:color w:val="auto"/>
          <w:sz w:val="24"/>
          <w:szCs w:val="24"/>
          <w:highlight w:val="none"/>
        </w:rPr>
        <w:t>文件</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投标人</w:t>
      </w:r>
      <w:r>
        <w:rPr>
          <w:rFonts w:hint="eastAsia" w:ascii="宋体" w:hAnsi="宋体" w:eastAsia="宋体" w:cs="宋体"/>
          <w:color w:val="auto"/>
          <w:sz w:val="24"/>
          <w:szCs w:val="24"/>
          <w:highlight w:val="none"/>
        </w:rPr>
        <w:t>须知前附表”中的规定</w:t>
      </w:r>
      <w:r>
        <w:rPr>
          <w:rFonts w:hint="eastAsia" w:cs="宋体"/>
          <w:color w:val="auto"/>
          <w:sz w:val="24"/>
          <w:szCs w:val="24"/>
          <w:highlight w:val="none"/>
          <w:lang w:val="en-US" w:eastAsia="zh-CN"/>
        </w:rPr>
        <w:t>给予评审优惠</w:t>
      </w:r>
      <w:r>
        <w:rPr>
          <w:rFonts w:hint="eastAsia" w:ascii="宋体" w:hAnsi="宋体" w:eastAsia="宋体" w:cs="宋体"/>
          <w:color w:val="auto"/>
          <w:sz w:val="24"/>
          <w:szCs w:val="24"/>
          <w:highlight w:val="none"/>
          <w:lang w:eastAsia="zh-CN"/>
        </w:rPr>
        <w:t>。</w:t>
      </w:r>
    </w:p>
    <w:p w14:paraId="45042667">
      <w:pPr>
        <w:pStyle w:val="50"/>
        <w:numPr>
          <w:ilvl w:val="0"/>
          <w:numId w:val="0"/>
        </w:numPr>
        <w:ind w:firstLine="480" w:firstLineChars="200"/>
        <w:jc w:val="both"/>
        <w:rPr>
          <w:rFonts w:ascii="宋体" w:hAnsi="宋体" w:eastAsia="宋体"/>
          <w:color w:val="auto"/>
          <w:highlight w:val="none"/>
        </w:rPr>
      </w:pPr>
      <w:r>
        <w:rPr>
          <w:rFonts w:hint="eastAsia" w:ascii="宋体" w:hAnsi="宋体" w:eastAsia="宋体"/>
          <w:color w:val="auto"/>
          <w:highlight w:val="none"/>
          <w:lang w:val="en-US" w:eastAsia="zh-CN"/>
        </w:rPr>
        <w:t>1</w:t>
      </w:r>
      <w:r>
        <w:rPr>
          <w:rFonts w:hint="eastAsia"/>
          <w:color w:val="auto"/>
          <w:highlight w:val="none"/>
          <w:lang w:val="en-US" w:eastAsia="zh-CN"/>
        </w:rPr>
        <w:t>3</w:t>
      </w:r>
      <w:r>
        <w:rPr>
          <w:rFonts w:hint="eastAsia" w:ascii="宋体" w:hAnsi="宋体" w:eastAsia="宋体"/>
          <w:color w:val="auto"/>
          <w:highlight w:val="none"/>
          <w:lang w:val="en-US" w:eastAsia="zh-CN"/>
        </w:rPr>
        <w:t>.</w:t>
      </w:r>
      <w:r>
        <w:rPr>
          <w:rFonts w:hint="eastAsia" w:ascii="宋体" w:hAnsi="宋体" w:eastAsia="宋体"/>
          <w:color w:val="auto"/>
          <w:highlight w:val="none"/>
          <w:lang w:val="zh-CN" w:eastAsia="zh-CN"/>
        </w:rPr>
        <w:t>2</w:t>
      </w:r>
      <w:r>
        <w:rPr>
          <w:rFonts w:ascii="宋体" w:hAnsi="宋体" w:eastAsia="宋体"/>
          <w:color w:val="auto"/>
          <w:highlight w:val="none"/>
        </w:rPr>
        <w:t>参加政府采购活动的小微企业</w:t>
      </w:r>
      <w:r>
        <w:rPr>
          <w:rFonts w:hint="eastAsia"/>
          <w:color w:val="auto"/>
          <w:highlight w:val="none"/>
        </w:rPr>
        <w:t>（含节能环保、创新产品企业）</w:t>
      </w:r>
      <w:r>
        <w:rPr>
          <w:rFonts w:ascii="宋体" w:hAnsi="宋体" w:eastAsia="宋体"/>
          <w:color w:val="auto"/>
          <w:highlight w:val="none"/>
        </w:rPr>
        <w:t>未提供“中小企业声明函”的；监狱企业未提供“监狱企业证明文件”的；残疾人福利性单位未提供“残疾人福利性单位声明函”的；不得享受相应的价格扣除优惠。组成联合体或者接受分包的小微企业与联合体内其他企业、分包企业之间存在直接控股、管理关系的，不得享受价格扣除优惠。</w:t>
      </w:r>
      <w:r>
        <w:rPr>
          <w:rFonts w:hint="eastAsia"/>
          <w:color w:val="auto"/>
          <w:highlight w:val="none"/>
          <w:lang w:val="en-US" w:eastAsia="zh-CN"/>
        </w:rPr>
        <w:t>若供应商同时属于小型或微型企业、监狱企业、残疾人福利性单位 中的两种及以上，将不重复享受小微企业价格扣减的优惠政策。</w:t>
      </w:r>
    </w:p>
    <w:p w14:paraId="5E33F61B">
      <w:pPr>
        <w:pStyle w:val="50"/>
        <w:numPr>
          <w:ilvl w:val="0"/>
          <w:numId w:val="0"/>
        </w:numPr>
        <w:ind w:firstLine="480" w:firstLineChars="200"/>
        <w:jc w:val="both"/>
        <w:rPr>
          <w:rFonts w:hint="eastAsia"/>
          <w:color w:val="auto"/>
          <w:highlight w:val="none"/>
          <w:lang w:val="en-US" w:eastAsia="zh-CN"/>
        </w:rPr>
      </w:pPr>
      <w:r>
        <w:rPr>
          <w:rFonts w:hint="eastAsia"/>
          <w:color w:val="auto"/>
          <w:highlight w:val="none"/>
          <w:lang w:val="en-US" w:eastAsia="zh-CN"/>
        </w:rPr>
        <w:t>组成联合体或者接受分包的小微企业与联合体内其他企业、分包企业</w:t>
      </w:r>
      <w:r>
        <w:rPr>
          <w:rFonts w:hint="default"/>
          <w:color w:val="auto"/>
          <w:highlight w:val="none"/>
          <w:lang w:val="en-US" w:eastAsia="zh-CN"/>
        </w:rPr>
        <w:t>之间存在直接控股、管理关系的，不享受价格扣除优惠政策。</w:t>
      </w:r>
    </w:p>
    <w:p w14:paraId="226B4C19">
      <w:pPr>
        <w:pStyle w:val="50"/>
        <w:numPr>
          <w:ilvl w:val="0"/>
          <w:numId w:val="0"/>
        </w:numPr>
        <w:ind w:firstLine="480" w:firstLineChars="200"/>
        <w:jc w:val="both"/>
        <w:rPr>
          <w:rFonts w:ascii="宋体" w:hAnsi="宋体" w:eastAsia="宋体"/>
          <w:color w:val="auto"/>
          <w:highlight w:val="none"/>
        </w:rPr>
      </w:pPr>
      <w:r>
        <w:rPr>
          <w:rFonts w:ascii="宋体" w:hAnsi="宋体" w:eastAsia="宋体" w:cs="Times New Roman"/>
          <w:color w:val="auto"/>
          <w:kern w:val="2"/>
          <w:sz w:val="24"/>
          <w:szCs w:val="22"/>
          <w:highlight w:val="none"/>
          <w:lang w:val="en-US" w:eastAsia="zh-CN" w:bidi="ar-SA"/>
        </w:rPr>
        <w:t>价格扣除比例对小型企业和微型企业同等对待，不作区分。</w:t>
      </w:r>
    </w:p>
    <w:p w14:paraId="4F68CD91">
      <w:pPr>
        <w:pStyle w:val="50"/>
        <w:numPr>
          <w:ilvl w:val="0"/>
          <w:numId w:val="0"/>
        </w:numPr>
        <w:ind w:firstLine="480" w:firstLineChars="200"/>
        <w:jc w:val="both"/>
        <w:rPr>
          <w:rFonts w:ascii="宋体" w:hAnsi="宋体" w:eastAsia="宋体"/>
          <w:color w:val="auto"/>
          <w:highlight w:val="none"/>
        </w:rPr>
      </w:pPr>
      <w:r>
        <w:rPr>
          <w:rFonts w:hint="eastAsia" w:ascii="宋体" w:hAnsi="宋体" w:eastAsia="宋体"/>
          <w:color w:val="auto"/>
          <w:highlight w:val="none"/>
          <w:lang w:val="en-US" w:eastAsia="zh-CN"/>
        </w:rPr>
        <w:t>1</w:t>
      </w:r>
      <w:r>
        <w:rPr>
          <w:rFonts w:hint="eastAsia"/>
          <w:color w:val="auto"/>
          <w:highlight w:val="none"/>
          <w:lang w:val="en-US" w:eastAsia="zh-CN"/>
        </w:rPr>
        <w:t>3</w:t>
      </w:r>
      <w:r>
        <w:rPr>
          <w:rFonts w:hint="eastAsia" w:ascii="宋体" w:hAnsi="宋体" w:eastAsia="宋体"/>
          <w:color w:val="auto"/>
          <w:highlight w:val="none"/>
          <w:lang w:val="en-US" w:eastAsia="zh-CN"/>
        </w:rPr>
        <w:t>.</w:t>
      </w:r>
      <w:r>
        <w:rPr>
          <w:rFonts w:hint="eastAsia" w:ascii="宋体" w:hAnsi="宋体" w:eastAsia="宋体"/>
          <w:color w:val="auto"/>
          <w:highlight w:val="none"/>
          <w:lang w:val="zh-CN" w:eastAsia="zh-CN"/>
        </w:rPr>
        <w:t>3</w:t>
      </w:r>
      <w:r>
        <w:rPr>
          <w:rFonts w:ascii="宋体" w:hAnsi="宋体" w:eastAsia="宋体"/>
          <w:color w:val="auto"/>
          <w:highlight w:val="none"/>
        </w:rPr>
        <w:t>专门面向中小企业、预留部分采购份额面向中小企业采购的项目或采购包，评审时不再进行价格扣除。</w:t>
      </w:r>
    </w:p>
    <w:p w14:paraId="29876991">
      <w:pPr>
        <w:pStyle w:val="50"/>
        <w:keepNext w:val="0"/>
        <w:keepLines w:val="0"/>
        <w:pageBreakBefore w:val="0"/>
        <w:widowControl w:val="0"/>
        <w:kinsoku/>
        <w:overflowPunct/>
        <w:topLinePunct w:val="0"/>
        <w:autoSpaceDE/>
        <w:autoSpaceDN/>
        <w:bidi w:val="0"/>
        <w:adjustRightInd/>
        <w:jc w:val="both"/>
        <w:textAlignment w:val="auto"/>
        <w:rPr>
          <w:rFonts w:hint="eastAsia" w:ascii="宋体" w:hAnsi="宋体" w:eastAsia="宋体"/>
          <w:color w:val="auto"/>
          <w:highlight w:val="none"/>
        </w:rPr>
      </w:pPr>
      <w:r>
        <w:rPr>
          <w:rFonts w:hint="eastAsia" w:ascii="宋体" w:hAnsi="宋体" w:eastAsia="宋体"/>
          <w:color w:val="auto"/>
          <w:highlight w:val="none"/>
          <w:lang w:val="en-US" w:eastAsia="zh-CN"/>
        </w:rPr>
        <w:t>1</w:t>
      </w:r>
      <w:r>
        <w:rPr>
          <w:rFonts w:hint="eastAsia"/>
          <w:color w:val="auto"/>
          <w:highlight w:val="none"/>
          <w:lang w:val="en-US" w:eastAsia="zh-CN"/>
        </w:rPr>
        <w:t>3</w:t>
      </w:r>
      <w:r>
        <w:rPr>
          <w:rFonts w:hint="eastAsia" w:ascii="宋体" w:hAnsi="宋体" w:eastAsia="宋体"/>
          <w:color w:val="auto"/>
          <w:highlight w:val="none"/>
          <w:lang w:val="en-US" w:eastAsia="zh-CN"/>
        </w:rPr>
        <w:t>.4</w:t>
      </w:r>
      <w:r>
        <w:rPr>
          <w:rFonts w:hint="eastAsia" w:ascii="宋体" w:hAnsi="宋体" w:eastAsia="宋体"/>
          <w:color w:val="auto"/>
          <w:highlight w:val="none"/>
        </w:rPr>
        <w:t>对于未预留份额专门面向中小企业的政府采购项目，以及预留份额政府采购项目中的非预留部分标项，对小型和微型企业的投标报价给予10%-</w:t>
      </w:r>
      <w:r>
        <w:rPr>
          <w:rFonts w:ascii="宋体" w:hAnsi="宋体" w:eastAsia="宋体"/>
          <w:color w:val="auto"/>
          <w:highlight w:val="none"/>
        </w:rPr>
        <w:t>20</w:t>
      </w:r>
      <w:r>
        <w:rPr>
          <w:rFonts w:hint="eastAsia" w:ascii="宋体" w:hAnsi="宋体" w:eastAsia="宋体"/>
          <w:color w:val="auto"/>
          <w:highlight w:val="none"/>
        </w:rPr>
        <w:t>%的扣除，用扣除后的价格参与评审。接受大中型企业与小微企业组成联合体或者允许大中型企业向一家或者多家小微企业分包的政府采购项目，对于联合</w:t>
      </w:r>
      <w:r>
        <w:rPr>
          <w:rFonts w:hint="eastAsia" w:ascii="宋体" w:hAnsi="宋体" w:eastAsia="宋体"/>
          <w:color w:val="auto"/>
          <w:highlight w:val="none"/>
          <w:lang w:val="en-US" w:eastAsia="zh-CN"/>
        </w:rPr>
        <w:t>体</w:t>
      </w:r>
      <w:r>
        <w:rPr>
          <w:rFonts w:hint="eastAsia" w:ascii="宋体" w:hAnsi="宋体" w:eastAsia="宋体"/>
          <w:color w:val="auto"/>
          <w:highlight w:val="none"/>
        </w:rPr>
        <w:t>协议</w:t>
      </w:r>
      <w:r>
        <w:rPr>
          <w:rFonts w:hint="eastAsia" w:ascii="宋体" w:hAnsi="宋体" w:eastAsia="宋体"/>
          <w:color w:val="auto"/>
          <w:highlight w:val="none"/>
          <w:lang w:val="en-US" w:eastAsia="zh-CN"/>
        </w:rPr>
        <w:t>书</w:t>
      </w:r>
      <w:r>
        <w:rPr>
          <w:rFonts w:hint="eastAsia" w:ascii="宋体" w:hAnsi="宋体" w:eastAsia="宋体"/>
          <w:color w:val="auto"/>
          <w:highlight w:val="none"/>
        </w:rPr>
        <w:t>或者分包意向协议</w:t>
      </w:r>
      <w:r>
        <w:rPr>
          <w:rFonts w:hint="eastAsia" w:ascii="宋体" w:hAnsi="宋体" w:eastAsia="宋体"/>
          <w:color w:val="auto"/>
          <w:highlight w:val="none"/>
          <w:lang w:val="en-US" w:eastAsia="zh-CN"/>
        </w:rPr>
        <w:t>书</w:t>
      </w:r>
      <w:r>
        <w:rPr>
          <w:rFonts w:hint="eastAsia" w:ascii="宋体" w:hAnsi="宋体" w:eastAsia="宋体"/>
          <w:color w:val="auto"/>
          <w:highlight w:val="none"/>
        </w:rPr>
        <w:t>约定小微企业的合同份额占到合同总金额30%以上的，对联合体或者大中型企业的报价给予4%-</w:t>
      </w:r>
      <w:r>
        <w:rPr>
          <w:rFonts w:ascii="宋体" w:hAnsi="宋体" w:eastAsia="宋体"/>
          <w:color w:val="auto"/>
          <w:highlight w:val="none"/>
        </w:rPr>
        <w:t>6</w:t>
      </w:r>
      <w:r>
        <w:rPr>
          <w:rFonts w:hint="eastAsia" w:ascii="宋体" w:hAnsi="宋体" w:eastAsia="宋体"/>
          <w:color w:val="auto"/>
          <w:highlight w:val="none"/>
        </w:rPr>
        <w:t>%的扣除，用扣除后的价格参加评审。组成联合体或者接受分包的小微企业与联合体内其他企业、分包企业之间存在直接控股、管理关系的，不享受价格扣除优惠政策。</w:t>
      </w:r>
    </w:p>
    <w:p w14:paraId="0CC09D09">
      <w:pPr>
        <w:pStyle w:val="50"/>
        <w:jc w:val="both"/>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13.5供应商对其提供的产品出具《关于符合本国产品标准的声明函》（样式见附件1，以下简称《声明函》）或财政部会同有关部门规定的有关证明文件。出具符合要求的《声明函》或有关证明文件的，该产品视为本国产品。</w:t>
      </w:r>
    </w:p>
    <w:p w14:paraId="23912690">
      <w:pPr>
        <w:pStyle w:val="50"/>
        <w:jc w:val="both"/>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3D3CAC8C">
      <w:pPr>
        <w:pStyle w:val="50"/>
        <w:keepNext w:val="0"/>
        <w:keepLines w:val="0"/>
        <w:pageBreakBefore w:val="0"/>
        <w:widowControl w:val="0"/>
        <w:kinsoku/>
        <w:overflowPunct/>
        <w:topLinePunct w:val="0"/>
        <w:autoSpaceDE/>
        <w:autoSpaceDN/>
        <w:bidi w:val="0"/>
        <w:adjustRightInd/>
        <w:jc w:val="both"/>
        <w:textAlignment w:val="auto"/>
        <w:rPr>
          <w:rFonts w:hint="eastAsia"/>
          <w:snapToGrid w:val="0"/>
          <w:color w:val="auto"/>
          <w:sz w:val="24"/>
          <w:highlight w:val="none"/>
          <w:lang w:val="en-US" w:eastAsia="zh-CN"/>
        </w:rPr>
      </w:pPr>
      <w:r>
        <w:rPr>
          <w:rFonts w:hint="eastAsia"/>
          <w:snapToGrid w:val="0"/>
          <w:color w:val="auto"/>
          <w:sz w:val="24"/>
          <w:highlight w:val="none"/>
          <w:lang w:val="en-US" w:eastAsia="zh-CN"/>
        </w:rPr>
        <w:t>13.6采购标的仅包含单一产品时，政府采购活动中既有本国产品又有非本国产品参与竞争的，供应商对其提供的产品出具《关于符合本国产品标准的声明函》，依法对本国产品给予价格评审优惠，对本国产品的报价给予20%的价格扣除，用扣除后的价格参与评审。</w:t>
      </w:r>
    </w:p>
    <w:p w14:paraId="4C06AF4D">
      <w:pPr>
        <w:pStyle w:val="50"/>
        <w:keepNext w:val="0"/>
        <w:keepLines w:val="0"/>
        <w:pageBreakBefore w:val="0"/>
        <w:widowControl w:val="0"/>
        <w:kinsoku/>
        <w:overflowPunct/>
        <w:topLinePunct w:val="0"/>
        <w:autoSpaceDE/>
        <w:autoSpaceDN/>
        <w:bidi w:val="0"/>
        <w:adjustRightInd/>
        <w:jc w:val="both"/>
        <w:textAlignment w:val="auto"/>
        <w:rPr>
          <w:rFonts w:hint="eastAsia" w:eastAsia="宋体"/>
          <w:snapToGrid w:val="0"/>
          <w:color w:val="auto"/>
          <w:sz w:val="24"/>
          <w:highlight w:val="none"/>
          <w:lang w:val="en-US" w:eastAsia="zh-CN"/>
        </w:rPr>
      </w:pPr>
      <w:r>
        <w:rPr>
          <w:rFonts w:hint="eastAsia" w:eastAsia="宋体"/>
          <w:snapToGrid w:val="0"/>
          <w:color w:val="auto"/>
          <w:sz w:val="24"/>
          <w:highlight w:val="none"/>
          <w:lang w:val="en-US" w:eastAsia="zh-CN"/>
        </w:rPr>
        <w:t>13.7采购标的中含有多种产品，政府采购活动中既有本国产品又有非本国产品参与竞争的，供应商为该采购项目或者采购包提供的符合本国产品标准的产品成本之和占该供应商提供的全部产品成本之和的比例达到80%以上时，且供应商在投标（响应）文件中对此作出承诺，出具《本国产品成本占比承诺函》（样式见附件2，以下简称《承诺函》），则依法对该供应商提供的全部产品给予价格评审优惠，即对该供应商提供的全部产品的总报价给予20%的价格扣除，用扣除后的价格参与评审。若供应商所投产品均符合本国产品标准，且已提供《声明函》，可不填写《承诺函》。</w:t>
      </w:r>
    </w:p>
    <w:p w14:paraId="6ABCAE58">
      <w:pPr>
        <w:pStyle w:val="50"/>
        <w:keepNext w:val="0"/>
        <w:keepLines w:val="0"/>
        <w:pageBreakBefore w:val="0"/>
        <w:widowControl w:val="0"/>
        <w:kinsoku/>
        <w:overflowPunct/>
        <w:topLinePunct w:val="0"/>
        <w:autoSpaceDE/>
        <w:autoSpaceDN/>
        <w:bidi w:val="0"/>
        <w:adjustRightInd/>
        <w:jc w:val="both"/>
        <w:textAlignment w:val="auto"/>
        <w:rPr>
          <w:rFonts w:hint="eastAsia" w:eastAsia="宋体"/>
          <w:snapToGrid w:val="0"/>
          <w:color w:val="auto"/>
          <w:sz w:val="24"/>
          <w:highlight w:val="none"/>
          <w:lang w:val="en-US" w:eastAsia="zh-CN"/>
        </w:rPr>
      </w:pPr>
      <w:r>
        <w:rPr>
          <w:rFonts w:hint="eastAsia" w:eastAsia="宋体"/>
          <w:snapToGrid w:val="0"/>
          <w:color w:val="auto"/>
          <w:sz w:val="24"/>
          <w:highlight w:val="none"/>
          <w:lang w:val="en-US" w:eastAsia="zh-CN"/>
        </w:rPr>
        <w:t>13.8对于仅有本国产品参与竞争的政府采购项目，本国产品不享受价格扣除评审优惠。</w:t>
      </w:r>
    </w:p>
    <w:p w14:paraId="20E59832">
      <w:pPr>
        <w:pStyle w:val="50"/>
        <w:jc w:val="both"/>
        <w:rPr>
          <w:rFonts w:hint="eastAsia" w:eastAsia="宋体"/>
          <w:snapToGrid w:val="0"/>
          <w:color w:val="auto"/>
          <w:sz w:val="24"/>
          <w:highlight w:val="none"/>
          <w:lang w:val="en-US" w:eastAsia="zh-CN"/>
        </w:rPr>
      </w:pPr>
      <w:r>
        <w:rPr>
          <w:rFonts w:hint="eastAsia" w:eastAsia="宋体"/>
          <w:snapToGrid w:val="0"/>
          <w:color w:val="auto"/>
          <w:sz w:val="24"/>
          <w:highlight w:val="none"/>
          <w:lang w:val="en-US" w:eastAsia="zh-CN"/>
        </w:rPr>
        <w:t>13.</w:t>
      </w:r>
      <w:r>
        <w:rPr>
          <w:rFonts w:hint="eastAsia"/>
          <w:snapToGrid w:val="0"/>
          <w:color w:val="auto"/>
          <w:sz w:val="24"/>
          <w:highlight w:val="none"/>
          <w:lang w:val="en-US" w:eastAsia="zh-CN"/>
        </w:rPr>
        <w:t>9</w:t>
      </w:r>
      <w:r>
        <w:rPr>
          <w:rFonts w:hint="eastAsia" w:eastAsia="宋体"/>
          <w:snapToGrid w:val="0"/>
          <w:color w:val="auto"/>
          <w:sz w:val="24"/>
          <w:highlight w:val="none"/>
          <w:lang w:val="en-US" w:eastAsia="zh-CN"/>
        </w:rPr>
        <w:t>评审委员会应对《声明函》的完整性、准确性进行审查，对含义不明确、同类事项与投标（响应）文件表述不一致或者有明显文字错误等情况的，应当以书面形式要求供应商作出必要的澄清、说明或者补正。经澄清、说明或者补正的《声明函》仍然不符合要求的，供应商提供的相关产品视为不符合本国产品标准。</w:t>
      </w:r>
    </w:p>
    <w:p w14:paraId="19DE66B8">
      <w:pPr>
        <w:pStyle w:val="50"/>
        <w:jc w:val="both"/>
        <w:rPr>
          <w:rFonts w:hint="eastAsia" w:eastAsia="宋体"/>
          <w:snapToGrid w:val="0"/>
          <w:color w:val="auto"/>
          <w:sz w:val="24"/>
          <w:highlight w:val="none"/>
          <w:lang w:val="en-US" w:eastAsia="zh-CN"/>
        </w:rPr>
      </w:pPr>
      <w:r>
        <w:rPr>
          <w:rFonts w:hint="eastAsia" w:eastAsia="宋体"/>
          <w:snapToGrid w:val="0"/>
          <w:color w:val="auto"/>
          <w:sz w:val="24"/>
          <w:highlight w:val="none"/>
          <w:lang w:val="en-US" w:eastAsia="zh-CN"/>
        </w:rPr>
        <w:t>对医疗器械产品，</w:t>
      </w:r>
      <w:r>
        <w:rPr>
          <w:rFonts w:hint="eastAsia"/>
          <w:snapToGrid w:val="0"/>
          <w:color w:val="auto"/>
          <w:sz w:val="24"/>
          <w:highlight w:val="none"/>
          <w:lang w:val="en-US" w:eastAsia="zh-CN"/>
        </w:rPr>
        <w:t>提供</w:t>
      </w:r>
      <w:r>
        <w:rPr>
          <w:rFonts w:hint="eastAsia" w:eastAsia="宋体"/>
          <w:snapToGrid w:val="0"/>
          <w:color w:val="auto"/>
          <w:sz w:val="24"/>
          <w:highlight w:val="none"/>
          <w:lang w:val="en-US" w:eastAsia="zh-CN"/>
        </w:rPr>
        <w:t>取得药品监督管理部门授予的准字号医疗器械注册证的，</w:t>
      </w:r>
      <w:r>
        <w:rPr>
          <w:rFonts w:hint="eastAsia"/>
          <w:snapToGrid w:val="0"/>
          <w:color w:val="auto"/>
          <w:sz w:val="24"/>
          <w:highlight w:val="none"/>
          <w:lang w:val="en-US" w:eastAsia="zh-CN"/>
        </w:rPr>
        <w:t>视为符合本国产品标准，无须填写</w:t>
      </w:r>
      <w:r>
        <w:rPr>
          <w:rFonts w:hint="eastAsia" w:eastAsia="宋体"/>
          <w:snapToGrid w:val="0"/>
          <w:color w:val="auto"/>
          <w:sz w:val="24"/>
          <w:highlight w:val="none"/>
          <w:lang w:val="en-US" w:eastAsia="zh-CN"/>
        </w:rPr>
        <w:t>《声明函》</w:t>
      </w:r>
      <w:r>
        <w:rPr>
          <w:rFonts w:hint="eastAsia"/>
          <w:snapToGrid w:val="0"/>
          <w:color w:val="auto"/>
          <w:sz w:val="24"/>
          <w:highlight w:val="none"/>
          <w:lang w:val="en-US" w:eastAsia="zh-CN"/>
        </w:rPr>
        <w:t>，</w:t>
      </w:r>
      <w:r>
        <w:rPr>
          <w:rFonts w:hint="eastAsia" w:ascii="宋体" w:hAnsi="宋体" w:eastAsia="宋体" w:cs="宋体"/>
          <w:color w:val="auto"/>
          <w:sz w:val="24"/>
          <w:szCs w:val="24"/>
          <w:highlight w:val="none"/>
          <w:lang w:val="en-US" w:eastAsia="zh-CN"/>
        </w:rPr>
        <w:t>报价给予20%的价格扣除，用扣除后的价格参与评审</w:t>
      </w:r>
      <w:r>
        <w:rPr>
          <w:rFonts w:hint="eastAsia" w:cs="宋体"/>
          <w:color w:val="auto"/>
          <w:sz w:val="24"/>
          <w:szCs w:val="24"/>
          <w:highlight w:val="none"/>
          <w:lang w:val="en-US" w:eastAsia="zh-CN"/>
        </w:rPr>
        <w:t>。</w:t>
      </w:r>
    </w:p>
    <w:p w14:paraId="5B9C101C">
      <w:pPr>
        <w:pStyle w:val="50"/>
        <w:jc w:val="both"/>
        <w:rPr>
          <w:rFonts w:hint="eastAsia" w:ascii="宋体" w:hAnsi="宋体" w:eastAsia="宋体"/>
          <w:color w:val="auto"/>
          <w:highlight w:val="none"/>
        </w:rPr>
      </w:pPr>
      <w:r>
        <w:rPr>
          <w:rFonts w:hint="eastAsia" w:eastAsia="宋体"/>
          <w:snapToGrid w:val="0"/>
          <w:color w:val="auto"/>
          <w:sz w:val="24"/>
          <w:highlight w:val="none"/>
          <w:lang w:val="en-US" w:eastAsia="zh-CN"/>
        </w:rPr>
        <w:t>13.</w:t>
      </w:r>
      <w:r>
        <w:rPr>
          <w:rFonts w:hint="eastAsia"/>
          <w:snapToGrid w:val="0"/>
          <w:color w:val="auto"/>
          <w:sz w:val="24"/>
          <w:highlight w:val="none"/>
          <w:lang w:val="en-US" w:eastAsia="zh-CN"/>
        </w:rPr>
        <w:t>10</w:t>
      </w:r>
      <w:r>
        <w:rPr>
          <w:rFonts w:hint="eastAsia" w:eastAsia="宋体"/>
          <w:snapToGrid w:val="0"/>
          <w:color w:val="auto"/>
          <w:sz w:val="24"/>
          <w:highlight w:val="none"/>
          <w:lang w:val="en-US" w:eastAsia="zh-CN"/>
        </w:rPr>
        <w:t>对于非专门面向中小企业的采购项目，既有本国产品也有非本国产品参与竞争，且提供本国产品的供应商同时为小微企业的，对该供应商的产品同时给予支持本国产品和小微企业产品的价格评审优惠。在供应商原始报价基础上计算，用扣除后的价格参与评审。</w:t>
      </w:r>
    </w:p>
    <w:p w14:paraId="6965E3CD">
      <w:pPr>
        <w:pStyle w:val="4"/>
        <w:keepNext/>
        <w:keepLines/>
        <w:pageBreakBefore w:val="0"/>
        <w:widowControl w:val="0"/>
        <w:numPr>
          <w:ilvl w:val="0"/>
          <w:numId w:val="0"/>
        </w:numPr>
        <w:kinsoku/>
        <w:wordWrap/>
        <w:overflowPunct/>
        <w:topLinePunct w:val="0"/>
        <w:autoSpaceDE/>
        <w:autoSpaceDN/>
        <w:bidi w:val="0"/>
        <w:adjustRightInd/>
        <w:snapToGrid/>
        <w:spacing w:before="160" w:after="160" w:line="360" w:lineRule="auto"/>
        <w:ind w:left="420" w:leftChars="0" w:hanging="420" w:firstLineChars="0"/>
        <w:jc w:val="both"/>
        <w:textAlignment w:val="auto"/>
        <w:rPr>
          <w:rFonts w:hint="eastAsia" w:ascii="宋体" w:hAnsi="宋体" w:eastAsia="宋体" w:cs="宋体"/>
          <w:b/>
          <w:bCs/>
          <w:color w:val="auto"/>
          <w:kern w:val="2"/>
          <w:sz w:val="24"/>
          <w:szCs w:val="24"/>
          <w:highlight w:val="none"/>
          <w:lang w:val="zh-CN" w:eastAsia="zh-CN" w:bidi="ar-SA"/>
        </w:rPr>
      </w:pPr>
      <w:bookmarkStart w:id="263" w:name="_Toc13511"/>
      <w:r>
        <w:rPr>
          <w:rFonts w:hint="eastAsia" w:ascii="宋体" w:hAnsi="宋体" w:eastAsia="宋体" w:cs="宋体"/>
          <w:b/>
          <w:bCs/>
          <w:color w:val="auto"/>
          <w:kern w:val="2"/>
          <w:sz w:val="24"/>
          <w:szCs w:val="24"/>
          <w:highlight w:val="none"/>
          <w:lang w:val="zh-CN" w:eastAsia="zh-CN" w:bidi="ar-SA"/>
        </w:rPr>
        <w:t>（</w:t>
      </w:r>
      <w:r>
        <w:rPr>
          <w:rFonts w:hint="eastAsia" w:ascii="宋体" w:hAnsi="宋体" w:eastAsia="宋体" w:cs="宋体"/>
          <w:b/>
          <w:bCs/>
          <w:color w:val="auto"/>
          <w:kern w:val="2"/>
          <w:sz w:val="24"/>
          <w:szCs w:val="24"/>
          <w:highlight w:val="none"/>
          <w:lang w:val="en-US" w:eastAsia="zh-CN" w:bidi="ar-SA"/>
        </w:rPr>
        <w:t>五</w:t>
      </w:r>
      <w:r>
        <w:rPr>
          <w:rFonts w:hint="eastAsia" w:ascii="宋体" w:hAnsi="宋体" w:eastAsia="宋体" w:cs="宋体"/>
          <w:b/>
          <w:bCs/>
          <w:color w:val="auto"/>
          <w:kern w:val="2"/>
          <w:sz w:val="24"/>
          <w:szCs w:val="24"/>
          <w:highlight w:val="none"/>
          <w:lang w:val="zh-CN" w:eastAsia="zh-CN" w:bidi="ar-SA"/>
        </w:rPr>
        <w:t>）评标得分及复核</w:t>
      </w:r>
      <w:bookmarkEnd w:id="263"/>
    </w:p>
    <w:p w14:paraId="7213831A">
      <w:pPr>
        <w:pStyle w:val="50"/>
        <w:keepNext w:val="0"/>
        <w:keepLines w:val="0"/>
        <w:pageBreakBefore w:val="0"/>
        <w:widowControl w:val="0"/>
        <w:kinsoku/>
        <w:wordWrap w:val="0"/>
        <w:overflowPunct/>
        <w:topLinePunct w:val="0"/>
        <w:autoSpaceDE/>
        <w:autoSpaceDN/>
        <w:bidi w:val="0"/>
        <w:adjustRightInd/>
        <w:snapToGrid/>
        <w:spacing w:line="460" w:lineRule="exact"/>
        <w:ind w:firstLine="482"/>
        <w:jc w:val="both"/>
        <w:textAlignment w:val="auto"/>
        <w:rPr>
          <w:rFonts w:hint="eastAsia"/>
          <w:color w:val="auto"/>
          <w:highlight w:val="none"/>
          <w:lang w:val="en-US" w:eastAsia="zh-CN"/>
        </w:rPr>
      </w:pPr>
      <w:r>
        <w:rPr>
          <w:rFonts w:hint="eastAsia"/>
          <w:color w:val="auto"/>
          <w:highlight w:val="none"/>
          <w:lang w:val="en-US" w:eastAsia="zh-CN"/>
        </w:rPr>
        <w:t>14.评标过程中，各项分值一般精确到小数点后两位，评标得分应为商务评分、技术评分、报价评分之和。评标委员会各成员应汇总每个投标人的得分。</w:t>
      </w:r>
    </w:p>
    <w:p w14:paraId="542749AC">
      <w:pPr>
        <w:pStyle w:val="50"/>
        <w:keepNext w:val="0"/>
        <w:keepLines w:val="0"/>
        <w:pageBreakBefore w:val="0"/>
        <w:widowControl w:val="0"/>
        <w:kinsoku/>
        <w:wordWrap w:val="0"/>
        <w:overflowPunct/>
        <w:topLinePunct w:val="0"/>
        <w:autoSpaceDE/>
        <w:autoSpaceDN/>
        <w:bidi w:val="0"/>
        <w:adjustRightInd/>
        <w:snapToGrid/>
        <w:spacing w:line="460" w:lineRule="exact"/>
        <w:ind w:firstLine="482"/>
        <w:jc w:val="both"/>
        <w:textAlignment w:val="auto"/>
        <w:rPr>
          <w:rFonts w:hint="eastAsia"/>
          <w:color w:val="auto"/>
          <w:highlight w:val="none"/>
          <w:lang w:val="en-US" w:eastAsia="zh-CN"/>
        </w:rPr>
      </w:pPr>
      <w:r>
        <w:rPr>
          <w:rFonts w:hint="eastAsia"/>
          <w:color w:val="auto"/>
          <w:highlight w:val="none"/>
          <w:lang w:val="en-US" w:eastAsia="zh-CN"/>
        </w:rPr>
        <w:t>14.1.评标结果汇总完成后，招标代理机构应对评标结果进行复核。经复核发现存在以下情形之一的，</w:t>
      </w:r>
      <w:r>
        <w:rPr>
          <w:rFonts w:hint="eastAsia"/>
          <w:iCs/>
          <w:color w:val="auto"/>
          <w:spacing w:val="-6"/>
          <w:sz w:val="24"/>
          <w:highlight w:val="none"/>
          <w:lang w:val="en-US" w:eastAsia="zh-CN"/>
        </w:rPr>
        <w:t>评标委员会应当当场修改评标结果，并在评标报告中记载</w:t>
      </w:r>
      <w:r>
        <w:rPr>
          <w:rFonts w:hint="eastAsia"/>
          <w:color w:val="auto"/>
          <w:highlight w:val="none"/>
          <w:lang w:val="en-US" w:eastAsia="zh-CN"/>
        </w:rPr>
        <w:t>：</w:t>
      </w:r>
    </w:p>
    <w:p w14:paraId="6AD2F841">
      <w:pPr>
        <w:pStyle w:val="50"/>
        <w:keepNext w:val="0"/>
        <w:keepLines w:val="0"/>
        <w:pageBreakBefore w:val="0"/>
        <w:widowControl w:val="0"/>
        <w:kinsoku/>
        <w:wordWrap w:val="0"/>
        <w:overflowPunct/>
        <w:topLinePunct w:val="0"/>
        <w:autoSpaceDE/>
        <w:autoSpaceDN/>
        <w:bidi w:val="0"/>
        <w:adjustRightInd/>
        <w:snapToGrid/>
        <w:spacing w:line="460" w:lineRule="exact"/>
        <w:ind w:firstLine="482"/>
        <w:jc w:val="both"/>
        <w:textAlignment w:val="auto"/>
        <w:rPr>
          <w:rFonts w:hint="eastAsia"/>
          <w:color w:val="auto"/>
          <w:highlight w:val="none"/>
          <w:lang w:val="en-US" w:eastAsia="zh-CN"/>
        </w:rPr>
      </w:pPr>
      <w:r>
        <w:rPr>
          <w:rFonts w:hint="eastAsia" w:cs="宋体"/>
          <w:iCs/>
          <w:color w:val="auto"/>
          <w:kern w:val="2"/>
          <w:sz w:val="24"/>
          <w:szCs w:val="24"/>
          <w:highlight w:val="none"/>
          <w:shd w:val="clear" w:color="auto" w:fill="FFFFFF"/>
          <w:lang w:val="en-US" w:eastAsia="zh-CN" w:bidi="ar-SA"/>
        </w:rPr>
        <w:t>（1）</w:t>
      </w:r>
      <w:r>
        <w:rPr>
          <w:rFonts w:hint="eastAsia"/>
          <w:color w:val="auto"/>
          <w:highlight w:val="none"/>
          <w:lang w:val="en-US" w:eastAsia="zh-CN"/>
        </w:rPr>
        <w:t>分值汇总计算错误的；</w:t>
      </w:r>
    </w:p>
    <w:p w14:paraId="24519933">
      <w:pPr>
        <w:pStyle w:val="50"/>
        <w:keepNext w:val="0"/>
        <w:keepLines w:val="0"/>
        <w:pageBreakBefore w:val="0"/>
        <w:widowControl w:val="0"/>
        <w:kinsoku/>
        <w:wordWrap w:val="0"/>
        <w:overflowPunct/>
        <w:topLinePunct w:val="0"/>
        <w:autoSpaceDE/>
        <w:autoSpaceDN/>
        <w:bidi w:val="0"/>
        <w:adjustRightInd/>
        <w:snapToGrid/>
        <w:spacing w:line="460" w:lineRule="exact"/>
        <w:ind w:firstLine="482"/>
        <w:jc w:val="both"/>
        <w:textAlignment w:val="auto"/>
        <w:rPr>
          <w:rFonts w:hint="eastAsia"/>
          <w:color w:val="auto"/>
          <w:highlight w:val="none"/>
          <w:lang w:val="en-US" w:eastAsia="zh-CN"/>
        </w:rPr>
      </w:pPr>
      <w:r>
        <w:rPr>
          <w:rFonts w:hint="eastAsia"/>
          <w:color w:val="auto"/>
          <w:highlight w:val="none"/>
          <w:lang w:val="en-US" w:eastAsia="zh-CN"/>
        </w:rPr>
        <w:t>（2）分项评分超出评分标准范围的；</w:t>
      </w:r>
    </w:p>
    <w:p w14:paraId="4A12C8DF">
      <w:pPr>
        <w:pStyle w:val="50"/>
        <w:keepNext w:val="0"/>
        <w:keepLines w:val="0"/>
        <w:pageBreakBefore w:val="0"/>
        <w:widowControl w:val="0"/>
        <w:kinsoku/>
        <w:wordWrap w:val="0"/>
        <w:overflowPunct/>
        <w:topLinePunct w:val="0"/>
        <w:autoSpaceDE/>
        <w:autoSpaceDN/>
        <w:bidi w:val="0"/>
        <w:adjustRightInd/>
        <w:snapToGrid/>
        <w:spacing w:line="460" w:lineRule="exact"/>
        <w:ind w:firstLine="482"/>
        <w:jc w:val="both"/>
        <w:textAlignment w:val="auto"/>
        <w:rPr>
          <w:rFonts w:hint="eastAsia"/>
          <w:color w:val="auto"/>
          <w:highlight w:val="none"/>
          <w:lang w:val="en-US" w:eastAsia="zh-CN"/>
        </w:rPr>
      </w:pPr>
      <w:r>
        <w:rPr>
          <w:rFonts w:hint="eastAsia"/>
          <w:color w:val="auto"/>
          <w:highlight w:val="none"/>
          <w:lang w:val="en-US" w:eastAsia="zh-CN"/>
        </w:rPr>
        <w:t>（3）评标委员会成员对客观评审因素评分不一致的；</w:t>
      </w:r>
    </w:p>
    <w:p w14:paraId="12F22B91">
      <w:pPr>
        <w:pStyle w:val="50"/>
        <w:keepNext w:val="0"/>
        <w:keepLines w:val="0"/>
        <w:pageBreakBefore w:val="0"/>
        <w:widowControl w:val="0"/>
        <w:kinsoku/>
        <w:wordWrap w:val="0"/>
        <w:overflowPunct/>
        <w:topLinePunct w:val="0"/>
        <w:autoSpaceDE/>
        <w:autoSpaceDN/>
        <w:bidi w:val="0"/>
        <w:adjustRightInd/>
        <w:snapToGrid/>
        <w:spacing w:line="460" w:lineRule="exact"/>
        <w:ind w:firstLine="482"/>
        <w:jc w:val="both"/>
        <w:textAlignment w:val="auto"/>
        <w:rPr>
          <w:rFonts w:hint="eastAsia"/>
          <w:color w:val="auto"/>
          <w:highlight w:val="none"/>
          <w:lang w:val="en-US" w:eastAsia="zh-CN"/>
        </w:rPr>
      </w:pPr>
      <w:r>
        <w:rPr>
          <w:rFonts w:hint="eastAsia"/>
          <w:color w:val="auto"/>
          <w:highlight w:val="none"/>
          <w:lang w:val="en-US" w:eastAsia="zh-CN"/>
        </w:rPr>
        <w:t>（4）经评标委员会认定评分畸高、畸低的。</w:t>
      </w:r>
    </w:p>
    <w:p w14:paraId="7FBEE43D">
      <w:pPr>
        <w:pStyle w:val="50"/>
        <w:keepNext w:val="0"/>
        <w:keepLines w:val="0"/>
        <w:pageBreakBefore w:val="0"/>
        <w:widowControl w:val="0"/>
        <w:kinsoku/>
        <w:wordWrap w:val="0"/>
        <w:overflowPunct/>
        <w:topLinePunct w:val="0"/>
        <w:autoSpaceDE/>
        <w:autoSpaceDN/>
        <w:bidi w:val="0"/>
        <w:adjustRightInd/>
        <w:snapToGrid/>
        <w:spacing w:line="460" w:lineRule="exact"/>
        <w:ind w:firstLine="482"/>
        <w:jc w:val="both"/>
        <w:textAlignment w:val="auto"/>
        <w:rPr>
          <w:rFonts w:hint="eastAsia"/>
          <w:color w:val="auto"/>
          <w:highlight w:val="none"/>
          <w:lang w:val="en-US" w:eastAsia="zh-CN"/>
        </w:rPr>
      </w:pPr>
      <w:r>
        <w:rPr>
          <w:rFonts w:hint="eastAsia"/>
          <w:color w:val="auto"/>
          <w:highlight w:val="none"/>
          <w:lang w:val="en-US" w:eastAsia="zh-CN"/>
        </w:rPr>
        <w:t>15.各投标人的最终得分为评标委员会所有成员对各投标人评标得分汇总后的算术平均值。</w:t>
      </w:r>
    </w:p>
    <w:p w14:paraId="59E5F712">
      <w:pPr>
        <w:pStyle w:val="50"/>
        <w:keepNext w:val="0"/>
        <w:keepLines w:val="0"/>
        <w:pageBreakBefore w:val="0"/>
        <w:widowControl w:val="0"/>
        <w:kinsoku/>
        <w:wordWrap w:val="0"/>
        <w:overflowPunct/>
        <w:topLinePunct w:val="0"/>
        <w:autoSpaceDE/>
        <w:autoSpaceDN/>
        <w:bidi w:val="0"/>
        <w:adjustRightInd/>
        <w:snapToGrid/>
        <w:spacing w:line="460" w:lineRule="exact"/>
        <w:ind w:firstLine="482"/>
        <w:jc w:val="both"/>
        <w:textAlignment w:val="auto"/>
        <w:rPr>
          <w:rFonts w:hint="eastAsia"/>
          <w:color w:val="auto"/>
          <w:highlight w:val="none"/>
          <w:lang w:val="en-US" w:eastAsia="zh-CN"/>
        </w:rPr>
      </w:pPr>
      <w:r>
        <w:rPr>
          <w:rFonts w:hint="eastAsia"/>
          <w:color w:val="auto"/>
          <w:highlight w:val="none"/>
          <w:lang w:val="en-US" w:eastAsia="zh-CN"/>
        </w:rPr>
        <w:t>15.1除分值汇总计算错误、分项评分超出评分标准范围、客观分评分不一致、经评标委员会一致认定评分畸高、畸低的情形外，招标人或者招标代理机构不得以任何理由组织重新评审。招标人、招标代理机构发现评标委员会未按照招标文件规定的评审标准进行评审的，应当重新开展采购活动，并同时书面报告本级财政部门。</w:t>
      </w:r>
    </w:p>
    <w:p w14:paraId="7CEF08FB">
      <w:pPr>
        <w:pStyle w:val="50"/>
        <w:keepNext w:val="0"/>
        <w:keepLines w:val="0"/>
        <w:pageBreakBefore w:val="0"/>
        <w:widowControl w:val="0"/>
        <w:kinsoku/>
        <w:wordWrap w:val="0"/>
        <w:overflowPunct/>
        <w:topLinePunct w:val="0"/>
        <w:autoSpaceDE/>
        <w:autoSpaceDN/>
        <w:bidi w:val="0"/>
        <w:adjustRightInd/>
        <w:snapToGrid/>
        <w:spacing w:line="460" w:lineRule="exact"/>
        <w:ind w:firstLine="482"/>
        <w:jc w:val="both"/>
        <w:textAlignment w:val="auto"/>
        <w:rPr>
          <w:rFonts w:hint="eastAsia"/>
          <w:color w:val="auto"/>
          <w:highlight w:val="none"/>
          <w:lang w:val="en-US" w:eastAsia="zh-CN"/>
        </w:rPr>
      </w:pPr>
      <w:r>
        <w:rPr>
          <w:rFonts w:hint="eastAsia"/>
          <w:color w:val="auto"/>
          <w:highlight w:val="none"/>
          <w:lang w:val="en-US" w:eastAsia="zh-CN"/>
        </w:rPr>
        <w:t>15.2招标人或者招标代理机构不得通过对样品进行检测、对投标人进行考察等方式改变评审结果。</w:t>
      </w:r>
    </w:p>
    <w:p w14:paraId="43F755AA">
      <w:pPr>
        <w:pStyle w:val="4"/>
        <w:keepNext/>
        <w:keepLines/>
        <w:pageBreakBefore w:val="0"/>
        <w:widowControl w:val="0"/>
        <w:numPr>
          <w:ilvl w:val="0"/>
          <w:numId w:val="0"/>
        </w:numPr>
        <w:kinsoku/>
        <w:wordWrap/>
        <w:overflowPunct/>
        <w:topLinePunct w:val="0"/>
        <w:autoSpaceDE/>
        <w:autoSpaceDN/>
        <w:bidi w:val="0"/>
        <w:adjustRightInd/>
        <w:snapToGrid/>
        <w:spacing w:before="160" w:after="160" w:line="360" w:lineRule="auto"/>
        <w:ind w:left="420" w:leftChars="0" w:hanging="420" w:firstLineChars="0"/>
        <w:jc w:val="both"/>
        <w:textAlignment w:val="auto"/>
        <w:rPr>
          <w:rFonts w:hint="eastAsia" w:ascii="宋体" w:hAnsi="宋体" w:eastAsia="宋体" w:cs="宋体"/>
          <w:b/>
          <w:bCs/>
          <w:color w:val="auto"/>
          <w:kern w:val="2"/>
          <w:sz w:val="24"/>
          <w:szCs w:val="24"/>
          <w:highlight w:val="none"/>
          <w:lang w:val="zh-CN" w:eastAsia="zh-CN" w:bidi="ar-SA"/>
        </w:rPr>
      </w:pPr>
      <w:bookmarkStart w:id="264" w:name="_Toc17225"/>
      <w:r>
        <w:rPr>
          <w:rFonts w:hint="eastAsia" w:ascii="宋体" w:hAnsi="宋体" w:eastAsia="宋体" w:cs="宋体"/>
          <w:b/>
          <w:bCs/>
          <w:color w:val="auto"/>
          <w:kern w:val="2"/>
          <w:sz w:val="24"/>
          <w:szCs w:val="24"/>
          <w:highlight w:val="none"/>
          <w:lang w:val="zh-CN" w:eastAsia="zh-CN" w:bidi="ar-SA"/>
        </w:rPr>
        <w:t>（</w:t>
      </w:r>
      <w:r>
        <w:rPr>
          <w:rFonts w:hint="eastAsia" w:ascii="宋体" w:hAnsi="宋体" w:eastAsia="宋体" w:cs="宋体"/>
          <w:b/>
          <w:bCs/>
          <w:color w:val="auto"/>
          <w:kern w:val="2"/>
          <w:sz w:val="24"/>
          <w:szCs w:val="24"/>
          <w:highlight w:val="none"/>
          <w:lang w:val="en-US" w:eastAsia="zh-CN" w:bidi="ar-SA"/>
        </w:rPr>
        <w:t>六</w:t>
      </w:r>
      <w:r>
        <w:rPr>
          <w:rFonts w:hint="eastAsia" w:ascii="宋体" w:hAnsi="宋体" w:eastAsia="宋体" w:cs="宋体"/>
          <w:b/>
          <w:bCs/>
          <w:color w:val="auto"/>
          <w:kern w:val="2"/>
          <w:sz w:val="24"/>
          <w:szCs w:val="24"/>
          <w:highlight w:val="none"/>
          <w:lang w:val="zh-CN" w:eastAsia="zh-CN" w:bidi="ar-SA"/>
        </w:rPr>
        <w:t>）排序与推荐</w:t>
      </w:r>
      <w:bookmarkEnd w:id="264"/>
    </w:p>
    <w:p w14:paraId="1D04B859">
      <w:pPr>
        <w:pStyle w:val="50"/>
        <w:jc w:val="both"/>
        <w:rPr>
          <w:rFonts w:hint="eastAsia"/>
          <w:color w:val="auto"/>
          <w:highlight w:val="none"/>
        </w:rPr>
      </w:pPr>
      <w:r>
        <w:rPr>
          <w:rFonts w:hint="eastAsia"/>
          <w:color w:val="auto"/>
          <w:highlight w:val="none"/>
          <w:lang w:val="en-US" w:eastAsia="zh-CN"/>
        </w:rPr>
        <w:t>16.</w:t>
      </w:r>
      <w:r>
        <w:rPr>
          <w:rFonts w:hint="eastAsia"/>
          <w:color w:val="auto"/>
          <w:highlight w:val="none"/>
        </w:rPr>
        <w:t>评标结果按评审后得分由高到低顺序排列。投标文件满足招标文件全部实质性要求，且按照评审因素的量化指标评审得分最高的投标人为排名第一的中标候选人。得分相同的，按投标报价由低到高顺序排列。得分且投标报价相同的，</w:t>
      </w:r>
      <w:r>
        <w:rPr>
          <w:rFonts w:hint="eastAsia"/>
          <w:color w:val="auto"/>
          <w:highlight w:val="none"/>
          <w:lang w:val="en-US" w:eastAsia="zh-CN"/>
        </w:rPr>
        <w:t>按</w:t>
      </w:r>
      <w:r>
        <w:rPr>
          <w:rFonts w:hint="eastAsia"/>
          <w:color w:val="auto"/>
          <w:highlight w:val="none"/>
        </w:rPr>
        <w:t>技术指标</w:t>
      </w:r>
      <w:r>
        <w:rPr>
          <w:rFonts w:hint="eastAsia"/>
          <w:color w:val="auto"/>
          <w:highlight w:val="none"/>
          <w:lang w:val="en-US" w:eastAsia="zh-CN"/>
        </w:rPr>
        <w:t>优劣顺序排列</w:t>
      </w:r>
      <w:r>
        <w:rPr>
          <w:rFonts w:hint="eastAsia"/>
          <w:color w:val="auto"/>
          <w:highlight w:val="none"/>
        </w:rPr>
        <w:t>。</w:t>
      </w:r>
    </w:p>
    <w:p w14:paraId="43CFE053">
      <w:pPr>
        <w:pStyle w:val="50"/>
        <w:jc w:val="both"/>
        <w:rPr>
          <w:color w:val="auto"/>
          <w:highlight w:val="none"/>
        </w:rPr>
      </w:pPr>
      <w:r>
        <w:rPr>
          <w:rFonts w:hint="eastAsia"/>
          <w:color w:val="auto"/>
          <w:highlight w:val="none"/>
          <w:lang w:val="en-US" w:eastAsia="zh-CN"/>
        </w:rPr>
        <w:t>17.</w:t>
      </w:r>
      <w:r>
        <w:rPr>
          <w:rFonts w:hint="eastAsia"/>
          <w:color w:val="auto"/>
          <w:highlight w:val="none"/>
        </w:rPr>
        <w:t>中标候选人</w:t>
      </w:r>
      <w:r>
        <w:rPr>
          <w:rFonts w:hint="eastAsia"/>
          <w:color w:val="auto"/>
          <w:highlight w:val="none"/>
          <w:lang w:val="en-US" w:eastAsia="zh-CN"/>
        </w:rPr>
        <w:t>推荐家数详</w:t>
      </w:r>
      <w:r>
        <w:rPr>
          <w:rFonts w:hint="eastAsia"/>
          <w:color w:val="auto"/>
          <w:highlight w:val="none"/>
        </w:rPr>
        <w:t>见“</w:t>
      </w:r>
      <w:r>
        <w:rPr>
          <w:rFonts w:hint="eastAsia"/>
          <w:color w:val="auto"/>
          <w:highlight w:val="none"/>
          <w:lang w:val="en-US" w:eastAsia="zh-CN"/>
        </w:rPr>
        <w:t>投标人须知</w:t>
      </w:r>
      <w:r>
        <w:rPr>
          <w:rFonts w:hint="eastAsia"/>
          <w:color w:val="auto"/>
          <w:highlight w:val="none"/>
        </w:rPr>
        <w:t>前附表”。</w:t>
      </w:r>
    </w:p>
    <w:p w14:paraId="7D485B78">
      <w:pPr>
        <w:pStyle w:val="4"/>
        <w:keepNext/>
        <w:keepLines/>
        <w:pageBreakBefore w:val="0"/>
        <w:widowControl w:val="0"/>
        <w:numPr>
          <w:ilvl w:val="0"/>
          <w:numId w:val="0"/>
        </w:numPr>
        <w:kinsoku/>
        <w:wordWrap/>
        <w:overflowPunct/>
        <w:topLinePunct w:val="0"/>
        <w:autoSpaceDE/>
        <w:autoSpaceDN/>
        <w:bidi w:val="0"/>
        <w:adjustRightInd/>
        <w:snapToGrid/>
        <w:spacing w:before="160" w:after="160" w:line="360" w:lineRule="auto"/>
        <w:ind w:left="420" w:leftChars="0" w:hanging="420" w:firstLineChars="0"/>
        <w:jc w:val="both"/>
        <w:textAlignment w:val="auto"/>
        <w:rPr>
          <w:rFonts w:hint="eastAsia" w:ascii="宋体" w:hAnsi="宋体" w:eastAsia="宋体" w:cs="宋体"/>
          <w:b/>
          <w:bCs/>
          <w:color w:val="auto"/>
          <w:kern w:val="2"/>
          <w:sz w:val="24"/>
          <w:szCs w:val="24"/>
          <w:highlight w:val="none"/>
          <w:lang w:val="zh-CN" w:eastAsia="zh-CN" w:bidi="ar-SA"/>
        </w:rPr>
      </w:pPr>
      <w:bookmarkStart w:id="265" w:name="_Toc21574"/>
      <w:r>
        <w:rPr>
          <w:rFonts w:hint="eastAsia" w:ascii="宋体" w:hAnsi="宋体" w:eastAsia="宋体" w:cs="宋体"/>
          <w:b/>
          <w:bCs/>
          <w:color w:val="auto"/>
          <w:kern w:val="2"/>
          <w:sz w:val="24"/>
          <w:szCs w:val="24"/>
          <w:highlight w:val="none"/>
          <w:lang w:val="zh-CN" w:eastAsia="zh-CN" w:bidi="ar-SA"/>
        </w:rPr>
        <w:t>（</w:t>
      </w:r>
      <w:r>
        <w:rPr>
          <w:rFonts w:hint="eastAsia" w:ascii="宋体" w:hAnsi="宋体" w:eastAsia="宋体" w:cs="宋体"/>
          <w:b/>
          <w:bCs/>
          <w:color w:val="auto"/>
          <w:kern w:val="2"/>
          <w:sz w:val="24"/>
          <w:szCs w:val="24"/>
          <w:highlight w:val="none"/>
          <w:lang w:val="en-US" w:eastAsia="zh-CN" w:bidi="ar-SA"/>
        </w:rPr>
        <w:t>七</w:t>
      </w:r>
      <w:r>
        <w:rPr>
          <w:rFonts w:hint="eastAsia" w:ascii="宋体" w:hAnsi="宋体" w:eastAsia="宋体" w:cs="宋体"/>
          <w:b/>
          <w:bCs/>
          <w:color w:val="auto"/>
          <w:kern w:val="2"/>
          <w:sz w:val="24"/>
          <w:szCs w:val="24"/>
          <w:highlight w:val="none"/>
          <w:lang w:val="zh-CN" w:eastAsia="zh-CN" w:bidi="ar-SA"/>
        </w:rPr>
        <w:t>）编写评标报告</w:t>
      </w:r>
      <w:bookmarkEnd w:id="265"/>
    </w:p>
    <w:p w14:paraId="50522338">
      <w:pPr>
        <w:pStyle w:val="50"/>
        <w:jc w:val="both"/>
        <w:rPr>
          <w:color w:val="auto"/>
          <w:highlight w:val="none"/>
        </w:rPr>
      </w:pPr>
      <w:r>
        <w:rPr>
          <w:rFonts w:hint="eastAsia"/>
          <w:color w:val="auto"/>
          <w:highlight w:val="none"/>
          <w:lang w:val="en-US" w:eastAsia="zh-CN"/>
        </w:rPr>
        <w:t>18.</w:t>
      </w:r>
      <w:r>
        <w:rPr>
          <w:rFonts w:hint="eastAsia"/>
          <w:color w:val="auto"/>
          <w:highlight w:val="none"/>
        </w:rPr>
        <w:t>评标委员会根据全体评标成员签字的原始评标记录和评标结果编写评标报告。评标委员会应当在评标报告上签名，对自己的评审意见承担法律责任。评标委员会成员对需要共同认定的事项存在争议的，应当按照少数服从多数的原则作出结论。持不同意见的评标委员会成员应当在评标报告上签署不同意见，并说明理由，否则视为同意评标报告。</w:t>
      </w:r>
    </w:p>
    <w:p w14:paraId="0740BE34">
      <w:pPr>
        <w:pStyle w:val="4"/>
        <w:keepNext/>
        <w:keepLines/>
        <w:pageBreakBefore w:val="0"/>
        <w:widowControl w:val="0"/>
        <w:numPr>
          <w:ilvl w:val="0"/>
          <w:numId w:val="0"/>
        </w:numPr>
        <w:kinsoku/>
        <w:wordWrap/>
        <w:overflowPunct/>
        <w:topLinePunct w:val="0"/>
        <w:autoSpaceDE/>
        <w:autoSpaceDN/>
        <w:bidi w:val="0"/>
        <w:adjustRightInd/>
        <w:snapToGrid/>
        <w:spacing w:before="160" w:after="160" w:line="360" w:lineRule="auto"/>
        <w:ind w:left="420" w:leftChars="0" w:hanging="420" w:firstLineChars="0"/>
        <w:jc w:val="both"/>
        <w:textAlignment w:val="auto"/>
        <w:rPr>
          <w:rFonts w:hint="eastAsia" w:ascii="宋体" w:hAnsi="宋体" w:eastAsia="宋体" w:cs="宋体"/>
          <w:b/>
          <w:bCs/>
          <w:color w:val="auto"/>
          <w:kern w:val="2"/>
          <w:sz w:val="24"/>
          <w:szCs w:val="24"/>
          <w:highlight w:val="none"/>
          <w:lang w:val="zh-CN" w:eastAsia="zh-CN" w:bidi="ar-SA"/>
        </w:rPr>
      </w:pPr>
      <w:bookmarkStart w:id="266" w:name="_Toc102057717"/>
      <w:bookmarkStart w:id="267" w:name="_Toc102116151"/>
      <w:bookmarkStart w:id="268" w:name="_Toc102056217"/>
      <w:bookmarkStart w:id="269" w:name="_Toc102116021"/>
      <w:bookmarkStart w:id="270" w:name="_Toc1587"/>
      <w:bookmarkStart w:id="271" w:name="_Toc102114919"/>
      <w:bookmarkStart w:id="272" w:name="_Toc102119852"/>
      <w:bookmarkStart w:id="273" w:name="_Toc155185913"/>
      <w:bookmarkStart w:id="274" w:name="_Toc163492906"/>
      <w:r>
        <w:rPr>
          <w:rFonts w:hint="eastAsia" w:ascii="宋体" w:hAnsi="宋体" w:eastAsia="宋体" w:cs="宋体"/>
          <w:b/>
          <w:bCs/>
          <w:color w:val="auto"/>
          <w:kern w:val="2"/>
          <w:sz w:val="24"/>
          <w:szCs w:val="24"/>
          <w:highlight w:val="none"/>
          <w:lang w:val="zh-CN" w:eastAsia="zh-CN" w:bidi="ar-SA"/>
        </w:rPr>
        <w:t>（</w:t>
      </w:r>
      <w:r>
        <w:rPr>
          <w:rFonts w:hint="eastAsia" w:ascii="宋体" w:hAnsi="宋体" w:eastAsia="宋体" w:cs="宋体"/>
          <w:b/>
          <w:bCs/>
          <w:color w:val="auto"/>
          <w:kern w:val="2"/>
          <w:sz w:val="24"/>
          <w:szCs w:val="24"/>
          <w:highlight w:val="none"/>
          <w:lang w:val="en-US" w:eastAsia="zh-CN" w:bidi="ar-SA"/>
        </w:rPr>
        <w:t>八</w:t>
      </w:r>
      <w:r>
        <w:rPr>
          <w:rFonts w:hint="eastAsia" w:ascii="宋体" w:hAnsi="宋体" w:eastAsia="宋体" w:cs="宋体"/>
          <w:b/>
          <w:bCs/>
          <w:color w:val="auto"/>
          <w:kern w:val="2"/>
          <w:sz w:val="24"/>
          <w:szCs w:val="24"/>
          <w:highlight w:val="none"/>
          <w:lang w:val="zh-CN" w:eastAsia="zh-CN" w:bidi="ar-SA"/>
        </w:rPr>
        <w:t>）</w:t>
      </w:r>
      <w:r>
        <w:rPr>
          <w:rFonts w:hint="eastAsia" w:ascii="宋体" w:hAnsi="宋体" w:eastAsia="宋体" w:cs="宋体"/>
          <w:b/>
          <w:bCs/>
          <w:color w:val="auto"/>
          <w:kern w:val="2"/>
          <w:sz w:val="24"/>
          <w:szCs w:val="24"/>
          <w:highlight w:val="none"/>
          <w:lang w:val="en-US" w:eastAsia="zh-CN" w:bidi="ar-SA"/>
        </w:rPr>
        <w:t>投标无效及</w:t>
      </w:r>
      <w:r>
        <w:rPr>
          <w:rFonts w:hint="eastAsia" w:ascii="宋体" w:hAnsi="宋体" w:eastAsia="宋体" w:cs="宋体"/>
          <w:b/>
          <w:bCs/>
          <w:color w:val="auto"/>
          <w:kern w:val="2"/>
          <w:sz w:val="24"/>
          <w:szCs w:val="24"/>
          <w:highlight w:val="none"/>
          <w:lang w:val="zh-CN" w:eastAsia="zh-CN" w:bidi="ar-SA"/>
        </w:rPr>
        <w:t>应予废标的情形</w:t>
      </w:r>
      <w:bookmarkEnd w:id="266"/>
      <w:bookmarkEnd w:id="267"/>
      <w:bookmarkEnd w:id="268"/>
      <w:bookmarkEnd w:id="269"/>
      <w:bookmarkEnd w:id="270"/>
      <w:bookmarkEnd w:id="271"/>
      <w:bookmarkEnd w:id="272"/>
      <w:bookmarkEnd w:id="273"/>
      <w:bookmarkEnd w:id="274"/>
    </w:p>
    <w:p w14:paraId="270769A4">
      <w:pPr>
        <w:pStyle w:val="50"/>
        <w:keepNext w:val="0"/>
        <w:keepLines w:val="0"/>
        <w:pageBreakBefore w:val="0"/>
        <w:widowControl w:val="0"/>
        <w:kinsoku/>
        <w:wordWrap w:val="0"/>
        <w:overflowPunct/>
        <w:topLinePunct w:val="0"/>
        <w:autoSpaceDE/>
        <w:autoSpaceDN/>
        <w:bidi w:val="0"/>
        <w:adjustRightInd/>
        <w:snapToGrid/>
        <w:spacing w:line="460" w:lineRule="exact"/>
        <w:ind w:firstLine="482"/>
        <w:jc w:val="both"/>
        <w:textAlignment w:val="auto"/>
        <w:rPr>
          <w:rFonts w:hint="eastAsia"/>
          <w:color w:val="auto"/>
          <w:highlight w:val="none"/>
          <w:lang w:val="en-US" w:eastAsia="zh-CN"/>
        </w:rPr>
      </w:pPr>
      <w:r>
        <w:rPr>
          <w:rFonts w:hint="eastAsia"/>
          <w:color w:val="auto"/>
          <w:highlight w:val="none"/>
          <w:lang w:val="en-US" w:eastAsia="zh-CN"/>
        </w:rPr>
        <w:t>19.投标人存在下列情形之一的，</w:t>
      </w:r>
      <w:r>
        <w:rPr>
          <w:rFonts w:hint="eastAsia"/>
          <w:b/>
          <w:bCs/>
          <w:color w:val="auto"/>
          <w:highlight w:val="none"/>
          <w:lang w:val="en-US" w:eastAsia="zh-CN"/>
        </w:rPr>
        <w:t>投标无效</w:t>
      </w:r>
      <w:r>
        <w:rPr>
          <w:rFonts w:hint="eastAsia"/>
          <w:color w:val="auto"/>
          <w:highlight w:val="none"/>
          <w:lang w:val="en-US" w:eastAsia="zh-CN"/>
        </w:rPr>
        <w:t>：</w:t>
      </w:r>
    </w:p>
    <w:p w14:paraId="51E8BFF1">
      <w:pPr>
        <w:pStyle w:val="50"/>
        <w:keepNext w:val="0"/>
        <w:keepLines w:val="0"/>
        <w:pageBreakBefore w:val="0"/>
        <w:widowControl w:val="0"/>
        <w:kinsoku/>
        <w:wordWrap w:val="0"/>
        <w:overflowPunct/>
        <w:topLinePunct w:val="0"/>
        <w:autoSpaceDE/>
        <w:autoSpaceDN/>
        <w:bidi w:val="0"/>
        <w:adjustRightInd/>
        <w:snapToGrid/>
        <w:spacing w:line="460" w:lineRule="exact"/>
        <w:ind w:firstLine="482"/>
        <w:jc w:val="both"/>
        <w:textAlignment w:val="auto"/>
        <w:rPr>
          <w:rFonts w:hint="eastAsia"/>
          <w:color w:val="auto"/>
          <w:highlight w:val="none"/>
          <w:lang w:val="zh-CN" w:eastAsia="zh-CN"/>
        </w:rPr>
      </w:pPr>
      <w:r>
        <w:rPr>
          <w:rFonts w:hint="eastAsia"/>
          <w:color w:val="auto"/>
          <w:highlight w:val="none"/>
          <w:lang w:val="en-US" w:eastAsia="zh-CN"/>
        </w:rPr>
        <w:t>19.</w:t>
      </w:r>
      <w:r>
        <w:rPr>
          <w:rFonts w:hint="eastAsia"/>
          <w:color w:val="auto"/>
          <w:highlight w:val="none"/>
          <w:lang w:val="zh-CN" w:eastAsia="zh-CN"/>
        </w:rPr>
        <w:t>1</w:t>
      </w:r>
      <w:r>
        <w:rPr>
          <w:rFonts w:hint="eastAsia"/>
          <w:color w:val="auto"/>
          <w:highlight w:val="none"/>
          <w:lang w:val="en-US" w:eastAsia="zh-CN"/>
        </w:rPr>
        <w:t>投标人</w:t>
      </w:r>
      <w:r>
        <w:rPr>
          <w:rFonts w:hint="eastAsia"/>
          <w:color w:val="auto"/>
          <w:highlight w:val="none"/>
          <w:lang w:val="zh-CN" w:eastAsia="zh-CN"/>
        </w:rPr>
        <w:t>不具备《中华人民共和国政府采购法》第二十二条规定条件</w:t>
      </w:r>
      <w:r>
        <w:rPr>
          <w:rFonts w:hint="eastAsia"/>
          <w:color w:val="auto"/>
          <w:highlight w:val="none"/>
          <w:lang w:val="en-US" w:eastAsia="zh-CN"/>
        </w:rPr>
        <w:t>；</w:t>
      </w:r>
    </w:p>
    <w:p w14:paraId="30B223F8">
      <w:pPr>
        <w:pStyle w:val="50"/>
        <w:keepNext w:val="0"/>
        <w:keepLines w:val="0"/>
        <w:pageBreakBefore w:val="0"/>
        <w:widowControl w:val="0"/>
        <w:kinsoku/>
        <w:wordWrap w:val="0"/>
        <w:overflowPunct/>
        <w:topLinePunct w:val="0"/>
        <w:autoSpaceDE/>
        <w:autoSpaceDN/>
        <w:bidi w:val="0"/>
        <w:adjustRightInd/>
        <w:snapToGrid/>
        <w:spacing w:line="460" w:lineRule="exact"/>
        <w:ind w:firstLine="482"/>
        <w:jc w:val="both"/>
        <w:textAlignment w:val="auto"/>
        <w:rPr>
          <w:rFonts w:hint="eastAsia" w:eastAsia="宋体"/>
          <w:color w:val="auto"/>
          <w:highlight w:val="none"/>
          <w:lang w:val="en-US" w:eastAsia="zh-CN"/>
        </w:rPr>
      </w:pPr>
      <w:r>
        <w:rPr>
          <w:rFonts w:hint="eastAsia"/>
          <w:color w:val="auto"/>
          <w:highlight w:val="none"/>
          <w:lang w:val="en-US" w:eastAsia="zh-CN"/>
        </w:rPr>
        <w:t>19.</w:t>
      </w:r>
      <w:r>
        <w:rPr>
          <w:rFonts w:hint="eastAsia"/>
          <w:color w:val="auto"/>
          <w:highlight w:val="none"/>
          <w:lang w:val="zh-CN" w:eastAsia="zh-CN"/>
        </w:rPr>
        <w:t>2</w:t>
      </w:r>
      <w:r>
        <w:rPr>
          <w:rFonts w:hint="eastAsia"/>
          <w:color w:val="auto"/>
          <w:highlight w:val="none"/>
        </w:rPr>
        <w:t>投标文件未按招标文件要求签署、盖章的</w:t>
      </w:r>
      <w:r>
        <w:rPr>
          <w:rFonts w:hint="eastAsia"/>
          <w:color w:val="auto"/>
          <w:highlight w:val="none"/>
          <w:lang w:val="en-US" w:eastAsia="zh-CN"/>
        </w:rPr>
        <w:t>；</w:t>
      </w:r>
    </w:p>
    <w:p w14:paraId="787D95F0">
      <w:pPr>
        <w:pStyle w:val="50"/>
        <w:keepNext w:val="0"/>
        <w:keepLines w:val="0"/>
        <w:pageBreakBefore w:val="0"/>
        <w:widowControl w:val="0"/>
        <w:kinsoku/>
        <w:wordWrap w:val="0"/>
        <w:overflowPunct/>
        <w:topLinePunct w:val="0"/>
        <w:autoSpaceDE/>
        <w:autoSpaceDN/>
        <w:bidi w:val="0"/>
        <w:adjustRightInd/>
        <w:snapToGrid/>
        <w:spacing w:line="460" w:lineRule="exact"/>
        <w:ind w:firstLine="482"/>
        <w:jc w:val="both"/>
        <w:textAlignment w:val="auto"/>
        <w:rPr>
          <w:rFonts w:hint="eastAsia"/>
          <w:color w:val="auto"/>
          <w:highlight w:val="none"/>
          <w:lang w:val="en-US" w:eastAsia="zh-CN"/>
        </w:rPr>
      </w:pPr>
      <w:r>
        <w:rPr>
          <w:rFonts w:hint="eastAsia"/>
          <w:color w:val="auto"/>
          <w:highlight w:val="none"/>
          <w:lang w:val="en-US" w:eastAsia="zh-CN"/>
        </w:rPr>
        <w:t>19.</w:t>
      </w:r>
      <w:r>
        <w:rPr>
          <w:rFonts w:hint="eastAsia"/>
          <w:color w:val="auto"/>
          <w:highlight w:val="none"/>
          <w:lang w:val="zh-CN" w:eastAsia="zh-CN"/>
        </w:rPr>
        <w:t>3</w:t>
      </w:r>
      <w:r>
        <w:rPr>
          <w:rFonts w:hint="eastAsia"/>
          <w:color w:val="auto"/>
          <w:highlight w:val="none"/>
          <w:lang w:val="en-US" w:eastAsia="zh-CN"/>
        </w:rPr>
        <w:t>不具备招标文件中规定的资格要求的（投标人未提供有效资格文件的，视为投标人不具备招标文件中规定的资格要求）；</w:t>
      </w:r>
    </w:p>
    <w:p w14:paraId="5004C011">
      <w:pPr>
        <w:pStyle w:val="50"/>
        <w:keepNext w:val="0"/>
        <w:keepLines w:val="0"/>
        <w:pageBreakBefore w:val="0"/>
        <w:widowControl w:val="0"/>
        <w:kinsoku/>
        <w:wordWrap w:val="0"/>
        <w:overflowPunct/>
        <w:topLinePunct w:val="0"/>
        <w:autoSpaceDE/>
        <w:autoSpaceDN/>
        <w:bidi w:val="0"/>
        <w:adjustRightInd/>
        <w:snapToGrid/>
        <w:spacing w:line="460" w:lineRule="exact"/>
        <w:ind w:firstLine="482"/>
        <w:jc w:val="both"/>
        <w:textAlignment w:val="auto"/>
        <w:rPr>
          <w:rFonts w:hint="eastAsia"/>
          <w:color w:val="auto"/>
          <w:highlight w:val="none"/>
          <w:lang w:val="zh-CN" w:eastAsia="zh-CN"/>
        </w:rPr>
      </w:pPr>
      <w:r>
        <w:rPr>
          <w:rFonts w:hint="eastAsia"/>
          <w:color w:val="auto"/>
          <w:highlight w:val="none"/>
          <w:lang w:val="en-US" w:eastAsia="zh-CN"/>
        </w:rPr>
        <w:t>19.</w:t>
      </w:r>
      <w:r>
        <w:rPr>
          <w:rFonts w:hint="eastAsia"/>
          <w:color w:val="auto"/>
          <w:highlight w:val="none"/>
          <w:lang w:val="zh-CN" w:eastAsia="zh-CN"/>
        </w:rPr>
        <w:t>4</w:t>
      </w:r>
      <w:r>
        <w:rPr>
          <w:rFonts w:hint="eastAsia"/>
          <w:color w:val="auto"/>
          <w:highlight w:val="none"/>
          <w:lang w:val="en-US" w:eastAsia="zh-CN"/>
        </w:rPr>
        <w:t>投标</w:t>
      </w:r>
      <w:r>
        <w:rPr>
          <w:rFonts w:hint="eastAsia"/>
          <w:color w:val="auto"/>
          <w:highlight w:val="none"/>
          <w:lang w:val="zh-CN" w:eastAsia="zh-CN"/>
        </w:rPr>
        <w:t>文件提供虚假材料的</w:t>
      </w:r>
      <w:r>
        <w:rPr>
          <w:rFonts w:hint="eastAsia"/>
          <w:color w:val="auto"/>
          <w:highlight w:val="none"/>
          <w:lang w:val="en-US" w:eastAsia="zh-CN"/>
        </w:rPr>
        <w:t>；</w:t>
      </w:r>
    </w:p>
    <w:p w14:paraId="4CEC3101">
      <w:pPr>
        <w:pStyle w:val="50"/>
        <w:keepNext w:val="0"/>
        <w:keepLines w:val="0"/>
        <w:pageBreakBefore w:val="0"/>
        <w:widowControl w:val="0"/>
        <w:kinsoku/>
        <w:wordWrap w:val="0"/>
        <w:overflowPunct/>
        <w:topLinePunct w:val="0"/>
        <w:autoSpaceDE/>
        <w:autoSpaceDN/>
        <w:bidi w:val="0"/>
        <w:adjustRightInd/>
        <w:snapToGrid/>
        <w:spacing w:line="460" w:lineRule="exact"/>
        <w:ind w:firstLine="482"/>
        <w:jc w:val="both"/>
        <w:textAlignment w:val="auto"/>
        <w:rPr>
          <w:rFonts w:hint="eastAsia"/>
          <w:color w:val="auto"/>
          <w:highlight w:val="none"/>
          <w:lang w:val="zh-CN" w:eastAsia="zh-CN"/>
        </w:rPr>
      </w:pPr>
      <w:r>
        <w:rPr>
          <w:rFonts w:hint="eastAsia"/>
          <w:color w:val="auto"/>
          <w:highlight w:val="none"/>
          <w:lang w:val="en-US" w:eastAsia="zh-CN"/>
        </w:rPr>
        <w:t>19.</w:t>
      </w:r>
      <w:r>
        <w:rPr>
          <w:rFonts w:hint="eastAsia"/>
          <w:color w:val="auto"/>
          <w:highlight w:val="none"/>
          <w:lang w:val="zh-CN" w:eastAsia="zh-CN"/>
        </w:rPr>
        <w:t>5</w:t>
      </w:r>
      <w:r>
        <w:rPr>
          <w:rFonts w:hint="eastAsia"/>
          <w:color w:val="auto"/>
          <w:highlight w:val="none"/>
          <w:lang w:val="en-US" w:eastAsia="zh-CN"/>
        </w:rPr>
        <w:t>投标</w:t>
      </w:r>
      <w:r>
        <w:rPr>
          <w:rFonts w:hint="eastAsia"/>
          <w:color w:val="auto"/>
          <w:highlight w:val="none"/>
          <w:lang w:val="zh-CN" w:eastAsia="zh-CN"/>
        </w:rPr>
        <w:t>文件不满足</w:t>
      </w:r>
      <w:r>
        <w:rPr>
          <w:rFonts w:hint="eastAsia"/>
          <w:color w:val="auto"/>
          <w:highlight w:val="none"/>
          <w:lang w:val="en-US" w:eastAsia="zh-CN"/>
        </w:rPr>
        <w:t>招标</w:t>
      </w:r>
      <w:r>
        <w:rPr>
          <w:rFonts w:hint="eastAsia"/>
          <w:color w:val="auto"/>
          <w:highlight w:val="none"/>
          <w:lang w:val="zh-CN" w:eastAsia="zh-CN"/>
        </w:rPr>
        <w:t>文件中标注“★”号的实质性条款（或指标）要求的</w:t>
      </w:r>
      <w:r>
        <w:rPr>
          <w:rFonts w:hint="eastAsia"/>
          <w:color w:val="auto"/>
          <w:highlight w:val="none"/>
          <w:lang w:val="en-US" w:eastAsia="zh-CN"/>
        </w:rPr>
        <w:t>；</w:t>
      </w:r>
    </w:p>
    <w:p w14:paraId="46F6FBD7">
      <w:pPr>
        <w:pStyle w:val="50"/>
        <w:keepNext w:val="0"/>
        <w:keepLines w:val="0"/>
        <w:pageBreakBefore w:val="0"/>
        <w:widowControl w:val="0"/>
        <w:kinsoku/>
        <w:wordWrap w:val="0"/>
        <w:overflowPunct/>
        <w:topLinePunct w:val="0"/>
        <w:autoSpaceDE/>
        <w:autoSpaceDN/>
        <w:bidi w:val="0"/>
        <w:adjustRightInd/>
        <w:snapToGrid/>
        <w:spacing w:line="460" w:lineRule="exact"/>
        <w:ind w:firstLine="482"/>
        <w:jc w:val="both"/>
        <w:textAlignment w:val="auto"/>
        <w:rPr>
          <w:rFonts w:hint="eastAsia"/>
          <w:color w:val="auto"/>
          <w:highlight w:val="none"/>
          <w:lang w:val="en-US" w:eastAsia="zh-CN"/>
        </w:rPr>
      </w:pPr>
      <w:r>
        <w:rPr>
          <w:rFonts w:hint="eastAsia"/>
          <w:color w:val="auto"/>
          <w:highlight w:val="none"/>
          <w:lang w:val="en-US" w:eastAsia="zh-CN"/>
        </w:rPr>
        <w:t>19.</w:t>
      </w:r>
      <w:r>
        <w:rPr>
          <w:rFonts w:hint="eastAsia"/>
          <w:color w:val="auto"/>
          <w:highlight w:val="none"/>
          <w:lang w:val="zh-CN" w:eastAsia="zh-CN"/>
        </w:rPr>
        <w:t>6</w:t>
      </w:r>
      <w:r>
        <w:rPr>
          <w:rFonts w:hint="eastAsia"/>
          <w:color w:val="auto"/>
          <w:highlight w:val="none"/>
          <w:lang w:val="en-US" w:eastAsia="zh-CN"/>
        </w:rPr>
        <w:t>投标人</w:t>
      </w:r>
      <w:r>
        <w:rPr>
          <w:rFonts w:hint="eastAsia"/>
          <w:color w:val="auto"/>
          <w:highlight w:val="none"/>
          <w:lang w:val="zh-CN" w:eastAsia="zh-CN"/>
        </w:rPr>
        <w:t>报价超过招标文件中规定的</w:t>
      </w:r>
      <w:r>
        <w:rPr>
          <w:rFonts w:hint="eastAsia" w:ascii="宋体" w:hAnsi="宋体" w:eastAsia="宋体"/>
          <w:color w:val="auto"/>
          <w:highlight w:val="none"/>
          <w:lang w:val="en-US" w:eastAsia="zh-CN"/>
        </w:rPr>
        <w:t>最高限价或者预算金额</w:t>
      </w:r>
      <w:r>
        <w:rPr>
          <w:rFonts w:hint="eastAsia"/>
          <w:color w:val="auto"/>
          <w:highlight w:val="none"/>
          <w:lang w:val="zh-CN" w:eastAsia="zh-CN"/>
        </w:rPr>
        <w:t>的</w:t>
      </w:r>
      <w:r>
        <w:rPr>
          <w:rFonts w:hint="eastAsia"/>
          <w:color w:val="auto"/>
          <w:highlight w:val="none"/>
          <w:lang w:val="en-US" w:eastAsia="zh-CN"/>
        </w:rPr>
        <w:t>；</w:t>
      </w:r>
    </w:p>
    <w:p w14:paraId="44C775CA">
      <w:pPr>
        <w:pStyle w:val="50"/>
        <w:keepNext w:val="0"/>
        <w:keepLines w:val="0"/>
        <w:pageBreakBefore w:val="0"/>
        <w:widowControl w:val="0"/>
        <w:kinsoku/>
        <w:wordWrap w:val="0"/>
        <w:overflowPunct/>
        <w:topLinePunct w:val="0"/>
        <w:autoSpaceDE/>
        <w:autoSpaceDN/>
        <w:bidi w:val="0"/>
        <w:adjustRightInd/>
        <w:snapToGrid/>
        <w:spacing w:line="460" w:lineRule="exact"/>
        <w:ind w:firstLine="482"/>
        <w:jc w:val="both"/>
        <w:textAlignment w:val="auto"/>
        <w:rPr>
          <w:rFonts w:hint="eastAsia"/>
          <w:color w:val="auto"/>
          <w:highlight w:val="none"/>
          <w:lang w:val="zh-CN" w:eastAsia="zh-CN"/>
        </w:rPr>
      </w:pPr>
      <w:r>
        <w:rPr>
          <w:rFonts w:hint="eastAsia"/>
          <w:color w:val="auto"/>
          <w:highlight w:val="none"/>
          <w:lang w:val="en-US" w:eastAsia="zh-CN"/>
        </w:rPr>
        <w:t>19.</w:t>
      </w:r>
      <w:r>
        <w:rPr>
          <w:rFonts w:hint="eastAsia"/>
          <w:color w:val="auto"/>
          <w:highlight w:val="none"/>
          <w:lang w:val="zh-CN" w:eastAsia="zh-CN"/>
        </w:rPr>
        <w:t>7联合体的供应商未提交各方共同签署的</w:t>
      </w:r>
      <w:r>
        <w:rPr>
          <w:rFonts w:hint="eastAsia"/>
          <w:color w:val="auto"/>
          <w:highlight w:val="none"/>
          <w:lang w:val="en-US" w:eastAsia="zh-CN"/>
        </w:rPr>
        <w:t>联合体</w:t>
      </w:r>
      <w:r>
        <w:rPr>
          <w:rFonts w:hint="eastAsia"/>
          <w:color w:val="auto"/>
          <w:highlight w:val="none"/>
          <w:lang w:val="zh-CN" w:eastAsia="zh-CN"/>
        </w:rPr>
        <w:t>协议</w:t>
      </w:r>
      <w:r>
        <w:rPr>
          <w:rFonts w:hint="eastAsia"/>
          <w:color w:val="auto"/>
          <w:highlight w:val="none"/>
          <w:lang w:val="en-US" w:eastAsia="zh-CN"/>
        </w:rPr>
        <w:t>的；</w:t>
      </w:r>
    </w:p>
    <w:p w14:paraId="6E4DDB8D">
      <w:pPr>
        <w:pStyle w:val="50"/>
        <w:keepNext w:val="0"/>
        <w:keepLines w:val="0"/>
        <w:pageBreakBefore w:val="0"/>
        <w:widowControl w:val="0"/>
        <w:kinsoku/>
        <w:wordWrap w:val="0"/>
        <w:overflowPunct/>
        <w:topLinePunct w:val="0"/>
        <w:autoSpaceDE/>
        <w:autoSpaceDN/>
        <w:bidi w:val="0"/>
        <w:adjustRightInd/>
        <w:snapToGrid/>
        <w:spacing w:line="460" w:lineRule="exact"/>
        <w:ind w:firstLine="482"/>
        <w:jc w:val="both"/>
        <w:textAlignment w:val="auto"/>
        <w:rPr>
          <w:rFonts w:hint="eastAsia"/>
          <w:color w:val="auto"/>
          <w:highlight w:val="none"/>
          <w:lang w:val="zh-CN" w:eastAsia="zh-CN"/>
        </w:rPr>
      </w:pPr>
      <w:r>
        <w:rPr>
          <w:rFonts w:hint="eastAsia"/>
          <w:color w:val="auto"/>
          <w:highlight w:val="none"/>
          <w:lang w:val="en-US" w:eastAsia="zh-CN"/>
        </w:rPr>
        <w:t>19.</w:t>
      </w:r>
      <w:r>
        <w:rPr>
          <w:rFonts w:hint="eastAsia"/>
          <w:color w:val="auto"/>
          <w:highlight w:val="none"/>
          <w:lang w:val="zh-CN" w:eastAsia="zh-CN"/>
        </w:rPr>
        <w:t>8</w:t>
      </w:r>
      <w:r>
        <w:rPr>
          <w:rFonts w:hint="eastAsia"/>
          <w:color w:val="auto"/>
          <w:highlight w:val="none"/>
          <w:lang w:val="en-US" w:eastAsia="zh-CN"/>
        </w:rPr>
        <w:t>投标人</w:t>
      </w:r>
      <w:r>
        <w:rPr>
          <w:rFonts w:hint="eastAsia"/>
          <w:color w:val="auto"/>
          <w:highlight w:val="none"/>
          <w:lang w:val="zh-CN" w:eastAsia="zh-CN"/>
        </w:rPr>
        <w:t>未按</w:t>
      </w:r>
      <w:r>
        <w:rPr>
          <w:rFonts w:hint="eastAsia"/>
          <w:color w:val="auto"/>
          <w:highlight w:val="none"/>
          <w:lang w:val="en-US" w:eastAsia="zh-CN"/>
        </w:rPr>
        <w:t>招标</w:t>
      </w:r>
      <w:r>
        <w:rPr>
          <w:rFonts w:hint="eastAsia"/>
          <w:color w:val="auto"/>
          <w:highlight w:val="none"/>
          <w:lang w:val="zh-CN" w:eastAsia="zh-CN"/>
        </w:rPr>
        <w:t>文件</w:t>
      </w:r>
      <w:r>
        <w:rPr>
          <w:rFonts w:hint="eastAsia"/>
          <w:color w:val="auto"/>
          <w:highlight w:val="none"/>
          <w:lang w:val="en-US" w:eastAsia="zh-CN"/>
        </w:rPr>
        <w:t>的规定</w:t>
      </w:r>
      <w:r>
        <w:rPr>
          <w:rFonts w:hint="eastAsia"/>
          <w:color w:val="auto"/>
          <w:highlight w:val="none"/>
          <w:lang w:val="zh-CN" w:eastAsia="zh-CN"/>
        </w:rPr>
        <w:t>交纳投标保证金</w:t>
      </w:r>
      <w:r>
        <w:rPr>
          <w:rFonts w:hint="eastAsia"/>
          <w:color w:val="auto"/>
          <w:highlight w:val="none"/>
          <w:lang w:val="en-US" w:eastAsia="zh-CN"/>
        </w:rPr>
        <w:t>的；</w:t>
      </w:r>
    </w:p>
    <w:p w14:paraId="53C61E5C">
      <w:pPr>
        <w:pStyle w:val="50"/>
        <w:keepNext w:val="0"/>
        <w:keepLines w:val="0"/>
        <w:pageBreakBefore w:val="0"/>
        <w:widowControl w:val="0"/>
        <w:kinsoku/>
        <w:wordWrap w:val="0"/>
        <w:overflowPunct/>
        <w:topLinePunct w:val="0"/>
        <w:autoSpaceDE/>
        <w:autoSpaceDN/>
        <w:bidi w:val="0"/>
        <w:adjustRightInd/>
        <w:snapToGrid/>
        <w:spacing w:line="460" w:lineRule="exact"/>
        <w:ind w:firstLine="482"/>
        <w:jc w:val="both"/>
        <w:textAlignment w:val="auto"/>
        <w:rPr>
          <w:rFonts w:hint="eastAsia"/>
          <w:color w:val="auto"/>
          <w:highlight w:val="none"/>
          <w:lang w:val="zh-CN" w:eastAsia="zh-CN"/>
        </w:rPr>
      </w:pPr>
      <w:r>
        <w:rPr>
          <w:rFonts w:hint="eastAsia"/>
          <w:color w:val="auto"/>
          <w:highlight w:val="none"/>
          <w:lang w:val="en-US" w:eastAsia="zh-CN"/>
        </w:rPr>
        <w:t>19.</w:t>
      </w:r>
      <w:r>
        <w:rPr>
          <w:rFonts w:hint="eastAsia"/>
          <w:color w:val="auto"/>
          <w:highlight w:val="none"/>
          <w:lang w:val="zh-CN" w:eastAsia="zh-CN"/>
        </w:rPr>
        <w:t>9评审期间,</w:t>
      </w:r>
      <w:r>
        <w:rPr>
          <w:rFonts w:hint="eastAsia"/>
          <w:color w:val="auto"/>
          <w:highlight w:val="none"/>
          <w:lang w:val="en-US" w:eastAsia="zh-CN"/>
        </w:rPr>
        <w:t>投标人</w:t>
      </w:r>
      <w:r>
        <w:rPr>
          <w:rFonts w:hint="eastAsia"/>
          <w:color w:val="auto"/>
          <w:highlight w:val="none"/>
          <w:lang w:val="zh-CN" w:eastAsia="zh-CN"/>
        </w:rPr>
        <w:t>没有按评标委员会的要求提交经授权代表签字的澄清、说明、补正或改变了</w:t>
      </w:r>
      <w:r>
        <w:rPr>
          <w:rFonts w:hint="eastAsia"/>
          <w:color w:val="auto"/>
          <w:highlight w:val="none"/>
          <w:lang w:val="en-US" w:eastAsia="zh-CN"/>
        </w:rPr>
        <w:t>投标</w:t>
      </w:r>
      <w:r>
        <w:rPr>
          <w:rFonts w:hint="eastAsia"/>
          <w:color w:val="auto"/>
          <w:highlight w:val="none"/>
          <w:lang w:val="zh-CN" w:eastAsia="zh-CN"/>
        </w:rPr>
        <w:t>文件的实质性内容</w:t>
      </w:r>
      <w:r>
        <w:rPr>
          <w:rFonts w:hint="eastAsia"/>
          <w:color w:val="auto"/>
          <w:highlight w:val="none"/>
          <w:lang w:val="en-US" w:eastAsia="zh-CN"/>
        </w:rPr>
        <w:t>的；</w:t>
      </w:r>
    </w:p>
    <w:p w14:paraId="603DBE01">
      <w:pPr>
        <w:pStyle w:val="50"/>
        <w:keepNext w:val="0"/>
        <w:keepLines w:val="0"/>
        <w:pageBreakBefore w:val="0"/>
        <w:widowControl w:val="0"/>
        <w:kinsoku/>
        <w:wordWrap w:val="0"/>
        <w:overflowPunct/>
        <w:topLinePunct w:val="0"/>
        <w:autoSpaceDE/>
        <w:autoSpaceDN/>
        <w:bidi w:val="0"/>
        <w:adjustRightInd/>
        <w:snapToGrid/>
        <w:spacing w:line="460" w:lineRule="exact"/>
        <w:ind w:firstLine="482"/>
        <w:jc w:val="both"/>
        <w:textAlignment w:val="auto"/>
        <w:rPr>
          <w:rFonts w:hint="eastAsia"/>
          <w:color w:val="auto"/>
          <w:highlight w:val="none"/>
          <w:lang w:val="en-US" w:eastAsia="zh-CN"/>
        </w:rPr>
      </w:pPr>
      <w:r>
        <w:rPr>
          <w:rFonts w:hint="eastAsia"/>
          <w:color w:val="auto"/>
          <w:highlight w:val="none"/>
          <w:lang w:val="en-US" w:eastAsia="zh-CN"/>
        </w:rPr>
        <w:t>19.</w:t>
      </w:r>
      <w:r>
        <w:rPr>
          <w:rFonts w:hint="eastAsia"/>
          <w:color w:val="auto"/>
          <w:highlight w:val="none"/>
          <w:lang w:val="zh-CN" w:eastAsia="zh-CN"/>
        </w:rPr>
        <w:t>10</w:t>
      </w:r>
      <w:r>
        <w:rPr>
          <w:rFonts w:hint="eastAsia"/>
          <w:color w:val="auto"/>
          <w:highlight w:val="none"/>
          <w:lang w:val="en-US" w:eastAsia="zh-CN"/>
        </w:rPr>
        <w:t>投标人</w:t>
      </w:r>
      <w:r>
        <w:rPr>
          <w:rFonts w:hint="eastAsia"/>
          <w:color w:val="auto"/>
          <w:highlight w:val="none"/>
          <w:lang w:val="zh-CN" w:eastAsia="zh-CN"/>
        </w:rPr>
        <w:t>对招标人、招标代理机构、评标委员会及其工作人员施加影响,有碍公平、公正</w:t>
      </w:r>
      <w:r>
        <w:rPr>
          <w:rFonts w:hint="eastAsia"/>
          <w:color w:val="auto"/>
          <w:highlight w:val="none"/>
          <w:lang w:val="en-US" w:eastAsia="zh-CN"/>
        </w:rPr>
        <w:t>的；</w:t>
      </w:r>
    </w:p>
    <w:p w14:paraId="7F651FBE">
      <w:pPr>
        <w:pStyle w:val="50"/>
        <w:keepNext w:val="0"/>
        <w:keepLines w:val="0"/>
        <w:pageBreakBefore w:val="0"/>
        <w:widowControl w:val="0"/>
        <w:kinsoku/>
        <w:wordWrap w:val="0"/>
        <w:overflowPunct/>
        <w:topLinePunct w:val="0"/>
        <w:autoSpaceDE/>
        <w:autoSpaceDN/>
        <w:bidi w:val="0"/>
        <w:adjustRightInd/>
        <w:snapToGrid/>
        <w:spacing w:line="460" w:lineRule="exact"/>
        <w:ind w:firstLine="482"/>
        <w:jc w:val="both"/>
        <w:textAlignment w:val="auto"/>
        <w:rPr>
          <w:rFonts w:hint="default"/>
          <w:color w:val="auto"/>
          <w:highlight w:val="none"/>
          <w:lang w:val="en-US" w:eastAsia="zh-CN"/>
        </w:rPr>
      </w:pPr>
      <w:r>
        <w:rPr>
          <w:rFonts w:hint="eastAsia"/>
          <w:color w:val="auto"/>
          <w:highlight w:val="none"/>
          <w:lang w:val="en-US" w:eastAsia="zh-CN"/>
        </w:rPr>
        <w:t>19.11投标文件含有招标人不能接受的附加条件的；</w:t>
      </w:r>
    </w:p>
    <w:p w14:paraId="11460496">
      <w:pPr>
        <w:pStyle w:val="50"/>
        <w:keepNext w:val="0"/>
        <w:keepLines w:val="0"/>
        <w:pageBreakBefore w:val="0"/>
        <w:widowControl w:val="0"/>
        <w:kinsoku/>
        <w:wordWrap w:val="0"/>
        <w:overflowPunct/>
        <w:topLinePunct w:val="0"/>
        <w:autoSpaceDE/>
        <w:autoSpaceDN/>
        <w:bidi w:val="0"/>
        <w:adjustRightInd/>
        <w:snapToGrid/>
        <w:spacing w:line="460" w:lineRule="exact"/>
        <w:ind w:firstLine="482"/>
        <w:jc w:val="both"/>
        <w:textAlignment w:val="auto"/>
        <w:rPr>
          <w:rFonts w:hint="eastAsia"/>
          <w:color w:val="auto"/>
          <w:highlight w:val="none"/>
          <w:lang w:val="en-US" w:eastAsia="zh-CN"/>
        </w:rPr>
      </w:pPr>
      <w:r>
        <w:rPr>
          <w:rFonts w:hint="eastAsia"/>
          <w:color w:val="auto"/>
          <w:highlight w:val="none"/>
          <w:lang w:val="en-US" w:eastAsia="zh-CN"/>
        </w:rPr>
        <w:t>19.</w:t>
      </w:r>
      <w:r>
        <w:rPr>
          <w:rFonts w:hint="eastAsia"/>
          <w:color w:val="auto"/>
          <w:highlight w:val="none"/>
          <w:lang w:val="zh-CN" w:eastAsia="zh-CN"/>
        </w:rPr>
        <w:t>1</w:t>
      </w:r>
      <w:r>
        <w:rPr>
          <w:rFonts w:hint="eastAsia"/>
          <w:color w:val="auto"/>
          <w:highlight w:val="none"/>
          <w:lang w:val="en-US" w:eastAsia="zh-CN"/>
        </w:rPr>
        <w:t>2</w:t>
      </w:r>
      <w:r>
        <w:rPr>
          <w:rFonts w:hint="eastAsia"/>
          <w:color w:val="auto"/>
          <w:highlight w:val="none"/>
          <w:lang w:val="zh-CN" w:eastAsia="zh-CN"/>
        </w:rPr>
        <w:t>法律、法规、规章规定属于</w:t>
      </w:r>
      <w:r>
        <w:rPr>
          <w:rFonts w:hint="eastAsia"/>
          <w:color w:val="auto"/>
          <w:highlight w:val="none"/>
          <w:lang w:val="en-US" w:eastAsia="zh-CN"/>
        </w:rPr>
        <w:t>投标</w:t>
      </w:r>
      <w:r>
        <w:rPr>
          <w:rFonts w:hint="eastAsia"/>
          <w:color w:val="auto"/>
          <w:highlight w:val="none"/>
          <w:lang w:val="zh-CN" w:eastAsia="zh-CN"/>
        </w:rPr>
        <w:t>无效的其他情形。</w:t>
      </w:r>
    </w:p>
    <w:p w14:paraId="2C80CB37">
      <w:pPr>
        <w:pStyle w:val="50"/>
        <w:keepNext w:val="0"/>
        <w:keepLines w:val="0"/>
        <w:pageBreakBefore w:val="0"/>
        <w:widowControl w:val="0"/>
        <w:kinsoku/>
        <w:wordWrap w:val="0"/>
        <w:overflowPunct/>
        <w:topLinePunct w:val="0"/>
        <w:autoSpaceDE/>
        <w:autoSpaceDN/>
        <w:bidi w:val="0"/>
        <w:adjustRightInd/>
        <w:snapToGrid/>
        <w:spacing w:line="460" w:lineRule="exact"/>
        <w:ind w:firstLine="482"/>
        <w:jc w:val="both"/>
        <w:textAlignment w:val="auto"/>
        <w:rPr>
          <w:rFonts w:hint="eastAsia"/>
          <w:color w:val="auto"/>
          <w:highlight w:val="none"/>
          <w:lang w:val="en-US" w:eastAsia="zh-CN"/>
        </w:rPr>
      </w:pPr>
      <w:r>
        <w:rPr>
          <w:rFonts w:hint="eastAsia"/>
          <w:color w:val="auto"/>
          <w:highlight w:val="none"/>
          <w:lang w:val="en-US" w:eastAsia="zh-CN"/>
        </w:rPr>
        <w:t>20.有下列情形之一的，视为投标人串通投标，其</w:t>
      </w:r>
      <w:r>
        <w:rPr>
          <w:rFonts w:hint="eastAsia"/>
          <w:b/>
          <w:bCs/>
          <w:color w:val="auto"/>
          <w:highlight w:val="none"/>
          <w:lang w:val="en-US" w:eastAsia="zh-CN"/>
        </w:rPr>
        <w:t>投标无效</w:t>
      </w:r>
      <w:r>
        <w:rPr>
          <w:rFonts w:hint="eastAsia"/>
          <w:color w:val="auto"/>
          <w:highlight w:val="none"/>
          <w:lang w:val="en-US" w:eastAsia="zh-CN"/>
        </w:rPr>
        <w:t>：</w:t>
      </w:r>
    </w:p>
    <w:p w14:paraId="4E7D5615">
      <w:pPr>
        <w:pStyle w:val="50"/>
        <w:keepNext w:val="0"/>
        <w:keepLines w:val="0"/>
        <w:pageBreakBefore w:val="0"/>
        <w:widowControl w:val="0"/>
        <w:kinsoku/>
        <w:wordWrap w:val="0"/>
        <w:overflowPunct/>
        <w:topLinePunct w:val="0"/>
        <w:autoSpaceDE/>
        <w:autoSpaceDN/>
        <w:bidi w:val="0"/>
        <w:adjustRightInd/>
        <w:snapToGrid/>
        <w:spacing w:line="460" w:lineRule="exact"/>
        <w:ind w:firstLine="482"/>
        <w:jc w:val="both"/>
        <w:textAlignment w:val="auto"/>
        <w:rPr>
          <w:rFonts w:hint="eastAsia"/>
          <w:color w:val="auto"/>
          <w:highlight w:val="none"/>
          <w:lang w:val="en-US" w:eastAsia="zh-CN"/>
        </w:rPr>
      </w:pPr>
      <w:r>
        <w:rPr>
          <w:rFonts w:hint="eastAsia"/>
          <w:color w:val="auto"/>
          <w:highlight w:val="none"/>
          <w:lang w:val="en-US" w:eastAsia="zh-CN"/>
        </w:rPr>
        <w:t>20.1不同投标人的投标文件由同一单位或者个人编制；</w:t>
      </w:r>
    </w:p>
    <w:p w14:paraId="7531DAE7">
      <w:pPr>
        <w:pStyle w:val="50"/>
        <w:keepNext w:val="0"/>
        <w:keepLines w:val="0"/>
        <w:pageBreakBefore w:val="0"/>
        <w:widowControl w:val="0"/>
        <w:kinsoku/>
        <w:wordWrap w:val="0"/>
        <w:overflowPunct/>
        <w:topLinePunct w:val="0"/>
        <w:autoSpaceDE/>
        <w:autoSpaceDN/>
        <w:bidi w:val="0"/>
        <w:adjustRightInd/>
        <w:snapToGrid/>
        <w:spacing w:line="460" w:lineRule="exact"/>
        <w:ind w:firstLine="482"/>
        <w:jc w:val="both"/>
        <w:textAlignment w:val="auto"/>
        <w:rPr>
          <w:rFonts w:hint="eastAsia"/>
          <w:color w:val="auto"/>
          <w:highlight w:val="none"/>
          <w:lang w:val="en-US" w:eastAsia="zh-CN"/>
        </w:rPr>
      </w:pPr>
      <w:r>
        <w:rPr>
          <w:rFonts w:hint="eastAsia"/>
          <w:color w:val="auto"/>
          <w:highlight w:val="none"/>
          <w:lang w:val="en-US" w:eastAsia="zh-CN"/>
        </w:rPr>
        <w:t>20.2不同投标人委托同一单位或者个人办理投标事宜；</w:t>
      </w:r>
    </w:p>
    <w:p w14:paraId="0230AF92">
      <w:pPr>
        <w:pStyle w:val="50"/>
        <w:keepNext w:val="0"/>
        <w:keepLines w:val="0"/>
        <w:pageBreakBefore w:val="0"/>
        <w:widowControl w:val="0"/>
        <w:kinsoku/>
        <w:wordWrap w:val="0"/>
        <w:overflowPunct/>
        <w:topLinePunct w:val="0"/>
        <w:autoSpaceDE/>
        <w:autoSpaceDN/>
        <w:bidi w:val="0"/>
        <w:adjustRightInd/>
        <w:snapToGrid/>
        <w:spacing w:line="460" w:lineRule="exact"/>
        <w:ind w:firstLine="482"/>
        <w:jc w:val="both"/>
        <w:textAlignment w:val="auto"/>
        <w:rPr>
          <w:rFonts w:hint="eastAsia"/>
          <w:color w:val="auto"/>
          <w:highlight w:val="none"/>
          <w:lang w:val="en-US" w:eastAsia="zh-CN"/>
        </w:rPr>
      </w:pPr>
      <w:r>
        <w:rPr>
          <w:rFonts w:hint="eastAsia"/>
          <w:color w:val="auto"/>
          <w:highlight w:val="none"/>
          <w:lang w:val="en-US" w:eastAsia="zh-CN"/>
        </w:rPr>
        <w:t>20.3不同投标人的投标文件载明的项目管理成员或者联系人员为同一人；</w:t>
      </w:r>
    </w:p>
    <w:p w14:paraId="34D7121F">
      <w:pPr>
        <w:pStyle w:val="50"/>
        <w:keepNext w:val="0"/>
        <w:keepLines w:val="0"/>
        <w:pageBreakBefore w:val="0"/>
        <w:widowControl w:val="0"/>
        <w:kinsoku/>
        <w:wordWrap w:val="0"/>
        <w:overflowPunct/>
        <w:topLinePunct w:val="0"/>
        <w:autoSpaceDE/>
        <w:autoSpaceDN/>
        <w:bidi w:val="0"/>
        <w:adjustRightInd/>
        <w:snapToGrid/>
        <w:spacing w:line="460" w:lineRule="exact"/>
        <w:ind w:firstLine="482"/>
        <w:jc w:val="both"/>
        <w:textAlignment w:val="auto"/>
        <w:rPr>
          <w:rFonts w:hint="eastAsia"/>
          <w:color w:val="auto"/>
          <w:highlight w:val="none"/>
          <w:lang w:val="en-US" w:eastAsia="zh-CN"/>
        </w:rPr>
      </w:pPr>
      <w:r>
        <w:rPr>
          <w:rFonts w:hint="eastAsia"/>
          <w:color w:val="auto"/>
          <w:highlight w:val="none"/>
          <w:lang w:val="en-US" w:eastAsia="zh-CN"/>
        </w:rPr>
        <w:t>20.4不同投标人的投标文件异常一致或者投标报价呈规律性差异；</w:t>
      </w:r>
    </w:p>
    <w:p w14:paraId="5885F48B">
      <w:pPr>
        <w:pStyle w:val="50"/>
        <w:keepNext w:val="0"/>
        <w:keepLines w:val="0"/>
        <w:pageBreakBefore w:val="0"/>
        <w:widowControl w:val="0"/>
        <w:kinsoku/>
        <w:wordWrap w:val="0"/>
        <w:overflowPunct/>
        <w:topLinePunct w:val="0"/>
        <w:autoSpaceDE/>
        <w:autoSpaceDN/>
        <w:bidi w:val="0"/>
        <w:adjustRightInd/>
        <w:snapToGrid/>
        <w:spacing w:line="460" w:lineRule="exact"/>
        <w:ind w:firstLine="482"/>
        <w:jc w:val="both"/>
        <w:textAlignment w:val="auto"/>
        <w:rPr>
          <w:rFonts w:hint="eastAsia"/>
          <w:color w:val="auto"/>
          <w:highlight w:val="none"/>
          <w:lang w:val="en-US" w:eastAsia="zh-CN"/>
        </w:rPr>
      </w:pPr>
      <w:r>
        <w:rPr>
          <w:rFonts w:hint="eastAsia"/>
          <w:color w:val="auto"/>
          <w:highlight w:val="none"/>
          <w:lang w:val="en-US" w:eastAsia="zh-CN"/>
        </w:rPr>
        <w:t>20.5不同投标人的投标文件相互混装；</w:t>
      </w:r>
    </w:p>
    <w:p w14:paraId="0272021C">
      <w:pPr>
        <w:pStyle w:val="50"/>
        <w:keepNext w:val="0"/>
        <w:keepLines w:val="0"/>
        <w:pageBreakBefore w:val="0"/>
        <w:widowControl w:val="0"/>
        <w:kinsoku/>
        <w:wordWrap w:val="0"/>
        <w:overflowPunct/>
        <w:topLinePunct w:val="0"/>
        <w:autoSpaceDE/>
        <w:autoSpaceDN/>
        <w:bidi w:val="0"/>
        <w:adjustRightInd/>
        <w:snapToGrid/>
        <w:spacing w:line="460" w:lineRule="exact"/>
        <w:ind w:firstLine="482"/>
        <w:jc w:val="both"/>
        <w:textAlignment w:val="auto"/>
        <w:rPr>
          <w:rFonts w:hint="eastAsia"/>
          <w:color w:val="auto"/>
          <w:highlight w:val="none"/>
          <w:lang w:val="en-US" w:eastAsia="zh-CN"/>
        </w:rPr>
      </w:pPr>
      <w:r>
        <w:rPr>
          <w:rFonts w:hint="eastAsia"/>
          <w:color w:val="auto"/>
          <w:highlight w:val="none"/>
          <w:lang w:val="en-US" w:eastAsia="zh-CN"/>
        </w:rPr>
        <w:t>20.6不同投标人的投标保证金从同一单位或者个人的账户转出；</w:t>
      </w:r>
    </w:p>
    <w:p w14:paraId="667563EA">
      <w:pPr>
        <w:pStyle w:val="50"/>
        <w:keepNext w:val="0"/>
        <w:keepLines w:val="0"/>
        <w:pageBreakBefore w:val="0"/>
        <w:widowControl w:val="0"/>
        <w:kinsoku/>
        <w:wordWrap w:val="0"/>
        <w:overflowPunct/>
        <w:topLinePunct w:val="0"/>
        <w:autoSpaceDE/>
        <w:autoSpaceDN/>
        <w:bidi w:val="0"/>
        <w:adjustRightInd/>
        <w:snapToGrid/>
        <w:spacing w:line="460" w:lineRule="exact"/>
        <w:ind w:firstLine="482"/>
        <w:jc w:val="both"/>
        <w:textAlignment w:val="auto"/>
        <w:rPr>
          <w:rFonts w:hint="eastAsia"/>
          <w:color w:val="auto"/>
          <w:highlight w:val="none"/>
          <w:lang w:val="en-US" w:eastAsia="zh-CN"/>
        </w:rPr>
      </w:pPr>
      <w:r>
        <w:rPr>
          <w:rFonts w:hint="eastAsia"/>
          <w:color w:val="auto"/>
          <w:highlight w:val="none"/>
          <w:lang w:val="en-US" w:eastAsia="zh-CN"/>
        </w:rPr>
        <w:t>20.7</w:t>
      </w:r>
      <w:r>
        <w:rPr>
          <w:rFonts w:hint="eastAsia"/>
          <w:color w:val="auto"/>
          <w:highlight w:val="none"/>
          <w:lang w:val="zh-CN" w:eastAsia="zh-CN"/>
        </w:rPr>
        <w:t>不同投标人使用同一电脑（机器特征值一致：如MAC地址等）或使用同一电子密钥，编制或上传电子投标文件</w:t>
      </w:r>
      <w:r>
        <w:rPr>
          <w:rFonts w:hint="eastAsia"/>
          <w:color w:val="auto"/>
          <w:highlight w:val="none"/>
          <w:lang w:val="en-US" w:eastAsia="zh-CN"/>
        </w:rPr>
        <w:t>；</w:t>
      </w:r>
    </w:p>
    <w:p w14:paraId="45840A0B">
      <w:pPr>
        <w:pStyle w:val="50"/>
        <w:keepNext w:val="0"/>
        <w:keepLines w:val="0"/>
        <w:pageBreakBefore w:val="0"/>
        <w:widowControl w:val="0"/>
        <w:kinsoku/>
        <w:wordWrap w:val="0"/>
        <w:overflowPunct/>
        <w:topLinePunct w:val="0"/>
        <w:autoSpaceDE/>
        <w:autoSpaceDN/>
        <w:bidi w:val="0"/>
        <w:adjustRightInd/>
        <w:snapToGrid/>
        <w:spacing w:line="460" w:lineRule="exact"/>
        <w:ind w:firstLine="482"/>
        <w:jc w:val="both"/>
        <w:textAlignment w:val="auto"/>
        <w:rPr>
          <w:rFonts w:hint="default" w:eastAsia="宋体"/>
          <w:color w:val="auto"/>
          <w:highlight w:val="none"/>
          <w:lang w:val="en-US" w:eastAsia="zh-CN"/>
        </w:rPr>
      </w:pPr>
      <w:r>
        <w:rPr>
          <w:rFonts w:hint="eastAsia"/>
          <w:color w:val="auto"/>
          <w:highlight w:val="none"/>
          <w:lang w:val="en-US" w:eastAsia="zh-CN"/>
        </w:rPr>
        <w:t>20.8法律、法规、规章规定属于投标人串通投标的其他情形</w:t>
      </w:r>
      <w:r>
        <w:rPr>
          <w:rFonts w:hint="eastAsia"/>
          <w:color w:val="auto"/>
          <w:highlight w:val="none"/>
          <w:lang w:val="zh-CN" w:eastAsia="zh-CN"/>
        </w:rPr>
        <w:t>。</w:t>
      </w:r>
    </w:p>
    <w:p w14:paraId="24F15FD6">
      <w:pPr>
        <w:pStyle w:val="50"/>
        <w:keepNext w:val="0"/>
        <w:keepLines w:val="0"/>
        <w:pageBreakBefore w:val="0"/>
        <w:widowControl w:val="0"/>
        <w:kinsoku/>
        <w:wordWrap w:val="0"/>
        <w:overflowPunct/>
        <w:topLinePunct w:val="0"/>
        <w:autoSpaceDE/>
        <w:autoSpaceDN/>
        <w:bidi w:val="0"/>
        <w:adjustRightInd/>
        <w:snapToGrid/>
        <w:spacing w:line="460" w:lineRule="exact"/>
        <w:ind w:firstLine="482"/>
        <w:jc w:val="both"/>
        <w:textAlignment w:val="auto"/>
        <w:rPr>
          <w:color w:val="auto"/>
          <w:highlight w:val="none"/>
        </w:rPr>
      </w:pPr>
      <w:r>
        <w:rPr>
          <w:rFonts w:hint="eastAsia"/>
          <w:color w:val="auto"/>
          <w:highlight w:val="none"/>
          <w:lang w:val="en-US" w:eastAsia="zh-CN"/>
        </w:rPr>
        <w:t>21</w:t>
      </w:r>
      <w:r>
        <w:rPr>
          <w:color w:val="auto"/>
          <w:highlight w:val="none"/>
        </w:rPr>
        <w:t>.</w:t>
      </w:r>
      <w:r>
        <w:rPr>
          <w:rFonts w:hint="eastAsia"/>
          <w:color w:val="auto"/>
          <w:highlight w:val="none"/>
        </w:rPr>
        <w:t>根据《中华人民共和国政府采购法》第三十六条之规定，在招标采购过程中，出现下列情形之一的，应予</w:t>
      </w:r>
      <w:r>
        <w:rPr>
          <w:rFonts w:hint="eastAsia"/>
          <w:b/>
          <w:bCs/>
          <w:color w:val="auto"/>
          <w:highlight w:val="none"/>
        </w:rPr>
        <w:t>废标</w:t>
      </w:r>
      <w:r>
        <w:rPr>
          <w:rFonts w:hint="eastAsia"/>
          <w:color w:val="auto"/>
          <w:highlight w:val="none"/>
        </w:rPr>
        <w:t>：</w:t>
      </w:r>
    </w:p>
    <w:p w14:paraId="12A3206B">
      <w:pPr>
        <w:pStyle w:val="50"/>
        <w:keepNext w:val="0"/>
        <w:keepLines w:val="0"/>
        <w:pageBreakBefore w:val="0"/>
        <w:widowControl w:val="0"/>
        <w:kinsoku/>
        <w:wordWrap w:val="0"/>
        <w:overflowPunct/>
        <w:topLinePunct w:val="0"/>
        <w:autoSpaceDE/>
        <w:autoSpaceDN/>
        <w:bidi w:val="0"/>
        <w:adjustRightInd/>
        <w:snapToGrid/>
        <w:spacing w:line="460" w:lineRule="exact"/>
        <w:ind w:firstLine="482"/>
        <w:jc w:val="both"/>
        <w:textAlignment w:val="auto"/>
        <w:rPr>
          <w:color w:val="auto"/>
          <w:highlight w:val="none"/>
        </w:rPr>
      </w:pPr>
      <w:r>
        <w:rPr>
          <w:rFonts w:hint="eastAsia"/>
          <w:color w:val="auto"/>
          <w:highlight w:val="none"/>
          <w:lang w:val="en-US" w:eastAsia="zh-CN"/>
        </w:rPr>
        <w:t>21</w:t>
      </w:r>
      <w:r>
        <w:rPr>
          <w:color w:val="auto"/>
          <w:highlight w:val="none"/>
        </w:rPr>
        <w:t>.1</w:t>
      </w:r>
      <w:r>
        <w:rPr>
          <w:rFonts w:hint="eastAsia"/>
          <w:iCs/>
          <w:color w:val="auto"/>
          <w:spacing w:val="-6"/>
          <w:sz w:val="24"/>
          <w:highlight w:val="none"/>
        </w:rPr>
        <w:t>符合专业条件的供应商或者对招标文件作实质响应的供应商不足3家的；</w:t>
      </w:r>
    </w:p>
    <w:p w14:paraId="51D47107">
      <w:pPr>
        <w:pStyle w:val="50"/>
        <w:keepNext w:val="0"/>
        <w:keepLines w:val="0"/>
        <w:pageBreakBefore w:val="0"/>
        <w:widowControl w:val="0"/>
        <w:kinsoku/>
        <w:wordWrap w:val="0"/>
        <w:overflowPunct/>
        <w:topLinePunct w:val="0"/>
        <w:autoSpaceDE/>
        <w:autoSpaceDN/>
        <w:bidi w:val="0"/>
        <w:adjustRightInd/>
        <w:snapToGrid/>
        <w:spacing w:line="460" w:lineRule="exact"/>
        <w:ind w:firstLine="482"/>
        <w:jc w:val="both"/>
        <w:textAlignment w:val="auto"/>
        <w:rPr>
          <w:color w:val="auto"/>
          <w:highlight w:val="none"/>
        </w:rPr>
      </w:pPr>
      <w:r>
        <w:rPr>
          <w:rFonts w:hint="eastAsia"/>
          <w:color w:val="auto"/>
          <w:highlight w:val="none"/>
          <w:lang w:val="en-US" w:eastAsia="zh-CN"/>
        </w:rPr>
        <w:t>21</w:t>
      </w:r>
      <w:r>
        <w:rPr>
          <w:color w:val="auto"/>
          <w:highlight w:val="none"/>
        </w:rPr>
        <w:t>.2</w:t>
      </w:r>
      <w:r>
        <w:rPr>
          <w:rFonts w:hint="eastAsia"/>
          <w:color w:val="auto"/>
          <w:highlight w:val="none"/>
        </w:rPr>
        <w:t>出现影响采购公正的违法、违规行为的；</w:t>
      </w:r>
    </w:p>
    <w:p w14:paraId="1D948EE5">
      <w:pPr>
        <w:pStyle w:val="50"/>
        <w:keepNext w:val="0"/>
        <w:keepLines w:val="0"/>
        <w:pageBreakBefore w:val="0"/>
        <w:widowControl w:val="0"/>
        <w:kinsoku/>
        <w:wordWrap w:val="0"/>
        <w:overflowPunct/>
        <w:topLinePunct w:val="0"/>
        <w:autoSpaceDE/>
        <w:autoSpaceDN/>
        <w:bidi w:val="0"/>
        <w:adjustRightInd/>
        <w:snapToGrid/>
        <w:spacing w:line="460" w:lineRule="exact"/>
        <w:ind w:firstLine="482"/>
        <w:jc w:val="both"/>
        <w:textAlignment w:val="auto"/>
        <w:rPr>
          <w:color w:val="auto"/>
          <w:highlight w:val="none"/>
        </w:rPr>
      </w:pPr>
      <w:r>
        <w:rPr>
          <w:rFonts w:hint="eastAsia"/>
          <w:color w:val="auto"/>
          <w:highlight w:val="none"/>
          <w:lang w:val="en-US" w:eastAsia="zh-CN"/>
        </w:rPr>
        <w:t>21</w:t>
      </w:r>
      <w:r>
        <w:rPr>
          <w:color w:val="auto"/>
          <w:highlight w:val="none"/>
        </w:rPr>
        <w:t>.3</w:t>
      </w:r>
      <w:r>
        <w:rPr>
          <w:rFonts w:hint="eastAsia"/>
          <w:color w:val="auto"/>
          <w:highlight w:val="none"/>
        </w:rPr>
        <w:t>投标人的报价均超过了采购预算，</w:t>
      </w:r>
      <w:r>
        <w:rPr>
          <w:rFonts w:hint="eastAsia"/>
          <w:color w:val="auto"/>
          <w:highlight w:val="none"/>
          <w:lang w:eastAsia="zh-CN"/>
        </w:rPr>
        <w:t>招标人</w:t>
      </w:r>
      <w:r>
        <w:rPr>
          <w:rFonts w:hint="eastAsia"/>
          <w:color w:val="auto"/>
          <w:highlight w:val="none"/>
        </w:rPr>
        <w:t>不能支付的；</w:t>
      </w:r>
    </w:p>
    <w:p w14:paraId="51E1DD00">
      <w:pPr>
        <w:pStyle w:val="50"/>
        <w:keepNext w:val="0"/>
        <w:keepLines w:val="0"/>
        <w:pageBreakBefore w:val="0"/>
        <w:widowControl w:val="0"/>
        <w:kinsoku/>
        <w:wordWrap w:val="0"/>
        <w:overflowPunct/>
        <w:topLinePunct w:val="0"/>
        <w:autoSpaceDE/>
        <w:autoSpaceDN/>
        <w:bidi w:val="0"/>
        <w:adjustRightInd/>
        <w:snapToGrid/>
        <w:spacing w:line="460" w:lineRule="exact"/>
        <w:ind w:firstLine="482"/>
        <w:jc w:val="both"/>
        <w:textAlignment w:val="auto"/>
        <w:rPr>
          <w:rFonts w:hint="eastAsia"/>
          <w:color w:val="auto"/>
          <w:highlight w:val="none"/>
          <w:lang w:val="en-US" w:eastAsia="zh-CN"/>
        </w:rPr>
      </w:pPr>
      <w:r>
        <w:rPr>
          <w:rFonts w:hint="eastAsia"/>
          <w:color w:val="auto"/>
          <w:highlight w:val="none"/>
          <w:lang w:val="en-US" w:eastAsia="zh-CN"/>
        </w:rPr>
        <w:t>21</w:t>
      </w:r>
      <w:r>
        <w:rPr>
          <w:color w:val="auto"/>
          <w:highlight w:val="none"/>
        </w:rPr>
        <w:t>.4</w:t>
      </w:r>
      <w:r>
        <w:rPr>
          <w:rFonts w:hint="eastAsia"/>
          <w:color w:val="auto"/>
          <w:highlight w:val="none"/>
        </w:rPr>
        <w:t>因重大变故，采购任务取消的</w:t>
      </w:r>
      <w:r>
        <w:rPr>
          <w:rFonts w:hint="eastAsia"/>
          <w:color w:val="auto"/>
          <w:highlight w:val="none"/>
          <w:lang w:val="en-US" w:eastAsia="zh-CN"/>
        </w:rPr>
        <w:t>；</w:t>
      </w:r>
    </w:p>
    <w:p w14:paraId="4AD3DC2B">
      <w:pPr>
        <w:pStyle w:val="50"/>
        <w:keepNext w:val="0"/>
        <w:keepLines w:val="0"/>
        <w:pageBreakBefore w:val="0"/>
        <w:widowControl w:val="0"/>
        <w:kinsoku/>
        <w:wordWrap w:val="0"/>
        <w:overflowPunct/>
        <w:topLinePunct w:val="0"/>
        <w:autoSpaceDE/>
        <w:autoSpaceDN/>
        <w:bidi w:val="0"/>
        <w:adjustRightInd/>
        <w:snapToGrid/>
        <w:spacing w:line="460" w:lineRule="exact"/>
        <w:ind w:firstLine="482"/>
        <w:jc w:val="both"/>
        <w:textAlignment w:val="auto"/>
        <w:rPr>
          <w:color w:val="auto"/>
          <w:highlight w:val="none"/>
        </w:rPr>
      </w:pPr>
      <w:r>
        <w:rPr>
          <w:rFonts w:hint="eastAsia"/>
          <w:color w:val="auto"/>
          <w:highlight w:val="none"/>
          <w:lang w:val="en-US" w:eastAsia="zh-CN"/>
        </w:rPr>
        <w:t>21.5</w:t>
      </w:r>
      <w:r>
        <w:rPr>
          <w:rFonts w:hint="eastAsia"/>
          <w:color w:val="auto"/>
          <w:highlight w:val="none"/>
        </w:rPr>
        <w:t>法律、法规、规章规定属于</w:t>
      </w:r>
      <w:r>
        <w:rPr>
          <w:rFonts w:hint="eastAsia"/>
          <w:color w:val="auto"/>
          <w:highlight w:val="none"/>
          <w:lang w:val="en-US" w:eastAsia="zh-CN"/>
        </w:rPr>
        <w:t>废标</w:t>
      </w:r>
      <w:r>
        <w:rPr>
          <w:rFonts w:hint="eastAsia"/>
          <w:color w:val="auto"/>
          <w:highlight w:val="none"/>
        </w:rPr>
        <w:t>的其他情形。</w:t>
      </w:r>
    </w:p>
    <w:p w14:paraId="18C7FD32">
      <w:pPr>
        <w:pStyle w:val="50"/>
        <w:keepNext w:val="0"/>
        <w:keepLines w:val="0"/>
        <w:pageBreakBefore w:val="0"/>
        <w:widowControl w:val="0"/>
        <w:kinsoku/>
        <w:wordWrap w:val="0"/>
        <w:overflowPunct/>
        <w:topLinePunct w:val="0"/>
        <w:autoSpaceDE/>
        <w:autoSpaceDN/>
        <w:bidi w:val="0"/>
        <w:adjustRightInd/>
        <w:snapToGrid/>
        <w:spacing w:line="460" w:lineRule="exact"/>
        <w:ind w:firstLine="482"/>
        <w:jc w:val="both"/>
        <w:textAlignment w:val="auto"/>
        <w:rPr>
          <w:color w:val="auto"/>
          <w:highlight w:val="none"/>
        </w:rPr>
      </w:pPr>
      <w:r>
        <w:rPr>
          <w:rFonts w:hint="eastAsia"/>
          <w:color w:val="auto"/>
          <w:highlight w:val="none"/>
          <w:lang w:val="en-US" w:eastAsia="zh-CN"/>
        </w:rPr>
        <w:t>22.</w:t>
      </w:r>
      <w:r>
        <w:rPr>
          <w:rFonts w:hint="eastAsia"/>
          <w:color w:val="auto"/>
          <w:highlight w:val="none"/>
        </w:rPr>
        <w:t>废标后，</w:t>
      </w:r>
      <w:r>
        <w:rPr>
          <w:rFonts w:hint="eastAsia"/>
          <w:color w:val="auto"/>
          <w:highlight w:val="none"/>
          <w:lang w:eastAsia="zh-CN"/>
        </w:rPr>
        <w:t>招标人</w:t>
      </w:r>
      <w:r>
        <w:rPr>
          <w:rFonts w:hint="eastAsia"/>
          <w:color w:val="auto"/>
          <w:highlight w:val="none"/>
        </w:rPr>
        <w:t>应当将废标理由通知所有投标人。</w:t>
      </w:r>
    </w:p>
    <w:p w14:paraId="11E2EC03">
      <w:pPr>
        <w:pStyle w:val="4"/>
        <w:keepNext/>
        <w:keepLines/>
        <w:pageBreakBefore w:val="0"/>
        <w:widowControl w:val="0"/>
        <w:numPr>
          <w:ilvl w:val="0"/>
          <w:numId w:val="0"/>
        </w:numPr>
        <w:kinsoku/>
        <w:wordWrap/>
        <w:overflowPunct/>
        <w:topLinePunct w:val="0"/>
        <w:autoSpaceDE/>
        <w:autoSpaceDN/>
        <w:bidi w:val="0"/>
        <w:adjustRightInd/>
        <w:snapToGrid/>
        <w:spacing w:before="160" w:after="160" w:line="360" w:lineRule="auto"/>
        <w:ind w:left="420" w:leftChars="0" w:hanging="420" w:firstLineChars="0"/>
        <w:jc w:val="both"/>
        <w:textAlignment w:val="auto"/>
        <w:rPr>
          <w:rFonts w:hint="eastAsia" w:ascii="宋体" w:hAnsi="宋体" w:eastAsia="宋体" w:cs="宋体"/>
          <w:b/>
          <w:bCs/>
          <w:color w:val="auto"/>
          <w:kern w:val="2"/>
          <w:sz w:val="24"/>
          <w:szCs w:val="24"/>
          <w:highlight w:val="none"/>
          <w:lang w:val="zh-CN" w:eastAsia="zh-CN" w:bidi="ar-SA"/>
        </w:rPr>
      </w:pPr>
      <w:bookmarkStart w:id="275" w:name="_Toc102057718"/>
      <w:bookmarkStart w:id="276" w:name="_Toc155185914"/>
      <w:bookmarkStart w:id="277" w:name="_Toc102114920"/>
      <w:bookmarkStart w:id="278" w:name="_Toc102056218"/>
      <w:bookmarkStart w:id="279" w:name="_Toc102116022"/>
      <w:bookmarkStart w:id="280" w:name="_Toc102116152"/>
      <w:bookmarkStart w:id="281" w:name="_Toc12911"/>
      <w:bookmarkStart w:id="282" w:name="_Toc102119853"/>
      <w:bookmarkStart w:id="283" w:name="_Toc163492907"/>
      <w:r>
        <w:rPr>
          <w:rFonts w:hint="eastAsia" w:ascii="宋体" w:hAnsi="宋体" w:eastAsia="宋体" w:cs="宋体"/>
          <w:b/>
          <w:bCs/>
          <w:color w:val="auto"/>
          <w:kern w:val="2"/>
          <w:sz w:val="24"/>
          <w:szCs w:val="24"/>
          <w:highlight w:val="none"/>
          <w:lang w:val="zh-CN" w:eastAsia="zh-CN" w:bidi="ar-SA"/>
        </w:rPr>
        <w:t>（</w:t>
      </w:r>
      <w:r>
        <w:rPr>
          <w:rFonts w:hint="eastAsia" w:ascii="宋体" w:hAnsi="宋体" w:eastAsia="宋体" w:cs="宋体"/>
          <w:b/>
          <w:bCs/>
          <w:color w:val="auto"/>
          <w:kern w:val="2"/>
          <w:sz w:val="24"/>
          <w:szCs w:val="24"/>
          <w:highlight w:val="none"/>
          <w:lang w:val="en-US" w:eastAsia="zh-CN" w:bidi="ar-SA"/>
        </w:rPr>
        <w:t>九</w:t>
      </w:r>
      <w:r>
        <w:rPr>
          <w:rFonts w:hint="eastAsia" w:ascii="宋体" w:hAnsi="宋体" w:eastAsia="宋体" w:cs="宋体"/>
          <w:b/>
          <w:bCs/>
          <w:color w:val="auto"/>
          <w:kern w:val="2"/>
          <w:sz w:val="24"/>
          <w:szCs w:val="24"/>
          <w:highlight w:val="none"/>
          <w:lang w:val="zh-CN" w:eastAsia="zh-CN" w:bidi="ar-SA"/>
        </w:rPr>
        <w:t>）停止评标的情形</w:t>
      </w:r>
      <w:bookmarkEnd w:id="275"/>
      <w:bookmarkEnd w:id="276"/>
      <w:bookmarkEnd w:id="277"/>
      <w:bookmarkEnd w:id="278"/>
      <w:bookmarkEnd w:id="279"/>
      <w:bookmarkEnd w:id="280"/>
      <w:bookmarkEnd w:id="281"/>
      <w:bookmarkEnd w:id="282"/>
      <w:bookmarkEnd w:id="283"/>
    </w:p>
    <w:p w14:paraId="6419CFC4">
      <w:pPr>
        <w:pStyle w:val="50"/>
        <w:jc w:val="both"/>
        <w:rPr>
          <w:rFonts w:hint="eastAsia"/>
          <w:color w:val="auto"/>
          <w:highlight w:val="none"/>
        </w:rPr>
      </w:pPr>
      <w:r>
        <w:rPr>
          <w:rFonts w:hint="eastAsia"/>
          <w:color w:val="auto"/>
          <w:highlight w:val="none"/>
          <w:lang w:val="en-US" w:eastAsia="zh-CN"/>
        </w:rPr>
        <w:t>23</w:t>
      </w:r>
      <w:r>
        <w:rPr>
          <w:color w:val="auto"/>
          <w:highlight w:val="none"/>
        </w:rPr>
        <w:t>.</w:t>
      </w:r>
      <w:r>
        <w:rPr>
          <w:rFonts w:hint="eastAsia"/>
          <w:color w:val="auto"/>
          <w:highlight w:val="none"/>
        </w:rPr>
        <w:t>评标委员会发现招标文件存在歧义、重大缺陷导致评标工作无法进行，或者招标文件内容违反国家有关强制性规定的，应当停止评标工作，与</w:t>
      </w:r>
      <w:r>
        <w:rPr>
          <w:rFonts w:hint="eastAsia"/>
          <w:color w:val="auto"/>
          <w:highlight w:val="none"/>
          <w:lang w:eastAsia="zh-CN"/>
        </w:rPr>
        <w:t>招标人</w:t>
      </w:r>
      <w:r>
        <w:rPr>
          <w:rFonts w:hint="eastAsia"/>
          <w:color w:val="auto"/>
          <w:highlight w:val="none"/>
        </w:rPr>
        <w:t>或者</w:t>
      </w:r>
      <w:r>
        <w:rPr>
          <w:rFonts w:hint="eastAsia"/>
          <w:color w:val="auto"/>
          <w:highlight w:val="none"/>
          <w:lang w:eastAsia="zh-CN"/>
        </w:rPr>
        <w:t>招标代理机构</w:t>
      </w:r>
      <w:r>
        <w:rPr>
          <w:rFonts w:hint="eastAsia"/>
          <w:color w:val="auto"/>
          <w:highlight w:val="none"/>
        </w:rPr>
        <w:t>沟通并作书面记录。</w:t>
      </w:r>
      <w:r>
        <w:rPr>
          <w:rFonts w:hint="eastAsia"/>
          <w:color w:val="auto"/>
          <w:highlight w:val="none"/>
          <w:lang w:eastAsia="zh-CN"/>
        </w:rPr>
        <w:t>招标人</w:t>
      </w:r>
      <w:r>
        <w:rPr>
          <w:rFonts w:hint="eastAsia"/>
          <w:color w:val="auto"/>
          <w:highlight w:val="none"/>
        </w:rPr>
        <w:t>或者</w:t>
      </w:r>
      <w:r>
        <w:rPr>
          <w:rFonts w:hint="eastAsia"/>
          <w:color w:val="auto"/>
          <w:highlight w:val="none"/>
          <w:lang w:eastAsia="zh-CN"/>
        </w:rPr>
        <w:t>招标代理机构</w:t>
      </w:r>
      <w:r>
        <w:rPr>
          <w:rFonts w:hint="eastAsia"/>
          <w:color w:val="auto"/>
          <w:highlight w:val="none"/>
        </w:rPr>
        <w:t>确认后，应当修改招标文件，重新组织采购活动。</w:t>
      </w:r>
    </w:p>
    <w:p w14:paraId="66D8218E">
      <w:pPr>
        <w:pStyle w:val="4"/>
        <w:keepNext/>
        <w:keepLines/>
        <w:pageBreakBefore w:val="0"/>
        <w:widowControl w:val="0"/>
        <w:numPr>
          <w:ilvl w:val="0"/>
          <w:numId w:val="0"/>
        </w:numPr>
        <w:kinsoku/>
        <w:wordWrap/>
        <w:overflowPunct/>
        <w:topLinePunct w:val="0"/>
        <w:autoSpaceDE/>
        <w:autoSpaceDN/>
        <w:bidi w:val="0"/>
        <w:adjustRightInd/>
        <w:snapToGrid/>
        <w:spacing w:before="160" w:after="160" w:line="360" w:lineRule="auto"/>
        <w:ind w:left="420" w:leftChars="0" w:hanging="420" w:firstLineChars="0"/>
        <w:jc w:val="both"/>
        <w:textAlignment w:val="auto"/>
        <w:rPr>
          <w:rFonts w:hint="eastAsia" w:ascii="宋体" w:hAnsi="宋体" w:eastAsia="宋体" w:cs="宋体"/>
          <w:b/>
          <w:bCs/>
          <w:color w:val="auto"/>
          <w:kern w:val="2"/>
          <w:sz w:val="24"/>
          <w:szCs w:val="24"/>
          <w:highlight w:val="none"/>
          <w:lang w:val="zh-CN" w:eastAsia="zh-CN" w:bidi="ar-SA"/>
        </w:rPr>
      </w:pPr>
      <w:bookmarkStart w:id="284" w:name="_Toc21922"/>
      <w:r>
        <w:rPr>
          <w:rFonts w:hint="eastAsia" w:ascii="宋体" w:hAnsi="宋体" w:eastAsia="宋体" w:cs="宋体"/>
          <w:b/>
          <w:bCs/>
          <w:color w:val="auto"/>
          <w:kern w:val="2"/>
          <w:sz w:val="24"/>
          <w:szCs w:val="24"/>
          <w:highlight w:val="none"/>
          <w:lang w:val="zh-CN" w:eastAsia="zh-CN" w:bidi="ar-SA"/>
        </w:rPr>
        <w:t>（</w:t>
      </w:r>
      <w:r>
        <w:rPr>
          <w:rFonts w:hint="eastAsia" w:ascii="宋体" w:hAnsi="宋体" w:eastAsia="宋体" w:cs="宋体"/>
          <w:b/>
          <w:bCs/>
          <w:color w:val="auto"/>
          <w:kern w:val="2"/>
          <w:sz w:val="24"/>
          <w:szCs w:val="24"/>
          <w:highlight w:val="none"/>
          <w:lang w:val="en-US" w:eastAsia="zh-CN" w:bidi="ar-SA"/>
        </w:rPr>
        <w:t>十</w:t>
      </w:r>
      <w:r>
        <w:rPr>
          <w:rFonts w:hint="eastAsia" w:ascii="宋体" w:hAnsi="宋体" w:eastAsia="宋体" w:cs="宋体"/>
          <w:b/>
          <w:bCs/>
          <w:color w:val="auto"/>
          <w:kern w:val="2"/>
          <w:sz w:val="24"/>
          <w:szCs w:val="24"/>
          <w:highlight w:val="none"/>
          <w:lang w:val="zh-CN" w:eastAsia="zh-CN" w:bidi="ar-SA"/>
        </w:rPr>
        <w:t>）重新开展采购</w:t>
      </w:r>
      <w:bookmarkEnd w:id="284"/>
    </w:p>
    <w:p w14:paraId="0F549EBF">
      <w:pPr>
        <w:pStyle w:val="50"/>
        <w:keepNext w:val="0"/>
        <w:keepLines w:val="0"/>
        <w:pageBreakBefore w:val="0"/>
        <w:widowControl w:val="0"/>
        <w:kinsoku/>
        <w:wordWrap w:val="0"/>
        <w:overflowPunct/>
        <w:topLinePunct w:val="0"/>
        <w:autoSpaceDE/>
        <w:autoSpaceDN/>
        <w:bidi w:val="0"/>
        <w:adjustRightInd/>
        <w:snapToGrid/>
        <w:spacing w:line="460" w:lineRule="exact"/>
        <w:ind w:firstLine="482"/>
        <w:jc w:val="both"/>
        <w:textAlignment w:val="auto"/>
        <w:rPr>
          <w:rFonts w:hint="eastAsia"/>
          <w:color w:val="auto"/>
          <w:highlight w:val="none"/>
        </w:rPr>
      </w:pPr>
      <w:r>
        <w:rPr>
          <w:rFonts w:hint="eastAsia"/>
          <w:color w:val="auto"/>
          <w:highlight w:val="none"/>
          <w:lang w:val="en-US" w:eastAsia="zh-CN"/>
        </w:rPr>
        <w:t>24.</w:t>
      </w:r>
      <w:r>
        <w:rPr>
          <w:rFonts w:hint="eastAsia"/>
          <w:color w:val="auto"/>
          <w:highlight w:val="none"/>
        </w:rPr>
        <w:t>有</w:t>
      </w:r>
      <w:r>
        <w:rPr>
          <w:rFonts w:hint="eastAsia"/>
          <w:color w:val="auto"/>
          <w:highlight w:val="none"/>
          <w:lang w:eastAsia="zh-CN"/>
        </w:rPr>
        <w:t>《</w:t>
      </w:r>
      <w:r>
        <w:rPr>
          <w:rFonts w:hint="eastAsia"/>
          <w:color w:val="auto"/>
          <w:highlight w:val="none"/>
        </w:rPr>
        <w:t>中华人民共和国政府采购法</w:t>
      </w:r>
      <w:r>
        <w:rPr>
          <w:rFonts w:hint="eastAsia"/>
          <w:color w:val="auto"/>
          <w:highlight w:val="none"/>
          <w:lang w:eastAsia="zh-CN"/>
        </w:rPr>
        <w:t>》</w:t>
      </w:r>
      <w:r>
        <w:rPr>
          <w:rFonts w:hint="eastAsia"/>
          <w:color w:val="auto"/>
          <w:highlight w:val="none"/>
        </w:rPr>
        <w:t>第七十一条、第七十二条规定的违法行为之一，影响或者可能影响中标结果的，依照下列规定处理：</w:t>
      </w:r>
    </w:p>
    <w:p w14:paraId="3D245590">
      <w:pPr>
        <w:pStyle w:val="50"/>
        <w:keepNext w:val="0"/>
        <w:keepLines w:val="0"/>
        <w:pageBreakBefore w:val="0"/>
        <w:widowControl w:val="0"/>
        <w:kinsoku/>
        <w:wordWrap w:val="0"/>
        <w:overflowPunct/>
        <w:topLinePunct w:val="0"/>
        <w:autoSpaceDE/>
        <w:autoSpaceDN/>
        <w:bidi w:val="0"/>
        <w:adjustRightInd/>
        <w:snapToGrid/>
        <w:spacing w:line="460" w:lineRule="exact"/>
        <w:ind w:firstLine="482"/>
        <w:jc w:val="both"/>
        <w:textAlignment w:val="auto"/>
        <w:rPr>
          <w:rFonts w:hint="eastAsia"/>
          <w:color w:val="auto"/>
          <w:highlight w:val="none"/>
        </w:rPr>
      </w:pPr>
      <w:r>
        <w:rPr>
          <w:rFonts w:hint="eastAsia"/>
          <w:color w:val="auto"/>
          <w:highlight w:val="none"/>
          <w:lang w:val="en-US" w:eastAsia="zh-CN"/>
        </w:rPr>
        <w:t>24</w:t>
      </w:r>
      <w:r>
        <w:rPr>
          <w:rFonts w:hint="eastAsia"/>
          <w:color w:val="auto"/>
          <w:highlight w:val="none"/>
        </w:rPr>
        <w:t>.1</w:t>
      </w:r>
      <w:r>
        <w:rPr>
          <w:rFonts w:hint="eastAsia"/>
          <w:iCs/>
          <w:color w:val="auto"/>
          <w:spacing w:val="-6"/>
          <w:sz w:val="24"/>
          <w:highlight w:val="none"/>
        </w:rPr>
        <w:t>未确定中标供应商的，终止本次政府采购活动，重新开展政府采购活动。</w:t>
      </w:r>
    </w:p>
    <w:p w14:paraId="1EFE4688">
      <w:pPr>
        <w:pStyle w:val="50"/>
        <w:keepNext w:val="0"/>
        <w:keepLines w:val="0"/>
        <w:pageBreakBefore w:val="0"/>
        <w:widowControl w:val="0"/>
        <w:kinsoku/>
        <w:wordWrap w:val="0"/>
        <w:overflowPunct/>
        <w:topLinePunct w:val="0"/>
        <w:autoSpaceDE/>
        <w:autoSpaceDN/>
        <w:bidi w:val="0"/>
        <w:adjustRightInd/>
        <w:snapToGrid/>
        <w:spacing w:line="460" w:lineRule="exact"/>
        <w:ind w:firstLine="482"/>
        <w:jc w:val="both"/>
        <w:textAlignment w:val="auto"/>
        <w:rPr>
          <w:rFonts w:hint="eastAsia"/>
          <w:color w:val="auto"/>
          <w:highlight w:val="none"/>
        </w:rPr>
      </w:pPr>
      <w:r>
        <w:rPr>
          <w:rFonts w:hint="eastAsia"/>
          <w:color w:val="auto"/>
          <w:highlight w:val="none"/>
          <w:lang w:val="en-US" w:eastAsia="zh-CN"/>
        </w:rPr>
        <w:t>24</w:t>
      </w:r>
      <w:r>
        <w:rPr>
          <w:rFonts w:hint="eastAsia"/>
          <w:color w:val="auto"/>
          <w:highlight w:val="none"/>
        </w:rPr>
        <w:t>.2已确定中标供应商但尚未签订政府采购合同的，中标结果无效，从合格的中标候选人中另行确定中标供应商；没有合格的中标候选人的，重新开展政府采购活动。</w:t>
      </w:r>
    </w:p>
    <w:p w14:paraId="5DF916D0">
      <w:pPr>
        <w:pStyle w:val="50"/>
        <w:keepNext w:val="0"/>
        <w:keepLines w:val="0"/>
        <w:pageBreakBefore w:val="0"/>
        <w:widowControl w:val="0"/>
        <w:kinsoku/>
        <w:wordWrap w:val="0"/>
        <w:overflowPunct/>
        <w:topLinePunct w:val="0"/>
        <w:autoSpaceDE/>
        <w:autoSpaceDN/>
        <w:bidi w:val="0"/>
        <w:adjustRightInd/>
        <w:snapToGrid/>
        <w:spacing w:line="460" w:lineRule="exact"/>
        <w:ind w:firstLine="482"/>
        <w:jc w:val="both"/>
        <w:textAlignment w:val="auto"/>
        <w:rPr>
          <w:rFonts w:hint="eastAsia"/>
          <w:color w:val="auto"/>
          <w:highlight w:val="none"/>
        </w:rPr>
      </w:pPr>
      <w:r>
        <w:rPr>
          <w:rFonts w:hint="eastAsia"/>
          <w:color w:val="auto"/>
          <w:highlight w:val="none"/>
          <w:lang w:val="en-US" w:eastAsia="zh-CN"/>
        </w:rPr>
        <w:t>24</w:t>
      </w:r>
      <w:r>
        <w:rPr>
          <w:rFonts w:hint="eastAsia"/>
          <w:color w:val="auto"/>
          <w:highlight w:val="none"/>
        </w:rPr>
        <w:t>.3政府采购合同已签订但尚未履行的，撤销合同，从合格的中标候选人中另行确定中标供应商；没有合格的中标候选人的，重新开展政府采购活动。</w:t>
      </w:r>
    </w:p>
    <w:p w14:paraId="6458AEF8">
      <w:pPr>
        <w:pStyle w:val="50"/>
        <w:keepNext w:val="0"/>
        <w:keepLines w:val="0"/>
        <w:pageBreakBefore w:val="0"/>
        <w:widowControl w:val="0"/>
        <w:kinsoku/>
        <w:wordWrap w:val="0"/>
        <w:overflowPunct/>
        <w:topLinePunct w:val="0"/>
        <w:autoSpaceDE/>
        <w:autoSpaceDN/>
        <w:bidi w:val="0"/>
        <w:adjustRightInd/>
        <w:snapToGrid/>
        <w:spacing w:line="460" w:lineRule="exact"/>
        <w:ind w:firstLine="482"/>
        <w:jc w:val="both"/>
        <w:textAlignment w:val="auto"/>
        <w:rPr>
          <w:rFonts w:hint="eastAsia"/>
          <w:color w:val="auto"/>
          <w:highlight w:val="none"/>
        </w:rPr>
      </w:pPr>
      <w:r>
        <w:rPr>
          <w:rFonts w:hint="eastAsia"/>
          <w:color w:val="auto"/>
          <w:highlight w:val="none"/>
          <w:lang w:val="en-US" w:eastAsia="zh-CN"/>
        </w:rPr>
        <w:t>24</w:t>
      </w:r>
      <w:r>
        <w:rPr>
          <w:rFonts w:hint="eastAsia"/>
          <w:color w:val="auto"/>
          <w:highlight w:val="none"/>
        </w:rPr>
        <w:t>.4政府采购合同已经履行，给</w:t>
      </w:r>
      <w:r>
        <w:rPr>
          <w:rFonts w:hint="eastAsia"/>
          <w:color w:val="auto"/>
          <w:highlight w:val="none"/>
          <w:lang w:eastAsia="zh-CN"/>
        </w:rPr>
        <w:t>招标人</w:t>
      </w:r>
      <w:r>
        <w:rPr>
          <w:rFonts w:hint="eastAsia"/>
          <w:color w:val="auto"/>
          <w:highlight w:val="none"/>
        </w:rPr>
        <w:t>、供应商造成损失的，由责任人承担赔偿责任。</w:t>
      </w:r>
    </w:p>
    <w:p w14:paraId="047C4920">
      <w:pPr>
        <w:pStyle w:val="50"/>
        <w:keepNext w:val="0"/>
        <w:keepLines w:val="0"/>
        <w:pageBreakBefore w:val="0"/>
        <w:widowControl w:val="0"/>
        <w:kinsoku/>
        <w:wordWrap w:val="0"/>
        <w:overflowPunct/>
        <w:topLinePunct w:val="0"/>
        <w:autoSpaceDE/>
        <w:autoSpaceDN/>
        <w:bidi w:val="0"/>
        <w:adjustRightInd/>
        <w:snapToGrid/>
        <w:spacing w:line="460" w:lineRule="exact"/>
        <w:ind w:firstLine="482"/>
        <w:jc w:val="both"/>
        <w:textAlignment w:val="auto"/>
        <w:rPr>
          <w:color w:val="auto"/>
          <w:highlight w:val="none"/>
        </w:rPr>
      </w:pPr>
      <w:r>
        <w:rPr>
          <w:rFonts w:hint="eastAsia"/>
          <w:color w:val="auto"/>
          <w:highlight w:val="none"/>
          <w:lang w:val="en-US" w:eastAsia="zh-CN"/>
        </w:rPr>
        <w:t>24</w:t>
      </w:r>
      <w:r>
        <w:rPr>
          <w:rFonts w:hint="eastAsia"/>
          <w:color w:val="auto"/>
          <w:highlight w:val="none"/>
        </w:rPr>
        <w:t>.5政府采购当事人有其他违反</w:t>
      </w:r>
      <w:r>
        <w:rPr>
          <w:rFonts w:hint="eastAsia"/>
          <w:iCs/>
          <w:color w:val="auto"/>
          <w:spacing w:val="-6"/>
          <w:sz w:val="24"/>
          <w:highlight w:val="none"/>
          <w:lang w:eastAsia="zh-CN"/>
        </w:rPr>
        <w:t>《</w:t>
      </w:r>
      <w:r>
        <w:rPr>
          <w:rFonts w:hint="eastAsia"/>
          <w:iCs/>
          <w:color w:val="auto"/>
          <w:spacing w:val="-6"/>
          <w:sz w:val="24"/>
          <w:highlight w:val="none"/>
        </w:rPr>
        <w:t>中华人民共和国政府采购法</w:t>
      </w:r>
      <w:r>
        <w:rPr>
          <w:rFonts w:hint="eastAsia"/>
          <w:iCs/>
          <w:color w:val="auto"/>
          <w:spacing w:val="-6"/>
          <w:sz w:val="24"/>
          <w:highlight w:val="none"/>
          <w:lang w:eastAsia="zh-CN"/>
        </w:rPr>
        <w:t>》</w:t>
      </w:r>
      <w:r>
        <w:rPr>
          <w:rFonts w:hint="eastAsia"/>
          <w:iCs/>
          <w:color w:val="auto"/>
          <w:spacing w:val="-6"/>
          <w:sz w:val="24"/>
          <w:highlight w:val="none"/>
        </w:rPr>
        <w:t>或者</w:t>
      </w:r>
      <w:r>
        <w:rPr>
          <w:rFonts w:hint="eastAsia"/>
          <w:iCs/>
          <w:color w:val="auto"/>
          <w:spacing w:val="-6"/>
          <w:sz w:val="24"/>
          <w:highlight w:val="none"/>
          <w:lang w:eastAsia="zh-CN"/>
        </w:rPr>
        <w:t>《</w:t>
      </w:r>
      <w:r>
        <w:rPr>
          <w:rFonts w:hint="eastAsia"/>
          <w:iCs/>
          <w:color w:val="auto"/>
          <w:spacing w:val="-6"/>
          <w:sz w:val="24"/>
          <w:highlight w:val="none"/>
        </w:rPr>
        <w:t>中华人民共和国政府采购法实施条例</w:t>
      </w:r>
      <w:r>
        <w:rPr>
          <w:rFonts w:hint="eastAsia"/>
          <w:iCs/>
          <w:color w:val="auto"/>
          <w:spacing w:val="-6"/>
          <w:sz w:val="24"/>
          <w:highlight w:val="none"/>
          <w:lang w:eastAsia="zh-CN"/>
        </w:rPr>
        <w:t>》</w:t>
      </w:r>
      <w:r>
        <w:rPr>
          <w:rFonts w:hint="eastAsia"/>
          <w:color w:val="auto"/>
          <w:highlight w:val="none"/>
        </w:rPr>
        <w:t>等法律法规规定的行为，经改正后仍然影响或者可能影响中标结果或者依法被认定为中标无效的，依照</w:t>
      </w:r>
      <w:r>
        <w:rPr>
          <w:rFonts w:hint="eastAsia"/>
          <w:color w:val="auto"/>
          <w:highlight w:val="none"/>
          <w:lang w:val="en-US" w:eastAsia="zh-CN"/>
        </w:rPr>
        <w:t>24</w:t>
      </w:r>
      <w:r>
        <w:rPr>
          <w:rFonts w:hint="eastAsia"/>
          <w:color w:val="auto"/>
          <w:highlight w:val="none"/>
        </w:rPr>
        <w:t>.1</w:t>
      </w:r>
      <w:r>
        <w:rPr>
          <w:rFonts w:hint="eastAsia"/>
          <w:color w:val="auto"/>
          <w:highlight w:val="none"/>
          <w:lang w:eastAsia="zh-CN"/>
        </w:rPr>
        <w:t>—</w:t>
      </w:r>
      <w:r>
        <w:rPr>
          <w:rFonts w:hint="eastAsia"/>
          <w:color w:val="auto"/>
          <w:highlight w:val="none"/>
          <w:lang w:val="en-US" w:eastAsia="zh-CN"/>
        </w:rPr>
        <w:t>24</w:t>
      </w:r>
      <w:r>
        <w:rPr>
          <w:rFonts w:hint="eastAsia"/>
          <w:color w:val="auto"/>
          <w:highlight w:val="none"/>
        </w:rPr>
        <w:t>.4规定处理。</w:t>
      </w:r>
    </w:p>
    <w:bookmarkEnd w:id="239"/>
    <w:bookmarkEnd w:id="240"/>
    <w:bookmarkEnd w:id="241"/>
    <w:bookmarkEnd w:id="242"/>
    <w:bookmarkEnd w:id="243"/>
    <w:bookmarkEnd w:id="244"/>
    <w:bookmarkEnd w:id="245"/>
    <w:bookmarkEnd w:id="246"/>
    <w:bookmarkEnd w:id="247"/>
    <w:bookmarkEnd w:id="248"/>
    <w:p w14:paraId="007AB64B">
      <w:pPr>
        <w:pStyle w:val="3"/>
        <w:keepNext/>
        <w:keepLines/>
        <w:pageBreakBefore w:val="0"/>
        <w:widowControl w:val="0"/>
        <w:numPr>
          <w:ilvl w:val="0"/>
          <w:numId w:val="0"/>
        </w:numPr>
        <w:kinsoku/>
        <w:wordWrap/>
        <w:overflowPunct/>
        <w:topLinePunct w:val="0"/>
        <w:autoSpaceDE/>
        <w:autoSpaceDN/>
        <w:bidi w:val="0"/>
        <w:adjustRightInd/>
        <w:snapToGrid/>
        <w:spacing w:before="160" w:after="160" w:line="360" w:lineRule="auto"/>
        <w:ind w:left="420" w:leftChars="0" w:hanging="420" w:firstLineChars="0"/>
        <w:jc w:val="both"/>
        <w:textAlignment w:val="auto"/>
        <w:rPr>
          <w:rFonts w:hint="default" w:ascii="宋体" w:hAnsi="宋体" w:eastAsia="宋体" w:cs="宋体"/>
          <w:color w:val="auto"/>
          <w:sz w:val="28"/>
          <w:szCs w:val="28"/>
          <w:highlight w:val="none"/>
          <w:lang w:val="en-US" w:eastAsia="zh-CN"/>
        </w:rPr>
      </w:pPr>
      <w:bookmarkStart w:id="285" w:name="_Toc27267"/>
      <w:bookmarkStart w:id="286" w:name="_Toc5253"/>
      <w:r>
        <w:rPr>
          <w:rFonts w:hint="eastAsia" w:ascii="宋体" w:hAnsi="宋体" w:eastAsia="宋体" w:cs="宋体"/>
          <w:color w:val="auto"/>
          <w:sz w:val="28"/>
          <w:szCs w:val="28"/>
          <w:highlight w:val="none"/>
          <w:lang w:val="zh-CN" w:eastAsia="zh-CN"/>
        </w:rPr>
        <w:t>三、评标</w:t>
      </w:r>
      <w:r>
        <w:rPr>
          <w:rFonts w:hint="eastAsia" w:ascii="宋体" w:hAnsi="宋体" w:eastAsia="宋体" w:cs="宋体"/>
          <w:color w:val="auto"/>
          <w:sz w:val="28"/>
          <w:szCs w:val="28"/>
          <w:highlight w:val="none"/>
          <w:lang w:val="en-US" w:eastAsia="zh-CN"/>
        </w:rPr>
        <w:t>其他要求</w:t>
      </w:r>
      <w:bookmarkEnd w:id="285"/>
      <w:bookmarkEnd w:id="286"/>
      <w:r>
        <w:rPr>
          <w:rFonts w:hint="eastAsia" w:ascii="宋体" w:hAnsi="宋体" w:cs="宋体"/>
          <w:color w:val="auto"/>
          <w:sz w:val="28"/>
          <w:szCs w:val="28"/>
          <w:highlight w:val="none"/>
          <w:lang w:val="en-US" w:eastAsia="zh-CN"/>
        </w:rPr>
        <w:t>及标准</w:t>
      </w:r>
    </w:p>
    <w:p w14:paraId="004FBA20">
      <w:pPr>
        <w:pStyle w:val="4"/>
        <w:keepNext/>
        <w:keepLines/>
        <w:pageBreakBefore w:val="0"/>
        <w:widowControl w:val="0"/>
        <w:numPr>
          <w:ilvl w:val="0"/>
          <w:numId w:val="0"/>
        </w:numPr>
        <w:kinsoku/>
        <w:wordWrap/>
        <w:overflowPunct/>
        <w:topLinePunct w:val="0"/>
        <w:autoSpaceDE/>
        <w:autoSpaceDN/>
        <w:bidi w:val="0"/>
        <w:adjustRightInd/>
        <w:snapToGrid/>
        <w:spacing w:before="60" w:after="60" w:line="360" w:lineRule="auto"/>
        <w:ind w:left="420" w:leftChars="0" w:hanging="420" w:firstLineChars="0"/>
        <w:jc w:val="both"/>
        <w:textAlignment w:val="auto"/>
        <w:rPr>
          <w:rFonts w:hint="eastAsia" w:ascii="宋体" w:hAnsi="宋体" w:eastAsia="宋体" w:cs="宋体"/>
          <w:b/>
          <w:bCs/>
          <w:color w:val="auto"/>
          <w:kern w:val="2"/>
          <w:sz w:val="24"/>
          <w:szCs w:val="24"/>
          <w:highlight w:val="none"/>
          <w:lang w:val="zh-CN" w:eastAsia="zh-CN" w:bidi="ar-SA"/>
        </w:rPr>
      </w:pPr>
      <w:bookmarkStart w:id="287" w:name="_Toc9559"/>
      <w:bookmarkStart w:id="288" w:name="_Toc163492909"/>
      <w:r>
        <w:rPr>
          <w:rFonts w:hint="eastAsia" w:ascii="宋体" w:hAnsi="宋体" w:eastAsia="宋体" w:cs="宋体"/>
          <w:b/>
          <w:bCs/>
          <w:color w:val="auto"/>
          <w:kern w:val="2"/>
          <w:sz w:val="24"/>
          <w:szCs w:val="24"/>
          <w:highlight w:val="none"/>
          <w:lang w:val="zh-CN" w:eastAsia="zh-CN" w:bidi="ar-SA"/>
        </w:rPr>
        <w:t>（一）符合性审查表</w:t>
      </w:r>
      <w:bookmarkEnd w:id="287"/>
      <w:bookmarkEnd w:id="288"/>
    </w:p>
    <w:tbl>
      <w:tblPr>
        <w:tblStyle w:val="78"/>
        <w:tblW w:w="936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24"/>
        <w:gridCol w:w="899"/>
        <w:gridCol w:w="6342"/>
        <w:gridCol w:w="785"/>
        <w:gridCol w:w="812"/>
      </w:tblGrid>
      <w:tr w14:paraId="3F7FBA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5" w:hRule="atLeast"/>
        </w:trPr>
        <w:tc>
          <w:tcPr>
            <w:tcW w:w="524" w:type="dxa"/>
            <w:vMerge w:val="restart"/>
            <w:noWrap w:val="0"/>
            <w:textDirection w:val="tbRlV"/>
            <w:vAlign w:val="top"/>
          </w:tcPr>
          <w:p w14:paraId="24B1A6FB">
            <w:pPr>
              <w:rPr>
                <w:rFonts w:hint="eastAsia" w:ascii="宋体" w:hAnsi="宋体" w:eastAsia="宋体" w:cs="宋体"/>
                <w:color w:val="auto"/>
                <w:sz w:val="24"/>
                <w:szCs w:val="24"/>
              </w:rPr>
            </w:pPr>
            <w:bookmarkStart w:id="289" w:name="_Toc17074"/>
            <w:bookmarkStart w:id="290" w:name="_Toc155185917"/>
            <w:bookmarkStart w:id="291" w:name="_Toc163492910"/>
          </w:p>
        </w:tc>
        <w:tc>
          <w:tcPr>
            <w:tcW w:w="899" w:type="dxa"/>
            <w:vMerge w:val="restart"/>
            <w:noWrap w:val="0"/>
            <w:vAlign w:val="center"/>
          </w:tcPr>
          <w:p w14:paraId="5E0D4F5D">
            <w:pPr>
              <w:pStyle w:val="79"/>
              <w:spacing w:before="77" w:line="205" w:lineRule="auto"/>
              <w:ind w:left="0" w:leftChars="0" w:firstLine="0" w:firstLineChars="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符</w:t>
            </w:r>
          </w:p>
          <w:p w14:paraId="6698D77A">
            <w:pPr>
              <w:pStyle w:val="79"/>
              <w:spacing w:before="77" w:line="205" w:lineRule="auto"/>
              <w:ind w:left="0" w:leftChars="0" w:firstLine="0" w:firstLineChars="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合</w:t>
            </w:r>
          </w:p>
          <w:p w14:paraId="44647C4D">
            <w:pPr>
              <w:pStyle w:val="79"/>
              <w:spacing w:before="77" w:line="205" w:lineRule="auto"/>
              <w:ind w:left="0" w:leftChars="0" w:firstLine="0" w:firstLineChars="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性</w:t>
            </w:r>
          </w:p>
          <w:p w14:paraId="4DA35934">
            <w:pPr>
              <w:pStyle w:val="79"/>
              <w:spacing w:before="77" w:line="205" w:lineRule="auto"/>
              <w:ind w:left="0" w:leftChars="0" w:firstLine="0" w:firstLineChars="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检</w:t>
            </w:r>
          </w:p>
          <w:p w14:paraId="62D4D257">
            <w:pPr>
              <w:pStyle w:val="79"/>
              <w:spacing w:before="77" w:line="205" w:lineRule="auto"/>
              <w:ind w:left="0" w:leftChars="0" w:firstLine="0" w:firstLineChars="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查</w:t>
            </w:r>
          </w:p>
        </w:tc>
        <w:tc>
          <w:tcPr>
            <w:tcW w:w="6342" w:type="dxa"/>
            <w:noWrap w:val="0"/>
            <w:vAlign w:val="top"/>
          </w:tcPr>
          <w:p w14:paraId="50C26994">
            <w:pPr>
              <w:pStyle w:val="79"/>
              <w:spacing w:before="138" w:line="229" w:lineRule="auto"/>
              <w:ind w:left="17"/>
              <w:rPr>
                <w:rFonts w:hint="eastAsia" w:ascii="宋体" w:hAnsi="宋体" w:eastAsia="宋体" w:cs="宋体"/>
                <w:color w:val="auto"/>
                <w:sz w:val="24"/>
                <w:szCs w:val="24"/>
              </w:rPr>
            </w:pPr>
            <w:r>
              <w:rPr>
                <w:rFonts w:hint="eastAsia" w:ascii="宋体" w:hAnsi="宋体" w:eastAsia="宋体" w:cs="宋体"/>
                <w:color w:val="auto"/>
                <w:spacing w:val="5"/>
                <w:sz w:val="24"/>
                <w:szCs w:val="24"/>
                <w:lang w:val="en-US" w:eastAsia="zh-CN"/>
              </w:rPr>
              <w:t>投标</w:t>
            </w:r>
            <w:r>
              <w:rPr>
                <w:rFonts w:hint="eastAsia" w:ascii="宋体" w:hAnsi="宋体" w:eastAsia="宋体" w:cs="宋体"/>
                <w:color w:val="auto"/>
                <w:spacing w:val="5"/>
                <w:sz w:val="24"/>
                <w:szCs w:val="24"/>
                <w:lang w:eastAsia="zh-CN"/>
              </w:rPr>
              <w:t>文件</w:t>
            </w:r>
            <w:r>
              <w:rPr>
                <w:rFonts w:hint="eastAsia" w:ascii="宋体" w:hAnsi="宋体" w:eastAsia="宋体" w:cs="宋体"/>
                <w:color w:val="auto"/>
                <w:spacing w:val="5"/>
                <w:sz w:val="24"/>
                <w:szCs w:val="24"/>
              </w:rPr>
              <w:t>内容符合</w:t>
            </w:r>
            <w:r>
              <w:rPr>
                <w:rFonts w:hint="eastAsia" w:ascii="宋体" w:hAnsi="宋体" w:eastAsia="宋体" w:cs="宋体"/>
                <w:color w:val="auto"/>
                <w:spacing w:val="5"/>
                <w:sz w:val="24"/>
                <w:szCs w:val="24"/>
                <w:lang w:val="en-US" w:eastAsia="zh-CN"/>
              </w:rPr>
              <w:t>招标</w:t>
            </w:r>
            <w:r>
              <w:rPr>
                <w:rFonts w:hint="eastAsia" w:ascii="宋体" w:hAnsi="宋体" w:eastAsia="宋体" w:cs="宋体"/>
                <w:color w:val="auto"/>
                <w:spacing w:val="5"/>
                <w:sz w:val="24"/>
                <w:szCs w:val="24"/>
                <w:lang w:eastAsia="zh-CN"/>
              </w:rPr>
              <w:t>文件</w:t>
            </w:r>
            <w:r>
              <w:rPr>
                <w:rFonts w:hint="eastAsia" w:ascii="宋体" w:hAnsi="宋体" w:eastAsia="宋体" w:cs="宋体"/>
                <w:color w:val="auto"/>
                <w:spacing w:val="5"/>
                <w:sz w:val="24"/>
                <w:szCs w:val="24"/>
              </w:rPr>
              <w:t>要求；</w:t>
            </w:r>
          </w:p>
        </w:tc>
        <w:tc>
          <w:tcPr>
            <w:tcW w:w="785" w:type="dxa"/>
            <w:noWrap w:val="0"/>
            <w:vAlign w:val="top"/>
          </w:tcPr>
          <w:p w14:paraId="2550378A">
            <w:pPr>
              <w:rPr>
                <w:rFonts w:hint="eastAsia" w:ascii="宋体" w:hAnsi="宋体" w:eastAsia="宋体" w:cs="宋体"/>
                <w:color w:val="auto"/>
                <w:sz w:val="24"/>
                <w:szCs w:val="24"/>
              </w:rPr>
            </w:pPr>
          </w:p>
        </w:tc>
        <w:tc>
          <w:tcPr>
            <w:tcW w:w="812" w:type="dxa"/>
            <w:noWrap w:val="0"/>
            <w:vAlign w:val="top"/>
          </w:tcPr>
          <w:p w14:paraId="762C4582">
            <w:pPr>
              <w:rPr>
                <w:rFonts w:hint="eastAsia" w:ascii="宋体" w:hAnsi="宋体" w:eastAsia="宋体" w:cs="宋体"/>
                <w:color w:val="auto"/>
                <w:sz w:val="24"/>
                <w:szCs w:val="24"/>
              </w:rPr>
            </w:pPr>
          </w:p>
        </w:tc>
      </w:tr>
      <w:tr w14:paraId="4FC193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6" w:hRule="atLeast"/>
        </w:trPr>
        <w:tc>
          <w:tcPr>
            <w:tcW w:w="524" w:type="dxa"/>
            <w:vMerge w:val="continue"/>
            <w:noWrap w:val="0"/>
            <w:textDirection w:val="tbRlV"/>
            <w:vAlign w:val="top"/>
          </w:tcPr>
          <w:p w14:paraId="39081776">
            <w:pPr>
              <w:rPr>
                <w:rFonts w:hint="eastAsia" w:ascii="宋体" w:hAnsi="宋体" w:eastAsia="宋体" w:cs="宋体"/>
                <w:color w:val="auto"/>
                <w:sz w:val="24"/>
                <w:szCs w:val="24"/>
              </w:rPr>
            </w:pPr>
          </w:p>
        </w:tc>
        <w:tc>
          <w:tcPr>
            <w:tcW w:w="899" w:type="dxa"/>
            <w:vMerge w:val="continue"/>
            <w:noWrap w:val="0"/>
            <w:textDirection w:val="tbRlV"/>
            <w:vAlign w:val="top"/>
          </w:tcPr>
          <w:p w14:paraId="2297BD84">
            <w:pPr>
              <w:rPr>
                <w:rFonts w:hint="eastAsia" w:ascii="宋体" w:hAnsi="宋体" w:eastAsia="宋体" w:cs="宋体"/>
                <w:color w:val="auto"/>
                <w:sz w:val="24"/>
                <w:szCs w:val="24"/>
              </w:rPr>
            </w:pPr>
          </w:p>
        </w:tc>
        <w:tc>
          <w:tcPr>
            <w:tcW w:w="6342" w:type="dxa"/>
            <w:noWrap w:val="0"/>
            <w:vAlign w:val="top"/>
          </w:tcPr>
          <w:p w14:paraId="291B472F">
            <w:pPr>
              <w:pStyle w:val="79"/>
              <w:spacing w:before="163" w:line="229" w:lineRule="auto"/>
              <w:ind w:left="17"/>
              <w:rPr>
                <w:rFonts w:hint="eastAsia" w:ascii="宋体" w:hAnsi="宋体" w:eastAsia="宋体" w:cs="宋体"/>
                <w:color w:val="auto"/>
                <w:sz w:val="24"/>
                <w:szCs w:val="24"/>
              </w:rPr>
            </w:pPr>
            <w:r>
              <w:rPr>
                <w:rFonts w:hint="eastAsia" w:ascii="宋体" w:hAnsi="宋体" w:eastAsia="宋体" w:cs="宋体"/>
                <w:color w:val="auto"/>
                <w:spacing w:val="5"/>
                <w:sz w:val="24"/>
                <w:szCs w:val="24"/>
                <w:lang w:val="en-US" w:eastAsia="zh-CN"/>
              </w:rPr>
              <w:t>投标</w:t>
            </w:r>
            <w:r>
              <w:rPr>
                <w:rFonts w:hint="eastAsia" w:ascii="宋体" w:hAnsi="宋体" w:eastAsia="宋体" w:cs="宋体"/>
                <w:color w:val="auto"/>
                <w:spacing w:val="5"/>
                <w:sz w:val="24"/>
                <w:szCs w:val="24"/>
                <w:lang w:eastAsia="zh-CN"/>
              </w:rPr>
              <w:t>文件</w:t>
            </w:r>
            <w:r>
              <w:rPr>
                <w:rFonts w:hint="eastAsia" w:ascii="宋体" w:hAnsi="宋体" w:eastAsia="宋体" w:cs="宋体"/>
                <w:color w:val="auto"/>
                <w:spacing w:val="5"/>
                <w:sz w:val="24"/>
                <w:szCs w:val="24"/>
              </w:rPr>
              <w:t>中签名</w:t>
            </w:r>
            <w:r>
              <w:rPr>
                <w:rFonts w:hint="eastAsia" w:ascii="宋体" w:hAnsi="宋体" w:eastAsia="宋体" w:cs="宋体"/>
                <w:color w:val="auto"/>
                <w:spacing w:val="5"/>
                <w:sz w:val="24"/>
                <w:szCs w:val="24"/>
                <w:lang w:eastAsia="zh-CN"/>
              </w:rPr>
              <w:t>、</w:t>
            </w:r>
            <w:r>
              <w:rPr>
                <w:rFonts w:hint="eastAsia" w:ascii="宋体" w:hAnsi="宋体" w:eastAsia="宋体" w:cs="宋体"/>
                <w:color w:val="auto"/>
                <w:spacing w:val="5"/>
                <w:sz w:val="24"/>
                <w:szCs w:val="24"/>
              </w:rPr>
              <w:t>签章符合</w:t>
            </w:r>
            <w:r>
              <w:rPr>
                <w:rFonts w:hint="eastAsia" w:ascii="宋体" w:hAnsi="宋体" w:eastAsia="宋体" w:cs="宋体"/>
                <w:color w:val="auto"/>
                <w:spacing w:val="6"/>
                <w:sz w:val="24"/>
                <w:szCs w:val="24"/>
                <w:lang w:val="en-US" w:eastAsia="zh-CN"/>
              </w:rPr>
              <w:t>招标</w:t>
            </w:r>
            <w:r>
              <w:rPr>
                <w:rFonts w:hint="eastAsia" w:ascii="宋体" w:hAnsi="宋体" w:eastAsia="宋体" w:cs="宋体"/>
                <w:color w:val="auto"/>
                <w:spacing w:val="5"/>
                <w:sz w:val="24"/>
                <w:szCs w:val="24"/>
                <w:lang w:eastAsia="zh-CN"/>
              </w:rPr>
              <w:t>文件</w:t>
            </w:r>
            <w:r>
              <w:rPr>
                <w:rFonts w:hint="eastAsia" w:ascii="宋体" w:hAnsi="宋体" w:eastAsia="宋体" w:cs="宋体"/>
                <w:color w:val="auto"/>
                <w:spacing w:val="5"/>
                <w:sz w:val="24"/>
                <w:szCs w:val="24"/>
              </w:rPr>
              <w:t>要求；</w:t>
            </w:r>
          </w:p>
        </w:tc>
        <w:tc>
          <w:tcPr>
            <w:tcW w:w="785" w:type="dxa"/>
            <w:noWrap w:val="0"/>
            <w:vAlign w:val="top"/>
          </w:tcPr>
          <w:p w14:paraId="3476F683">
            <w:pPr>
              <w:rPr>
                <w:rFonts w:hint="eastAsia" w:ascii="宋体" w:hAnsi="宋体" w:eastAsia="宋体" w:cs="宋体"/>
                <w:color w:val="auto"/>
                <w:sz w:val="24"/>
                <w:szCs w:val="24"/>
              </w:rPr>
            </w:pPr>
          </w:p>
        </w:tc>
        <w:tc>
          <w:tcPr>
            <w:tcW w:w="812" w:type="dxa"/>
            <w:noWrap w:val="0"/>
            <w:vAlign w:val="top"/>
          </w:tcPr>
          <w:p w14:paraId="173D03A8">
            <w:pPr>
              <w:rPr>
                <w:rFonts w:hint="eastAsia" w:ascii="宋体" w:hAnsi="宋体" w:eastAsia="宋体" w:cs="宋体"/>
                <w:color w:val="auto"/>
                <w:sz w:val="24"/>
                <w:szCs w:val="24"/>
              </w:rPr>
            </w:pPr>
          </w:p>
        </w:tc>
      </w:tr>
      <w:tr w14:paraId="56BCBE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9" w:hRule="atLeast"/>
        </w:trPr>
        <w:tc>
          <w:tcPr>
            <w:tcW w:w="524" w:type="dxa"/>
            <w:vMerge w:val="continue"/>
            <w:noWrap w:val="0"/>
            <w:textDirection w:val="tbRlV"/>
            <w:vAlign w:val="top"/>
          </w:tcPr>
          <w:p w14:paraId="52AB1260">
            <w:pPr>
              <w:rPr>
                <w:rFonts w:hint="eastAsia" w:ascii="宋体" w:hAnsi="宋体" w:eastAsia="宋体" w:cs="宋体"/>
                <w:color w:val="auto"/>
                <w:sz w:val="24"/>
                <w:szCs w:val="24"/>
              </w:rPr>
            </w:pPr>
          </w:p>
        </w:tc>
        <w:tc>
          <w:tcPr>
            <w:tcW w:w="899" w:type="dxa"/>
            <w:vMerge w:val="continue"/>
            <w:noWrap w:val="0"/>
            <w:textDirection w:val="tbRlV"/>
            <w:vAlign w:val="top"/>
          </w:tcPr>
          <w:p w14:paraId="66ECF14D">
            <w:pPr>
              <w:rPr>
                <w:rFonts w:hint="eastAsia" w:ascii="宋体" w:hAnsi="宋体" w:eastAsia="宋体" w:cs="宋体"/>
                <w:color w:val="auto"/>
                <w:sz w:val="24"/>
                <w:szCs w:val="24"/>
              </w:rPr>
            </w:pPr>
          </w:p>
        </w:tc>
        <w:tc>
          <w:tcPr>
            <w:tcW w:w="6342" w:type="dxa"/>
            <w:noWrap w:val="0"/>
            <w:vAlign w:val="top"/>
          </w:tcPr>
          <w:p w14:paraId="200D49EF">
            <w:pPr>
              <w:pStyle w:val="79"/>
              <w:spacing w:before="179" w:line="231" w:lineRule="auto"/>
              <w:ind w:left="17"/>
              <w:rPr>
                <w:rFonts w:hint="eastAsia" w:ascii="宋体" w:hAnsi="宋体" w:eastAsia="宋体" w:cs="宋体"/>
                <w:color w:val="auto"/>
                <w:sz w:val="24"/>
                <w:szCs w:val="24"/>
              </w:rPr>
            </w:pPr>
            <w:r>
              <w:rPr>
                <w:rFonts w:hint="eastAsia" w:ascii="宋体" w:hAnsi="宋体" w:eastAsia="宋体" w:cs="宋体"/>
                <w:color w:val="auto"/>
                <w:spacing w:val="5"/>
                <w:sz w:val="24"/>
                <w:szCs w:val="24"/>
                <w:lang w:val="en-US" w:eastAsia="zh-CN"/>
              </w:rPr>
              <w:t>投标</w:t>
            </w:r>
            <w:r>
              <w:rPr>
                <w:rFonts w:hint="eastAsia" w:ascii="宋体" w:hAnsi="宋体" w:eastAsia="宋体" w:cs="宋体"/>
                <w:color w:val="auto"/>
                <w:spacing w:val="9"/>
                <w:sz w:val="24"/>
                <w:szCs w:val="24"/>
              </w:rPr>
              <w:t>报价是否只有一个有效报价且未超过最</w:t>
            </w:r>
            <w:r>
              <w:rPr>
                <w:rFonts w:hint="eastAsia" w:ascii="宋体" w:hAnsi="宋体" w:eastAsia="宋体" w:cs="宋体"/>
                <w:color w:val="auto"/>
                <w:spacing w:val="8"/>
                <w:sz w:val="24"/>
                <w:szCs w:val="24"/>
              </w:rPr>
              <w:t>高限价；</w:t>
            </w:r>
          </w:p>
        </w:tc>
        <w:tc>
          <w:tcPr>
            <w:tcW w:w="785" w:type="dxa"/>
            <w:noWrap w:val="0"/>
            <w:vAlign w:val="top"/>
          </w:tcPr>
          <w:p w14:paraId="1FE3911E">
            <w:pPr>
              <w:rPr>
                <w:rFonts w:hint="eastAsia" w:ascii="宋体" w:hAnsi="宋体" w:eastAsia="宋体" w:cs="宋体"/>
                <w:color w:val="auto"/>
                <w:sz w:val="24"/>
                <w:szCs w:val="24"/>
              </w:rPr>
            </w:pPr>
          </w:p>
        </w:tc>
        <w:tc>
          <w:tcPr>
            <w:tcW w:w="812" w:type="dxa"/>
            <w:noWrap w:val="0"/>
            <w:vAlign w:val="top"/>
          </w:tcPr>
          <w:p w14:paraId="405E064F">
            <w:pPr>
              <w:rPr>
                <w:rFonts w:hint="eastAsia" w:ascii="宋体" w:hAnsi="宋体" w:eastAsia="宋体" w:cs="宋体"/>
                <w:color w:val="auto"/>
                <w:sz w:val="24"/>
                <w:szCs w:val="24"/>
              </w:rPr>
            </w:pPr>
          </w:p>
        </w:tc>
      </w:tr>
      <w:tr w14:paraId="68E5F8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5" w:hRule="atLeast"/>
        </w:trPr>
        <w:tc>
          <w:tcPr>
            <w:tcW w:w="524" w:type="dxa"/>
            <w:vMerge w:val="continue"/>
            <w:noWrap w:val="0"/>
            <w:textDirection w:val="tbRlV"/>
            <w:vAlign w:val="top"/>
          </w:tcPr>
          <w:p w14:paraId="6CED7B57">
            <w:pPr>
              <w:rPr>
                <w:rFonts w:hint="eastAsia" w:ascii="宋体" w:hAnsi="宋体" w:eastAsia="宋体" w:cs="宋体"/>
                <w:color w:val="auto"/>
                <w:sz w:val="24"/>
                <w:szCs w:val="24"/>
              </w:rPr>
            </w:pPr>
          </w:p>
        </w:tc>
        <w:tc>
          <w:tcPr>
            <w:tcW w:w="899" w:type="dxa"/>
            <w:vMerge w:val="continue"/>
            <w:noWrap w:val="0"/>
            <w:textDirection w:val="tbRlV"/>
            <w:vAlign w:val="top"/>
          </w:tcPr>
          <w:p w14:paraId="7C083092">
            <w:pPr>
              <w:rPr>
                <w:rFonts w:hint="eastAsia" w:ascii="宋体" w:hAnsi="宋体" w:eastAsia="宋体" w:cs="宋体"/>
                <w:color w:val="auto"/>
                <w:sz w:val="24"/>
                <w:szCs w:val="24"/>
              </w:rPr>
            </w:pPr>
          </w:p>
        </w:tc>
        <w:tc>
          <w:tcPr>
            <w:tcW w:w="6342" w:type="dxa"/>
            <w:noWrap w:val="0"/>
            <w:vAlign w:val="top"/>
          </w:tcPr>
          <w:p w14:paraId="559DE632">
            <w:pPr>
              <w:pStyle w:val="79"/>
              <w:spacing w:before="99" w:line="229" w:lineRule="auto"/>
              <w:ind w:left="17"/>
              <w:rPr>
                <w:rFonts w:hint="eastAsia" w:ascii="宋体" w:hAnsi="宋体" w:eastAsia="宋体" w:cs="宋体"/>
                <w:color w:val="auto"/>
                <w:sz w:val="24"/>
                <w:szCs w:val="24"/>
              </w:rPr>
            </w:pPr>
            <w:r>
              <w:rPr>
                <w:rFonts w:hint="eastAsia" w:ascii="宋体" w:hAnsi="宋体" w:eastAsia="宋体" w:cs="宋体"/>
                <w:color w:val="auto"/>
                <w:spacing w:val="5"/>
                <w:sz w:val="24"/>
                <w:szCs w:val="24"/>
                <w:lang w:val="en-US" w:eastAsia="zh-CN"/>
              </w:rPr>
              <w:t>投标</w:t>
            </w:r>
            <w:r>
              <w:rPr>
                <w:rFonts w:hint="eastAsia" w:ascii="宋体" w:hAnsi="宋体" w:eastAsia="宋体" w:cs="宋体"/>
                <w:color w:val="auto"/>
                <w:spacing w:val="4"/>
                <w:sz w:val="24"/>
                <w:szCs w:val="24"/>
              </w:rPr>
              <w:t>有效期符合</w:t>
            </w:r>
            <w:r>
              <w:rPr>
                <w:rFonts w:hint="eastAsia" w:ascii="宋体" w:hAnsi="宋体" w:eastAsia="宋体" w:cs="宋体"/>
                <w:color w:val="auto"/>
                <w:spacing w:val="6"/>
                <w:sz w:val="24"/>
                <w:szCs w:val="24"/>
                <w:lang w:val="en-US" w:eastAsia="zh-CN"/>
              </w:rPr>
              <w:t>招标</w:t>
            </w:r>
            <w:r>
              <w:rPr>
                <w:rFonts w:hint="eastAsia" w:ascii="宋体" w:hAnsi="宋体" w:eastAsia="宋体" w:cs="宋体"/>
                <w:color w:val="auto"/>
                <w:spacing w:val="4"/>
                <w:sz w:val="24"/>
                <w:szCs w:val="24"/>
                <w:lang w:eastAsia="zh-CN"/>
              </w:rPr>
              <w:t>文件</w:t>
            </w:r>
            <w:r>
              <w:rPr>
                <w:rFonts w:hint="eastAsia" w:ascii="宋体" w:hAnsi="宋体" w:eastAsia="宋体" w:cs="宋体"/>
                <w:color w:val="auto"/>
                <w:spacing w:val="4"/>
                <w:sz w:val="24"/>
                <w:szCs w:val="24"/>
              </w:rPr>
              <w:t>规定；</w:t>
            </w:r>
          </w:p>
        </w:tc>
        <w:tc>
          <w:tcPr>
            <w:tcW w:w="785" w:type="dxa"/>
            <w:noWrap w:val="0"/>
            <w:vAlign w:val="top"/>
          </w:tcPr>
          <w:p w14:paraId="2A57A4C1">
            <w:pPr>
              <w:rPr>
                <w:rFonts w:hint="eastAsia" w:ascii="宋体" w:hAnsi="宋体" w:eastAsia="宋体" w:cs="宋体"/>
                <w:color w:val="auto"/>
                <w:sz w:val="24"/>
                <w:szCs w:val="24"/>
              </w:rPr>
            </w:pPr>
          </w:p>
        </w:tc>
        <w:tc>
          <w:tcPr>
            <w:tcW w:w="812" w:type="dxa"/>
            <w:noWrap w:val="0"/>
            <w:vAlign w:val="top"/>
          </w:tcPr>
          <w:p w14:paraId="08BE5D2A">
            <w:pPr>
              <w:rPr>
                <w:rFonts w:hint="eastAsia" w:ascii="宋体" w:hAnsi="宋体" w:eastAsia="宋体" w:cs="宋体"/>
                <w:color w:val="auto"/>
                <w:sz w:val="24"/>
                <w:szCs w:val="24"/>
              </w:rPr>
            </w:pPr>
          </w:p>
        </w:tc>
      </w:tr>
      <w:tr w14:paraId="314C90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524" w:type="dxa"/>
            <w:vMerge w:val="continue"/>
            <w:noWrap w:val="0"/>
            <w:textDirection w:val="tbRlV"/>
            <w:vAlign w:val="top"/>
          </w:tcPr>
          <w:p w14:paraId="37ECD311">
            <w:pPr>
              <w:rPr>
                <w:rFonts w:hint="eastAsia" w:ascii="宋体" w:hAnsi="宋体" w:eastAsia="宋体" w:cs="宋体"/>
                <w:color w:val="auto"/>
                <w:sz w:val="24"/>
                <w:szCs w:val="24"/>
              </w:rPr>
            </w:pPr>
          </w:p>
        </w:tc>
        <w:tc>
          <w:tcPr>
            <w:tcW w:w="899" w:type="dxa"/>
            <w:vMerge w:val="continue"/>
            <w:noWrap w:val="0"/>
            <w:textDirection w:val="tbRlV"/>
            <w:vAlign w:val="top"/>
          </w:tcPr>
          <w:p w14:paraId="6BF2F845">
            <w:pPr>
              <w:rPr>
                <w:rFonts w:hint="eastAsia" w:ascii="宋体" w:hAnsi="宋体" w:eastAsia="宋体" w:cs="宋体"/>
                <w:color w:val="auto"/>
                <w:sz w:val="24"/>
                <w:szCs w:val="24"/>
              </w:rPr>
            </w:pPr>
          </w:p>
        </w:tc>
        <w:tc>
          <w:tcPr>
            <w:tcW w:w="6342" w:type="dxa"/>
            <w:noWrap w:val="0"/>
            <w:vAlign w:val="top"/>
          </w:tcPr>
          <w:p w14:paraId="585D9796">
            <w:pPr>
              <w:pStyle w:val="79"/>
              <w:spacing w:before="122" w:line="229" w:lineRule="auto"/>
              <w:ind w:left="17"/>
              <w:rPr>
                <w:rFonts w:hint="eastAsia" w:ascii="宋体" w:hAnsi="宋体" w:eastAsia="宋体" w:cs="宋体"/>
                <w:color w:val="auto"/>
                <w:sz w:val="24"/>
                <w:szCs w:val="24"/>
              </w:rPr>
            </w:pPr>
            <w:r>
              <w:rPr>
                <w:rFonts w:hint="eastAsia" w:ascii="宋体" w:hAnsi="宋体" w:eastAsia="宋体" w:cs="宋体"/>
                <w:color w:val="auto"/>
                <w:spacing w:val="5"/>
                <w:sz w:val="24"/>
                <w:szCs w:val="24"/>
                <w:lang w:val="en-US" w:eastAsia="zh-CN"/>
              </w:rPr>
              <w:t>投标</w:t>
            </w:r>
            <w:r>
              <w:rPr>
                <w:rFonts w:hint="eastAsia" w:ascii="宋体" w:hAnsi="宋体" w:eastAsia="宋体" w:cs="宋体"/>
                <w:color w:val="auto"/>
                <w:spacing w:val="5"/>
                <w:sz w:val="24"/>
                <w:szCs w:val="24"/>
              </w:rPr>
              <w:t>服务期限符合</w:t>
            </w:r>
            <w:r>
              <w:rPr>
                <w:rFonts w:hint="eastAsia" w:ascii="宋体" w:hAnsi="宋体" w:eastAsia="宋体" w:cs="宋体"/>
                <w:color w:val="auto"/>
                <w:spacing w:val="6"/>
                <w:sz w:val="24"/>
                <w:szCs w:val="24"/>
                <w:lang w:val="en-US" w:eastAsia="zh-CN"/>
              </w:rPr>
              <w:t>招标</w:t>
            </w:r>
            <w:r>
              <w:rPr>
                <w:rFonts w:hint="eastAsia" w:ascii="宋体" w:hAnsi="宋体" w:eastAsia="宋体" w:cs="宋体"/>
                <w:color w:val="auto"/>
                <w:spacing w:val="5"/>
                <w:sz w:val="24"/>
                <w:szCs w:val="24"/>
                <w:lang w:eastAsia="zh-CN"/>
              </w:rPr>
              <w:t>文件</w:t>
            </w:r>
            <w:r>
              <w:rPr>
                <w:rFonts w:hint="eastAsia" w:ascii="宋体" w:hAnsi="宋体" w:eastAsia="宋体" w:cs="宋体"/>
                <w:color w:val="auto"/>
                <w:spacing w:val="5"/>
                <w:sz w:val="24"/>
                <w:szCs w:val="24"/>
              </w:rPr>
              <w:t>规定；</w:t>
            </w:r>
          </w:p>
        </w:tc>
        <w:tc>
          <w:tcPr>
            <w:tcW w:w="785" w:type="dxa"/>
            <w:noWrap w:val="0"/>
            <w:vAlign w:val="top"/>
          </w:tcPr>
          <w:p w14:paraId="48564E07">
            <w:pPr>
              <w:rPr>
                <w:rFonts w:hint="eastAsia" w:ascii="宋体" w:hAnsi="宋体" w:eastAsia="宋体" w:cs="宋体"/>
                <w:color w:val="auto"/>
                <w:sz w:val="24"/>
                <w:szCs w:val="24"/>
              </w:rPr>
            </w:pPr>
          </w:p>
        </w:tc>
        <w:tc>
          <w:tcPr>
            <w:tcW w:w="812" w:type="dxa"/>
            <w:noWrap w:val="0"/>
            <w:vAlign w:val="top"/>
          </w:tcPr>
          <w:p w14:paraId="7A5412D0">
            <w:pPr>
              <w:rPr>
                <w:rFonts w:hint="eastAsia" w:ascii="宋体" w:hAnsi="宋体" w:eastAsia="宋体" w:cs="宋体"/>
                <w:color w:val="auto"/>
                <w:sz w:val="24"/>
                <w:szCs w:val="24"/>
              </w:rPr>
            </w:pPr>
          </w:p>
        </w:tc>
      </w:tr>
      <w:tr w14:paraId="25FC61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524" w:type="dxa"/>
            <w:vMerge w:val="continue"/>
            <w:noWrap w:val="0"/>
            <w:textDirection w:val="tbRlV"/>
            <w:vAlign w:val="top"/>
          </w:tcPr>
          <w:p w14:paraId="7EE571E9">
            <w:pPr>
              <w:rPr>
                <w:rFonts w:hint="eastAsia" w:ascii="宋体" w:hAnsi="宋体" w:eastAsia="宋体" w:cs="宋体"/>
                <w:color w:val="auto"/>
                <w:sz w:val="24"/>
                <w:szCs w:val="24"/>
              </w:rPr>
            </w:pPr>
          </w:p>
        </w:tc>
        <w:tc>
          <w:tcPr>
            <w:tcW w:w="899" w:type="dxa"/>
            <w:vMerge w:val="continue"/>
            <w:noWrap w:val="0"/>
            <w:textDirection w:val="tbRlV"/>
            <w:vAlign w:val="top"/>
          </w:tcPr>
          <w:p w14:paraId="464792A0">
            <w:pPr>
              <w:rPr>
                <w:rFonts w:hint="eastAsia" w:ascii="宋体" w:hAnsi="宋体" w:eastAsia="宋体" w:cs="宋体"/>
                <w:color w:val="auto"/>
                <w:sz w:val="24"/>
                <w:szCs w:val="24"/>
              </w:rPr>
            </w:pPr>
          </w:p>
        </w:tc>
        <w:tc>
          <w:tcPr>
            <w:tcW w:w="6342" w:type="dxa"/>
            <w:noWrap w:val="0"/>
            <w:vAlign w:val="top"/>
          </w:tcPr>
          <w:p w14:paraId="26A98112">
            <w:pPr>
              <w:pStyle w:val="79"/>
              <w:spacing w:before="110" w:line="228" w:lineRule="auto"/>
              <w:ind w:left="21" w:leftChars="0"/>
              <w:rPr>
                <w:rFonts w:hint="eastAsia" w:ascii="宋体" w:hAnsi="宋体" w:eastAsia="宋体" w:cs="宋体"/>
                <w:color w:val="auto"/>
                <w:spacing w:val="5"/>
                <w:sz w:val="24"/>
                <w:szCs w:val="24"/>
              </w:rPr>
            </w:pPr>
            <w:r>
              <w:rPr>
                <w:rFonts w:hint="eastAsia" w:ascii="宋体" w:hAnsi="宋体" w:eastAsia="宋体" w:cs="宋体"/>
                <w:color w:val="auto"/>
                <w:spacing w:val="6"/>
                <w:sz w:val="24"/>
                <w:szCs w:val="24"/>
              </w:rPr>
              <w:t>无其他不符合</w:t>
            </w:r>
            <w:r>
              <w:rPr>
                <w:rFonts w:hint="eastAsia" w:ascii="宋体" w:hAnsi="宋体" w:eastAsia="宋体" w:cs="宋体"/>
                <w:color w:val="auto"/>
                <w:spacing w:val="6"/>
                <w:sz w:val="24"/>
                <w:szCs w:val="24"/>
                <w:lang w:val="en-US" w:eastAsia="zh-CN"/>
              </w:rPr>
              <w:t>招标</w:t>
            </w:r>
            <w:r>
              <w:rPr>
                <w:rFonts w:hint="eastAsia" w:ascii="宋体" w:hAnsi="宋体" w:eastAsia="宋体" w:cs="宋体"/>
                <w:color w:val="auto"/>
                <w:spacing w:val="6"/>
                <w:sz w:val="24"/>
                <w:szCs w:val="24"/>
              </w:rPr>
              <w:t>文件中规定的实质性要求和条件的；</w:t>
            </w:r>
          </w:p>
        </w:tc>
        <w:tc>
          <w:tcPr>
            <w:tcW w:w="785" w:type="dxa"/>
            <w:noWrap w:val="0"/>
            <w:vAlign w:val="top"/>
          </w:tcPr>
          <w:p w14:paraId="632A5549">
            <w:pPr>
              <w:rPr>
                <w:rFonts w:hint="eastAsia" w:ascii="宋体" w:hAnsi="宋体" w:eastAsia="宋体" w:cs="宋体"/>
                <w:color w:val="auto"/>
                <w:sz w:val="24"/>
                <w:szCs w:val="24"/>
              </w:rPr>
            </w:pPr>
          </w:p>
        </w:tc>
        <w:tc>
          <w:tcPr>
            <w:tcW w:w="812" w:type="dxa"/>
            <w:noWrap w:val="0"/>
            <w:vAlign w:val="top"/>
          </w:tcPr>
          <w:p w14:paraId="7F005883">
            <w:pPr>
              <w:rPr>
                <w:rFonts w:hint="eastAsia" w:ascii="宋体" w:hAnsi="宋体" w:eastAsia="宋体" w:cs="宋体"/>
                <w:color w:val="auto"/>
                <w:sz w:val="24"/>
                <w:szCs w:val="24"/>
              </w:rPr>
            </w:pPr>
          </w:p>
        </w:tc>
      </w:tr>
      <w:tr w14:paraId="220247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524" w:type="dxa"/>
            <w:vMerge w:val="continue"/>
            <w:noWrap w:val="0"/>
            <w:textDirection w:val="tbRlV"/>
            <w:vAlign w:val="top"/>
          </w:tcPr>
          <w:p w14:paraId="6243BAF3">
            <w:pPr>
              <w:rPr>
                <w:rFonts w:hint="eastAsia" w:ascii="宋体" w:hAnsi="宋体" w:eastAsia="宋体" w:cs="宋体"/>
                <w:color w:val="auto"/>
                <w:sz w:val="24"/>
                <w:szCs w:val="24"/>
              </w:rPr>
            </w:pPr>
          </w:p>
        </w:tc>
        <w:tc>
          <w:tcPr>
            <w:tcW w:w="899" w:type="dxa"/>
            <w:vMerge w:val="continue"/>
            <w:noWrap w:val="0"/>
            <w:textDirection w:val="tbRlV"/>
            <w:vAlign w:val="top"/>
          </w:tcPr>
          <w:p w14:paraId="384D4090">
            <w:pPr>
              <w:rPr>
                <w:rFonts w:hint="eastAsia" w:ascii="宋体" w:hAnsi="宋体" w:eastAsia="宋体" w:cs="宋体"/>
                <w:color w:val="auto"/>
                <w:sz w:val="24"/>
                <w:szCs w:val="24"/>
              </w:rPr>
            </w:pPr>
          </w:p>
        </w:tc>
        <w:tc>
          <w:tcPr>
            <w:tcW w:w="6342" w:type="dxa"/>
            <w:noWrap w:val="0"/>
            <w:vAlign w:val="top"/>
          </w:tcPr>
          <w:p w14:paraId="0BFF7855">
            <w:pPr>
              <w:pStyle w:val="79"/>
              <w:spacing w:before="112" w:line="228" w:lineRule="auto"/>
              <w:ind w:left="24" w:leftChars="0"/>
              <w:rPr>
                <w:rFonts w:hint="eastAsia" w:ascii="宋体" w:hAnsi="宋体" w:eastAsia="宋体" w:cs="宋体"/>
                <w:color w:val="auto"/>
                <w:spacing w:val="5"/>
                <w:sz w:val="24"/>
                <w:szCs w:val="24"/>
              </w:rPr>
            </w:pPr>
            <w:r>
              <w:rPr>
                <w:rFonts w:hint="eastAsia" w:ascii="宋体" w:hAnsi="宋体" w:eastAsia="宋体" w:cs="宋体"/>
                <w:color w:val="auto"/>
                <w:spacing w:val="7"/>
                <w:sz w:val="24"/>
                <w:szCs w:val="24"/>
              </w:rPr>
              <w:t>不存在不符合法律、法规及本</w:t>
            </w:r>
            <w:r>
              <w:rPr>
                <w:rFonts w:hint="eastAsia" w:ascii="宋体" w:hAnsi="宋体" w:eastAsia="宋体" w:cs="宋体"/>
                <w:color w:val="auto"/>
                <w:spacing w:val="6"/>
                <w:sz w:val="24"/>
                <w:szCs w:val="24"/>
                <w:lang w:val="en-US" w:eastAsia="zh-CN"/>
              </w:rPr>
              <w:t>招标</w:t>
            </w:r>
            <w:r>
              <w:rPr>
                <w:rFonts w:hint="eastAsia" w:ascii="宋体" w:hAnsi="宋体" w:eastAsia="宋体" w:cs="宋体"/>
                <w:color w:val="auto"/>
                <w:spacing w:val="7"/>
                <w:sz w:val="24"/>
                <w:szCs w:val="24"/>
              </w:rPr>
              <w:t>文件规定的其他情形。</w:t>
            </w:r>
          </w:p>
        </w:tc>
        <w:tc>
          <w:tcPr>
            <w:tcW w:w="785" w:type="dxa"/>
            <w:noWrap w:val="0"/>
            <w:vAlign w:val="top"/>
          </w:tcPr>
          <w:p w14:paraId="269726C9">
            <w:pPr>
              <w:rPr>
                <w:rFonts w:hint="eastAsia" w:ascii="宋体" w:hAnsi="宋体" w:eastAsia="宋体" w:cs="宋体"/>
                <w:color w:val="auto"/>
                <w:sz w:val="24"/>
                <w:szCs w:val="24"/>
              </w:rPr>
            </w:pPr>
          </w:p>
        </w:tc>
        <w:tc>
          <w:tcPr>
            <w:tcW w:w="812" w:type="dxa"/>
            <w:noWrap w:val="0"/>
            <w:vAlign w:val="top"/>
          </w:tcPr>
          <w:p w14:paraId="301FD705">
            <w:pPr>
              <w:rPr>
                <w:rFonts w:hint="eastAsia" w:ascii="宋体" w:hAnsi="宋体" w:eastAsia="宋体" w:cs="宋体"/>
                <w:color w:val="auto"/>
                <w:sz w:val="24"/>
                <w:szCs w:val="24"/>
              </w:rPr>
            </w:pPr>
          </w:p>
        </w:tc>
      </w:tr>
      <w:tr w14:paraId="378AFB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9362" w:type="dxa"/>
            <w:gridSpan w:val="5"/>
            <w:noWrap w:val="0"/>
            <w:vAlign w:val="center"/>
          </w:tcPr>
          <w:p w14:paraId="38A7408A">
            <w:pPr>
              <w:jc w:val="left"/>
              <w:rPr>
                <w:rFonts w:hint="eastAsia" w:ascii="宋体" w:hAnsi="宋体" w:eastAsia="宋体" w:cs="宋体"/>
                <w:color w:val="auto"/>
                <w:sz w:val="24"/>
                <w:szCs w:val="24"/>
              </w:rPr>
            </w:pPr>
            <w:r>
              <w:rPr>
                <w:rFonts w:hint="eastAsia" w:ascii="宋体" w:hAnsi="宋体" w:eastAsia="宋体" w:cs="宋体"/>
                <w:color w:val="auto"/>
                <w:spacing w:val="5"/>
                <w:sz w:val="24"/>
                <w:szCs w:val="24"/>
              </w:rPr>
              <w:t>注： 以上检查内容必须全部符合检查标准，否则为无效标</w:t>
            </w:r>
          </w:p>
        </w:tc>
      </w:tr>
    </w:tbl>
    <w:p w14:paraId="1119466E">
      <w:pPr>
        <w:bidi w:val="0"/>
        <w:rPr>
          <w:rFonts w:hint="eastAsia"/>
          <w:lang w:val="zh-CN" w:eastAsia="zh-CN"/>
        </w:rPr>
      </w:pPr>
    </w:p>
    <w:p w14:paraId="5D8565AB">
      <w:pPr>
        <w:rPr>
          <w:rFonts w:hint="eastAsia" w:ascii="宋体" w:hAnsi="宋体" w:eastAsia="宋体" w:cs="宋体"/>
          <w:b/>
          <w:bCs/>
          <w:color w:val="auto"/>
          <w:kern w:val="2"/>
          <w:sz w:val="24"/>
          <w:szCs w:val="24"/>
          <w:highlight w:val="none"/>
          <w:lang w:val="zh-CN" w:eastAsia="zh-CN" w:bidi="ar-SA"/>
        </w:rPr>
        <w:sectPr>
          <w:headerReference r:id="rId12" w:type="default"/>
          <w:footerReference r:id="rId13" w:type="default"/>
          <w:pgSz w:w="11905" w:h="16840"/>
          <w:pgMar w:top="1440" w:right="1797" w:bottom="1440" w:left="1797" w:header="851" w:footer="850" w:gutter="0"/>
          <w:pgBorders>
            <w:top w:val="none" w:sz="0" w:space="0"/>
            <w:left w:val="none" w:sz="0" w:space="0"/>
            <w:bottom w:val="none" w:sz="0" w:space="0"/>
            <w:right w:val="none" w:sz="0" w:space="0"/>
          </w:pgBorders>
          <w:pgNumType w:fmt="numberInDash"/>
          <w:cols w:space="720" w:num="1"/>
        </w:sectPr>
      </w:pPr>
    </w:p>
    <w:p w14:paraId="60C6D82A">
      <w:pPr>
        <w:pStyle w:val="4"/>
        <w:keepNext/>
        <w:keepLines/>
        <w:pageBreakBefore w:val="0"/>
        <w:widowControl w:val="0"/>
        <w:numPr>
          <w:ilvl w:val="0"/>
          <w:numId w:val="0"/>
        </w:numPr>
        <w:kinsoku/>
        <w:wordWrap/>
        <w:overflowPunct/>
        <w:topLinePunct w:val="0"/>
        <w:autoSpaceDE/>
        <w:autoSpaceDN/>
        <w:bidi w:val="0"/>
        <w:adjustRightInd/>
        <w:snapToGrid/>
        <w:spacing w:before="60" w:after="60" w:line="360" w:lineRule="auto"/>
        <w:ind w:left="420" w:leftChars="0" w:hanging="420" w:firstLineChars="0"/>
        <w:textAlignment w:val="auto"/>
        <w:rPr>
          <w:rFonts w:hint="eastAsia" w:ascii="宋体" w:hAnsi="宋体" w:eastAsia="宋体" w:cs="宋体"/>
          <w:b/>
          <w:bCs/>
          <w:color w:val="auto"/>
          <w:kern w:val="2"/>
          <w:sz w:val="24"/>
          <w:szCs w:val="24"/>
          <w:highlight w:val="none"/>
          <w:lang w:val="zh-CN" w:eastAsia="zh-CN" w:bidi="ar-SA"/>
        </w:rPr>
      </w:pPr>
      <w:r>
        <w:rPr>
          <w:rFonts w:hint="eastAsia" w:ascii="宋体" w:hAnsi="宋体" w:eastAsia="宋体" w:cs="宋体"/>
          <w:b/>
          <w:bCs/>
          <w:color w:val="auto"/>
          <w:kern w:val="2"/>
          <w:sz w:val="24"/>
          <w:szCs w:val="24"/>
          <w:highlight w:val="none"/>
          <w:lang w:val="zh-CN" w:eastAsia="zh-CN" w:bidi="ar-SA"/>
        </w:rPr>
        <w:t>（二）评分标准</w:t>
      </w:r>
      <w:bookmarkEnd w:id="289"/>
      <w:bookmarkEnd w:id="290"/>
      <w:bookmarkEnd w:id="291"/>
    </w:p>
    <w:p w14:paraId="15935357">
      <w:pPr>
        <w:rPr>
          <w:rFonts w:hint="eastAsia"/>
          <w:color w:val="auto"/>
          <w:sz w:val="21"/>
          <w:szCs w:val="21"/>
          <w:highlight w:val="none"/>
          <w:lang w:val="zh-CN" w:eastAsia="zh-CN"/>
        </w:rPr>
      </w:pPr>
      <w:r>
        <w:rPr>
          <w:rFonts w:hint="eastAsia"/>
          <w:color w:val="auto"/>
          <w:sz w:val="21"/>
          <w:szCs w:val="21"/>
          <w:highlight w:val="none"/>
          <w:lang w:val="en-US" w:eastAsia="zh-CN"/>
        </w:rPr>
        <w:t>注：以下评标分项根据项目实际情况可自行设置。</w:t>
      </w:r>
    </w:p>
    <w:tbl>
      <w:tblPr>
        <w:tblStyle w:val="33"/>
        <w:tblW w:w="5941" w:type="pct"/>
        <w:tblInd w:w="-6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45"/>
        <w:gridCol w:w="1517"/>
        <w:gridCol w:w="650"/>
        <w:gridCol w:w="7653"/>
      </w:tblGrid>
      <w:tr w14:paraId="7F4A6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trPr>
        <w:tc>
          <w:tcPr>
            <w:tcW w:w="481" w:type="pct"/>
            <w:noWrap w:val="0"/>
            <w:vAlign w:val="center"/>
          </w:tcPr>
          <w:p w14:paraId="2DCCF596">
            <w:pPr>
              <w:ind w:firstLine="28"/>
              <w:jc w:val="center"/>
              <w:rPr>
                <w:rFonts w:hint="eastAsia" w:ascii="宋体" w:hAnsi="宋体" w:eastAsia="宋体" w:cs="宋体"/>
                <w:b/>
                <w:color w:val="auto"/>
                <w:sz w:val="24"/>
                <w:szCs w:val="24"/>
              </w:rPr>
            </w:pPr>
            <w:r>
              <w:rPr>
                <w:rFonts w:hint="eastAsia" w:ascii="宋体" w:hAnsi="宋体" w:eastAsia="宋体" w:cs="宋体"/>
                <w:b/>
                <w:color w:val="auto"/>
                <w:sz w:val="24"/>
                <w:szCs w:val="24"/>
              </w:rPr>
              <w:t>序号</w:t>
            </w:r>
          </w:p>
        </w:tc>
        <w:tc>
          <w:tcPr>
            <w:tcW w:w="698" w:type="pct"/>
            <w:noWrap w:val="0"/>
            <w:vAlign w:val="center"/>
          </w:tcPr>
          <w:p w14:paraId="1D79C705">
            <w:pPr>
              <w:ind w:firstLine="28"/>
              <w:jc w:val="center"/>
              <w:rPr>
                <w:rFonts w:hint="eastAsia" w:ascii="宋体" w:hAnsi="宋体" w:eastAsia="宋体" w:cs="宋体"/>
                <w:b/>
                <w:color w:val="auto"/>
                <w:sz w:val="24"/>
                <w:szCs w:val="24"/>
              </w:rPr>
            </w:pPr>
            <w:r>
              <w:rPr>
                <w:rFonts w:hint="eastAsia" w:ascii="宋体" w:hAnsi="宋体" w:eastAsia="宋体" w:cs="宋体"/>
                <w:b/>
                <w:color w:val="auto"/>
                <w:sz w:val="24"/>
                <w:szCs w:val="24"/>
              </w:rPr>
              <w:t>评分因素</w:t>
            </w:r>
          </w:p>
        </w:tc>
        <w:tc>
          <w:tcPr>
            <w:tcW w:w="299" w:type="pct"/>
            <w:noWrap w:val="0"/>
            <w:vAlign w:val="center"/>
          </w:tcPr>
          <w:p w14:paraId="0A1CF5A6">
            <w:pPr>
              <w:ind w:firstLine="28"/>
              <w:jc w:val="center"/>
              <w:rPr>
                <w:rFonts w:hint="eastAsia" w:ascii="宋体" w:hAnsi="宋体" w:eastAsia="宋体" w:cs="宋体"/>
                <w:b/>
                <w:color w:val="auto"/>
                <w:sz w:val="24"/>
                <w:szCs w:val="24"/>
              </w:rPr>
            </w:pPr>
            <w:r>
              <w:rPr>
                <w:rFonts w:hint="eastAsia" w:ascii="宋体" w:hAnsi="宋体" w:eastAsia="宋体" w:cs="宋体"/>
                <w:b/>
                <w:color w:val="auto"/>
                <w:sz w:val="24"/>
                <w:szCs w:val="24"/>
              </w:rPr>
              <w:t>分值</w:t>
            </w:r>
          </w:p>
        </w:tc>
        <w:tc>
          <w:tcPr>
            <w:tcW w:w="3521" w:type="pct"/>
            <w:noWrap w:val="0"/>
            <w:vAlign w:val="center"/>
          </w:tcPr>
          <w:p w14:paraId="64FA34B9">
            <w:pPr>
              <w:ind w:firstLine="28"/>
              <w:jc w:val="center"/>
              <w:rPr>
                <w:rFonts w:hint="eastAsia" w:ascii="宋体" w:hAnsi="宋体" w:eastAsia="宋体" w:cs="宋体"/>
                <w:b/>
                <w:color w:val="auto"/>
                <w:sz w:val="24"/>
                <w:szCs w:val="24"/>
              </w:rPr>
            </w:pPr>
            <w:r>
              <w:rPr>
                <w:rFonts w:hint="eastAsia" w:ascii="宋体" w:hAnsi="宋体" w:eastAsia="宋体" w:cs="宋体"/>
                <w:b/>
                <w:color w:val="auto"/>
                <w:sz w:val="24"/>
                <w:szCs w:val="24"/>
              </w:rPr>
              <w:t>评分标准</w:t>
            </w:r>
          </w:p>
        </w:tc>
      </w:tr>
      <w:tr w14:paraId="1CB20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6" w:hRule="atLeast"/>
        </w:trPr>
        <w:tc>
          <w:tcPr>
            <w:tcW w:w="481" w:type="pct"/>
            <w:noWrap w:val="0"/>
            <w:vAlign w:val="center"/>
          </w:tcPr>
          <w:p w14:paraId="04A50422">
            <w:pPr>
              <w:ind w:firstLine="28"/>
              <w:jc w:val="center"/>
              <w:rPr>
                <w:rFonts w:hint="eastAsia" w:ascii="宋体" w:hAnsi="宋体" w:eastAsia="宋体" w:cs="宋体"/>
                <w:b/>
                <w:color w:val="auto"/>
                <w:sz w:val="24"/>
                <w:szCs w:val="24"/>
                <w:lang w:val="en-US" w:eastAsia="zh-CN"/>
              </w:rPr>
            </w:pPr>
            <w:r>
              <w:rPr>
                <w:rFonts w:hint="eastAsia" w:ascii="宋体" w:hAnsi="宋体" w:eastAsia="宋体" w:cs="宋体"/>
                <w:color w:val="auto"/>
                <w:sz w:val="24"/>
                <w:szCs w:val="24"/>
                <w:lang w:val="en-US" w:eastAsia="zh-CN"/>
              </w:rPr>
              <w:t>1</w:t>
            </w:r>
          </w:p>
        </w:tc>
        <w:tc>
          <w:tcPr>
            <w:tcW w:w="698" w:type="pct"/>
            <w:noWrap w:val="0"/>
            <w:vAlign w:val="center"/>
          </w:tcPr>
          <w:p w14:paraId="46C498F9">
            <w:pPr>
              <w:ind w:firstLine="0" w:firstLineChars="0"/>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投标报价</w:t>
            </w:r>
          </w:p>
        </w:tc>
        <w:tc>
          <w:tcPr>
            <w:tcW w:w="299" w:type="pct"/>
            <w:noWrap w:val="0"/>
            <w:vAlign w:val="center"/>
          </w:tcPr>
          <w:p w14:paraId="576DF6CB">
            <w:pPr>
              <w:ind w:firstLine="28" w:firstLineChars="0"/>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10</w:t>
            </w:r>
          </w:p>
        </w:tc>
        <w:tc>
          <w:tcPr>
            <w:tcW w:w="3521" w:type="pct"/>
            <w:noWrap w:val="0"/>
            <w:vAlign w:val="center"/>
          </w:tcPr>
          <w:p w14:paraId="4E1569AA">
            <w:pPr>
              <w:rPr>
                <w:rFonts w:hint="eastAsia" w:ascii="宋体" w:hAnsi="宋体" w:eastAsia="宋体" w:cs="宋体"/>
                <w:b w:val="0"/>
                <w:bCs/>
                <w:color w:val="auto"/>
                <w:kern w:val="2"/>
                <w:sz w:val="24"/>
                <w:szCs w:val="24"/>
                <w:lang w:val="en-US" w:eastAsia="zh-CN" w:bidi="ar-SA"/>
              </w:rPr>
            </w:pPr>
            <w:r>
              <w:rPr>
                <w:rFonts w:hint="eastAsia" w:ascii="宋体" w:hAnsi="宋体" w:eastAsia="宋体" w:cs="宋体"/>
                <w:color w:val="auto"/>
                <w:spacing w:val="-6"/>
                <w:sz w:val="24"/>
                <w:szCs w:val="24"/>
                <w:highlight w:val="none"/>
              </w:rPr>
              <w:t>综合评分法中的价格分统一采用低价优先法计算，即满足招标要求且投标价格最</w:t>
            </w:r>
            <w:r>
              <w:rPr>
                <w:rFonts w:hint="eastAsia" w:ascii="宋体" w:hAnsi="宋体" w:eastAsia="宋体" w:cs="宋体"/>
                <w:color w:val="auto"/>
                <w:spacing w:val="-6"/>
                <w:sz w:val="24"/>
                <w:szCs w:val="24"/>
                <w:highlight w:val="none"/>
                <w:lang w:val="en-US" w:eastAsia="zh-CN"/>
              </w:rPr>
              <w:t>低</w:t>
            </w:r>
            <w:r>
              <w:rPr>
                <w:rFonts w:hint="eastAsia" w:ascii="宋体" w:hAnsi="宋体" w:eastAsia="宋体" w:cs="宋体"/>
                <w:color w:val="auto"/>
                <w:spacing w:val="-6"/>
                <w:sz w:val="24"/>
                <w:szCs w:val="24"/>
                <w:highlight w:val="none"/>
              </w:rPr>
              <w:t>的投标报价为评标基准价，其价格分为满分。其他投标人的价格分统一按下列公式计算：投标报价得分=（评标基准价/投标报价）×价格权重×100。</w:t>
            </w:r>
          </w:p>
        </w:tc>
      </w:tr>
      <w:tr w14:paraId="3BC3A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9" w:hRule="atLeast"/>
        </w:trPr>
        <w:tc>
          <w:tcPr>
            <w:tcW w:w="481" w:type="pct"/>
            <w:noWrap w:val="0"/>
            <w:vAlign w:val="center"/>
          </w:tcPr>
          <w:p w14:paraId="1851C238">
            <w:pPr>
              <w:ind w:firstLine="28"/>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w:t>
            </w:r>
          </w:p>
        </w:tc>
        <w:tc>
          <w:tcPr>
            <w:tcW w:w="698" w:type="pct"/>
            <w:noWrap w:val="0"/>
            <w:vAlign w:val="center"/>
          </w:tcPr>
          <w:p w14:paraId="22C686E5">
            <w:pPr>
              <w:widowControl w:val="0"/>
              <w:spacing w:before="24" w:line="232" w:lineRule="auto"/>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企业类似</w:t>
            </w:r>
          </w:p>
          <w:p w14:paraId="3CAB0D0E">
            <w:pPr>
              <w:widowControl w:val="0"/>
              <w:spacing w:before="24" w:line="232" w:lineRule="auto"/>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业绩</w:t>
            </w:r>
          </w:p>
          <w:p w14:paraId="520826F1">
            <w:pPr>
              <w:rPr>
                <w:rFonts w:hint="eastAsia" w:ascii="宋体" w:hAnsi="宋体" w:eastAsia="宋体" w:cs="宋体"/>
                <w:b w:val="0"/>
                <w:bCs/>
                <w:color w:val="auto"/>
                <w:kern w:val="2"/>
                <w:sz w:val="24"/>
                <w:szCs w:val="24"/>
                <w:lang w:val="en-US" w:eastAsia="zh-CN" w:bidi="ar-SA"/>
              </w:rPr>
            </w:pPr>
          </w:p>
        </w:tc>
        <w:tc>
          <w:tcPr>
            <w:tcW w:w="299" w:type="pct"/>
            <w:noWrap w:val="0"/>
            <w:vAlign w:val="center"/>
          </w:tcPr>
          <w:p w14:paraId="44BBA6FC">
            <w:pPr>
              <w:pStyle w:val="79"/>
              <w:spacing w:before="24" w:line="232" w:lineRule="auto"/>
              <w:jc w:val="center"/>
              <w:rPr>
                <w:rFonts w:hint="eastAsia" w:ascii="宋体" w:hAnsi="宋体" w:eastAsia="宋体" w:cs="宋体"/>
                <w:color w:val="auto"/>
                <w:sz w:val="24"/>
                <w:szCs w:val="24"/>
                <w:lang w:val="en-US" w:eastAsia="zh-CN"/>
              </w:rPr>
            </w:pPr>
            <w:r>
              <w:rPr>
                <w:rFonts w:hint="eastAsia" w:ascii="宋体" w:hAnsi="宋体" w:eastAsia="宋体" w:cs="宋体"/>
                <w:color w:val="auto"/>
                <w:kern w:val="2"/>
                <w:sz w:val="24"/>
                <w:szCs w:val="24"/>
                <w:lang w:val="en-US" w:eastAsia="zh-CN" w:bidi="ar-SA"/>
              </w:rPr>
              <w:t>3</w:t>
            </w:r>
          </w:p>
        </w:tc>
        <w:tc>
          <w:tcPr>
            <w:tcW w:w="3521" w:type="pct"/>
            <w:noWrap w:val="0"/>
            <w:vAlign w:val="center"/>
          </w:tcPr>
          <w:p w14:paraId="073B1F41">
            <w:pPr>
              <w:rPr>
                <w:rFonts w:hint="eastAsia" w:ascii="宋体" w:hAnsi="宋体" w:eastAsia="宋体" w:cs="宋体"/>
                <w:b/>
                <w:color w:val="auto"/>
                <w:sz w:val="24"/>
                <w:szCs w:val="24"/>
                <w:lang w:val="en-US" w:eastAsia="zh-CN"/>
              </w:rPr>
            </w:pPr>
            <w:r>
              <w:rPr>
                <w:rFonts w:hint="eastAsia" w:ascii="宋体" w:hAnsi="宋体" w:eastAsia="宋体" w:cs="宋体"/>
                <w:b w:val="0"/>
                <w:bCs/>
                <w:color w:val="auto"/>
                <w:kern w:val="2"/>
                <w:sz w:val="24"/>
                <w:szCs w:val="24"/>
                <w:lang w:val="en-US" w:eastAsia="zh-CN" w:bidi="ar-SA"/>
              </w:rPr>
              <w:t>提供近三年相关类似业绩，每提供一个业绩加1分，本项最多得3分，提供证明材料</w:t>
            </w:r>
            <w:bookmarkStart w:id="483" w:name="_GoBack"/>
            <w:bookmarkEnd w:id="483"/>
            <w:r>
              <w:rPr>
                <w:rFonts w:hint="eastAsia" w:ascii="宋体" w:hAnsi="宋体" w:eastAsia="宋体" w:cs="宋体"/>
                <w:b w:val="0"/>
                <w:bCs/>
                <w:color w:val="auto"/>
                <w:kern w:val="2"/>
                <w:sz w:val="24"/>
                <w:szCs w:val="24"/>
                <w:lang w:val="en-US" w:eastAsia="zh-CN" w:bidi="ar-SA"/>
              </w:rPr>
              <w:t>：成交通知书或合同。（以合同或成交通知书作为评判标准）</w:t>
            </w:r>
          </w:p>
        </w:tc>
      </w:tr>
      <w:tr w14:paraId="398E7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8" w:hRule="atLeast"/>
        </w:trPr>
        <w:tc>
          <w:tcPr>
            <w:tcW w:w="481" w:type="pct"/>
            <w:noWrap w:val="0"/>
            <w:vAlign w:val="center"/>
          </w:tcPr>
          <w:p w14:paraId="6EEBA664">
            <w:pPr>
              <w:ind w:firstLine="28"/>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w:t>
            </w:r>
          </w:p>
        </w:tc>
        <w:tc>
          <w:tcPr>
            <w:tcW w:w="698" w:type="pct"/>
            <w:noWrap w:val="0"/>
            <w:vAlign w:val="center"/>
          </w:tcPr>
          <w:p w14:paraId="2306033B">
            <w:pPr>
              <w:widowControl w:val="0"/>
              <w:spacing w:before="24" w:line="232" w:lineRule="auto"/>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项目人员配置</w:t>
            </w:r>
          </w:p>
        </w:tc>
        <w:tc>
          <w:tcPr>
            <w:tcW w:w="299" w:type="pct"/>
            <w:noWrap w:val="0"/>
            <w:vAlign w:val="center"/>
          </w:tcPr>
          <w:p w14:paraId="222012FE">
            <w:pPr>
              <w:widowControl w:val="0"/>
              <w:spacing w:before="24" w:line="232" w:lineRule="auto"/>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15</w:t>
            </w:r>
          </w:p>
        </w:tc>
        <w:tc>
          <w:tcPr>
            <w:tcW w:w="3521" w:type="pct"/>
            <w:noWrap w:val="0"/>
            <w:vAlign w:val="center"/>
          </w:tcPr>
          <w:p w14:paraId="45B16C52">
            <w:pPr>
              <w:widowControl w:val="0"/>
              <w:spacing w:before="24" w:line="232" w:lineRule="auto"/>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投标人拥有专业、稳定的运营人员和团队，有针对本项目成立的项目小组并有完整的组织架构。根据组织架构中人员配备情况及项目小组成员以往业绩经验、专业能力、资质资格情况进行评价：</w:t>
            </w:r>
          </w:p>
          <w:p w14:paraId="50E5F3FE">
            <w:pPr>
              <w:widowControl w:val="0"/>
              <w:numPr>
                <w:ilvl w:val="0"/>
                <w:numId w:val="5"/>
              </w:numPr>
              <w:spacing w:before="24" w:line="232" w:lineRule="auto"/>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拟投入人员人数大于</w:t>
            </w:r>
            <w:r>
              <w:rPr>
                <w:rFonts w:hint="eastAsia" w:cs="宋体"/>
                <w:color w:val="auto"/>
                <w:kern w:val="2"/>
                <w:sz w:val="24"/>
                <w:szCs w:val="24"/>
                <w:highlight w:val="none"/>
                <w:lang w:val="en-US" w:eastAsia="zh-CN" w:bidi="ar-SA"/>
              </w:rPr>
              <w:t>30</w:t>
            </w:r>
            <w:r>
              <w:rPr>
                <w:rFonts w:hint="eastAsia" w:ascii="宋体" w:hAnsi="宋体" w:eastAsia="宋体" w:cs="宋体"/>
                <w:color w:val="auto"/>
                <w:kern w:val="2"/>
                <w:sz w:val="24"/>
                <w:szCs w:val="24"/>
                <w:highlight w:val="none"/>
                <w:lang w:val="en-US" w:eastAsia="zh-CN" w:bidi="ar-SA"/>
              </w:rPr>
              <w:t>人或以上的得10分；拟投入人员人数为</w:t>
            </w:r>
            <w:r>
              <w:rPr>
                <w:rFonts w:hint="eastAsia" w:cs="宋体"/>
                <w:color w:val="auto"/>
                <w:kern w:val="2"/>
                <w:sz w:val="24"/>
                <w:szCs w:val="24"/>
                <w:highlight w:val="none"/>
                <w:lang w:val="en-US" w:eastAsia="zh-CN" w:bidi="ar-SA"/>
              </w:rPr>
              <w:t>20</w:t>
            </w:r>
            <w:r>
              <w:rPr>
                <w:rFonts w:hint="eastAsia" w:ascii="宋体" w:hAnsi="宋体" w:eastAsia="宋体" w:cs="宋体"/>
                <w:color w:val="auto"/>
                <w:kern w:val="2"/>
                <w:sz w:val="24"/>
                <w:szCs w:val="24"/>
                <w:highlight w:val="none"/>
                <w:lang w:val="en-US" w:eastAsia="zh-CN" w:bidi="ar-SA"/>
              </w:rPr>
              <w:t>人的得8分；拟投入人员人数为</w:t>
            </w:r>
            <w:r>
              <w:rPr>
                <w:rFonts w:hint="eastAsia" w:cs="宋体"/>
                <w:color w:val="auto"/>
                <w:kern w:val="2"/>
                <w:sz w:val="24"/>
                <w:szCs w:val="24"/>
                <w:highlight w:val="none"/>
                <w:lang w:val="en-US" w:eastAsia="zh-CN" w:bidi="ar-SA"/>
              </w:rPr>
              <w:t>10</w:t>
            </w:r>
            <w:r>
              <w:rPr>
                <w:rFonts w:hint="eastAsia" w:ascii="宋体" w:hAnsi="宋体" w:eastAsia="宋体" w:cs="宋体"/>
                <w:color w:val="auto"/>
                <w:kern w:val="2"/>
                <w:sz w:val="24"/>
                <w:szCs w:val="24"/>
                <w:highlight w:val="none"/>
                <w:lang w:val="en-US" w:eastAsia="zh-CN" w:bidi="ar-SA"/>
              </w:rPr>
              <w:t>人的得5分。</w:t>
            </w:r>
          </w:p>
          <w:p w14:paraId="36FDC7EF">
            <w:pPr>
              <w:widowControl w:val="0"/>
              <w:spacing w:before="24" w:line="232" w:lineRule="auto"/>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（上述人员中，需提供人员名单、身份证、近六个月任意一个月的社保缴纳凭证，否则不得分）</w:t>
            </w:r>
          </w:p>
          <w:p w14:paraId="45B87229">
            <w:pPr>
              <w:widowControl w:val="0"/>
              <w:numPr>
                <w:ilvl w:val="0"/>
                <w:numId w:val="0"/>
              </w:numPr>
              <w:spacing w:before="24" w:line="232" w:lineRule="auto"/>
              <w:ind w:leftChars="0"/>
              <w:jc w:val="both"/>
              <w:rPr>
                <w:rFonts w:hint="eastAsia" w:ascii="宋体" w:hAnsi="宋体" w:eastAsia="宋体" w:cs="宋体"/>
                <w:color w:val="auto"/>
                <w:kern w:val="2"/>
                <w:sz w:val="24"/>
                <w:szCs w:val="24"/>
                <w:highlight w:val="none"/>
                <w:lang w:val="en-US" w:eastAsia="zh-CN" w:bidi="ar-SA"/>
              </w:rPr>
            </w:pPr>
            <w:r>
              <w:rPr>
                <w:rFonts w:hint="eastAsia" w:cs="宋体"/>
                <w:color w:val="auto"/>
                <w:kern w:val="2"/>
                <w:sz w:val="24"/>
                <w:szCs w:val="24"/>
                <w:highlight w:val="none"/>
                <w:lang w:val="en-US" w:eastAsia="zh-CN" w:bidi="ar-SA"/>
              </w:rPr>
              <w:t>2</w:t>
            </w:r>
            <w:r>
              <w:rPr>
                <w:rFonts w:hint="eastAsia" w:ascii="宋体" w:hAnsi="宋体" w:eastAsia="宋体" w:cs="宋体"/>
                <w:color w:val="auto"/>
                <w:kern w:val="2"/>
                <w:sz w:val="24"/>
                <w:szCs w:val="24"/>
                <w:highlight w:val="none"/>
                <w:lang w:val="en-US" w:eastAsia="zh-CN" w:bidi="ar-SA"/>
              </w:rPr>
              <w:t>.具有田径专业裁判证书的，提供1名得1分，最多可得3分。</w:t>
            </w:r>
          </w:p>
          <w:p w14:paraId="72643782">
            <w:pPr>
              <w:widowControl w:val="0"/>
              <w:numPr>
                <w:ilvl w:val="0"/>
                <w:numId w:val="0"/>
              </w:numPr>
              <w:spacing w:before="24" w:line="232" w:lineRule="auto"/>
              <w:ind w:leftChars="0"/>
              <w:jc w:val="both"/>
              <w:rPr>
                <w:rFonts w:hint="eastAsia" w:ascii="宋体" w:hAnsi="宋体" w:eastAsia="宋体" w:cs="宋体"/>
                <w:color w:val="auto"/>
                <w:kern w:val="2"/>
                <w:sz w:val="24"/>
                <w:szCs w:val="24"/>
                <w:highlight w:val="none"/>
                <w:lang w:val="en-US" w:eastAsia="zh-CN" w:bidi="ar-SA"/>
              </w:rPr>
            </w:pPr>
            <w:r>
              <w:rPr>
                <w:rFonts w:hint="eastAsia" w:cs="宋体"/>
                <w:color w:val="auto"/>
                <w:kern w:val="2"/>
                <w:sz w:val="24"/>
                <w:szCs w:val="24"/>
                <w:highlight w:val="none"/>
                <w:lang w:val="en-US" w:eastAsia="zh-CN" w:bidi="ar-SA"/>
              </w:rPr>
              <w:t>3</w:t>
            </w:r>
            <w:r>
              <w:rPr>
                <w:rFonts w:hint="eastAsia" w:ascii="宋体" w:hAnsi="宋体" w:eastAsia="宋体" w:cs="宋体"/>
                <w:color w:val="auto"/>
                <w:kern w:val="2"/>
                <w:sz w:val="24"/>
                <w:szCs w:val="24"/>
                <w:highlight w:val="none"/>
                <w:lang w:val="en-US" w:eastAsia="zh-CN" w:bidi="ar-SA"/>
              </w:rPr>
              <w:t>.具有专业机构培训颁发的“急救管理”专业资格证书的，提供1名得1分，最多可得2分。</w:t>
            </w:r>
          </w:p>
        </w:tc>
      </w:tr>
      <w:tr w14:paraId="4C09A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4" w:hRule="atLeast"/>
        </w:trPr>
        <w:tc>
          <w:tcPr>
            <w:tcW w:w="481" w:type="pct"/>
            <w:noWrap w:val="0"/>
            <w:vAlign w:val="center"/>
          </w:tcPr>
          <w:p w14:paraId="05EACB54">
            <w:pPr>
              <w:ind w:firstLine="28"/>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w:t>
            </w:r>
          </w:p>
        </w:tc>
        <w:tc>
          <w:tcPr>
            <w:tcW w:w="698" w:type="pct"/>
            <w:noWrap w:val="0"/>
            <w:vAlign w:val="center"/>
          </w:tcPr>
          <w:p w14:paraId="380B68D6">
            <w:pPr>
              <w:widowControl w:val="0"/>
              <w:spacing w:before="24" w:line="232" w:lineRule="auto"/>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对本项目的理解</w:t>
            </w:r>
          </w:p>
        </w:tc>
        <w:tc>
          <w:tcPr>
            <w:tcW w:w="299" w:type="pct"/>
            <w:noWrap w:val="0"/>
            <w:vAlign w:val="center"/>
          </w:tcPr>
          <w:p w14:paraId="2732D0BF">
            <w:pPr>
              <w:widowControl w:val="0"/>
              <w:spacing w:before="24" w:line="232" w:lineRule="auto"/>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15</w:t>
            </w:r>
          </w:p>
        </w:tc>
        <w:tc>
          <w:tcPr>
            <w:tcW w:w="3521" w:type="pct"/>
            <w:noWrap w:val="0"/>
            <w:vAlign w:val="center"/>
          </w:tcPr>
          <w:p w14:paraId="00AF83D6">
            <w:pPr>
              <w:widowControl w:val="0"/>
              <w:spacing w:before="24" w:line="232" w:lineRule="auto"/>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根据招标文件要求，对各投标人提供的对本项目的理解进行综合评价：</w:t>
            </w:r>
          </w:p>
          <w:p w14:paraId="55489585">
            <w:pPr>
              <w:widowControl w:val="0"/>
              <w:spacing w:before="24" w:line="232" w:lineRule="auto"/>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1.项目的背景分析</w:t>
            </w:r>
          </w:p>
          <w:p w14:paraId="15C09724">
            <w:pPr>
              <w:widowControl w:val="0"/>
              <w:spacing w:before="24" w:line="232" w:lineRule="auto"/>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2.需求目标理解</w:t>
            </w:r>
          </w:p>
          <w:p w14:paraId="2515560B">
            <w:pPr>
              <w:widowControl w:val="0"/>
              <w:spacing w:before="24" w:line="232" w:lineRule="auto"/>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3.重难点分析</w:t>
            </w:r>
          </w:p>
          <w:p w14:paraId="22302DEA">
            <w:pPr>
              <w:widowControl w:val="0"/>
              <w:spacing w:before="24" w:line="232" w:lineRule="auto"/>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每提供1项得1分，满分3分。</w:t>
            </w:r>
          </w:p>
          <w:p w14:paraId="6D0809BB">
            <w:pPr>
              <w:widowControl w:val="0"/>
              <w:spacing w:before="24" w:line="232" w:lineRule="auto"/>
              <w:jc w:val="both"/>
              <w:rPr>
                <w:rFonts w:hint="eastAsia" w:ascii="宋体" w:hAnsi="宋体" w:eastAsia="宋体" w:cs="宋体"/>
                <w:sz w:val="24"/>
                <w:szCs w:val="24"/>
                <w:lang w:val="en-US" w:eastAsia="zh-CN"/>
              </w:rPr>
            </w:pPr>
            <w:r>
              <w:rPr>
                <w:rFonts w:hint="eastAsia" w:ascii="宋体" w:hAnsi="宋体" w:eastAsia="宋体" w:cs="宋体"/>
                <w:color w:val="auto"/>
                <w:kern w:val="2"/>
                <w:sz w:val="24"/>
                <w:szCs w:val="24"/>
                <w:highlight w:val="none"/>
                <w:lang w:val="en-US" w:eastAsia="zh-CN" w:bidi="ar-SA"/>
              </w:rPr>
              <w:t>评审委员会根据提供的质量进行评审，每项1分，每项最高4分，未提供不得分。</w:t>
            </w:r>
          </w:p>
        </w:tc>
      </w:tr>
      <w:tr w14:paraId="726E3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1" w:hRule="atLeast"/>
        </w:trPr>
        <w:tc>
          <w:tcPr>
            <w:tcW w:w="481" w:type="pct"/>
            <w:noWrap w:val="0"/>
            <w:vAlign w:val="center"/>
          </w:tcPr>
          <w:p w14:paraId="06B93B66">
            <w:pPr>
              <w:ind w:firstLine="28"/>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w:t>
            </w:r>
          </w:p>
        </w:tc>
        <w:tc>
          <w:tcPr>
            <w:tcW w:w="698" w:type="pct"/>
            <w:noWrap w:val="0"/>
            <w:vAlign w:val="center"/>
          </w:tcPr>
          <w:p w14:paraId="108BC0DC">
            <w:pPr>
              <w:widowControl w:val="0"/>
              <w:spacing w:before="24" w:line="232" w:lineRule="auto"/>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赛事总体 执行服务方案</w:t>
            </w:r>
          </w:p>
          <w:p w14:paraId="28711AFE">
            <w:pPr>
              <w:widowControl w:val="0"/>
              <w:spacing w:before="24" w:line="232" w:lineRule="auto"/>
              <w:jc w:val="center"/>
              <w:rPr>
                <w:rFonts w:hint="eastAsia" w:ascii="宋体" w:hAnsi="宋体" w:eastAsia="宋体" w:cs="宋体"/>
                <w:color w:val="auto"/>
                <w:kern w:val="2"/>
                <w:sz w:val="24"/>
                <w:szCs w:val="24"/>
                <w:highlight w:val="none"/>
                <w:lang w:val="en-US" w:eastAsia="zh-CN" w:bidi="ar-SA"/>
              </w:rPr>
            </w:pPr>
          </w:p>
        </w:tc>
        <w:tc>
          <w:tcPr>
            <w:tcW w:w="299" w:type="pct"/>
            <w:noWrap w:val="0"/>
            <w:vAlign w:val="center"/>
          </w:tcPr>
          <w:p w14:paraId="60EE0F8C">
            <w:pPr>
              <w:widowControl w:val="0"/>
              <w:spacing w:before="24" w:line="232" w:lineRule="auto"/>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18</w:t>
            </w:r>
          </w:p>
        </w:tc>
        <w:tc>
          <w:tcPr>
            <w:tcW w:w="3521" w:type="pct"/>
            <w:noWrap w:val="0"/>
            <w:vAlign w:val="center"/>
          </w:tcPr>
          <w:p w14:paraId="358BEA54">
            <w:pPr>
              <w:widowControl w:val="0"/>
              <w:spacing w:before="24" w:line="232" w:lineRule="auto"/>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根据招标文件要求，对各投标人提供的赛事总体执行服务方案进行综合评价：</w:t>
            </w:r>
          </w:p>
          <w:p w14:paraId="753E9DD3">
            <w:pPr>
              <w:widowControl w:val="0"/>
              <w:spacing w:before="24" w:line="232" w:lineRule="auto"/>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1.赛道和场地布置方案，赛道服务规划合理，起点封控兼顾社会出行及赛事筹备方案</w:t>
            </w:r>
          </w:p>
          <w:p w14:paraId="542A3D84">
            <w:pPr>
              <w:widowControl w:val="0"/>
              <w:spacing w:before="24" w:line="232" w:lineRule="auto"/>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 xml:space="preserve">2.赛事安保方案，提供的安保人员数量、设置点位 </w:t>
            </w:r>
          </w:p>
          <w:p w14:paraId="3348328F">
            <w:pPr>
              <w:widowControl w:val="0"/>
              <w:spacing w:before="24" w:line="232" w:lineRule="auto"/>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 xml:space="preserve">3.后勤保障及赛事医疗方案，人员接待、救援保障、 </w:t>
            </w:r>
          </w:p>
          <w:p w14:paraId="5DB8DD0F">
            <w:pPr>
              <w:widowControl w:val="0"/>
              <w:spacing w:before="24" w:line="232" w:lineRule="auto"/>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赛事车辆以及提供的医务急救人员来源及岗位设置、 点位设置（图文结合）、急救用品、急救车辆、急救绿色通道、赛后康复医疗服务等预案。</w:t>
            </w:r>
          </w:p>
          <w:p w14:paraId="261F3939">
            <w:pPr>
              <w:widowControl w:val="0"/>
              <w:spacing w:before="24" w:line="232" w:lineRule="auto"/>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每提供1项得1分，满分3分。</w:t>
            </w:r>
          </w:p>
          <w:p w14:paraId="31F91839">
            <w:pPr>
              <w:widowControl w:val="0"/>
              <w:spacing w:before="24" w:line="232" w:lineRule="auto"/>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评审委员会根据提供的质量进行评审，每项1分，每项最高5分，未提供不得分。</w:t>
            </w:r>
          </w:p>
        </w:tc>
      </w:tr>
      <w:tr w14:paraId="27B37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7" w:hRule="atLeast"/>
        </w:trPr>
        <w:tc>
          <w:tcPr>
            <w:tcW w:w="481" w:type="pct"/>
            <w:noWrap w:val="0"/>
            <w:vAlign w:val="center"/>
          </w:tcPr>
          <w:p w14:paraId="25F7BFAC">
            <w:pPr>
              <w:ind w:firstLine="28" w:firstLineChars="0"/>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6</w:t>
            </w:r>
          </w:p>
        </w:tc>
        <w:tc>
          <w:tcPr>
            <w:tcW w:w="698" w:type="pct"/>
            <w:noWrap w:val="0"/>
            <w:vAlign w:val="center"/>
          </w:tcPr>
          <w:p w14:paraId="2AD7EE4F">
            <w:pPr>
              <w:widowControl w:val="0"/>
              <w:spacing w:before="24" w:line="232" w:lineRule="auto"/>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媒体宣传和推广方案</w:t>
            </w:r>
          </w:p>
          <w:p w14:paraId="6E38A4E7">
            <w:pPr>
              <w:widowControl w:val="0"/>
              <w:spacing w:before="24" w:line="232" w:lineRule="auto"/>
              <w:jc w:val="center"/>
              <w:rPr>
                <w:rFonts w:hint="eastAsia" w:ascii="宋体" w:hAnsi="宋体" w:eastAsia="宋体" w:cs="宋体"/>
                <w:color w:val="auto"/>
                <w:kern w:val="2"/>
                <w:sz w:val="24"/>
                <w:szCs w:val="24"/>
                <w:highlight w:val="none"/>
                <w:lang w:val="en-US" w:eastAsia="zh-CN" w:bidi="ar-SA"/>
              </w:rPr>
            </w:pPr>
          </w:p>
        </w:tc>
        <w:tc>
          <w:tcPr>
            <w:tcW w:w="299" w:type="pct"/>
            <w:noWrap w:val="0"/>
            <w:vAlign w:val="center"/>
          </w:tcPr>
          <w:p w14:paraId="0F737F2A">
            <w:pPr>
              <w:widowControl w:val="0"/>
              <w:spacing w:before="24" w:line="232" w:lineRule="auto"/>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20</w:t>
            </w:r>
          </w:p>
        </w:tc>
        <w:tc>
          <w:tcPr>
            <w:tcW w:w="3521" w:type="pct"/>
            <w:noWrap w:val="0"/>
            <w:vAlign w:val="center"/>
          </w:tcPr>
          <w:p w14:paraId="3B51EC52">
            <w:pPr>
              <w:widowControl w:val="0"/>
              <w:spacing w:before="24" w:line="232" w:lineRule="auto"/>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根据招标文件要求，对各投标人提供的媒体宣传和推广方案进行综合评价：</w:t>
            </w:r>
          </w:p>
          <w:p w14:paraId="7DEE3D47">
            <w:pPr>
              <w:widowControl w:val="0"/>
              <w:numPr>
                <w:ilvl w:val="0"/>
                <w:numId w:val="6"/>
              </w:numPr>
              <w:spacing w:before="24" w:line="232" w:lineRule="auto"/>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全国青少年女子足球民族团结友谊赛事宣传媒体推广渠道及媒体资源清单（中央级、地方级媒体数量）推广方案</w:t>
            </w:r>
          </w:p>
          <w:p w14:paraId="18C6CBF2">
            <w:pPr>
              <w:widowControl w:val="0"/>
              <w:numPr>
                <w:ilvl w:val="0"/>
                <w:numId w:val="6"/>
              </w:numPr>
              <w:spacing w:before="24" w:line="232" w:lineRule="auto"/>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 xml:space="preserve">新媒体运营计划（更新频率、话题策划等）以及可操作性效果评估细化、数据采集方法， 资料归档等方案的规范 </w:t>
            </w:r>
          </w:p>
          <w:p w14:paraId="5BD32BBF">
            <w:pPr>
              <w:widowControl w:val="0"/>
              <w:numPr>
                <w:ilvl w:val="0"/>
                <w:numId w:val="6"/>
              </w:numPr>
              <w:spacing w:before="24" w:line="232" w:lineRule="auto"/>
              <w:jc w:val="both"/>
              <w:rPr>
                <w:rFonts w:hint="eastAsia" w:ascii="宋体" w:hAnsi="宋体" w:eastAsia="宋体" w:cs="宋体"/>
                <w:sz w:val="24"/>
                <w:szCs w:val="24"/>
                <w:lang w:val="en-US" w:eastAsia="zh-CN"/>
              </w:rPr>
            </w:pPr>
            <w:r>
              <w:rPr>
                <w:rFonts w:hint="eastAsia" w:ascii="宋体" w:hAnsi="宋体" w:eastAsia="宋体" w:cs="宋体"/>
                <w:color w:val="auto"/>
                <w:kern w:val="2"/>
                <w:sz w:val="24"/>
                <w:szCs w:val="24"/>
                <w:highlight w:val="none"/>
                <w:lang w:val="en-US" w:eastAsia="zh-CN" w:bidi="ar-SA"/>
              </w:rPr>
              <w:t>突出传播主题贴合项目核心主题及备选主题创意，全周期宣传策略（预热期、赛事期、后续期）</w:t>
            </w:r>
          </w:p>
          <w:p w14:paraId="039925E1">
            <w:pPr>
              <w:widowControl w:val="0"/>
              <w:spacing w:before="24" w:line="232" w:lineRule="auto"/>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4.舆论动态应急预案制作及完善（含监测机制、响应流程、处置措施）</w:t>
            </w:r>
          </w:p>
          <w:p w14:paraId="6B7ED4A3">
            <w:pPr>
              <w:widowControl w:val="0"/>
              <w:spacing w:before="24" w:line="232" w:lineRule="auto"/>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每提供1项得1分，满分4分。</w:t>
            </w:r>
          </w:p>
          <w:p w14:paraId="414D1B48">
            <w:pPr>
              <w:widowControl w:val="0"/>
              <w:spacing w:before="24" w:line="232" w:lineRule="auto"/>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 xml:space="preserve">评审委员会根据提供的质量进行评审，每项1分，每项最高4分，未提供不得分。 </w:t>
            </w:r>
          </w:p>
        </w:tc>
      </w:tr>
      <w:tr w14:paraId="70D02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7" w:hRule="atLeast"/>
        </w:trPr>
        <w:tc>
          <w:tcPr>
            <w:tcW w:w="481" w:type="pct"/>
            <w:noWrap w:val="0"/>
            <w:vAlign w:val="center"/>
          </w:tcPr>
          <w:p w14:paraId="7D959E92">
            <w:pPr>
              <w:ind w:firstLine="28" w:firstLineChars="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7</w:t>
            </w:r>
          </w:p>
        </w:tc>
        <w:tc>
          <w:tcPr>
            <w:tcW w:w="698" w:type="pct"/>
            <w:noWrap w:val="0"/>
            <w:vAlign w:val="center"/>
          </w:tcPr>
          <w:p w14:paraId="3588FA1F">
            <w:pPr>
              <w:widowControl w:val="0"/>
              <w:spacing w:before="24" w:line="232" w:lineRule="auto"/>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 xml:space="preserve">项目进度 及应急处理 </w:t>
            </w:r>
          </w:p>
        </w:tc>
        <w:tc>
          <w:tcPr>
            <w:tcW w:w="299" w:type="pct"/>
            <w:noWrap w:val="0"/>
            <w:vAlign w:val="center"/>
          </w:tcPr>
          <w:p w14:paraId="1D947823">
            <w:pPr>
              <w:widowControl w:val="0"/>
              <w:spacing w:before="24" w:line="232" w:lineRule="auto"/>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15</w:t>
            </w:r>
          </w:p>
        </w:tc>
        <w:tc>
          <w:tcPr>
            <w:tcW w:w="3521" w:type="pct"/>
            <w:noWrap w:val="0"/>
            <w:vAlign w:val="center"/>
          </w:tcPr>
          <w:p w14:paraId="1631D89A">
            <w:pPr>
              <w:widowControl w:val="0"/>
              <w:numPr>
                <w:ilvl w:val="0"/>
                <w:numId w:val="0"/>
              </w:numPr>
              <w:spacing w:before="24" w:line="232" w:lineRule="auto"/>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根据招标文件要求，对各投标人提供的项目进度计划进行综合评价：</w:t>
            </w:r>
          </w:p>
          <w:p w14:paraId="4BC0BFAC">
            <w:pPr>
              <w:widowControl w:val="0"/>
              <w:numPr>
                <w:ilvl w:val="0"/>
                <w:numId w:val="0"/>
              </w:numPr>
              <w:spacing w:before="24" w:line="232" w:lineRule="auto"/>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1.项目进度规划</w:t>
            </w:r>
          </w:p>
          <w:p w14:paraId="725E76B3">
            <w:pPr>
              <w:widowControl w:val="0"/>
              <w:numPr>
                <w:ilvl w:val="0"/>
                <w:numId w:val="0"/>
              </w:numPr>
              <w:spacing w:before="24" w:line="232" w:lineRule="auto"/>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 xml:space="preserve">2.策划进度计划与措施 </w:t>
            </w:r>
          </w:p>
          <w:p w14:paraId="27BC3EAF">
            <w:pPr>
              <w:widowControl w:val="0"/>
              <w:numPr>
                <w:ilvl w:val="0"/>
                <w:numId w:val="0"/>
              </w:numPr>
              <w:spacing w:before="24" w:line="232" w:lineRule="auto"/>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3.实施流程控制目标</w:t>
            </w:r>
          </w:p>
          <w:p w14:paraId="2C11130E">
            <w:pPr>
              <w:widowControl w:val="0"/>
              <w:numPr>
                <w:ilvl w:val="0"/>
                <w:numId w:val="0"/>
              </w:numPr>
              <w:spacing w:before="24" w:line="232" w:lineRule="auto"/>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4.紧急安全保障措施</w:t>
            </w:r>
          </w:p>
          <w:p w14:paraId="3E47BFA3">
            <w:pPr>
              <w:widowControl w:val="0"/>
              <w:numPr>
                <w:ilvl w:val="0"/>
                <w:numId w:val="0"/>
              </w:numPr>
              <w:spacing w:before="24" w:line="232" w:lineRule="auto"/>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5.突发、应急事件的处理措施</w:t>
            </w:r>
          </w:p>
          <w:p w14:paraId="0400B5B6">
            <w:pPr>
              <w:widowControl w:val="0"/>
              <w:numPr>
                <w:ilvl w:val="0"/>
                <w:numId w:val="0"/>
              </w:numPr>
              <w:spacing w:before="24" w:line="232" w:lineRule="auto"/>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每提供1项得1分，满分5分，未提供不得分。</w:t>
            </w:r>
          </w:p>
          <w:p w14:paraId="16C314AB">
            <w:pPr>
              <w:widowControl w:val="0"/>
              <w:numPr>
                <w:ilvl w:val="0"/>
                <w:numId w:val="0"/>
              </w:numPr>
              <w:spacing w:before="24" w:line="232" w:lineRule="auto"/>
              <w:jc w:val="both"/>
              <w:rPr>
                <w:rFonts w:hint="eastAsia" w:ascii="宋体" w:hAnsi="宋体" w:eastAsia="宋体" w:cs="宋体"/>
                <w:sz w:val="24"/>
                <w:szCs w:val="24"/>
                <w:lang w:val="en-US" w:eastAsia="zh-CN"/>
              </w:rPr>
            </w:pPr>
            <w:r>
              <w:rPr>
                <w:rFonts w:hint="eastAsia" w:ascii="宋体" w:hAnsi="宋体" w:eastAsia="宋体" w:cs="宋体"/>
                <w:color w:val="auto"/>
                <w:kern w:val="2"/>
                <w:sz w:val="24"/>
                <w:szCs w:val="24"/>
                <w:highlight w:val="none"/>
                <w:lang w:val="en-US" w:eastAsia="zh-CN" w:bidi="ar-SA"/>
              </w:rPr>
              <w:t>评审委员会根据提供的质量进行评审，每项1分，每项最高2分。</w:t>
            </w:r>
          </w:p>
        </w:tc>
      </w:tr>
      <w:tr w14:paraId="04B45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7" w:hRule="atLeast"/>
        </w:trPr>
        <w:tc>
          <w:tcPr>
            <w:tcW w:w="481" w:type="pct"/>
            <w:noWrap w:val="0"/>
            <w:vAlign w:val="center"/>
          </w:tcPr>
          <w:p w14:paraId="6EBC8053">
            <w:pPr>
              <w:ind w:firstLine="28" w:firstLineChars="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8</w:t>
            </w:r>
          </w:p>
        </w:tc>
        <w:tc>
          <w:tcPr>
            <w:tcW w:w="698" w:type="pct"/>
            <w:noWrap w:val="0"/>
            <w:vAlign w:val="center"/>
          </w:tcPr>
          <w:p w14:paraId="123EBA57">
            <w:pPr>
              <w:widowControl w:val="0"/>
              <w:spacing w:before="24" w:line="232" w:lineRule="auto"/>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服务承诺</w:t>
            </w:r>
          </w:p>
        </w:tc>
        <w:tc>
          <w:tcPr>
            <w:tcW w:w="299" w:type="pct"/>
            <w:noWrap w:val="0"/>
            <w:vAlign w:val="center"/>
          </w:tcPr>
          <w:p w14:paraId="57AA5567">
            <w:pPr>
              <w:widowControl w:val="0"/>
              <w:spacing w:before="24" w:line="232" w:lineRule="auto"/>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4</w:t>
            </w:r>
          </w:p>
        </w:tc>
        <w:tc>
          <w:tcPr>
            <w:tcW w:w="3521" w:type="pct"/>
            <w:noWrap w:val="0"/>
            <w:vAlign w:val="center"/>
          </w:tcPr>
          <w:p w14:paraId="391BDD92">
            <w:pPr>
              <w:widowControl w:val="0"/>
              <w:numPr>
                <w:ilvl w:val="0"/>
                <w:numId w:val="0"/>
              </w:numPr>
              <w:spacing w:before="24" w:line="232" w:lineRule="auto"/>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 xml:space="preserve">提供的专业人员服务承诺： </w:t>
            </w:r>
          </w:p>
          <w:p w14:paraId="6B95BC03">
            <w:pPr>
              <w:widowControl w:val="0"/>
              <w:numPr>
                <w:ilvl w:val="0"/>
                <w:numId w:val="0"/>
              </w:numPr>
              <w:spacing w:before="24" w:line="232" w:lineRule="auto"/>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1.根据问题性质安排专业人员赴现场处理、定期与客户沟通</w:t>
            </w:r>
          </w:p>
          <w:p w14:paraId="473FE749">
            <w:pPr>
              <w:widowControl w:val="0"/>
              <w:numPr>
                <w:ilvl w:val="0"/>
                <w:numId w:val="0"/>
              </w:numPr>
              <w:spacing w:before="24" w:line="232" w:lineRule="auto"/>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2.24小时内响应、确保服务效率</w:t>
            </w:r>
          </w:p>
          <w:p w14:paraId="5171F299">
            <w:pPr>
              <w:widowControl w:val="0"/>
              <w:numPr>
                <w:ilvl w:val="0"/>
                <w:numId w:val="0"/>
              </w:numPr>
              <w:spacing w:before="24" w:line="232" w:lineRule="auto"/>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3.根据需求变化调整服务内容，确保长期合作中的动态适配</w:t>
            </w:r>
          </w:p>
          <w:p w14:paraId="2F3C0CFE">
            <w:pPr>
              <w:widowControl w:val="0"/>
              <w:numPr>
                <w:ilvl w:val="0"/>
                <w:numId w:val="0"/>
              </w:numPr>
              <w:spacing w:before="24" w:line="232" w:lineRule="auto"/>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4.售后服务素材保存；音频修改售后安排；专辑后续调整维护期整体安排</w:t>
            </w:r>
          </w:p>
          <w:p w14:paraId="00C8CAA1">
            <w:pPr>
              <w:widowControl w:val="0"/>
              <w:numPr>
                <w:ilvl w:val="0"/>
                <w:numId w:val="0"/>
              </w:numPr>
              <w:spacing w:before="24" w:line="232" w:lineRule="auto"/>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以上内容符合每提供1项得1分，满分4分，未提供不得分。</w:t>
            </w:r>
          </w:p>
        </w:tc>
      </w:tr>
      <w:tr w14:paraId="61D1F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79" w:type="pct"/>
            <w:gridSpan w:val="2"/>
            <w:noWrap w:val="0"/>
            <w:vAlign w:val="center"/>
          </w:tcPr>
          <w:p w14:paraId="69989F3E">
            <w:pPr>
              <w:jc w:val="center"/>
              <w:rPr>
                <w:rFonts w:hint="eastAsia" w:ascii="宋体" w:hAnsi="宋体" w:eastAsia="宋体" w:cs="宋体"/>
                <w:b w:val="0"/>
                <w:bCs/>
                <w:color w:val="auto"/>
                <w:kern w:val="2"/>
                <w:sz w:val="24"/>
                <w:szCs w:val="24"/>
                <w:lang w:val="en-US" w:eastAsia="zh-CN" w:bidi="ar-SA"/>
              </w:rPr>
            </w:pPr>
            <w:r>
              <w:rPr>
                <w:rFonts w:hint="eastAsia" w:ascii="宋体" w:hAnsi="宋体" w:eastAsia="宋体" w:cs="宋体"/>
                <w:color w:val="auto"/>
                <w:sz w:val="24"/>
                <w:szCs w:val="24"/>
                <w:lang w:val="en-US" w:eastAsia="zh-CN"/>
              </w:rPr>
              <w:t>合计</w:t>
            </w:r>
          </w:p>
        </w:tc>
        <w:tc>
          <w:tcPr>
            <w:tcW w:w="299" w:type="pct"/>
            <w:noWrap w:val="0"/>
            <w:vAlign w:val="center"/>
          </w:tcPr>
          <w:p w14:paraId="34FE0DD3">
            <w:pPr>
              <w:ind w:firstLine="28" w:firstLineChars="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100</w:t>
            </w:r>
          </w:p>
        </w:tc>
        <w:tc>
          <w:tcPr>
            <w:tcW w:w="3521" w:type="pct"/>
            <w:noWrap w:val="0"/>
            <w:vAlign w:val="center"/>
          </w:tcPr>
          <w:p w14:paraId="2B95DE5D">
            <w:pPr>
              <w:pStyle w:val="79"/>
              <w:spacing w:line="240" w:lineRule="auto"/>
              <w:ind w:left="0" w:leftChars="0" w:right="104" w:rightChars="0" w:firstLine="0" w:firstLineChars="0"/>
              <w:jc w:val="both"/>
              <w:rPr>
                <w:rFonts w:hint="eastAsia" w:ascii="宋体" w:hAnsi="宋体" w:eastAsia="宋体" w:cs="宋体"/>
                <w:b w:val="0"/>
                <w:bCs/>
                <w:color w:val="auto"/>
                <w:sz w:val="24"/>
                <w:szCs w:val="24"/>
                <w:lang w:eastAsia="zh-CN"/>
              </w:rPr>
            </w:pPr>
          </w:p>
        </w:tc>
      </w:tr>
    </w:tbl>
    <w:p w14:paraId="61DD0D8E">
      <w:pPr>
        <w:rPr>
          <w:rFonts w:hint="eastAsia"/>
          <w:color w:val="auto"/>
          <w:highlight w:val="none"/>
        </w:rPr>
      </w:pPr>
      <w:r>
        <w:rPr>
          <w:rFonts w:hint="eastAsia"/>
          <w:color w:val="auto"/>
          <w:highlight w:val="none"/>
        </w:rPr>
        <w:br w:type="page"/>
      </w:r>
    </w:p>
    <w:p w14:paraId="1D0DD591">
      <w:pPr>
        <w:pStyle w:val="2"/>
        <w:keepNext/>
        <w:keepLines/>
        <w:pageBreakBefore w:val="0"/>
        <w:widowControl w:val="0"/>
        <w:numPr>
          <w:ilvl w:val="0"/>
          <w:numId w:val="0"/>
        </w:numPr>
        <w:kinsoku/>
        <w:wordWrap/>
        <w:overflowPunct/>
        <w:topLinePunct w:val="0"/>
        <w:autoSpaceDE/>
        <w:autoSpaceDN/>
        <w:bidi w:val="0"/>
        <w:adjustRightInd/>
        <w:snapToGrid/>
        <w:spacing w:before="220" w:after="220" w:line="480" w:lineRule="auto"/>
        <w:ind w:left="420" w:leftChars="0" w:hanging="420" w:firstLineChars="0"/>
        <w:textAlignment w:val="auto"/>
        <w:rPr>
          <w:rFonts w:hint="eastAsia" w:ascii="宋体" w:hAnsi="宋体" w:eastAsia="宋体" w:cs="宋体"/>
          <w:b/>
          <w:bCs/>
          <w:color w:val="auto"/>
          <w:kern w:val="44"/>
          <w:sz w:val="36"/>
          <w:szCs w:val="36"/>
          <w:highlight w:val="none"/>
          <w:lang w:val="zh-CN" w:eastAsia="zh-CN" w:bidi="ar-SA"/>
        </w:rPr>
      </w:pPr>
      <w:bookmarkStart w:id="292" w:name="_Toc155185918"/>
      <w:bookmarkStart w:id="293" w:name="_Toc1640"/>
      <w:bookmarkStart w:id="294" w:name="_Toc22127"/>
      <w:r>
        <w:rPr>
          <w:rFonts w:hint="eastAsia" w:ascii="宋体" w:hAnsi="宋体" w:eastAsia="宋体" w:cs="宋体"/>
          <w:b/>
          <w:bCs/>
          <w:color w:val="auto"/>
          <w:kern w:val="44"/>
          <w:sz w:val="36"/>
          <w:szCs w:val="36"/>
          <w:highlight w:val="none"/>
          <w:lang w:val="zh-CN" w:eastAsia="zh-CN" w:bidi="ar-SA"/>
        </w:rPr>
        <w:t>第六章 合同</w:t>
      </w:r>
      <w:bookmarkEnd w:id="292"/>
      <w:r>
        <w:rPr>
          <w:rFonts w:hint="eastAsia" w:ascii="宋体" w:hAnsi="宋体" w:eastAsia="宋体" w:cs="宋体"/>
          <w:b/>
          <w:bCs/>
          <w:color w:val="auto"/>
          <w:kern w:val="44"/>
          <w:sz w:val="36"/>
          <w:szCs w:val="36"/>
          <w:highlight w:val="none"/>
          <w:lang w:val="zh-CN" w:eastAsia="zh-CN" w:bidi="ar-SA"/>
        </w:rPr>
        <w:t>草案</w:t>
      </w:r>
      <w:bookmarkEnd w:id="293"/>
      <w:bookmarkEnd w:id="294"/>
    </w:p>
    <w:p w14:paraId="17D6AF03">
      <w:pPr>
        <w:wordWrap w:val="0"/>
        <w:jc w:val="center"/>
        <w:rPr>
          <w:rFonts w:hint="eastAsia" w:eastAsia="宋体"/>
          <w:bCs/>
          <w:color w:val="auto"/>
          <w:sz w:val="24"/>
          <w:szCs w:val="24"/>
          <w:highlight w:val="none"/>
          <w:lang w:eastAsia="zh-CN"/>
        </w:rPr>
      </w:pPr>
      <w:r>
        <w:rPr>
          <w:rFonts w:hint="eastAsia"/>
          <w:color w:val="auto"/>
          <w:sz w:val="24"/>
          <w:szCs w:val="24"/>
          <w:highlight w:val="none"/>
          <w:lang w:eastAsia="zh-CN"/>
        </w:rPr>
        <w:t>【</w:t>
      </w:r>
      <w:r>
        <w:rPr>
          <w:rFonts w:hint="eastAsia"/>
          <w:color w:val="auto"/>
          <w:sz w:val="24"/>
          <w:szCs w:val="24"/>
          <w:highlight w:val="none"/>
        </w:rPr>
        <w:t>此合同书仅作为签订正式合同时的参考，正式合同书应包括本参考格式的内容</w:t>
      </w:r>
      <w:r>
        <w:rPr>
          <w:rFonts w:hint="eastAsia"/>
          <w:color w:val="auto"/>
          <w:sz w:val="24"/>
          <w:szCs w:val="24"/>
          <w:highlight w:val="none"/>
          <w:lang w:eastAsia="zh-CN"/>
        </w:rPr>
        <w:t>】</w:t>
      </w:r>
    </w:p>
    <w:p w14:paraId="5C58762C">
      <w:pPr>
        <w:wordWrap w:val="0"/>
        <w:rPr>
          <w:bCs/>
          <w:color w:val="auto"/>
          <w:sz w:val="28"/>
          <w:szCs w:val="28"/>
          <w:highlight w:val="none"/>
        </w:rPr>
      </w:pPr>
      <w:r>
        <w:rPr>
          <w:rFonts w:hint="eastAsia" w:cs="Helvetica"/>
          <w:bCs/>
          <w:color w:val="auto"/>
          <w:sz w:val="24"/>
          <w:szCs w:val="24"/>
          <w:highlight w:val="none"/>
          <w:lang w:val="zh-CN"/>
        </w:rPr>
        <w:t>合同编号：</w:t>
      </w:r>
      <w:r>
        <w:rPr>
          <w:rFonts w:hint="eastAsia" w:cs="Helvetica"/>
          <w:bCs/>
          <w:color w:val="auto"/>
          <w:sz w:val="24"/>
          <w:szCs w:val="24"/>
          <w:highlight w:val="none"/>
          <w:u w:val="single"/>
        </w:rPr>
        <w:t xml:space="preserve">              </w:t>
      </w:r>
    </w:p>
    <w:p w14:paraId="1675A840">
      <w:pPr>
        <w:pStyle w:val="15"/>
        <w:spacing w:after="0"/>
        <w:jc w:val="center"/>
        <w:rPr>
          <w:rFonts w:ascii="宋体" w:hAnsi="宋体" w:cs="宋体"/>
          <w:b/>
          <w:bCs/>
          <w:color w:val="auto"/>
          <w:spacing w:val="-20"/>
          <w:kern w:val="44"/>
          <w:sz w:val="48"/>
          <w:szCs w:val="48"/>
          <w:highlight w:val="none"/>
        </w:rPr>
      </w:pPr>
      <w:bookmarkStart w:id="295" w:name="_Toc3995"/>
    </w:p>
    <w:p w14:paraId="5B80C78F">
      <w:pPr>
        <w:pStyle w:val="15"/>
        <w:rPr>
          <w:color w:val="auto"/>
          <w:highlight w:val="none"/>
        </w:rPr>
      </w:pPr>
    </w:p>
    <w:p w14:paraId="1E95CEAC">
      <w:pPr>
        <w:spacing w:line="240" w:lineRule="auto"/>
        <w:jc w:val="center"/>
        <w:outlineLvl w:val="1"/>
        <w:rPr>
          <w:rFonts w:hint="eastAsia" w:ascii="宋体" w:hAnsi="宋体" w:eastAsia="宋体" w:cs="宋体"/>
          <w:b/>
          <w:bCs/>
          <w:color w:val="auto"/>
          <w:spacing w:val="-20"/>
          <w:kern w:val="44"/>
          <w:sz w:val="44"/>
          <w:szCs w:val="44"/>
          <w:highlight w:val="none"/>
          <w:lang w:val="en-US" w:eastAsia="zh-CN" w:bidi="ar-SA"/>
        </w:rPr>
      </w:pPr>
      <w:bookmarkStart w:id="296" w:name="_Toc8451"/>
      <w:bookmarkStart w:id="297" w:name="_Toc3714"/>
      <w:bookmarkStart w:id="298" w:name="_Toc27174"/>
      <w:bookmarkStart w:id="299" w:name="_Toc31195"/>
      <w:r>
        <w:rPr>
          <w:rFonts w:hint="eastAsia" w:ascii="宋体" w:hAnsi="宋体" w:eastAsia="宋体" w:cs="宋体"/>
          <w:b/>
          <w:bCs/>
          <w:color w:val="auto"/>
          <w:spacing w:val="-20"/>
          <w:kern w:val="44"/>
          <w:sz w:val="44"/>
          <w:szCs w:val="44"/>
          <w:highlight w:val="none"/>
          <w:lang w:val="en-US" w:eastAsia="zh-CN" w:bidi="ar-SA"/>
        </w:rPr>
        <w:t>政府采购合同参考范本</w:t>
      </w:r>
      <w:bookmarkEnd w:id="296"/>
      <w:bookmarkEnd w:id="297"/>
      <w:bookmarkEnd w:id="298"/>
      <w:bookmarkEnd w:id="299"/>
    </w:p>
    <w:p w14:paraId="14FC7DAC">
      <w:pPr>
        <w:spacing w:line="480" w:lineRule="auto"/>
        <w:jc w:val="center"/>
        <w:outlineLvl w:val="1"/>
        <w:rPr>
          <w:rFonts w:hint="default" w:ascii="宋体" w:hAnsi="宋体" w:eastAsia="宋体" w:cs="宋体"/>
          <w:b/>
          <w:bCs/>
          <w:color w:val="auto"/>
          <w:spacing w:val="-20"/>
          <w:kern w:val="44"/>
          <w:sz w:val="44"/>
          <w:szCs w:val="44"/>
          <w:highlight w:val="none"/>
          <w:lang w:val="en-US" w:eastAsia="zh-CN" w:bidi="ar-SA"/>
        </w:rPr>
      </w:pPr>
      <w:bookmarkStart w:id="300" w:name="_Toc23807"/>
      <w:bookmarkStart w:id="301" w:name="_Toc9050"/>
      <w:bookmarkStart w:id="302" w:name="_Toc8560"/>
      <w:bookmarkStart w:id="303" w:name="_Toc3569"/>
      <w:r>
        <w:rPr>
          <w:rFonts w:hint="eastAsia" w:ascii="宋体" w:hAnsi="宋体" w:eastAsia="宋体" w:cs="宋体"/>
          <w:b/>
          <w:bCs/>
          <w:color w:val="auto"/>
          <w:spacing w:val="-20"/>
          <w:kern w:val="44"/>
          <w:sz w:val="44"/>
          <w:szCs w:val="44"/>
          <w:highlight w:val="none"/>
          <w:lang w:val="en-US" w:eastAsia="zh-CN" w:bidi="ar-SA"/>
        </w:rPr>
        <w:t>（服务类）</w:t>
      </w:r>
      <w:bookmarkEnd w:id="300"/>
      <w:bookmarkEnd w:id="301"/>
      <w:bookmarkEnd w:id="302"/>
      <w:bookmarkEnd w:id="303"/>
      <w:r>
        <w:rPr>
          <w:rFonts w:hint="eastAsia" w:cs="宋体"/>
          <w:b/>
          <w:bCs/>
          <w:color w:val="auto"/>
          <w:spacing w:val="-20"/>
          <w:kern w:val="44"/>
          <w:sz w:val="44"/>
          <w:szCs w:val="44"/>
          <w:highlight w:val="none"/>
          <w:lang w:val="en-US" w:eastAsia="zh-CN" w:bidi="ar-SA"/>
        </w:rPr>
        <w:t>【仅供参考】</w:t>
      </w:r>
    </w:p>
    <w:p w14:paraId="1FAB34AA">
      <w:pPr>
        <w:spacing w:line="480" w:lineRule="auto"/>
        <w:jc w:val="center"/>
        <w:rPr>
          <w:rFonts w:ascii="等线" w:hAnsi="等线" w:eastAsia="等线" w:cs="Times New Roman"/>
          <w:b/>
          <w:color w:val="auto"/>
          <w:sz w:val="24"/>
          <w:szCs w:val="24"/>
          <w:highlight w:val="none"/>
        </w:rPr>
      </w:pPr>
    </w:p>
    <w:p w14:paraId="0537774D">
      <w:pPr>
        <w:spacing w:line="480" w:lineRule="auto"/>
        <w:jc w:val="center"/>
        <w:rPr>
          <w:rFonts w:ascii="等线" w:hAnsi="等线" w:eastAsia="等线" w:cs="Times New Roman"/>
          <w:b/>
          <w:color w:val="auto"/>
          <w:sz w:val="24"/>
          <w:szCs w:val="24"/>
          <w:highlight w:val="none"/>
        </w:rPr>
      </w:pPr>
    </w:p>
    <w:p w14:paraId="26F6C1EB">
      <w:pPr>
        <w:spacing w:line="360" w:lineRule="auto"/>
        <w:jc w:val="center"/>
        <w:outlineLvl w:val="1"/>
        <w:rPr>
          <w:rFonts w:hint="eastAsia" w:ascii="宋体" w:hAnsi="宋体" w:eastAsia="宋体" w:cs="宋体"/>
          <w:b/>
          <w:color w:val="auto"/>
          <w:sz w:val="36"/>
          <w:szCs w:val="36"/>
          <w:highlight w:val="none"/>
        </w:rPr>
      </w:pPr>
      <w:bookmarkStart w:id="304" w:name="_Toc8654"/>
      <w:bookmarkStart w:id="305" w:name="_Toc2449"/>
      <w:bookmarkStart w:id="306" w:name="_Toc18509"/>
      <w:bookmarkStart w:id="307" w:name="_Toc27541"/>
      <w:r>
        <w:rPr>
          <w:rFonts w:hint="eastAsia" w:ascii="宋体" w:hAnsi="宋体" w:eastAsia="宋体" w:cs="宋体"/>
          <w:b/>
          <w:color w:val="auto"/>
          <w:sz w:val="36"/>
          <w:szCs w:val="36"/>
          <w:highlight w:val="none"/>
        </w:rPr>
        <w:t>第一部分 合同书</w:t>
      </w:r>
      <w:bookmarkEnd w:id="304"/>
      <w:bookmarkEnd w:id="305"/>
      <w:bookmarkEnd w:id="306"/>
      <w:bookmarkEnd w:id="307"/>
    </w:p>
    <w:p w14:paraId="337FCA28">
      <w:pPr>
        <w:spacing w:line="480" w:lineRule="auto"/>
        <w:jc w:val="center"/>
        <w:rPr>
          <w:rFonts w:ascii="等线" w:hAnsi="等线" w:eastAsia="等线" w:cs="Times New Roman"/>
          <w:b/>
          <w:color w:val="auto"/>
          <w:sz w:val="24"/>
          <w:szCs w:val="24"/>
          <w:highlight w:val="none"/>
        </w:rPr>
      </w:pPr>
    </w:p>
    <w:p w14:paraId="362819D5">
      <w:pPr>
        <w:pStyle w:val="15"/>
        <w:rPr>
          <w:color w:val="auto"/>
          <w:highlight w:val="none"/>
        </w:rPr>
      </w:pPr>
    </w:p>
    <w:p w14:paraId="3A49C1FC">
      <w:pPr>
        <w:pStyle w:val="15"/>
        <w:rPr>
          <w:color w:val="auto"/>
          <w:highlight w:val="none"/>
        </w:rPr>
      </w:pPr>
    </w:p>
    <w:p w14:paraId="4B4702B0">
      <w:pPr>
        <w:spacing w:before="120" w:line="480" w:lineRule="auto"/>
        <w:ind w:left="960"/>
        <w:rPr>
          <w:rFonts w:hint="eastAsia" w:ascii="宋体" w:hAnsi="宋体" w:eastAsia="宋体" w:cs="宋体"/>
          <w:i w:val="0"/>
          <w:iCs w:val="0"/>
          <w:color w:val="auto"/>
          <w:sz w:val="24"/>
          <w:szCs w:val="24"/>
          <w:highlight w:val="none"/>
          <w:u w:val="single"/>
        </w:rPr>
      </w:pPr>
      <w:r>
        <w:rPr>
          <w:rFonts w:hint="eastAsia" w:ascii="宋体" w:hAnsi="宋体" w:eastAsia="宋体" w:cs="宋体"/>
          <w:i w:val="0"/>
          <w:iCs w:val="0"/>
          <w:color w:val="auto"/>
          <w:sz w:val="24"/>
          <w:szCs w:val="24"/>
          <w:highlight w:val="none"/>
        </w:rPr>
        <w:t>项目名称：</w:t>
      </w:r>
      <w:r>
        <w:rPr>
          <w:rFonts w:hint="eastAsia" w:ascii="宋体" w:hAnsi="宋体" w:eastAsia="宋体" w:cs="宋体"/>
          <w:i w:val="0"/>
          <w:iCs w:val="0"/>
          <w:color w:val="auto"/>
          <w:sz w:val="24"/>
          <w:szCs w:val="24"/>
          <w:highlight w:val="none"/>
          <w:u w:val="single"/>
        </w:rPr>
        <w:t xml:space="preserve">        </w:t>
      </w:r>
      <w:r>
        <w:rPr>
          <w:rFonts w:hint="eastAsia" w:ascii="宋体" w:hAnsi="宋体" w:eastAsia="宋体" w:cs="宋体"/>
          <w:i w:val="0"/>
          <w:iCs w:val="0"/>
          <w:color w:val="auto"/>
          <w:sz w:val="24"/>
          <w:szCs w:val="24"/>
          <w:highlight w:val="none"/>
        </w:rPr>
        <w:t>（分包项目须填写完整的分包号及分包名称）</w:t>
      </w:r>
    </w:p>
    <w:p w14:paraId="09484661">
      <w:pPr>
        <w:spacing w:before="120" w:line="480" w:lineRule="auto"/>
        <w:ind w:left="960"/>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项目编号</w:t>
      </w:r>
      <w:r>
        <w:rPr>
          <w:rFonts w:hint="eastAsia" w:ascii="宋体" w:hAnsi="宋体" w:eastAsia="宋体" w:cs="宋体"/>
          <w:i w:val="0"/>
          <w:iCs w:val="0"/>
          <w:color w:val="auto"/>
          <w:sz w:val="24"/>
          <w:szCs w:val="24"/>
          <w:highlight w:val="none"/>
          <w:lang w:val="en-US" w:eastAsia="zh-CN"/>
        </w:rPr>
        <w:t>/包号</w:t>
      </w:r>
      <w:r>
        <w:rPr>
          <w:rFonts w:hint="eastAsia" w:ascii="宋体" w:hAnsi="宋体" w:eastAsia="宋体" w:cs="宋体"/>
          <w:i w:val="0"/>
          <w:iCs w:val="0"/>
          <w:color w:val="auto"/>
          <w:sz w:val="24"/>
          <w:szCs w:val="24"/>
          <w:highlight w:val="none"/>
        </w:rPr>
        <w:t>：</w:t>
      </w:r>
      <w:r>
        <w:rPr>
          <w:rFonts w:hint="eastAsia" w:ascii="宋体" w:hAnsi="宋体" w:eastAsia="宋体" w:cs="宋体"/>
          <w:i w:val="0"/>
          <w:iCs w:val="0"/>
          <w:color w:val="auto"/>
          <w:sz w:val="24"/>
          <w:szCs w:val="24"/>
          <w:highlight w:val="none"/>
          <w:u w:val="single"/>
        </w:rPr>
        <w:t xml:space="preserve">        </w:t>
      </w:r>
    </w:p>
    <w:p w14:paraId="382C40A4">
      <w:pPr>
        <w:spacing w:before="120" w:line="480" w:lineRule="auto"/>
        <w:ind w:left="960"/>
        <w:rPr>
          <w:rFonts w:hint="eastAsia" w:ascii="宋体" w:hAnsi="宋体" w:eastAsia="宋体" w:cs="宋体"/>
          <w:i w:val="0"/>
          <w:iCs w:val="0"/>
          <w:color w:val="auto"/>
          <w:sz w:val="24"/>
          <w:szCs w:val="24"/>
          <w:highlight w:val="none"/>
          <w:u w:val="single"/>
        </w:rPr>
      </w:pPr>
      <w:r>
        <w:rPr>
          <w:rFonts w:hint="eastAsia" w:ascii="宋体" w:hAnsi="宋体" w:eastAsia="宋体" w:cs="宋体"/>
          <w:i w:val="0"/>
          <w:iCs w:val="0"/>
          <w:color w:val="auto"/>
          <w:sz w:val="24"/>
          <w:szCs w:val="24"/>
          <w:highlight w:val="none"/>
        </w:rPr>
        <w:t>甲方（</w:t>
      </w:r>
      <w:r>
        <w:rPr>
          <w:rFonts w:hint="eastAsia" w:cs="宋体"/>
          <w:i w:val="0"/>
          <w:iCs w:val="0"/>
          <w:color w:val="auto"/>
          <w:sz w:val="24"/>
          <w:szCs w:val="24"/>
          <w:highlight w:val="none"/>
          <w:lang w:eastAsia="zh-CN"/>
        </w:rPr>
        <w:t>招标人</w:t>
      </w:r>
      <w:r>
        <w:rPr>
          <w:rFonts w:hint="eastAsia" w:ascii="宋体" w:hAnsi="宋体" w:eastAsia="宋体" w:cs="宋体"/>
          <w:i w:val="0"/>
          <w:iCs w:val="0"/>
          <w:color w:val="auto"/>
          <w:sz w:val="24"/>
          <w:szCs w:val="24"/>
          <w:highlight w:val="none"/>
        </w:rPr>
        <w:t>）：</w:t>
      </w:r>
      <w:r>
        <w:rPr>
          <w:rFonts w:hint="eastAsia" w:ascii="宋体" w:hAnsi="宋体" w:eastAsia="宋体" w:cs="宋体"/>
          <w:i w:val="0"/>
          <w:iCs w:val="0"/>
          <w:color w:val="auto"/>
          <w:sz w:val="24"/>
          <w:szCs w:val="24"/>
          <w:highlight w:val="none"/>
          <w:u w:val="single"/>
        </w:rPr>
        <w:t xml:space="preserve">                              </w:t>
      </w:r>
    </w:p>
    <w:p w14:paraId="01668520">
      <w:pPr>
        <w:spacing w:before="120" w:line="480" w:lineRule="auto"/>
        <w:ind w:left="960"/>
        <w:rPr>
          <w:rFonts w:hint="eastAsia" w:ascii="宋体" w:hAnsi="宋体" w:eastAsia="宋体" w:cs="宋体"/>
          <w:i w:val="0"/>
          <w:iCs w:val="0"/>
          <w:color w:val="auto"/>
          <w:sz w:val="24"/>
          <w:szCs w:val="24"/>
          <w:highlight w:val="none"/>
          <w:u w:val="single"/>
        </w:rPr>
      </w:pPr>
      <w:r>
        <w:rPr>
          <w:rFonts w:hint="eastAsia" w:ascii="宋体" w:hAnsi="宋体" w:eastAsia="宋体" w:cs="宋体"/>
          <w:i w:val="0"/>
          <w:iCs w:val="0"/>
          <w:color w:val="auto"/>
          <w:sz w:val="24"/>
          <w:szCs w:val="24"/>
          <w:highlight w:val="none"/>
        </w:rPr>
        <w:t>乙方（中标人）：</w:t>
      </w:r>
      <w:r>
        <w:rPr>
          <w:rFonts w:hint="eastAsia" w:ascii="宋体" w:hAnsi="宋体" w:eastAsia="宋体" w:cs="宋体"/>
          <w:i w:val="0"/>
          <w:iCs w:val="0"/>
          <w:color w:val="auto"/>
          <w:sz w:val="24"/>
          <w:szCs w:val="24"/>
          <w:highlight w:val="none"/>
          <w:u w:val="single"/>
        </w:rPr>
        <w:t xml:space="preserve">                              </w:t>
      </w:r>
    </w:p>
    <w:p w14:paraId="7E220030">
      <w:pPr>
        <w:spacing w:before="120" w:line="480" w:lineRule="auto"/>
        <w:ind w:firstLine="960" w:firstLineChars="400"/>
        <w:rPr>
          <w:rFonts w:hint="eastAsia" w:ascii="宋体" w:hAnsi="宋体" w:eastAsia="宋体" w:cs="宋体"/>
          <w:i w:val="0"/>
          <w:iCs w:val="0"/>
          <w:color w:val="auto"/>
          <w:sz w:val="24"/>
          <w:szCs w:val="24"/>
          <w:highlight w:val="none"/>
          <w:u w:val="single"/>
        </w:rPr>
      </w:pPr>
      <w:r>
        <w:rPr>
          <w:rFonts w:hint="eastAsia" w:ascii="宋体" w:hAnsi="宋体" w:eastAsia="宋体" w:cs="宋体"/>
          <w:i w:val="0"/>
          <w:iCs w:val="0"/>
          <w:color w:val="auto"/>
          <w:sz w:val="24"/>
          <w:szCs w:val="24"/>
          <w:highlight w:val="none"/>
        </w:rPr>
        <w:t>签订地：</w:t>
      </w:r>
      <w:r>
        <w:rPr>
          <w:rFonts w:hint="eastAsia" w:ascii="宋体" w:hAnsi="宋体" w:eastAsia="宋体" w:cs="宋体"/>
          <w:i w:val="0"/>
          <w:iCs w:val="0"/>
          <w:color w:val="auto"/>
          <w:sz w:val="24"/>
          <w:szCs w:val="24"/>
          <w:highlight w:val="none"/>
          <w:u w:val="single"/>
        </w:rPr>
        <w:t xml:space="preserve">                                     </w:t>
      </w:r>
    </w:p>
    <w:p w14:paraId="4E08DC93">
      <w:pPr>
        <w:spacing w:before="120" w:line="480" w:lineRule="auto"/>
        <w:ind w:firstLine="960" w:firstLineChars="400"/>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签订日期：</w:t>
      </w:r>
      <w:r>
        <w:rPr>
          <w:rFonts w:hint="eastAsia" w:ascii="宋体" w:hAnsi="宋体" w:eastAsia="宋体" w:cs="宋体"/>
          <w:i w:val="0"/>
          <w:iCs w:val="0"/>
          <w:color w:val="auto"/>
          <w:sz w:val="24"/>
          <w:szCs w:val="24"/>
          <w:highlight w:val="none"/>
          <w:u w:val="single"/>
        </w:rPr>
        <w:t xml:space="preserve">               </w:t>
      </w:r>
      <w:r>
        <w:rPr>
          <w:rFonts w:hint="eastAsia" w:ascii="宋体" w:hAnsi="宋体" w:eastAsia="宋体" w:cs="宋体"/>
          <w:i w:val="0"/>
          <w:iCs w:val="0"/>
          <w:color w:val="auto"/>
          <w:sz w:val="24"/>
          <w:szCs w:val="24"/>
          <w:highlight w:val="none"/>
        </w:rPr>
        <w:t>年</w:t>
      </w:r>
      <w:r>
        <w:rPr>
          <w:rFonts w:hint="eastAsia" w:ascii="宋体" w:hAnsi="宋体" w:eastAsia="宋体" w:cs="宋体"/>
          <w:i w:val="0"/>
          <w:iCs w:val="0"/>
          <w:color w:val="auto"/>
          <w:sz w:val="24"/>
          <w:szCs w:val="24"/>
          <w:highlight w:val="none"/>
          <w:u w:val="single"/>
        </w:rPr>
        <w:t xml:space="preserve">       </w:t>
      </w:r>
      <w:r>
        <w:rPr>
          <w:rFonts w:hint="eastAsia" w:ascii="宋体" w:hAnsi="宋体" w:eastAsia="宋体" w:cs="宋体"/>
          <w:i w:val="0"/>
          <w:iCs w:val="0"/>
          <w:color w:val="auto"/>
          <w:sz w:val="24"/>
          <w:szCs w:val="24"/>
          <w:highlight w:val="none"/>
        </w:rPr>
        <w:t>月</w:t>
      </w:r>
      <w:r>
        <w:rPr>
          <w:rFonts w:hint="eastAsia" w:ascii="宋体" w:hAnsi="宋体" w:eastAsia="宋体" w:cs="宋体"/>
          <w:i w:val="0"/>
          <w:iCs w:val="0"/>
          <w:color w:val="auto"/>
          <w:sz w:val="24"/>
          <w:szCs w:val="24"/>
          <w:highlight w:val="none"/>
          <w:u w:val="single"/>
        </w:rPr>
        <w:t xml:space="preserve">       </w:t>
      </w:r>
      <w:r>
        <w:rPr>
          <w:rFonts w:hint="eastAsia" w:ascii="宋体" w:hAnsi="宋体" w:eastAsia="宋体" w:cs="宋体"/>
          <w:i w:val="0"/>
          <w:iCs w:val="0"/>
          <w:color w:val="auto"/>
          <w:sz w:val="24"/>
          <w:szCs w:val="24"/>
          <w:highlight w:val="none"/>
        </w:rPr>
        <w:t>日</w:t>
      </w:r>
    </w:p>
    <w:p w14:paraId="3F7B70E2">
      <w:pPr>
        <w:widowControl/>
        <w:jc w:val="left"/>
        <w:rPr>
          <w:rFonts w:ascii="等线" w:hAnsi="等线" w:eastAsia="等线" w:cs="Times New Roman"/>
          <w:color w:val="auto"/>
          <w:sz w:val="24"/>
          <w:szCs w:val="24"/>
          <w:highlight w:val="none"/>
        </w:rPr>
      </w:pPr>
      <w:r>
        <w:rPr>
          <w:rFonts w:ascii="等线" w:hAnsi="等线" w:eastAsia="等线" w:cs="Times New Roman"/>
          <w:color w:val="auto"/>
          <w:sz w:val="24"/>
          <w:szCs w:val="24"/>
          <w:highlight w:val="none"/>
        </w:rPr>
        <w:br w:type="page"/>
      </w:r>
    </w:p>
    <w:p w14:paraId="6A46E899">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zh-CN"/>
        </w:rPr>
        <w:t>以下简称：甲方</w:t>
      </w:r>
      <w:r>
        <w:rPr>
          <w:rFonts w:hint="eastAsia" w:ascii="宋体" w:hAnsi="宋体" w:eastAsia="宋体" w:cs="宋体"/>
          <w:color w:val="auto"/>
          <w:sz w:val="24"/>
          <w:szCs w:val="24"/>
          <w:highlight w:val="none"/>
        </w:rPr>
        <w:t>）通过</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组织的</w:t>
      </w:r>
      <w:r>
        <w:rPr>
          <w:rFonts w:hint="eastAsia" w:ascii="宋体" w:hAnsi="宋体" w:eastAsia="宋体" w:cs="宋体"/>
          <w:color w:val="auto"/>
          <w:sz w:val="24"/>
          <w:szCs w:val="24"/>
          <w:highlight w:val="none"/>
          <w:u w:val="single"/>
        </w:rPr>
        <w:t>公开招标</w:t>
      </w:r>
      <w:r>
        <w:rPr>
          <w:rFonts w:hint="eastAsia" w:ascii="宋体" w:hAnsi="宋体" w:eastAsia="宋体" w:cs="宋体"/>
          <w:color w:val="auto"/>
          <w:sz w:val="24"/>
          <w:szCs w:val="24"/>
          <w:highlight w:val="none"/>
        </w:rPr>
        <w:t>方式采购活动，经</w:t>
      </w:r>
      <w:r>
        <w:rPr>
          <w:rFonts w:hint="eastAsia" w:ascii="宋体" w:hAnsi="宋体" w:eastAsia="宋体" w:cs="宋体"/>
          <w:color w:val="auto"/>
          <w:sz w:val="24"/>
          <w:szCs w:val="24"/>
          <w:highlight w:val="none"/>
          <w:u w:val="single"/>
        </w:rPr>
        <w:t>评标委员会</w:t>
      </w:r>
      <w:r>
        <w:rPr>
          <w:rFonts w:hint="eastAsia" w:ascii="宋体" w:hAnsi="宋体" w:eastAsia="宋体" w:cs="宋体"/>
          <w:color w:val="auto"/>
          <w:sz w:val="24"/>
          <w:szCs w:val="24"/>
          <w:highlight w:val="none"/>
        </w:rPr>
        <w:t>评定，</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zh-CN"/>
        </w:rPr>
        <w:t>以下简称：乙方</w:t>
      </w:r>
      <w:r>
        <w:rPr>
          <w:rFonts w:hint="eastAsia" w:ascii="宋体" w:hAnsi="宋体" w:eastAsia="宋体" w:cs="宋体"/>
          <w:color w:val="auto"/>
          <w:sz w:val="24"/>
          <w:szCs w:val="24"/>
          <w:highlight w:val="none"/>
        </w:rPr>
        <w:t>）为本项目中标人，现按照采购文件确定的事项签订本合同。</w:t>
      </w:r>
    </w:p>
    <w:p w14:paraId="3EF84FB0">
      <w:pPr>
        <w:spacing w:line="360" w:lineRule="auto"/>
        <w:ind w:firstLine="435"/>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rPr>
        <w:t>根据《中华人民共和国民法典》、《中华人民共和国政府采购法》等相关法律法规之规定，按照平等、自愿、公平和诚实信用的原则，经甲方和乙方协商一致，约定以下合同条款，以兹共同遵守、全面履行。</w:t>
      </w:r>
    </w:p>
    <w:p w14:paraId="5064A4C5">
      <w:pPr>
        <w:spacing w:line="360" w:lineRule="auto"/>
        <w:ind w:firstLine="437"/>
        <w:outlineLvl w:val="2"/>
        <w:rPr>
          <w:rFonts w:hint="eastAsia" w:ascii="宋体" w:hAnsi="宋体" w:eastAsia="宋体" w:cs="宋体"/>
          <w:b/>
          <w:bCs/>
          <w:color w:val="auto"/>
          <w:sz w:val="24"/>
          <w:szCs w:val="24"/>
          <w:highlight w:val="none"/>
          <w:lang w:val="zh-CN"/>
        </w:rPr>
      </w:pPr>
      <w:bookmarkStart w:id="308" w:name="_Toc24059"/>
      <w:bookmarkStart w:id="309" w:name="_Toc2232"/>
      <w:bookmarkStart w:id="310" w:name="_Toc4429"/>
      <w:bookmarkStart w:id="311" w:name="_Toc3029"/>
      <w:r>
        <w:rPr>
          <w:rFonts w:hint="eastAsia" w:ascii="宋体" w:hAnsi="宋体" w:eastAsia="宋体" w:cs="宋体"/>
          <w:b/>
          <w:bCs/>
          <w:color w:val="auto"/>
          <w:sz w:val="24"/>
          <w:szCs w:val="24"/>
          <w:highlight w:val="none"/>
          <w:lang w:val="zh-CN"/>
        </w:rPr>
        <w:t>1.1 合同组成部分</w:t>
      </w:r>
      <w:bookmarkEnd w:id="308"/>
      <w:bookmarkEnd w:id="309"/>
      <w:bookmarkEnd w:id="310"/>
      <w:bookmarkEnd w:id="311"/>
    </w:p>
    <w:p w14:paraId="33725A40">
      <w:pPr>
        <w:spacing w:line="360" w:lineRule="auto"/>
        <w:ind w:firstLine="435"/>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下列文件为本合同的组成部分，并构成一个整体，需综合解释、相互补充。如果下列文件内容出现不一致的情形，那么在保证按照采购文件确定的事项前提下，组成本合同的多个文件的优先适用顺序如下：</w:t>
      </w:r>
    </w:p>
    <w:p w14:paraId="24EB4FDF">
      <w:pPr>
        <w:spacing w:line="360" w:lineRule="auto"/>
        <w:ind w:firstLine="435"/>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1.1.1本合同及其补充合同、变更协议；</w:t>
      </w:r>
    </w:p>
    <w:p w14:paraId="06B720AD">
      <w:pPr>
        <w:spacing w:line="360" w:lineRule="auto"/>
        <w:ind w:firstLine="435"/>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1.1.2中标通知书；</w:t>
      </w:r>
    </w:p>
    <w:p w14:paraId="13D5C651">
      <w:pPr>
        <w:spacing w:line="360" w:lineRule="auto"/>
        <w:ind w:firstLine="435"/>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1.1.3投标文件（含澄清或者说明文件）；</w:t>
      </w:r>
    </w:p>
    <w:p w14:paraId="6871F105">
      <w:pPr>
        <w:spacing w:line="360" w:lineRule="auto"/>
        <w:ind w:firstLine="435"/>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1.1.4招标文件（含澄清或者修改文件）；</w:t>
      </w:r>
    </w:p>
    <w:p w14:paraId="333BEC4B">
      <w:pPr>
        <w:spacing w:line="360" w:lineRule="auto"/>
        <w:ind w:firstLine="435"/>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1.1.5其他相关采购文件。</w:t>
      </w:r>
    </w:p>
    <w:p w14:paraId="64F4182D">
      <w:pPr>
        <w:spacing w:line="360" w:lineRule="auto"/>
        <w:ind w:firstLine="437"/>
        <w:outlineLvl w:val="2"/>
        <w:rPr>
          <w:rFonts w:hint="eastAsia" w:ascii="宋体" w:hAnsi="宋体" w:eastAsia="宋体" w:cs="宋体"/>
          <w:b/>
          <w:bCs/>
          <w:color w:val="auto"/>
          <w:sz w:val="24"/>
          <w:szCs w:val="24"/>
          <w:highlight w:val="none"/>
          <w:lang w:val="zh-CN"/>
        </w:rPr>
      </w:pPr>
      <w:bookmarkStart w:id="312" w:name="_Toc2918"/>
      <w:bookmarkStart w:id="313" w:name="_Toc6311"/>
      <w:bookmarkStart w:id="314" w:name="_Toc18585"/>
      <w:bookmarkStart w:id="315" w:name="_Toc22185"/>
      <w:bookmarkStart w:id="316" w:name="_Toc6773"/>
      <w:bookmarkStart w:id="317" w:name="_Toc7044"/>
      <w:r>
        <w:rPr>
          <w:rFonts w:hint="eastAsia" w:ascii="宋体" w:hAnsi="宋体" w:eastAsia="宋体" w:cs="宋体"/>
          <w:b/>
          <w:bCs/>
          <w:color w:val="auto"/>
          <w:sz w:val="24"/>
          <w:szCs w:val="24"/>
          <w:highlight w:val="none"/>
          <w:lang w:val="zh-CN"/>
        </w:rPr>
        <w:t xml:space="preserve">1.2 </w:t>
      </w:r>
      <w:bookmarkEnd w:id="312"/>
      <w:bookmarkEnd w:id="313"/>
      <w:bookmarkEnd w:id="314"/>
      <w:bookmarkEnd w:id="315"/>
      <w:bookmarkEnd w:id="316"/>
      <w:r>
        <w:rPr>
          <w:rFonts w:hint="eastAsia" w:ascii="宋体" w:hAnsi="宋体" w:eastAsia="宋体" w:cs="宋体"/>
          <w:b/>
          <w:bCs/>
          <w:color w:val="auto"/>
          <w:sz w:val="24"/>
          <w:szCs w:val="24"/>
          <w:highlight w:val="none"/>
          <w:lang w:val="zh-CN"/>
        </w:rPr>
        <w:t>服务</w:t>
      </w:r>
      <w:bookmarkEnd w:id="317"/>
    </w:p>
    <w:p w14:paraId="4716B6D7">
      <w:pPr>
        <w:spacing w:line="360" w:lineRule="auto"/>
        <w:ind w:firstLine="435"/>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1.2.1服务名称：</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14:paraId="0A6E546F">
      <w:pPr>
        <w:spacing w:line="360" w:lineRule="auto"/>
        <w:ind w:firstLine="435"/>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1.2.2服务内容：</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14:paraId="7E293AE3">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1.2.3服务质量：</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14:paraId="36557D95">
      <w:pPr>
        <w:spacing w:line="360" w:lineRule="auto"/>
        <w:ind w:firstLine="437"/>
        <w:outlineLvl w:val="2"/>
        <w:rPr>
          <w:rFonts w:hint="eastAsia" w:ascii="宋体" w:hAnsi="宋体" w:eastAsia="宋体" w:cs="宋体"/>
          <w:b/>
          <w:bCs/>
          <w:color w:val="auto"/>
          <w:sz w:val="24"/>
          <w:szCs w:val="24"/>
          <w:highlight w:val="none"/>
          <w:lang w:val="zh-CN"/>
        </w:rPr>
      </w:pPr>
      <w:bookmarkStart w:id="318" w:name="_Toc21631"/>
      <w:bookmarkStart w:id="319" w:name="_Toc31596"/>
      <w:bookmarkStart w:id="320" w:name="_Toc23292"/>
      <w:bookmarkStart w:id="321" w:name="_Toc21551"/>
      <w:r>
        <w:rPr>
          <w:rFonts w:hint="eastAsia" w:ascii="宋体" w:hAnsi="宋体" w:eastAsia="宋体" w:cs="宋体"/>
          <w:b/>
          <w:bCs/>
          <w:color w:val="auto"/>
          <w:sz w:val="24"/>
          <w:szCs w:val="24"/>
          <w:highlight w:val="none"/>
          <w:lang w:val="zh-CN"/>
        </w:rPr>
        <w:t>1.3 价款</w:t>
      </w:r>
      <w:bookmarkEnd w:id="318"/>
      <w:bookmarkEnd w:id="319"/>
      <w:bookmarkEnd w:id="320"/>
      <w:bookmarkEnd w:id="321"/>
    </w:p>
    <w:p w14:paraId="1A045692">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本合同总价为：￥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元（大写：人民币</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元）。</w:t>
      </w:r>
    </w:p>
    <w:p w14:paraId="599E63B5">
      <w:pPr>
        <w:spacing w:line="360" w:lineRule="auto"/>
        <w:ind w:firstLine="435"/>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分项价格：</w:t>
      </w:r>
    </w:p>
    <w:tbl>
      <w:tblPr>
        <w:tblStyle w:val="33"/>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7"/>
        <w:gridCol w:w="4316"/>
        <w:gridCol w:w="12"/>
        <w:gridCol w:w="3225"/>
        <w:gridCol w:w="12"/>
      </w:tblGrid>
      <w:tr w14:paraId="42DB9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 w:type="dxa"/>
          <w:trHeight w:val="369" w:hRule="atLeast"/>
          <w:jc w:val="center"/>
        </w:trPr>
        <w:tc>
          <w:tcPr>
            <w:tcW w:w="957" w:type="dxa"/>
            <w:noWrap w:val="0"/>
            <w:vAlign w:val="center"/>
          </w:tcPr>
          <w:p w14:paraId="1347BD6F">
            <w:pPr>
              <w:jc w:val="center"/>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序号</w:t>
            </w:r>
          </w:p>
        </w:tc>
        <w:tc>
          <w:tcPr>
            <w:tcW w:w="4316" w:type="dxa"/>
            <w:noWrap w:val="0"/>
            <w:vAlign w:val="center"/>
          </w:tcPr>
          <w:p w14:paraId="3E704479">
            <w:pPr>
              <w:ind w:firstLine="20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分项名称</w:t>
            </w:r>
          </w:p>
        </w:tc>
        <w:tc>
          <w:tcPr>
            <w:tcW w:w="3237" w:type="dxa"/>
            <w:gridSpan w:val="2"/>
            <w:noWrap w:val="0"/>
            <w:vAlign w:val="center"/>
          </w:tcPr>
          <w:p w14:paraId="65FC1D6F">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分项价格</w:t>
            </w:r>
          </w:p>
        </w:tc>
      </w:tr>
      <w:tr w14:paraId="40121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 w:type="dxa"/>
          <w:trHeight w:val="369" w:hRule="atLeast"/>
          <w:jc w:val="center"/>
        </w:trPr>
        <w:tc>
          <w:tcPr>
            <w:tcW w:w="957" w:type="dxa"/>
            <w:noWrap w:val="0"/>
            <w:vAlign w:val="top"/>
          </w:tcPr>
          <w:p w14:paraId="35E9BFEF">
            <w:pPr>
              <w:jc w:val="center"/>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1</w:t>
            </w:r>
          </w:p>
        </w:tc>
        <w:tc>
          <w:tcPr>
            <w:tcW w:w="4316" w:type="dxa"/>
            <w:noWrap w:val="0"/>
            <w:vAlign w:val="center"/>
          </w:tcPr>
          <w:p w14:paraId="72680A2F">
            <w:pPr>
              <w:ind w:firstLine="200"/>
              <w:jc w:val="center"/>
              <w:rPr>
                <w:rFonts w:hint="eastAsia" w:ascii="宋体" w:hAnsi="宋体" w:eastAsia="宋体" w:cs="宋体"/>
                <w:color w:val="auto"/>
                <w:sz w:val="24"/>
                <w:szCs w:val="24"/>
                <w:highlight w:val="none"/>
              </w:rPr>
            </w:pPr>
          </w:p>
        </w:tc>
        <w:tc>
          <w:tcPr>
            <w:tcW w:w="3237" w:type="dxa"/>
            <w:gridSpan w:val="2"/>
            <w:noWrap w:val="0"/>
            <w:vAlign w:val="center"/>
          </w:tcPr>
          <w:p w14:paraId="187F971B">
            <w:pPr>
              <w:ind w:firstLine="200"/>
              <w:jc w:val="center"/>
              <w:rPr>
                <w:rFonts w:hint="eastAsia" w:ascii="宋体" w:hAnsi="宋体" w:eastAsia="宋体" w:cs="宋体"/>
                <w:color w:val="auto"/>
                <w:sz w:val="24"/>
                <w:szCs w:val="24"/>
                <w:highlight w:val="none"/>
              </w:rPr>
            </w:pPr>
          </w:p>
        </w:tc>
      </w:tr>
      <w:tr w14:paraId="7C028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 w:type="dxa"/>
          <w:trHeight w:val="369" w:hRule="atLeast"/>
          <w:jc w:val="center"/>
        </w:trPr>
        <w:tc>
          <w:tcPr>
            <w:tcW w:w="957" w:type="dxa"/>
            <w:noWrap w:val="0"/>
            <w:vAlign w:val="top"/>
          </w:tcPr>
          <w:p w14:paraId="27E974FC">
            <w:pPr>
              <w:jc w:val="center"/>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2</w:t>
            </w:r>
          </w:p>
        </w:tc>
        <w:tc>
          <w:tcPr>
            <w:tcW w:w="4316" w:type="dxa"/>
            <w:noWrap w:val="0"/>
            <w:vAlign w:val="center"/>
          </w:tcPr>
          <w:p w14:paraId="204353FF">
            <w:pPr>
              <w:ind w:firstLine="200"/>
              <w:jc w:val="center"/>
              <w:rPr>
                <w:rFonts w:hint="eastAsia" w:ascii="宋体" w:hAnsi="宋体" w:eastAsia="宋体" w:cs="宋体"/>
                <w:color w:val="auto"/>
                <w:sz w:val="24"/>
                <w:szCs w:val="24"/>
                <w:highlight w:val="none"/>
              </w:rPr>
            </w:pPr>
          </w:p>
        </w:tc>
        <w:tc>
          <w:tcPr>
            <w:tcW w:w="3237" w:type="dxa"/>
            <w:gridSpan w:val="2"/>
            <w:noWrap w:val="0"/>
            <w:vAlign w:val="center"/>
          </w:tcPr>
          <w:p w14:paraId="7F92DCB6">
            <w:pPr>
              <w:ind w:firstLine="200"/>
              <w:jc w:val="center"/>
              <w:rPr>
                <w:rFonts w:hint="eastAsia" w:ascii="宋体" w:hAnsi="宋体" w:eastAsia="宋体" w:cs="宋体"/>
                <w:color w:val="auto"/>
                <w:sz w:val="24"/>
                <w:szCs w:val="24"/>
                <w:highlight w:val="none"/>
              </w:rPr>
            </w:pPr>
          </w:p>
        </w:tc>
      </w:tr>
      <w:tr w14:paraId="70650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 w:type="dxa"/>
          <w:trHeight w:val="369" w:hRule="atLeast"/>
          <w:jc w:val="center"/>
        </w:trPr>
        <w:tc>
          <w:tcPr>
            <w:tcW w:w="957" w:type="dxa"/>
            <w:noWrap w:val="0"/>
            <w:vAlign w:val="top"/>
          </w:tcPr>
          <w:p w14:paraId="6D59A9BD">
            <w:pPr>
              <w:jc w:val="center"/>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3</w:t>
            </w:r>
          </w:p>
        </w:tc>
        <w:tc>
          <w:tcPr>
            <w:tcW w:w="4316" w:type="dxa"/>
            <w:noWrap w:val="0"/>
            <w:vAlign w:val="center"/>
          </w:tcPr>
          <w:p w14:paraId="07F72CB1">
            <w:pPr>
              <w:ind w:firstLine="200"/>
              <w:jc w:val="center"/>
              <w:rPr>
                <w:rFonts w:hint="eastAsia" w:ascii="宋体" w:hAnsi="宋体" w:eastAsia="宋体" w:cs="宋体"/>
                <w:color w:val="auto"/>
                <w:sz w:val="24"/>
                <w:szCs w:val="24"/>
                <w:highlight w:val="none"/>
              </w:rPr>
            </w:pPr>
          </w:p>
        </w:tc>
        <w:tc>
          <w:tcPr>
            <w:tcW w:w="3237" w:type="dxa"/>
            <w:gridSpan w:val="2"/>
            <w:noWrap w:val="0"/>
            <w:vAlign w:val="center"/>
          </w:tcPr>
          <w:p w14:paraId="26A11556">
            <w:pPr>
              <w:ind w:firstLine="200"/>
              <w:jc w:val="center"/>
              <w:rPr>
                <w:rFonts w:hint="eastAsia" w:ascii="宋体" w:hAnsi="宋体" w:eastAsia="宋体" w:cs="宋体"/>
                <w:color w:val="auto"/>
                <w:sz w:val="24"/>
                <w:szCs w:val="24"/>
                <w:highlight w:val="none"/>
              </w:rPr>
            </w:pPr>
          </w:p>
        </w:tc>
      </w:tr>
      <w:tr w14:paraId="67CF1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 w:type="dxa"/>
          <w:trHeight w:val="369" w:hRule="atLeast"/>
          <w:jc w:val="center"/>
        </w:trPr>
        <w:tc>
          <w:tcPr>
            <w:tcW w:w="957" w:type="dxa"/>
            <w:noWrap w:val="0"/>
            <w:vAlign w:val="top"/>
          </w:tcPr>
          <w:p w14:paraId="357FB4FD">
            <w:pPr>
              <w:jc w:val="center"/>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w:t>
            </w:r>
          </w:p>
        </w:tc>
        <w:tc>
          <w:tcPr>
            <w:tcW w:w="4316" w:type="dxa"/>
            <w:noWrap w:val="0"/>
            <w:vAlign w:val="center"/>
          </w:tcPr>
          <w:p w14:paraId="3CCC50FA">
            <w:pPr>
              <w:ind w:firstLine="200"/>
              <w:jc w:val="center"/>
              <w:rPr>
                <w:rFonts w:hint="eastAsia" w:ascii="宋体" w:hAnsi="宋体" w:eastAsia="宋体" w:cs="宋体"/>
                <w:color w:val="auto"/>
                <w:sz w:val="24"/>
                <w:szCs w:val="24"/>
                <w:highlight w:val="none"/>
              </w:rPr>
            </w:pPr>
          </w:p>
        </w:tc>
        <w:tc>
          <w:tcPr>
            <w:tcW w:w="3237" w:type="dxa"/>
            <w:gridSpan w:val="2"/>
            <w:noWrap w:val="0"/>
            <w:vAlign w:val="center"/>
          </w:tcPr>
          <w:p w14:paraId="5D5E32DE">
            <w:pPr>
              <w:ind w:firstLine="200"/>
              <w:jc w:val="center"/>
              <w:rPr>
                <w:rFonts w:hint="eastAsia" w:ascii="宋体" w:hAnsi="宋体" w:eastAsia="宋体" w:cs="宋体"/>
                <w:color w:val="auto"/>
                <w:sz w:val="24"/>
                <w:szCs w:val="24"/>
                <w:highlight w:val="none"/>
              </w:rPr>
            </w:pPr>
          </w:p>
        </w:tc>
      </w:tr>
      <w:tr w14:paraId="17232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5285" w:type="dxa"/>
            <w:gridSpan w:val="3"/>
            <w:noWrap w:val="0"/>
            <w:vAlign w:val="center"/>
          </w:tcPr>
          <w:p w14:paraId="3424024B">
            <w:pPr>
              <w:ind w:firstLine="20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总价</w:t>
            </w:r>
          </w:p>
        </w:tc>
        <w:tc>
          <w:tcPr>
            <w:tcW w:w="3237" w:type="dxa"/>
            <w:gridSpan w:val="2"/>
            <w:noWrap w:val="0"/>
            <w:vAlign w:val="center"/>
          </w:tcPr>
          <w:p w14:paraId="782C15DD">
            <w:pPr>
              <w:ind w:firstLine="200"/>
              <w:jc w:val="center"/>
              <w:rPr>
                <w:rFonts w:hint="eastAsia" w:ascii="宋体" w:hAnsi="宋体" w:eastAsia="宋体" w:cs="宋体"/>
                <w:color w:val="auto"/>
                <w:sz w:val="24"/>
                <w:szCs w:val="24"/>
                <w:highlight w:val="none"/>
              </w:rPr>
            </w:pPr>
          </w:p>
        </w:tc>
      </w:tr>
    </w:tbl>
    <w:p w14:paraId="3AA22A40">
      <w:pPr>
        <w:spacing w:line="360" w:lineRule="auto"/>
        <w:ind w:firstLine="437"/>
        <w:outlineLvl w:val="2"/>
        <w:rPr>
          <w:rFonts w:hint="eastAsia" w:ascii="宋体" w:hAnsi="宋体" w:eastAsia="宋体" w:cs="宋体"/>
          <w:b/>
          <w:bCs/>
          <w:color w:val="auto"/>
          <w:sz w:val="24"/>
          <w:szCs w:val="24"/>
          <w:highlight w:val="none"/>
          <w:lang w:val="zh-CN"/>
        </w:rPr>
      </w:pPr>
      <w:bookmarkStart w:id="322" w:name="_Toc1814"/>
      <w:bookmarkStart w:id="323" w:name="_Toc22618"/>
      <w:bookmarkStart w:id="324" w:name="_Toc5498"/>
      <w:bookmarkStart w:id="325" w:name="_Toc10340"/>
      <w:r>
        <w:rPr>
          <w:rFonts w:hint="eastAsia" w:ascii="宋体" w:hAnsi="宋体" w:eastAsia="宋体" w:cs="宋体"/>
          <w:b/>
          <w:bCs/>
          <w:color w:val="auto"/>
          <w:sz w:val="24"/>
          <w:szCs w:val="24"/>
          <w:highlight w:val="none"/>
          <w:lang w:val="zh-CN"/>
        </w:rPr>
        <w:t>1.4 付款方式和发票开具方式</w:t>
      </w:r>
      <w:bookmarkEnd w:id="322"/>
      <w:bookmarkEnd w:id="323"/>
      <w:bookmarkEnd w:id="324"/>
      <w:bookmarkEnd w:id="325"/>
    </w:p>
    <w:p w14:paraId="5AC90332">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1.4.1付款方式：</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14:paraId="756D346C">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1.4.2发票开具方式：</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14:paraId="71DF7C34">
      <w:pPr>
        <w:spacing w:line="360" w:lineRule="auto"/>
        <w:ind w:firstLine="437"/>
        <w:outlineLvl w:val="2"/>
        <w:rPr>
          <w:rFonts w:hint="eastAsia" w:ascii="宋体" w:hAnsi="宋体" w:eastAsia="宋体" w:cs="宋体"/>
          <w:b/>
          <w:bCs/>
          <w:color w:val="auto"/>
          <w:sz w:val="24"/>
          <w:szCs w:val="24"/>
          <w:highlight w:val="none"/>
          <w:lang w:val="zh-CN"/>
        </w:rPr>
      </w:pPr>
      <w:bookmarkStart w:id="326" w:name="_Toc32071"/>
      <w:bookmarkStart w:id="327" w:name="_Toc2846"/>
      <w:bookmarkStart w:id="328" w:name="_Toc19304"/>
      <w:bookmarkStart w:id="329" w:name="_Toc14771"/>
      <w:r>
        <w:rPr>
          <w:rFonts w:hint="eastAsia" w:ascii="宋体" w:hAnsi="宋体" w:eastAsia="宋体" w:cs="宋体"/>
          <w:b/>
          <w:bCs/>
          <w:color w:val="auto"/>
          <w:sz w:val="24"/>
          <w:szCs w:val="24"/>
          <w:highlight w:val="none"/>
          <w:lang w:val="zh-CN"/>
        </w:rPr>
        <w:t>1.5 服务期限、地点和方式</w:t>
      </w:r>
      <w:bookmarkEnd w:id="326"/>
      <w:bookmarkEnd w:id="327"/>
      <w:bookmarkEnd w:id="328"/>
      <w:bookmarkEnd w:id="329"/>
    </w:p>
    <w:p w14:paraId="7B404C5C">
      <w:pPr>
        <w:spacing w:line="360" w:lineRule="auto"/>
        <w:ind w:firstLine="435"/>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1.5.1服务期限：</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14:paraId="2805CB36">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1.5.2服务地点：</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14:paraId="0AD80BDB">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1.5.3服务方式：</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14:paraId="32493C68">
      <w:pPr>
        <w:spacing w:line="360" w:lineRule="auto"/>
        <w:ind w:firstLine="437"/>
        <w:outlineLvl w:val="2"/>
        <w:rPr>
          <w:rFonts w:hint="eastAsia" w:ascii="宋体" w:hAnsi="宋体" w:eastAsia="宋体" w:cs="宋体"/>
          <w:b/>
          <w:bCs/>
          <w:color w:val="auto"/>
          <w:sz w:val="24"/>
          <w:szCs w:val="24"/>
          <w:highlight w:val="none"/>
          <w:lang w:val="zh-CN"/>
        </w:rPr>
      </w:pPr>
      <w:bookmarkStart w:id="330" w:name="_Toc22220"/>
      <w:bookmarkStart w:id="331" w:name="_Toc27250"/>
      <w:bookmarkStart w:id="332" w:name="_Toc21423"/>
      <w:bookmarkStart w:id="333" w:name="_Toc19554"/>
      <w:r>
        <w:rPr>
          <w:rFonts w:hint="eastAsia" w:ascii="宋体" w:hAnsi="宋体" w:eastAsia="宋体" w:cs="宋体"/>
          <w:b/>
          <w:bCs/>
          <w:color w:val="auto"/>
          <w:sz w:val="24"/>
          <w:szCs w:val="24"/>
          <w:highlight w:val="none"/>
          <w:lang w:val="zh-CN"/>
        </w:rPr>
        <w:t>1.6 违约责任</w:t>
      </w:r>
      <w:bookmarkEnd w:id="330"/>
      <w:bookmarkEnd w:id="331"/>
      <w:bookmarkEnd w:id="332"/>
      <w:bookmarkEnd w:id="333"/>
    </w:p>
    <w:p w14:paraId="7B9F4F3A">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1.6.1除不可抗力外，如果乙方没有按照本合同约定的期限、地点和方式履行，那么甲方可要求乙方支付违约金，违约金按每迟延履行一日的应提供而未提供服务价格的</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%计算，最高限额为本合同总价的</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%；迟延履行的违约金计算数额达到前述最高限额之日起，甲方有权在要求乙方支付违约金的同时，书面通知乙方解除本合同；</w:t>
      </w:r>
    </w:p>
    <w:p w14:paraId="15FDD804">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1.6.2除不可抗力外，如果甲方没有按照本合同约定的付款方式付款，那么乙方可要求甲方支付违约金，违约金按每迟延付款一日的应付而未付款的</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%计算，最高限额为本合同总价的</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%；迟延付款的违约金计算数额达到前述最高限额之日起，乙方有权在要求甲方支付违约金的同时，书面通知甲方解除本合同；</w:t>
      </w:r>
    </w:p>
    <w:p w14:paraId="6ED7790A">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1.6.3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6DC21473">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1.6.4任何一方按照前述约定要求违约方支付违约金的同时，仍有权要求违约方继续履行合同、采取补救措施，并有权按照己方实际损失情况要求违约方赔偿损失；任何一方按照前述约定要求解除本合同的同时，仍有权要求违约方支付违约金和按照己方实际损失情况要求违约方赔偿损失；且守约方行使的任何权利救济方式均不视为其放弃了其他法定或者约定的权利救济方式；</w:t>
      </w:r>
    </w:p>
    <w:p w14:paraId="4F868942">
      <w:pPr>
        <w:keepNext w:val="0"/>
        <w:keepLines w:val="0"/>
        <w:pageBreakBefore w:val="0"/>
        <w:widowControl w:val="0"/>
        <w:kinsoku/>
        <w:wordWrap/>
        <w:overflowPunct/>
        <w:topLinePunct w:val="0"/>
        <w:autoSpaceDE/>
        <w:autoSpaceDN/>
        <w:bidi w:val="0"/>
        <w:adjustRightInd/>
        <w:snapToGrid/>
        <w:spacing w:line="360" w:lineRule="auto"/>
        <w:ind w:firstLine="437"/>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1.6.5除前述约定外，除不可抗力外，任何一方未能履行本合同约定的义务，对方当事人均有权要求继续履行、采取补救措施或者赔偿损失等，且对方当事人行使的任何权利救济方式均不视为其放弃了其他法定或者约定的权利救济方式；</w:t>
      </w:r>
    </w:p>
    <w:p w14:paraId="67B371D1">
      <w:pPr>
        <w:keepNext w:val="0"/>
        <w:keepLines w:val="0"/>
        <w:pageBreakBefore w:val="0"/>
        <w:widowControl w:val="0"/>
        <w:kinsoku/>
        <w:wordWrap/>
        <w:overflowPunct/>
        <w:topLinePunct w:val="0"/>
        <w:autoSpaceDE/>
        <w:autoSpaceDN/>
        <w:bidi w:val="0"/>
        <w:adjustRightInd/>
        <w:snapToGrid/>
        <w:spacing w:line="360" w:lineRule="auto"/>
        <w:ind w:firstLine="437"/>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1.6.6如果出现政府采购监督管理部门在处理投诉事项期间，书面通知甲方暂停采购活动的情形，或者询问或质疑事项可能影响中标结果的，导致甲方中止履行合同的情形，均不视为甲方违约。</w:t>
      </w:r>
    </w:p>
    <w:p w14:paraId="5BAD686F">
      <w:pPr>
        <w:keepNext w:val="0"/>
        <w:keepLines w:val="0"/>
        <w:pageBreakBefore w:val="0"/>
        <w:widowControl w:val="0"/>
        <w:kinsoku/>
        <w:wordWrap/>
        <w:overflowPunct/>
        <w:topLinePunct w:val="0"/>
        <w:autoSpaceDE/>
        <w:autoSpaceDN/>
        <w:bidi w:val="0"/>
        <w:adjustRightInd/>
        <w:snapToGrid/>
        <w:spacing w:line="360" w:lineRule="auto"/>
        <w:ind w:firstLine="437"/>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1.6.7因甲方未按合同约定支付价款、未按合同约定受领标的物、擅自解除合同</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逾期退还履约保证金导致乙方遭受的直接损失，乙方可向甲方申请赔偿，赔偿金额由双方协商一致；针对因政策变化等原因不能签订合同或解除合同时，造成乙方合法利益受损的情形，可以给予乙方合理补偿，补偿金额不得超过乙方的直接损失。</w:t>
      </w:r>
    </w:p>
    <w:p w14:paraId="685507EF">
      <w:pPr>
        <w:spacing w:line="360" w:lineRule="auto"/>
        <w:ind w:firstLine="437"/>
        <w:outlineLvl w:val="2"/>
        <w:rPr>
          <w:rFonts w:hint="eastAsia" w:ascii="宋体" w:hAnsi="宋体" w:eastAsia="宋体" w:cs="宋体"/>
          <w:b/>
          <w:bCs/>
          <w:color w:val="auto"/>
          <w:sz w:val="24"/>
          <w:szCs w:val="24"/>
          <w:highlight w:val="none"/>
          <w:lang w:val="zh-CN"/>
        </w:rPr>
      </w:pPr>
      <w:bookmarkStart w:id="334" w:name="_Toc15583"/>
      <w:bookmarkStart w:id="335" w:name="_Toc32610"/>
      <w:bookmarkStart w:id="336" w:name="_Toc28375"/>
      <w:bookmarkStart w:id="337" w:name="_Toc16021"/>
      <w:r>
        <w:rPr>
          <w:rFonts w:hint="eastAsia" w:ascii="宋体" w:hAnsi="宋体" w:eastAsia="宋体" w:cs="宋体"/>
          <w:b/>
          <w:bCs/>
          <w:color w:val="auto"/>
          <w:sz w:val="24"/>
          <w:szCs w:val="24"/>
          <w:highlight w:val="none"/>
          <w:lang w:val="zh-CN"/>
        </w:rPr>
        <w:t>1.7 合同争议的解决</w:t>
      </w:r>
      <w:bookmarkEnd w:id="334"/>
      <w:bookmarkEnd w:id="335"/>
      <w:bookmarkEnd w:id="336"/>
      <w:bookmarkEnd w:id="337"/>
    </w:p>
    <w:p w14:paraId="162D154D">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本合同履行过程中发生的任何争议，双方当事人均可通过和解或者调解解决；不愿和解、调解或者和解、调解不成的，可以选择下列第</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种方式解决：</w:t>
      </w:r>
    </w:p>
    <w:p w14:paraId="518117DB">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1.7.1将争议提交</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仲裁委员会依申请仲裁时其现行有效的仲裁规则裁决；</w:t>
      </w:r>
    </w:p>
    <w:p w14:paraId="05749791">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1.7.2向</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人民法院起诉。</w:t>
      </w:r>
    </w:p>
    <w:p w14:paraId="374D7C61">
      <w:pPr>
        <w:spacing w:line="360" w:lineRule="auto"/>
        <w:ind w:firstLine="437"/>
        <w:outlineLvl w:val="2"/>
        <w:rPr>
          <w:rFonts w:hint="eastAsia" w:ascii="宋体" w:hAnsi="宋体" w:eastAsia="宋体" w:cs="宋体"/>
          <w:b/>
          <w:bCs/>
          <w:color w:val="auto"/>
          <w:sz w:val="24"/>
          <w:szCs w:val="24"/>
          <w:highlight w:val="none"/>
          <w:lang w:val="zh-CN"/>
        </w:rPr>
      </w:pPr>
      <w:bookmarkStart w:id="338" w:name="_Toc15322"/>
      <w:bookmarkStart w:id="339" w:name="_Toc11173"/>
      <w:bookmarkStart w:id="340" w:name="_Toc28273"/>
      <w:bookmarkStart w:id="341" w:name="_Toc7245"/>
      <w:r>
        <w:rPr>
          <w:rFonts w:hint="eastAsia" w:ascii="宋体" w:hAnsi="宋体" w:eastAsia="宋体" w:cs="宋体"/>
          <w:b/>
          <w:bCs/>
          <w:color w:val="auto"/>
          <w:sz w:val="24"/>
          <w:szCs w:val="24"/>
          <w:highlight w:val="none"/>
          <w:lang w:val="zh-CN"/>
        </w:rPr>
        <w:t>1.8 合同生效</w:t>
      </w:r>
      <w:bookmarkEnd w:id="338"/>
      <w:bookmarkEnd w:id="339"/>
      <w:bookmarkEnd w:id="340"/>
      <w:bookmarkEnd w:id="341"/>
    </w:p>
    <w:p w14:paraId="0F2DBD02">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本合同自双方当事人盖章时生效。</w:t>
      </w:r>
    </w:p>
    <w:p w14:paraId="2D2E6EFD">
      <w:pPr>
        <w:autoSpaceDE w:val="0"/>
        <w:autoSpaceDN w:val="0"/>
        <w:adjustRightInd w:val="0"/>
        <w:spacing w:line="560" w:lineRule="exact"/>
        <w:rPr>
          <w:rFonts w:hint="eastAsia" w:ascii="宋体" w:hAnsi="宋体" w:eastAsia="宋体" w:cs="宋体"/>
          <w:color w:val="auto"/>
          <w:sz w:val="24"/>
          <w:szCs w:val="24"/>
          <w:highlight w:val="none"/>
          <w:lang w:val="zh-CN"/>
        </w:rPr>
      </w:pPr>
    </w:p>
    <w:p w14:paraId="5F7B3132">
      <w:pPr>
        <w:keepNext w:val="0"/>
        <w:keepLines w:val="0"/>
        <w:pageBreakBefore w:val="0"/>
        <w:kinsoku/>
        <w:wordWrap/>
        <w:overflowPunct/>
        <w:topLinePunct w:val="0"/>
        <w:autoSpaceDE w:val="0"/>
        <w:autoSpaceDN w:val="0"/>
        <w:bidi w:val="0"/>
        <w:adjustRightInd w:val="0"/>
        <w:snapToGrid/>
        <w:spacing w:line="500" w:lineRule="exact"/>
        <w:textAlignment w:val="auto"/>
        <w:rPr>
          <w:rFonts w:hint="eastAsia" w:ascii="宋体" w:hAnsi="宋体" w:eastAsia="宋体" w:cs="宋体"/>
          <w:bCs/>
          <w:color w:val="auto"/>
          <w:sz w:val="24"/>
          <w:szCs w:val="24"/>
          <w:highlight w:val="none"/>
          <w:lang w:val="zh-CN"/>
        </w:rPr>
      </w:pPr>
      <w:r>
        <w:rPr>
          <w:rFonts w:hint="eastAsia" w:ascii="宋体" w:hAnsi="宋体" w:eastAsia="宋体" w:cs="宋体"/>
          <w:bCs/>
          <w:color w:val="auto"/>
          <w:sz w:val="24"/>
          <w:szCs w:val="24"/>
          <w:highlight w:val="none"/>
          <w:lang w:val="zh-CN"/>
        </w:rPr>
        <w:t>甲    方：</w:t>
      </w:r>
      <w:r>
        <w:rPr>
          <w:rFonts w:hint="eastAsia" w:ascii="宋体" w:hAnsi="宋体" w:eastAsia="宋体" w:cs="宋体"/>
          <w:bCs/>
          <w:color w:val="auto"/>
          <w:sz w:val="24"/>
          <w:szCs w:val="24"/>
          <w:highlight w:val="none"/>
          <w:u w:val="single"/>
          <w:lang w:val="zh-CN"/>
        </w:rPr>
        <w:t xml:space="preserve">    （单位盖章）     </w:t>
      </w:r>
      <w:r>
        <w:rPr>
          <w:rFonts w:hint="eastAsia" w:ascii="宋体" w:hAnsi="宋体" w:eastAsia="宋体" w:cs="宋体"/>
          <w:bCs/>
          <w:color w:val="auto"/>
          <w:sz w:val="24"/>
          <w:szCs w:val="24"/>
          <w:highlight w:val="none"/>
          <w:lang w:val="zh-CN"/>
        </w:rPr>
        <w:t xml:space="preserve">          乙方：</w:t>
      </w:r>
      <w:r>
        <w:rPr>
          <w:rFonts w:hint="eastAsia" w:ascii="宋体" w:hAnsi="宋体" w:eastAsia="宋体" w:cs="宋体"/>
          <w:bCs/>
          <w:color w:val="auto"/>
          <w:sz w:val="24"/>
          <w:szCs w:val="24"/>
          <w:highlight w:val="none"/>
          <w:u w:val="single"/>
          <w:lang w:val="zh-CN"/>
        </w:rPr>
        <w:t xml:space="preserve">    （单位盖章）     </w:t>
      </w:r>
    </w:p>
    <w:p w14:paraId="6A1ECD65">
      <w:pPr>
        <w:keepNext w:val="0"/>
        <w:keepLines w:val="0"/>
        <w:pageBreakBefore w:val="0"/>
        <w:kinsoku/>
        <w:wordWrap/>
        <w:overflowPunct/>
        <w:topLinePunct w:val="0"/>
        <w:autoSpaceDE w:val="0"/>
        <w:autoSpaceDN w:val="0"/>
        <w:bidi w:val="0"/>
        <w:adjustRightInd w:val="0"/>
        <w:snapToGrid/>
        <w:spacing w:line="500" w:lineRule="exact"/>
        <w:textAlignment w:val="auto"/>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法定代表人                               法定代表人</w:t>
      </w:r>
    </w:p>
    <w:p w14:paraId="2DFD40E2">
      <w:pPr>
        <w:keepNext w:val="0"/>
        <w:keepLines w:val="0"/>
        <w:pageBreakBefore w:val="0"/>
        <w:kinsoku/>
        <w:wordWrap/>
        <w:overflowPunct/>
        <w:topLinePunct w:val="0"/>
        <w:autoSpaceDE w:val="0"/>
        <w:autoSpaceDN w:val="0"/>
        <w:bidi w:val="0"/>
        <w:adjustRightInd w:val="0"/>
        <w:snapToGrid/>
        <w:spacing w:line="500" w:lineRule="exact"/>
        <w:textAlignment w:val="auto"/>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或授权代表（签字）：                      或授权代表（签字）：</w:t>
      </w:r>
    </w:p>
    <w:p w14:paraId="149DF20F">
      <w:pPr>
        <w:keepNext w:val="0"/>
        <w:keepLines w:val="0"/>
        <w:pageBreakBefore w:val="0"/>
        <w:widowControl/>
        <w:kinsoku/>
        <w:wordWrap/>
        <w:overflowPunct/>
        <w:topLinePunct w:val="0"/>
        <w:bidi w:val="0"/>
        <w:snapToGrid/>
        <w:spacing w:line="500" w:lineRule="exact"/>
        <w:jc w:val="left"/>
        <w:textAlignment w:val="auto"/>
        <w:rPr>
          <w:rFonts w:hint="eastAsia" w:ascii="宋体" w:hAnsi="宋体" w:eastAsia="宋体" w:cs="宋体"/>
          <w:bCs/>
          <w:color w:val="auto"/>
          <w:sz w:val="24"/>
          <w:szCs w:val="24"/>
          <w:highlight w:val="none"/>
        </w:rPr>
      </w:pPr>
      <w:bookmarkStart w:id="342" w:name="_Toc331685783"/>
      <w:r>
        <w:rPr>
          <w:rFonts w:hint="eastAsia" w:ascii="宋体" w:hAnsi="宋体" w:eastAsia="宋体" w:cs="宋体"/>
          <w:bCs/>
          <w:color w:val="auto"/>
          <w:sz w:val="24"/>
          <w:szCs w:val="24"/>
          <w:highlight w:val="none"/>
        </w:rPr>
        <w:t>时间：</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年</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月</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日               时间：</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年</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月</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日</w:t>
      </w:r>
    </w:p>
    <w:p w14:paraId="0CF7D085">
      <w:pPr>
        <w:keepNext w:val="0"/>
        <w:keepLines w:val="0"/>
        <w:pageBreakBefore w:val="0"/>
        <w:kinsoku/>
        <w:wordWrap/>
        <w:overflowPunct/>
        <w:topLinePunct w:val="0"/>
        <w:bidi w:val="0"/>
        <w:snapToGrid/>
        <w:spacing w:line="5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bookmarkStart w:id="343" w:name="_Hlk110099149"/>
      <w:r>
        <w:rPr>
          <w:rFonts w:hint="eastAsia" w:ascii="宋体" w:hAnsi="宋体" w:eastAsia="宋体" w:cs="宋体"/>
          <w:color w:val="auto"/>
          <w:sz w:val="24"/>
          <w:szCs w:val="24"/>
          <w:highlight w:val="none"/>
        </w:rPr>
        <w:t>乙方账户信息</w:t>
      </w:r>
    </w:p>
    <w:p w14:paraId="62027EA1">
      <w:pPr>
        <w:keepNext w:val="0"/>
        <w:keepLines w:val="0"/>
        <w:pageBreakBefore w:val="0"/>
        <w:kinsoku/>
        <w:wordWrap/>
        <w:overflowPunct/>
        <w:topLinePunct w:val="0"/>
        <w:bidi w:val="0"/>
        <w:snapToGrid/>
        <w:spacing w:line="5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户名：</w:t>
      </w:r>
      <w:r>
        <w:rPr>
          <w:rFonts w:hint="eastAsia" w:ascii="宋体" w:hAnsi="宋体" w:eastAsia="宋体" w:cs="宋体"/>
          <w:color w:val="auto"/>
          <w:sz w:val="24"/>
          <w:szCs w:val="24"/>
          <w:highlight w:val="none"/>
          <w:u w:val="single"/>
        </w:rPr>
        <w:t xml:space="preserve">            </w:t>
      </w:r>
    </w:p>
    <w:p w14:paraId="10FF5A5E">
      <w:pPr>
        <w:keepNext w:val="0"/>
        <w:keepLines w:val="0"/>
        <w:pageBreakBefore w:val="0"/>
        <w:kinsoku/>
        <w:wordWrap/>
        <w:overflowPunct/>
        <w:topLinePunct w:val="0"/>
        <w:bidi w:val="0"/>
        <w:snapToGrid/>
        <w:spacing w:line="5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账号：</w:t>
      </w:r>
      <w:r>
        <w:rPr>
          <w:rFonts w:hint="eastAsia" w:ascii="宋体" w:hAnsi="宋体" w:eastAsia="宋体" w:cs="宋体"/>
          <w:color w:val="auto"/>
          <w:sz w:val="24"/>
          <w:szCs w:val="24"/>
          <w:highlight w:val="none"/>
          <w:u w:val="single"/>
        </w:rPr>
        <w:t xml:space="preserve">            </w:t>
      </w:r>
    </w:p>
    <w:p w14:paraId="610DDFF2">
      <w:pPr>
        <w:keepNext w:val="0"/>
        <w:keepLines w:val="0"/>
        <w:pageBreakBefore w:val="0"/>
        <w:kinsoku/>
        <w:wordWrap/>
        <w:overflowPunct/>
        <w:topLinePunct w:val="0"/>
        <w:bidi w:val="0"/>
        <w:snapToGrid/>
        <w:spacing w:line="5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开户银行：</w:t>
      </w:r>
      <w:r>
        <w:rPr>
          <w:rFonts w:hint="eastAsia" w:ascii="宋体" w:hAnsi="宋体" w:eastAsia="宋体" w:cs="宋体"/>
          <w:color w:val="auto"/>
          <w:sz w:val="24"/>
          <w:szCs w:val="24"/>
          <w:highlight w:val="none"/>
          <w:u w:val="single"/>
        </w:rPr>
        <w:t xml:space="preserve">        </w:t>
      </w:r>
    </w:p>
    <w:bookmarkEnd w:id="343"/>
    <w:p w14:paraId="3221932C">
      <w:pPr>
        <w:widowControl/>
        <w:jc w:val="left"/>
        <w:rPr>
          <w:rFonts w:ascii="等线" w:hAnsi="等线" w:eastAsia="等线" w:cs="Times New Roman"/>
          <w:b/>
          <w:color w:val="auto"/>
          <w:sz w:val="24"/>
          <w:szCs w:val="24"/>
          <w:highlight w:val="none"/>
        </w:rPr>
      </w:pPr>
      <w:r>
        <w:rPr>
          <w:rFonts w:ascii="等线" w:hAnsi="等线" w:eastAsia="等线" w:cs="Times New Roman"/>
          <w:b/>
          <w:color w:val="auto"/>
          <w:sz w:val="24"/>
          <w:szCs w:val="24"/>
          <w:highlight w:val="none"/>
        </w:rPr>
        <w:br w:type="page"/>
      </w:r>
    </w:p>
    <w:p w14:paraId="2541B0E0">
      <w:pPr>
        <w:spacing w:line="360" w:lineRule="auto"/>
        <w:jc w:val="center"/>
        <w:outlineLvl w:val="1"/>
        <w:rPr>
          <w:rFonts w:hint="eastAsia" w:ascii="宋体" w:hAnsi="宋体" w:eastAsia="宋体" w:cs="宋体"/>
          <w:b/>
          <w:color w:val="auto"/>
          <w:sz w:val="36"/>
          <w:szCs w:val="36"/>
          <w:highlight w:val="none"/>
        </w:rPr>
      </w:pPr>
      <w:bookmarkStart w:id="344" w:name="_Toc25481"/>
      <w:bookmarkStart w:id="345" w:name="_Toc415"/>
      <w:bookmarkStart w:id="346" w:name="_Toc28030"/>
      <w:bookmarkStart w:id="347" w:name="_Toc12682"/>
      <w:r>
        <w:rPr>
          <w:rFonts w:hint="eastAsia" w:ascii="宋体" w:hAnsi="宋体" w:eastAsia="宋体" w:cs="宋体"/>
          <w:b/>
          <w:color w:val="auto"/>
          <w:sz w:val="36"/>
          <w:szCs w:val="36"/>
          <w:highlight w:val="none"/>
        </w:rPr>
        <w:t>第二部分 合同一般条款</w:t>
      </w:r>
      <w:bookmarkEnd w:id="342"/>
      <w:bookmarkEnd w:id="344"/>
      <w:bookmarkEnd w:id="345"/>
      <w:bookmarkEnd w:id="346"/>
      <w:bookmarkEnd w:id="347"/>
    </w:p>
    <w:p w14:paraId="33854272">
      <w:pPr>
        <w:spacing w:line="360" w:lineRule="auto"/>
        <w:ind w:firstLine="437"/>
        <w:outlineLvl w:val="2"/>
        <w:rPr>
          <w:rFonts w:hint="eastAsia" w:ascii="宋体" w:hAnsi="宋体" w:eastAsia="宋体" w:cs="宋体"/>
          <w:b/>
          <w:bCs/>
          <w:i w:val="0"/>
          <w:iCs w:val="0"/>
          <w:color w:val="auto"/>
          <w:sz w:val="24"/>
          <w:szCs w:val="24"/>
          <w:highlight w:val="none"/>
          <w:lang w:val="zh-CN"/>
        </w:rPr>
      </w:pPr>
      <w:bookmarkStart w:id="348" w:name="_Toc16917"/>
      <w:bookmarkStart w:id="349" w:name="_Ref467379205"/>
      <w:bookmarkStart w:id="350" w:name="_Toc259093669"/>
      <w:bookmarkStart w:id="351" w:name="_Ref467379195"/>
      <w:bookmarkStart w:id="352" w:name="_Toc14232"/>
      <w:bookmarkStart w:id="353" w:name="_Toc279701240"/>
      <w:bookmarkStart w:id="354" w:name="_Toc28763"/>
      <w:bookmarkStart w:id="355" w:name="_Ref467378404"/>
      <w:bookmarkStart w:id="356" w:name="_Ref467378463"/>
      <w:bookmarkStart w:id="357" w:name="_Ref467378499"/>
      <w:bookmarkStart w:id="358" w:name="_Toc487900349"/>
      <w:bookmarkStart w:id="359" w:name="_Ref467379214"/>
      <w:bookmarkStart w:id="360" w:name="_Ref467379101"/>
      <w:bookmarkStart w:id="361" w:name="_Toc19614"/>
      <w:bookmarkStart w:id="362" w:name="_Ref467379094"/>
      <w:bookmarkStart w:id="363" w:name="_Ref467379225"/>
      <w:bookmarkStart w:id="364" w:name="_Ref467379109"/>
      <w:r>
        <w:rPr>
          <w:rFonts w:hint="eastAsia" w:ascii="宋体" w:hAnsi="宋体" w:eastAsia="宋体" w:cs="宋体"/>
          <w:b/>
          <w:bCs/>
          <w:i w:val="0"/>
          <w:iCs w:val="0"/>
          <w:color w:val="auto"/>
          <w:sz w:val="24"/>
          <w:szCs w:val="24"/>
          <w:highlight w:val="none"/>
          <w:lang w:val="zh-CN"/>
        </w:rPr>
        <w:t>2.1 定义</w:t>
      </w:r>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p>
    <w:p w14:paraId="04C4A2D7">
      <w:pPr>
        <w:spacing w:line="360" w:lineRule="auto"/>
        <w:ind w:firstLine="435"/>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本合同中的下列词语应按以下内容进行解释：</w:t>
      </w:r>
    </w:p>
    <w:p w14:paraId="76898DB6">
      <w:pPr>
        <w:spacing w:line="360" w:lineRule="auto"/>
        <w:ind w:firstLine="435"/>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2.1.1“合同”系指</w:t>
      </w:r>
      <w:r>
        <w:rPr>
          <w:rFonts w:hint="eastAsia" w:cs="宋体"/>
          <w:i w:val="0"/>
          <w:iCs w:val="0"/>
          <w:color w:val="auto"/>
          <w:sz w:val="24"/>
          <w:szCs w:val="24"/>
          <w:highlight w:val="none"/>
          <w:lang w:eastAsia="zh-CN"/>
        </w:rPr>
        <w:t>招标人</w:t>
      </w:r>
      <w:r>
        <w:rPr>
          <w:rFonts w:hint="eastAsia" w:ascii="宋体" w:hAnsi="宋体" w:eastAsia="宋体" w:cs="宋体"/>
          <w:i w:val="0"/>
          <w:iCs w:val="0"/>
          <w:color w:val="auto"/>
          <w:sz w:val="24"/>
          <w:szCs w:val="24"/>
          <w:highlight w:val="none"/>
        </w:rPr>
        <w:t>和中标人签订的载明双方当事人所达成的协议，并包括所有的附件、附录和构成合同的其他文件。</w:t>
      </w:r>
    </w:p>
    <w:p w14:paraId="435EE2AD">
      <w:pPr>
        <w:spacing w:line="360" w:lineRule="auto"/>
        <w:ind w:firstLine="435"/>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2.1.2“合同价”系指根据合同约定，中标人在完全履行合同义务后，</w:t>
      </w:r>
      <w:r>
        <w:rPr>
          <w:rFonts w:hint="eastAsia" w:cs="宋体"/>
          <w:i w:val="0"/>
          <w:iCs w:val="0"/>
          <w:color w:val="auto"/>
          <w:sz w:val="24"/>
          <w:szCs w:val="24"/>
          <w:highlight w:val="none"/>
          <w:lang w:eastAsia="zh-CN"/>
        </w:rPr>
        <w:t>招标人</w:t>
      </w:r>
      <w:r>
        <w:rPr>
          <w:rFonts w:hint="eastAsia" w:ascii="宋体" w:hAnsi="宋体" w:eastAsia="宋体" w:cs="宋体"/>
          <w:i w:val="0"/>
          <w:iCs w:val="0"/>
          <w:color w:val="auto"/>
          <w:sz w:val="24"/>
          <w:szCs w:val="24"/>
          <w:highlight w:val="none"/>
        </w:rPr>
        <w:t>应支付给中标人的价格。</w:t>
      </w:r>
    </w:p>
    <w:p w14:paraId="0309400E">
      <w:pPr>
        <w:spacing w:line="360" w:lineRule="auto"/>
        <w:ind w:firstLine="435"/>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2.1.3“服务”系指中标人根据合同约定应向</w:t>
      </w:r>
      <w:r>
        <w:rPr>
          <w:rFonts w:hint="eastAsia" w:cs="宋体"/>
          <w:i w:val="0"/>
          <w:iCs w:val="0"/>
          <w:color w:val="auto"/>
          <w:sz w:val="24"/>
          <w:szCs w:val="24"/>
          <w:highlight w:val="none"/>
          <w:lang w:eastAsia="zh-CN"/>
        </w:rPr>
        <w:t>招标人</w:t>
      </w:r>
      <w:r>
        <w:rPr>
          <w:rFonts w:hint="eastAsia" w:ascii="宋体" w:hAnsi="宋体" w:eastAsia="宋体" w:cs="宋体"/>
          <w:i w:val="0"/>
          <w:iCs w:val="0"/>
          <w:color w:val="auto"/>
          <w:sz w:val="24"/>
          <w:szCs w:val="24"/>
          <w:highlight w:val="none"/>
        </w:rPr>
        <w:t>履行的除货物和工程以外的其他政府采购对象，包括</w:t>
      </w:r>
      <w:r>
        <w:rPr>
          <w:rFonts w:hint="eastAsia" w:cs="宋体"/>
          <w:i w:val="0"/>
          <w:iCs w:val="0"/>
          <w:color w:val="auto"/>
          <w:sz w:val="24"/>
          <w:szCs w:val="24"/>
          <w:highlight w:val="none"/>
          <w:lang w:eastAsia="zh-CN"/>
        </w:rPr>
        <w:t>招标人</w:t>
      </w:r>
      <w:r>
        <w:rPr>
          <w:rFonts w:hint="eastAsia" w:ascii="宋体" w:hAnsi="宋体" w:eastAsia="宋体" w:cs="宋体"/>
          <w:i w:val="0"/>
          <w:iCs w:val="0"/>
          <w:color w:val="auto"/>
          <w:sz w:val="24"/>
          <w:szCs w:val="24"/>
          <w:highlight w:val="none"/>
        </w:rPr>
        <w:t>自身需要的服务和向社会公众提供的公共服务。</w:t>
      </w:r>
    </w:p>
    <w:p w14:paraId="51B5CEA9">
      <w:pPr>
        <w:spacing w:line="360" w:lineRule="auto"/>
        <w:ind w:firstLine="435"/>
        <w:rPr>
          <w:rFonts w:hint="eastAsia" w:ascii="宋体" w:hAnsi="宋体" w:eastAsia="宋体" w:cs="宋体"/>
          <w:i w:val="0"/>
          <w:iCs w:val="0"/>
          <w:color w:val="auto"/>
          <w:sz w:val="24"/>
          <w:szCs w:val="24"/>
          <w:highlight w:val="none"/>
        </w:rPr>
      </w:pPr>
      <w:bookmarkStart w:id="365" w:name="_Ref467378840"/>
      <w:r>
        <w:rPr>
          <w:rFonts w:hint="eastAsia" w:ascii="宋体" w:hAnsi="宋体" w:eastAsia="宋体" w:cs="宋体"/>
          <w:i w:val="0"/>
          <w:iCs w:val="0"/>
          <w:color w:val="auto"/>
          <w:sz w:val="24"/>
          <w:szCs w:val="24"/>
          <w:highlight w:val="none"/>
        </w:rPr>
        <w:t>2.1.4“甲方”系指与中标人签署合同的</w:t>
      </w:r>
      <w:bookmarkEnd w:id="365"/>
      <w:r>
        <w:rPr>
          <w:rFonts w:hint="eastAsia" w:cs="宋体"/>
          <w:i w:val="0"/>
          <w:iCs w:val="0"/>
          <w:color w:val="auto"/>
          <w:sz w:val="24"/>
          <w:szCs w:val="24"/>
          <w:highlight w:val="none"/>
          <w:lang w:eastAsia="zh-CN"/>
        </w:rPr>
        <w:t>招标人</w:t>
      </w:r>
      <w:r>
        <w:rPr>
          <w:rFonts w:hint="eastAsia" w:ascii="宋体" w:hAnsi="宋体" w:eastAsia="宋体" w:cs="宋体"/>
          <w:i w:val="0"/>
          <w:iCs w:val="0"/>
          <w:color w:val="auto"/>
          <w:sz w:val="24"/>
          <w:szCs w:val="24"/>
          <w:highlight w:val="none"/>
        </w:rPr>
        <w:t>；</w:t>
      </w:r>
      <w:r>
        <w:rPr>
          <w:rFonts w:hint="eastAsia" w:cs="宋体"/>
          <w:i w:val="0"/>
          <w:iCs w:val="0"/>
          <w:color w:val="auto"/>
          <w:sz w:val="24"/>
          <w:szCs w:val="24"/>
          <w:highlight w:val="none"/>
          <w:lang w:eastAsia="zh-CN"/>
        </w:rPr>
        <w:t>招标人</w:t>
      </w:r>
      <w:r>
        <w:rPr>
          <w:rFonts w:hint="eastAsia" w:ascii="宋体" w:hAnsi="宋体" w:eastAsia="宋体" w:cs="宋体"/>
          <w:i w:val="0"/>
          <w:iCs w:val="0"/>
          <w:color w:val="auto"/>
          <w:sz w:val="24"/>
          <w:szCs w:val="24"/>
          <w:highlight w:val="none"/>
        </w:rPr>
        <w:t>委托</w:t>
      </w:r>
      <w:r>
        <w:rPr>
          <w:rFonts w:hint="eastAsia" w:cs="宋体"/>
          <w:i w:val="0"/>
          <w:iCs w:val="0"/>
          <w:color w:val="auto"/>
          <w:sz w:val="24"/>
          <w:szCs w:val="24"/>
          <w:highlight w:val="none"/>
          <w:lang w:eastAsia="zh-CN"/>
        </w:rPr>
        <w:t>招标代理机构</w:t>
      </w:r>
      <w:r>
        <w:rPr>
          <w:rFonts w:hint="eastAsia" w:ascii="宋体" w:hAnsi="宋体" w:eastAsia="宋体" w:cs="宋体"/>
          <w:i w:val="0"/>
          <w:iCs w:val="0"/>
          <w:color w:val="auto"/>
          <w:sz w:val="24"/>
          <w:szCs w:val="24"/>
          <w:highlight w:val="none"/>
        </w:rPr>
        <w:t>代表其与乙方签订合同的，</w:t>
      </w:r>
      <w:r>
        <w:rPr>
          <w:rFonts w:hint="eastAsia" w:cs="宋体"/>
          <w:i w:val="0"/>
          <w:iCs w:val="0"/>
          <w:color w:val="auto"/>
          <w:sz w:val="24"/>
          <w:szCs w:val="24"/>
          <w:highlight w:val="none"/>
          <w:lang w:eastAsia="zh-CN"/>
        </w:rPr>
        <w:t>招标人</w:t>
      </w:r>
      <w:r>
        <w:rPr>
          <w:rFonts w:hint="eastAsia" w:ascii="宋体" w:hAnsi="宋体" w:eastAsia="宋体" w:cs="宋体"/>
          <w:i w:val="0"/>
          <w:iCs w:val="0"/>
          <w:color w:val="auto"/>
          <w:sz w:val="24"/>
          <w:szCs w:val="24"/>
          <w:highlight w:val="none"/>
        </w:rPr>
        <w:t>的授权委托书作为合同附件。</w:t>
      </w:r>
    </w:p>
    <w:p w14:paraId="0204C1D3">
      <w:pPr>
        <w:spacing w:line="360" w:lineRule="auto"/>
        <w:ind w:firstLine="435"/>
        <w:rPr>
          <w:rFonts w:hint="eastAsia" w:ascii="宋体" w:hAnsi="宋体" w:eastAsia="宋体" w:cs="宋体"/>
          <w:i w:val="0"/>
          <w:iCs w:val="0"/>
          <w:color w:val="auto"/>
          <w:sz w:val="24"/>
          <w:szCs w:val="24"/>
          <w:highlight w:val="none"/>
        </w:rPr>
      </w:pPr>
      <w:bookmarkStart w:id="366" w:name="_Ref467379400"/>
      <w:r>
        <w:rPr>
          <w:rFonts w:hint="eastAsia" w:ascii="宋体" w:hAnsi="宋体" w:eastAsia="宋体" w:cs="宋体"/>
          <w:i w:val="0"/>
          <w:iCs w:val="0"/>
          <w:color w:val="auto"/>
          <w:sz w:val="24"/>
          <w:szCs w:val="24"/>
          <w:highlight w:val="none"/>
        </w:rPr>
        <w:t>2.1.5“乙方”系指根据合同约定提供服务的中标人</w:t>
      </w:r>
      <w:bookmarkEnd w:id="366"/>
      <w:r>
        <w:rPr>
          <w:rFonts w:hint="eastAsia" w:ascii="宋体" w:hAnsi="宋体" w:eastAsia="宋体" w:cs="宋体"/>
          <w:i w:val="0"/>
          <w:iCs w:val="0"/>
          <w:color w:val="auto"/>
          <w:sz w:val="24"/>
          <w:szCs w:val="24"/>
          <w:highlight w:val="none"/>
        </w:rPr>
        <w:t>；两个以上的自然人、法人或者其他组织组成一个联合体，以一个供应商的身份共同参加政府采购的，联合体各方均应为乙方或者与乙方相同地位的合同当事人，并就合同约定的事项对甲方承担连带责任。</w:t>
      </w:r>
    </w:p>
    <w:p w14:paraId="5D633D1C">
      <w:pPr>
        <w:spacing w:line="360" w:lineRule="auto"/>
        <w:ind w:firstLine="435"/>
        <w:rPr>
          <w:rFonts w:hint="eastAsia" w:ascii="宋体" w:hAnsi="宋体" w:eastAsia="宋体" w:cs="宋体"/>
          <w:i w:val="0"/>
          <w:iCs w:val="0"/>
          <w:color w:val="auto"/>
          <w:sz w:val="24"/>
          <w:szCs w:val="24"/>
          <w:highlight w:val="none"/>
        </w:rPr>
      </w:pPr>
      <w:bookmarkStart w:id="367" w:name="_Ref467379436"/>
      <w:r>
        <w:rPr>
          <w:rFonts w:hint="eastAsia" w:ascii="宋体" w:hAnsi="宋体" w:eastAsia="宋体" w:cs="宋体"/>
          <w:i w:val="0"/>
          <w:iCs w:val="0"/>
          <w:color w:val="auto"/>
          <w:sz w:val="24"/>
          <w:szCs w:val="24"/>
          <w:highlight w:val="none"/>
        </w:rPr>
        <w:t>2.1.6“现场”系指合同约定提供服务的地点。</w:t>
      </w:r>
      <w:bookmarkEnd w:id="367"/>
    </w:p>
    <w:p w14:paraId="4C37D7D7">
      <w:pPr>
        <w:spacing w:line="360" w:lineRule="auto"/>
        <w:ind w:firstLine="437"/>
        <w:outlineLvl w:val="2"/>
        <w:rPr>
          <w:rFonts w:hint="eastAsia" w:ascii="宋体" w:hAnsi="宋体" w:eastAsia="宋体" w:cs="宋体"/>
          <w:b/>
          <w:bCs/>
          <w:i w:val="0"/>
          <w:iCs w:val="0"/>
          <w:color w:val="auto"/>
          <w:sz w:val="24"/>
          <w:szCs w:val="24"/>
          <w:highlight w:val="none"/>
          <w:lang w:val="zh-CN"/>
        </w:rPr>
      </w:pPr>
      <w:bookmarkStart w:id="368" w:name="_Toc32504"/>
      <w:bookmarkStart w:id="369" w:name="_Toc487900350"/>
      <w:bookmarkStart w:id="370" w:name="_Toc13336"/>
      <w:bookmarkStart w:id="371" w:name="_Toc279701241"/>
      <w:bookmarkStart w:id="372" w:name="_Toc259093670"/>
      <w:bookmarkStart w:id="373" w:name="_Toc16312"/>
      <w:bookmarkStart w:id="374" w:name="_Toc27635"/>
      <w:r>
        <w:rPr>
          <w:rFonts w:hint="eastAsia" w:ascii="宋体" w:hAnsi="宋体" w:eastAsia="宋体" w:cs="宋体"/>
          <w:b/>
          <w:bCs/>
          <w:i w:val="0"/>
          <w:iCs w:val="0"/>
          <w:color w:val="auto"/>
          <w:sz w:val="24"/>
          <w:szCs w:val="24"/>
          <w:highlight w:val="none"/>
          <w:lang w:val="zh-CN"/>
        </w:rPr>
        <w:t>2.2 技术规范</w:t>
      </w:r>
      <w:bookmarkEnd w:id="368"/>
      <w:bookmarkEnd w:id="369"/>
      <w:bookmarkEnd w:id="370"/>
      <w:bookmarkEnd w:id="371"/>
      <w:bookmarkEnd w:id="372"/>
      <w:bookmarkEnd w:id="373"/>
      <w:bookmarkEnd w:id="374"/>
    </w:p>
    <w:p w14:paraId="34062A23">
      <w:pPr>
        <w:spacing w:line="360" w:lineRule="auto"/>
        <w:ind w:firstLine="435"/>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货物所应遵守的技术规范应与采购文件规定的技术规范和技术规范附件(如果有的话)及其技术规范偏差表(如果被甲方接受的话)相一致；如果采购文件中没有技术规范的相应说明，那么应以国家有关部门最新颁布的相应标准和规范为准。</w:t>
      </w:r>
    </w:p>
    <w:p w14:paraId="5A413E1F">
      <w:pPr>
        <w:spacing w:line="360" w:lineRule="auto"/>
        <w:ind w:firstLine="437"/>
        <w:outlineLvl w:val="2"/>
        <w:rPr>
          <w:rFonts w:hint="eastAsia" w:ascii="宋体" w:hAnsi="宋体" w:eastAsia="宋体" w:cs="宋体"/>
          <w:b/>
          <w:bCs/>
          <w:i w:val="0"/>
          <w:iCs w:val="0"/>
          <w:color w:val="auto"/>
          <w:sz w:val="24"/>
          <w:szCs w:val="24"/>
          <w:highlight w:val="none"/>
          <w:lang w:val="zh-CN"/>
        </w:rPr>
      </w:pPr>
      <w:bookmarkStart w:id="375" w:name="_Toc259093671"/>
      <w:bookmarkStart w:id="376" w:name="_Toc27853"/>
      <w:bookmarkStart w:id="377" w:name="_Toc31634"/>
      <w:bookmarkStart w:id="378" w:name="_Toc9829"/>
      <w:bookmarkStart w:id="379" w:name="_Toc32641"/>
      <w:bookmarkStart w:id="380" w:name="_Toc279701242"/>
      <w:bookmarkStart w:id="381" w:name="_Toc487900351"/>
      <w:r>
        <w:rPr>
          <w:rFonts w:hint="eastAsia" w:ascii="宋体" w:hAnsi="宋体" w:eastAsia="宋体" w:cs="宋体"/>
          <w:b/>
          <w:bCs/>
          <w:i w:val="0"/>
          <w:iCs w:val="0"/>
          <w:color w:val="auto"/>
          <w:sz w:val="24"/>
          <w:szCs w:val="24"/>
          <w:highlight w:val="none"/>
          <w:lang w:val="zh-CN"/>
        </w:rPr>
        <w:t>2.3 知识产权</w:t>
      </w:r>
      <w:bookmarkEnd w:id="375"/>
      <w:bookmarkEnd w:id="376"/>
      <w:bookmarkEnd w:id="377"/>
      <w:bookmarkEnd w:id="378"/>
      <w:bookmarkEnd w:id="379"/>
      <w:bookmarkEnd w:id="380"/>
      <w:bookmarkEnd w:id="381"/>
    </w:p>
    <w:p w14:paraId="303EB08C">
      <w:pPr>
        <w:spacing w:line="360" w:lineRule="auto"/>
        <w:ind w:firstLine="435"/>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2.3.1乙方应保证其提供的服务不受任何第三方提出的侵犯其著作权、商标权、专利权等知识产权方面的起诉；如果任何第三方提出侵权指控，那么乙方须与该第三方交涉并承担由此发生的一切责任、费用和赔偿；</w:t>
      </w:r>
    </w:p>
    <w:p w14:paraId="13012876">
      <w:pPr>
        <w:spacing w:line="360" w:lineRule="auto"/>
        <w:ind w:firstLine="435"/>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2.3.2具有知识产权的计算机软件等货物的知识产权归属，详见</w:t>
      </w:r>
      <w:r>
        <w:rPr>
          <w:rFonts w:hint="eastAsia" w:ascii="宋体" w:hAnsi="宋体" w:eastAsia="宋体" w:cs="宋体"/>
          <w:b/>
          <w:i w:val="0"/>
          <w:iCs w:val="0"/>
          <w:color w:val="auto"/>
          <w:sz w:val="24"/>
          <w:szCs w:val="24"/>
          <w:highlight w:val="none"/>
          <w:u w:val="single"/>
        </w:rPr>
        <w:t>合同专用条款</w:t>
      </w:r>
      <w:r>
        <w:rPr>
          <w:rFonts w:hint="eastAsia" w:ascii="宋体" w:hAnsi="宋体" w:eastAsia="宋体" w:cs="宋体"/>
          <w:i w:val="0"/>
          <w:iCs w:val="0"/>
          <w:color w:val="auto"/>
          <w:sz w:val="24"/>
          <w:szCs w:val="24"/>
          <w:highlight w:val="none"/>
        </w:rPr>
        <w:t>。</w:t>
      </w:r>
    </w:p>
    <w:p w14:paraId="1AD5AA87">
      <w:pPr>
        <w:spacing w:line="360" w:lineRule="auto"/>
        <w:ind w:firstLine="437"/>
        <w:outlineLvl w:val="2"/>
        <w:rPr>
          <w:rFonts w:hint="eastAsia" w:ascii="宋体" w:hAnsi="宋体" w:eastAsia="宋体" w:cs="宋体"/>
          <w:b/>
          <w:bCs/>
          <w:i w:val="0"/>
          <w:iCs w:val="0"/>
          <w:color w:val="auto"/>
          <w:sz w:val="24"/>
          <w:szCs w:val="24"/>
          <w:highlight w:val="none"/>
          <w:lang w:val="zh-CN"/>
        </w:rPr>
      </w:pPr>
      <w:bookmarkStart w:id="382" w:name="_Toc487900354"/>
      <w:bookmarkStart w:id="383" w:name="_Ref467379542"/>
      <w:bookmarkStart w:id="384" w:name="_Ref467379527"/>
      <w:bookmarkStart w:id="385" w:name="_Toc279701245"/>
      <w:bookmarkStart w:id="386" w:name="_Ref467378591"/>
      <w:bookmarkStart w:id="387" w:name="_Ref467379536"/>
      <w:bookmarkStart w:id="388" w:name="_Ref467378541"/>
      <w:bookmarkStart w:id="389" w:name="_Toc259093674"/>
      <w:bookmarkStart w:id="390" w:name="_Toc30272"/>
      <w:bookmarkStart w:id="391" w:name="_Toc19074"/>
      <w:bookmarkStart w:id="392" w:name="_Toc21843"/>
      <w:bookmarkStart w:id="393" w:name="_Toc26182"/>
      <w:r>
        <w:rPr>
          <w:rFonts w:hint="eastAsia" w:ascii="宋体" w:hAnsi="宋体" w:eastAsia="宋体" w:cs="宋体"/>
          <w:b/>
          <w:bCs/>
          <w:i w:val="0"/>
          <w:iCs w:val="0"/>
          <w:color w:val="auto"/>
          <w:sz w:val="24"/>
          <w:szCs w:val="24"/>
          <w:highlight w:val="none"/>
          <w:lang w:val="zh-CN"/>
        </w:rPr>
        <w:t>2.</w:t>
      </w:r>
      <w:bookmarkEnd w:id="382"/>
      <w:bookmarkEnd w:id="383"/>
      <w:bookmarkEnd w:id="384"/>
      <w:bookmarkEnd w:id="385"/>
      <w:bookmarkEnd w:id="386"/>
      <w:bookmarkEnd w:id="387"/>
      <w:bookmarkEnd w:id="388"/>
      <w:bookmarkEnd w:id="389"/>
      <w:r>
        <w:rPr>
          <w:rFonts w:hint="eastAsia" w:ascii="宋体" w:hAnsi="宋体" w:eastAsia="宋体" w:cs="宋体"/>
          <w:b/>
          <w:bCs/>
          <w:i w:val="0"/>
          <w:iCs w:val="0"/>
          <w:color w:val="auto"/>
          <w:sz w:val="24"/>
          <w:szCs w:val="24"/>
          <w:highlight w:val="none"/>
          <w:lang w:val="zh-CN"/>
        </w:rPr>
        <w:t>4 履约检查和问题反馈</w:t>
      </w:r>
      <w:bookmarkEnd w:id="390"/>
      <w:bookmarkEnd w:id="391"/>
      <w:bookmarkEnd w:id="392"/>
      <w:bookmarkEnd w:id="393"/>
    </w:p>
    <w:p w14:paraId="394E3271">
      <w:pPr>
        <w:spacing w:line="360" w:lineRule="auto"/>
        <w:ind w:firstLine="435"/>
        <w:rPr>
          <w:rFonts w:hint="eastAsia" w:ascii="宋体" w:hAnsi="宋体" w:eastAsia="宋体" w:cs="宋体"/>
          <w:i w:val="0"/>
          <w:iCs w:val="0"/>
          <w:color w:val="auto"/>
          <w:sz w:val="24"/>
          <w:szCs w:val="24"/>
          <w:highlight w:val="none"/>
        </w:rPr>
      </w:pPr>
      <w:bookmarkStart w:id="394" w:name="_Toc186431854"/>
      <w:bookmarkStart w:id="395" w:name="_Toc487900357"/>
      <w:bookmarkStart w:id="396" w:name="_Toc259093676"/>
      <w:bookmarkStart w:id="397" w:name="_Toc279701247"/>
      <w:bookmarkStart w:id="398" w:name="_Ref467379793"/>
      <w:bookmarkStart w:id="399" w:name="_Ref467379807"/>
      <w:r>
        <w:rPr>
          <w:rFonts w:hint="eastAsia" w:ascii="宋体" w:hAnsi="宋体" w:eastAsia="宋体" w:cs="宋体"/>
          <w:i w:val="0"/>
          <w:iCs w:val="0"/>
          <w:color w:val="auto"/>
          <w:sz w:val="24"/>
          <w:szCs w:val="24"/>
          <w:highlight w:val="none"/>
        </w:rPr>
        <w:t>2.4.1甲方有权在其认为必要时，对乙方是否能够按照合同约定提供服务进行履约检查，以确保乙方所提供的服务能够依约满足甲方项目需求，但不得因履约检查妨碍乙方的正常工作，乙方应予积极配合；</w:t>
      </w:r>
    </w:p>
    <w:p w14:paraId="5A46216C">
      <w:pPr>
        <w:spacing w:line="360" w:lineRule="auto"/>
        <w:ind w:firstLine="435"/>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2.4.2合同履行期间，甲方有权将履行过程中出现的问题反馈给乙方，双方当事人应以书面形式约定需要完善和改进的内容</w:t>
      </w:r>
      <w:bookmarkEnd w:id="394"/>
      <w:bookmarkStart w:id="400" w:name="_Toc186431855"/>
      <w:r>
        <w:rPr>
          <w:rFonts w:hint="eastAsia" w:ascii="宋体" w:hAnsi="宋体" w:eastAsia="宋体" w:cs="宋体"/>
          <w:i w:val="0"/>
          <w:iCs w:val="0"/>
          <w:color w:val="auto"/>
          <w:sz w:val="24"/>
          <w:szCs w:val="24"/>
          <w:highlight w:val="none"/>
        </w:rPr>
        <w:t>。</w:t>
      </w:r>
    </w:p>
    <w:bookmarkEnd w:id="400"/>
    <w:p w14:paraId="538AB669">
      <w:pPr>
        <w:spacing w:line="360" w:lineRule="auto"/>
        <w:ind w:firstLine="437"/>
        <w:outlineLvl w:val="2"/>
        <w:rPr>
          <w:rFonts w:hint="eastAsia" w:ascii="宋体" w:hAnsi="宋体" w:eastAsia="宋体" w:cs="宋体"/>
          <w:b/>
          <w:bCs/>
          <w:i w:val="0"/>
          <w:iCs w:val="0"/>
          <w:color w:val="auto"/>
          <w:sz w:val="24"/>
          <w:szCs w:val="24"/>
          <w:highlight w:val="none"/>
          <w:lang w:val="zh-CN"/>
        </w:rPr>
      </w:pPr>
      <w:bookmarkStart w:id="401" w:name="_Toc7836"/>
      <w:bookmarkStart w:id="402" w:name="_Toc19219"/>
      <w:bookmarkStart w:id="403" w:name="_Toc31559"/>
      <w:bookmarkStart w:id="404" w:name="_Toc28451"/>
      <w:r>
        <w:rPr>
          <w:rFonts w:hint="eastAsia" w:ascii="宋体" w:hAnsi="宋体" w:eastAsia="宋体" w:cs="宋体"/>
          <w:b/>
          <w:bCs/>
          <w:i w:val="0"/>
          <w:iCs w:val="0"/>
          <w:color w:val="auto"/>
          <w:sz w:val="24"/>
          <w:szCs w:val="24"/>
          <w:highlight w:val="none"/>
          <w:lang w:val="zh-CN"/>
        </w:rPr>
        <w:t>2.5 结算方式和付款条件</w:t>
      </w:r>
      <w:bookmarkEnd w:id="395"/>
      <w:bookmarkEnd w:id="396"/>
      <w:bookmarkEnd w:id="397"/>
      <w:bookmarkEnd w:id="398"/>
      <w:bookmarkEnd w:id="399"/>
      <w:bookmarkEnd w:id="401"/>
      <w:bookmarkEnd w:id="402"/>
      <w:bookmarkEnd w:id="403"/>
      <w:bookmarkEnd w:id="404"/>
    </w:p>
    <w:p w14:paraId="58DBF9A0">
      <w:pPr>
        <w:spacing w:line="360" w:lineRule="auto"/>
        <w:ind w:firstLine="435"/>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详见</w:t>
      </w:r>
      <w:r>
        <w:rPr>
          <w:rFonts w:hint="eastAsia" w:ascii="宋体" w:hAnsi="宋体" w:eastAsia="宋体" w:cs="宋体"/>
          <w:b/>
          <w:i w:val="0"/>
          <w:iCs w:val="0"/>
          <w:color w:val="auto"/>
          <w:sz w:val="24"/>
          <w:szCs w:val="24"/>
          <w:highlight w:val="none"/>
          <w:u w:val="single"/>
        </w:rPr>
        <w:t>合同专用条款</w:t>
      </w:r>
      <w:r>
        <w:rPr>
          <w:rFonts w:hint="eastAsia" w:ascii="宋体" w:hAnsi="宋体" w:eastAsia="宋体" w:cs="宋体"/>
          <w:i w:val="0"/>
          <w:iCs w:val="0"/>
          <w:color w:val="auto"/>
          <w:sz w:val="24"/>
          <w:szCs w:val="24"/>
          <w:highlight w:val="none"/>
        </w:rPr>
        <w:t>。</w:t>
      </w:r>
    </w:p>
    <w:p w14:paraId="7E97C9F3">
      <w:pPr>
        <w:spacing w:line="360" w:lineRule="auto"/>
        <w:ind w:firstLine="437"/>
        <w:outlineLvl w:val="2"/>
        <w:rPr>
          <w:rFonts w:hint="eastAsia" w:ascii="宋体" w:hAnsi="宋体" w:eastAsia="宋体" w:cs="宋体"/>
          <w:b/>
          <w:bCs/>
          <w:i w:val="0"/>
          <w:iCs w:val="0"/>
          <w:color w:val="auto"/>
          <w:sz w:val="24"/>
          <w:szCs w:val="24"/>
          <w:highlight w:val="none"/>
          <w:lang w:val="zh-CN"/>
        </w:rPr>
      </w:pPr>
      <w:bookmarkStart w:id="405" w:name="_Toc259093677"/>
      <w:bookmarkStart w:id="406" w:name="_Ref467379852"/>
      <w:bookmarkStart w:id="407" w:name="_Ref467379923"/>
      <w:bookmarkStart w:id="408" w:name="_Toc487900358"/>
      <w:bookmarkStart w:id="409" w:name="_Ref467379863"/>
      <w:bookmarkStart w:id="410" w:name="_Toc279701248"/>
      <w:bookmarkStart w:id="411" w:name="_Toc774"/>
      <w:bookmarkStart w:id="412" w:name="_Toc16110"/>
      <w:bookmarkStart w:id="413" w:name="_Toc7777"/>
      <w:bookmarkStart w:id="414" w:name="_Toc3225"/>
      <w:r>
        <w:rPr>
          <w:rFonts w:hint="eastAsia" w:ascii="宋体" w:hAnsi="宋体" w:eastAsia="宋体" w:cs="宋体"/>
          <w:b/>
          <w:bCs/>
          <w:i w:val="0"/>
          <w:iCs w:val="0"/>
          <w:color w:val="auto"/>
          <w:sz w:val="24"/>
          <w:szCs w:val="24"/>
          <w:highlight w:val="none"/>
          <w:lang w:val="zh-CN"/>
        </w:rPr>
        <w:t>2.6 技术资料</w:t>
      </w:r>
      <w:bookmarkEnd w:id="405"/>
      <w:bookmarkEnd w:id="406"/>
      <w:bookmarkEnd w:id="407"/>
      <w:bookmarkEnd w:id="408"/>
      <w:bookmarkEnd w:id="409"/>
      <w:bookmarkEnd w:id="410"/>
      <w:r>
        <w:rPr>
          <w:rFonts w:hint="eastAsia" w:ascii="宋体" w:hAnsi="宋体" w:eastAsia="宋体" w:cs="宋体"/>
          <w:b/>
          <w:bCs/>
          <w:i w:val="0"/>
          <w:iCs w:val="0"/>
          <w:color w:val="auto"/>
          <w:sz w:val="24"/>
          <w:szCs w:val="24"/>
          <w:highlight w:val="none"/>
          <w:lang w:val="zh-CN"/>
        </w:rPr>
        <w:t>和保密义务</w:t>
      </w:r>
      <w:bookmarkEnd w:id="411"/>
      <w:bookmarkEnd w:id="412"/>
      <w:bookmarkEnd w:id="413"/>
      <w:bookmarkEnd w:id="414"/>
    </w:p>
    <w:p w14:paraId="09D3AF58">
      <w:pPr>
        <w:spacing w:line="360" w:lineRule="auto"/>
        <w:ind w:firstLine="435"/>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2.6.1乙方有权依据合同约定和项目需要，向甲方了解有关情况，调阅有关资料等，甲方应予积极配合；</w:t>
      </w:r>
    </w:p>
    <w:p w14:paraId="7F24CAE0">
      <w:pPr>
        <w:spacing w:line="360" w:lineRule="auto"/>
        <w:ind w:firstLine="435"/>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2.6.2乙方有义务妥善保管和保护由甲方提供的前款信息和资料等；</w:t>
      </w:r>
    </w:p>
    <w:p w14:paraId="12A8B418">
      <w:pPr>
        <w:spacing w:line="360" w:lineRule="auto"/>
        <w:ind w:firstLine="435"/>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2.6.3除非依照法律规定或者对方当事人的书面同意，任何一方均应保证不向任何第三方提供或披露有关合同的或者履行合同过程中知悉的对方当事人任何未公开的信息和资料，包括但不限于技术情报、技术资料、商业秘密和商业信息等，并采取一切合理和必要措施和方式防止任何第三方接触到对方当事人的上述保密信息和资料。</w:t>
      </w:r>
    </w:p>
    <w:p w14:paraId="50296F84">
      <w:pPr>
        <w:spacing w:line="360" w:lineRule="auto"/>
        <w:ind w:firstLine="437"/>
        <w:outlineLvl w:val="2"/>
        <w:rPr>
          <w:rFonts w:hint="eastAsia" w:ascii="宋体" w:hAnsi="宋体" w:eastAsia="宋体" w:cs="宋体"/>
          <w:b/>
          <w:bCs/>
          <w:i w:val="0"/>
          <w:iCs w:val="0"/>
          <w:color w:val="auto"/>
          <w:sz w:val="24"/>
          <w:szCs w:val="24"/>
          <w:highlight w:val="none"/>
          <w:lang w:val="zh-CN"/>
        </w:rPr>
      </w:pPr>
      <w:bookmarkStart w:id="415" w:name="_Toc7860"/>
      <w:bookmarkStart w:id="416" w:name="_Toc5284"/>
      <w:r>
        <w:rPr>
          <w:rFonts w:hint="eastAsia" w:ascii="宋体" w:hAnsi="宋体" w:eastAsia="宋体" w:cs="宋体"/>
          <w:b/>
          <w:bCs/>
          <w:i w:val="0"/>
          <w:iCs w:val="0"/>
          <w:color w:val="auto"/>
          <w:sz w:val="24"/>
          <w:szCs w:val="24"/>
          <w:highlight w:val="none"/>
          <w:lang w:val="zh-CN"/>
        </w:rPr>
        <w:t>2.7 质量保证</w:t>
      </w:r>
      <w:bookmarkEnd w:id="415"/>
      <w:bookmarkEnd w:id="416"/>
    </w:p>
    <w:p w14:paraId="3477536D">
      <w:pPr>
        <w:spacing w:line="360" w:lineRule="auto"/>
        <w:ind w:firstLine="435"/>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2.7.1乙方应建立和完善履行合同的内部质量保证体系，并提供相关内部规章制度给甲方，以便甲方进行监督检查；</w:t>
      </w:r>
    </w:p>
    <w:p w14:paraId="141AAC0D">
      <w:pPr>
        <w:spacing w:line="360" w:lineRule="auto"/>
        <w:ind w:firstLine="435"/>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2.7.2乙方应保证履行合同的人员数量和素质、软件和硬件设备的配置、场地、环境和设施等满足全面履行合同的要求，并应接受甲方的监督检查。</w:t>
      </w:r>
    </w:p>
    <w:p w14:paraId="41F95771">
      <w:pPr>
        <w:spacing w:line="360" w:lineRule="auto"/>
        <w:ind w:firstLine="437"/>
        <w:outlineLvl w:val="2"/>
        <w:rPr>
          <w:rFonts w:hint="eastAsia" w:ascii="宋体" w:hAnsi="宋体" w:eastAsia="宋体" w:cs="宋体"/>
          <w:b/>
          <w:i w:val="0"/>
          <w:iCs w:val="0"/>
          <w:color w:val="auto"/>
          <w:sz w:val="24"/>
          <w:szCs w:val="24"/>
          <w:highlight w:val="none"/>
        </w:rPr>
      </w:pPr>
      <w:bookmarkStart w:id="417" w:name="_Toc30678"/>
      <w:bookmarkStart w:id="418" w:name="_Toc22267"/>
      <w:r>
        <w:rPr>
          <w:rFonts w:hint="eastAsia" w:ascii="宋体" w:hAnsi="宋体" w:eastAsia="宋体" w:cs="宋体"/>
          <w:b/>
          <w:i w:val="0"/>
          <w:iCs w:val="0"/>
          <w:color w:val="auto"/>
          <w:sz w:val="24"/>
          <w:szCs w:val="24"/>
          <w:highlight w:val="none"/>
        </w:rPr>
        <w:t>2.8 延迟履行</w:t>
      </w:r>
      <w:bookmarkEnd w:id="417"/>
      <w:bookmarkEnd w:id="418"/>
    </w:p>
    <w:p w14:paraId="18BA0121">
      <w:pPr>
        <w:spacing w:line="360" w:lineRule="auto"/>
        <w:ind w:firstLine="435"/>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在合同履行过程中，如果乙方遇到不能按时提供服务的情况，应及时以书面形式将不能按时提供服务的理由、预期延误时间通知甲方；甲方收到乙方通知后，认为其理由正当的，可以书面形式酌情同意乙方可以延长履行的具体时间。</w:t>
      </w:r>
    </w:p>
    <w:p w14:paraId="747AC546">
      <w:pPr>
        <w:spacing w:line="360" w:lineRule="auto"/>
        <w:ind w:firstLine="437"/>
        <w:outlineLvl w:val="2"/>
        <w:rPr>
          <w:rFonts w:hint="eastAsia" w:ascii="宋体" w:hAnsi="宋体" w:eastAsia="宋体" w:cs="宋体"/>
          <w:b/>
          <w:bCs/>
          <w:i w:val="0"/>
          <w:iCs w:val="0"/>
          <w:color w:val="auto"/>
          <w:sz w:val="24"/>
          <w:szCs w:val="24"/>
          <w:highlight w:val="none"/>
          <w:lang w:val="zh-CN"/>
        </w:rPr>
      </w:pPr>
      <w:bookmarkStart w:id="419" w:name="_Toc3646"/>
      <w:bookmarkStart w:id="420" w:name="_Toc7502"/>
      <w:bookmarkStart w:id="421" w:name="_Toc279701254"/>
      <w:bookmarkStart w:id="422" w:name="_Ref467378121"/>
      <w:bookmarkStart w:id="423" w:name="_Toc259093683"/>
      <w:bookmarkStart w:id="424" w:name="_Toc487900364"/>
      <w:r>
        <w:rPr>
          <w:rFonts w:hint="eastAsia" w:ascii="宋体" w:hAnsi="宋体" w:eastAsia="宋体" w:cs="宋体"/>
          <w:b/>
          <w:bCs/>
          <w:i w:val="0"/>
          <w:iCs w:val="0"/>
          <w:color w:val="auto"/>
          <w:sz w:val="24"/>
          <w:szCs w:val="24"/>
          <w:highlight w:val="none"/>
          <w:lang w:val="zh-CN"/>
        </w:rPr>
        <w:t>2.9 合同变更</w:t>
      </w:r>
      <w:bookmarkEnd w:id="419"/>
      <w:bookmarkEnd w:id="420"/>
    </w:p>
    <w:p w14:paraId="412FDC29">
      <w:pPr>
        <w:spacing w:line="360" w:lineRule="auto"/>
        <w:ind w:firstLine="435"/>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2.9.1双方当事人协商一致，可以签订书面补充合同的形式变更合同，但不得违背采购文件确定的事项；</w:t>
      </w:r>
    </w:p>
    <w:p w14:paraId="64432126">
      <w:pPr>
        <w:spacing w:line="360" w:lineRule="auto"/>
        <w:ind w:firstLine="435"/>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2.9.2合同继续履行将损害国家利益和社会公共利益的，双方当事人应当以书面形式变更合同。有过错的一方应当承担赔偿责任，双方当事人都有过错的，各自承担相应的责任。</w:t>
      </w:r>
      <w:bookmarkStart w:id="425" w:name="_Toc279701259"/>
      <w:bookmarkStart w:id="426" w:name="_Toc259093688"/>
      <w:bookmarkStart w:id="427" w:name="_Toc487900369"/>
    </w:p>
    <w:p w14:paraId="7B80B44F">
      <w:pPr>
        <w:spacing w:line="360" w:lineRule="auto"/>
        <w:ind w:firstLine="437"/>
        <w:outlineLvl w:val="2"/>
        <w:rPr>
          <w:rFonts w:hint="eastAsia" w:ascii="宋体" w:hAnsi="宋体" w:eastAsia="宋体" w:cs="宋体"/>
          <w:b/>
          <w:bCs/>
          <w:i w:val="0"/>
          <w:iCs w:val="0"/>
          <w:color w:val="auto"/>
          <w:sz w:val="24"/>
          <w:szCs w:val="24"/>
          <w:highlight w:val="none"/>
          <w:lang w:val="zh-CN"/>
        </w:rPr>
      </w:pPr>
      <w:bookmarkStart w:id="428" w:name="_Toc5438"/>
      <w:bookmarkStart w:id="429" w:name="_Toc10366"/>
      <w:bookmarkStart w:id="430" w:name="_Toc15237"/>
      <w:bookmarkStart w:id="431" w:name="_Toc22955"/>
      <w:r>
        <w:rPr>
          <w:rFonts w:hint="eastAsia" w:ascii="宋体" w:hAnsi="宋体" w:eastAsia="宋体" w:cs="宋体"/>
          <w:b/>
          <w:bCs/>
          <w:i w:val="0"/>
          <w:iCs w:val="0"/>
          <w:color w:val="auto"/>
          <w:sz w:val="24"/>
          <w:szCs w:val="24"/>
          <w:highlight w:val="none"/>
          <w:lang w:val="zh-CN"/>
        </w:rPr>
        <w:t>2.10 合同转让</w:t>
      </w:r>
      <w:bookmarkEnd w:id="425"/>
      <w:bookmarkEnd w:id="426"/>
      <w:bookmarkEnd w:id="427"/>
      <w:r>
        <w:rPr>
          <w:rFonts w:hint="eastAsia" w:ascii="宋体" w:hAnsi="宋体" w:eastAsia="宋体" w:cs="宋体"/>
          <w:b/>
          <w:bCs/>
          <w:i w:val="0"/>
          <w:iCs w:val="0"/>
          <w:color w:val="auto"/>
          <w:sz w:val="24"/>
          <w:szCs w:val="24"/>
          <w:highlight w:val="none"/>
          <w:lang w:val="zh-CN"/>
        </w:rPr>
        <w:t>和分包</w:t>
      </w:r>
      <w:bookmarkEnd w:id="428"/>
      <w:bookmarkEnd w:id="429"/>
      <w:bookmarkEnd w:id="430"/>
      <w:bookmarkEnd w:id="431"/>
    </w:p>
    <w:p w14:paraId="0772F1A5">
      <w:pPr>
        <w:spacing w:line="360" w:lineRule="auto"/>
        <w:ind w:firstLine="435"/>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合同的权利义务依法不得转让，但经甲方同意，乙方可以依法采取分包方式履行合同，即：依法可以将合同项下的部分非主体、非关键性工作分包给他人完成，接受分包的人应当具备相应的资格条件，并不得再次分包，且乙方应就分包项目向甲方负责，并与分包供应商就分包项目向甲方承担连带责任。</w:t>
      </w:r>
    </w:p>
    <w:p w14:paraId="28985EE4">
      <w:pPr>
        <w:spacing w:line="360" w:lineRule="auto"/>
        <w:ind w:firstLine="437"/>
        <w:outlineLvl w:val="2"/>
        <w:rPr>
          <w:rFonts w:hint="eastAsia" w:ascii="宋体" w:hAnsi="宋体" w:eastAsia="宋体" w:cs="宋体"/>
          <w:b/>
          <w:bCs/>
          <w:i w:val="0"/>
          <w:iCs w:val="0"/>
          <w:color w:val="auto"/>
          <w:sz w:val="24"/>
          <w:szCs w:val="24"/>
          <w:highlight w:val="none"/>
          <w:lang w:val="zh-CN"/>
        </w:rPr>
      </w:pPr>
      <w:bookmarkStart w:id="432" w:name="_Toc16508"/>
      <w:bookmarkStart w:id="433" w:name="_Toc17154"/>
      <w:bookmarkStart w:id="434" w:name="_Toc13566"/>
      <w:bookmarkStart w:id="435" w:name="_Toc14066"/>
      <w:r>
        <w:rPr>
          <w:rFonts w:hint="eastAsia" w:ascii="宋体" w:hAnsi="宋体" w:eastAsia="宋体" w:cs="宋体"/>
          <w:b/>
          <w:bCs/>
          <w:i w:val="0"/>
          <w:iCs w:val="0"/>
          <w:color w:val="auto"/>
          <w:sz w:val="24"/>
          <w:szCs w:val="24"/>
          <w:highlight w:val="none"/>
          <w:lang w:val="zh-CN"/>
        </w:rPr>
        <w:t>2.11 不可抗力</w:t>
      </w:r>
      <w:bookmarkEnd w:id="432"/>
      <w:bookmarkEnd w:id="433"/>
      <w:bookmarkEnd w:id="434"/>
      <w:bookmarkEnd w:id="435"/>
    </w:p>
    <w:p w14:paraId="254E30BD">
      <w:pPr>
        <w:spacing w:line="360" w:lineRule="auto"/>
        <w:ind w:firstLine="435"/>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2.11.1如果任何一方遭遇法律规定的不可抗力，致使合同履行受阻时，履行合同的期限应予延长，延长的期限应相当于不可抗力所影响的时间；</w:t>
      </w:r>
    </w:p>
    <w:p w14:paraId="7217CA20">
      <w:pPr>
        <w:spacing w:line="360" w:lineRule="auto"/>
        <w:ind w:firstLine="435"/>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2.11.2因不可抗力致使不能实现合同目的的，当事人可以解除合同；</w:t>
      </w:r>
    </w:p>
    <w:p w14:paraId="04D24CBA">
      <w:pPr>
        <w:spacing w:line="360" w:lineRule="auto"/>
        <w:ind w:firstLine="435"/>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2.11.3因不可抗力致使合同有变更必要的，双方当事人应在</w:t>
      </w:r>
      <w:r>
        <w:rPr>
          <w:rFonts w:hint="eastAsia" w:ascii="宋体" w:hAnsi="宋体" w:eastAsia="宋体" w:cs="宋体"/>
          <w:b/>
          <w:i w:val="0"/>
          <w:iCs w:val="0"/>
          <w:color w:val="auto"/>
          <w:sz w:val="24"/>
          <w:szCs w:val="24"/>
          <w:highlight w:val="none"/>
          <w:u w:val="single"/>
        </w:rPr>
        <w:t>合同专用条款</w:t>
      </w:r>
      <w:r>
        <w:rPr>
          <w:rFonts w:hint="eastAsia" w:ascii="宋体" w:hAnsi="宋体" w:eastAsia="宋体" w:cs="宋体"/>
          <w:i w:val="0"/>
          <w:iCs w:val="0"/>
          <w:color w:val="auto"/>
          <w:sz w:val="24"/>
          <w:szCs w:val="24"/>
          <w:highlight w:val="none"/>
        </w:rPr>
        <w:t>约定时间内以书面形式变更合同；</w:t>
      </w:r>
    </w:p>
    <w:p w14:paraId="30C90D49">
      <w:pPr>
        <w:spacing w:line="360" w:lineRule="auto"/>
        <w:ind w:firstLine="435"/>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2.11.4受不可抗力影响的一方在不可抗力发生后，应在</w:t>
      </w:r>
      <w:r>
        <w:rPr>
          <w:rFonts w:hint="eastAsia" w:ascii="宋体" w:hAnsi="宋体" w:eastAsia="宋体" w:cs="宋体"/>
          <w:b/>
          <w:i w:val="0"/>
          <w:iCs w:val="0"/>
          <w:color w:val="auto"/>
          <w:sz w:val="24"/>
          <w:szCs w:val="24"/>
          <w:highlight w:val="none"/>
          <w:u w:val="single"/>
        </w:rPr>
        <w:t>合同专用条款</w:t>
      </w:r>
      <w:r>
        <w:rPr>
          <w:rFonts w:hint="eastAsia" w:ascii="宋体" w:hAnsi="宋体" w:eastAsia="宋体" w:cs="宋体"/>
          <w:i w:val="0"/>
          <w:iCs w:val="0"/>
          <w:color w:val="auto"/>
          <w:sz w:val="24"/>
          <w:szCs w:val="24"/>
          <w:highlight w:val="none"/>
        </w:rPr>
        <w:t>约定时间内以书面形式通知对方当事人，并在</w:t>
      </w:r>
      <w:r>
        <w:rPr>
          <w:rFonts w:hint="eastAsia" w:ascii="宋体" w:hAnsi="宋体" w:eastAsia="宋体" w:cs="宋体"/>
          <w:b/>
          <w:i w:val="0"/>
          <w:iCs w:val="0"/>
          <w:color w:val="auto"/>
          <w:sz w:val="24"/>
          <w:szCs w:val="24"/>
          <w:highlight w:val="none"/>
          <w:u w:val="single"/>
        </w:rPr>
        <w:t>合同专用条款</w:t>
      </w:r>
      <w:r>
        <w:rPr>
          <w:rFonts w:hint="eastAsia" w:ascii="宋体" w:hAnsi="宋体" w:eastAsia="宋体" w:cs="宋体"/>
          <w:i w:val="0"/>
          <w:iCs w:val="0"/>
          <w:color w:val="auto"/>
          <w:sz w:val="24"/>
          <w:szCs w:val="24"/>
          <w:highlight w:val="none"/>
        </w:rPr>
        <w:t>约定时间内，将有关部门出具的证明文件送达对方当事人。</w:t>
      </w:r>
    </w:p>
    <w:p w14:paraId="0C3DCE3A">
      <w:pPr>
        <w:spacing w:line="360" w:lineRule="auto"/>
        <w:ind w:firstLine="437"/>
        <w:outlineLvl w:val="2"/>
        <w:rPr>
          <w:rFonts w:hint="eastAsia" w:ascii="宋体" w:hAnsi="宋体" w:eastAsia="宋体" w:cs="宋体"/>
          <w:b/>
          <w:bCs/>
          <w:i w:val="0"/>
          <w:iCs w:val="0"/>
          <w:color w:val="auto"/>
          <w:sz w:val="24"/>
          <w:szCs w:val="24"/>
          <w:highlight w:val="none"/>
          <w:lang w:val="zh-CN"/>
        </w:rPr>
      </w:pPr>
      <w:bookmarkStart w:id="436" w:name="_Toc19740"/>
      <w:bookmarkStart w:id="437" w:name="_Toc279701255"/>
      <w:bookmarkStart w:id="438" w:name="_Toc689"/>
      <w:bookmarkStart w:id="439" w:name="_Toc259093684"/>
      <w:bookmarkStart w:id="440" w:name="_Toc30676"/>
      <w:bookmarkStart w:id="441" w:name="_Toc6969"/>
      <w:bookmarkStart w:id="442" w:name="_Toc487900365"/>
      <w:r>
        <w:rPr>
          <w:rFonts w:hint="eastAsia" w:ascii="宋体" w:hAnsi="宋体" w:eastAsia="宋体" w:cs="宋体"/>
          <w:b/>
          <w:bCs/>
          <w:i w:val="0"/>
          <w:iCs w:val="0"/>
          <w:color w:val="auto"/>
          <w:sz w:val="24"/>
          <w:szCs w:val="24"/>
          <w:highlight w:val="none"/>
          <w:lang w:val="zh-CN"/>
        </w:rPr>
        <w:t>2.12 税费</w:t>
      </w:r>
      <w:bookmarkEnd w:id="436"/>
      <w:bookmarkEnd w:id="437"/>
      <w:bookmarkEnd w:id="438"/>
      <w:bookmarkEnd w:id="439"/>
      <w:bookmarkEnd w:id="440"/>
      <w:bookmarkEnd w:id="441"/>
      <w:bookmarkEnd w:id="442"/>
    </w:p>
    <w:p w14:paraId="475BD84E">
      <w:pPr>
        <w:spacing w:line="360" w:lineRule="auto"/>
        <w:ind w:firstLine="435"/>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与合同有关的一切税费，均按照中华人民共和国法律的相关规定缴纳。</w:t>
      </w:r>
    </w:p>
    <w:p w14:paraId="0EA8B945">
      <w:pPr>
        <w:spacing w:line="360" w:lineRule="auto"/>
        <w:ind w:firstLine="437"/>
        <w:outlineLvl w:val="2"/>
        <w:rPr>
          <w:rFonts w:hint="eastAsia" w:ascii="宋体" w:hAnsi="宋体" w:eastAsia="宋体" w:cs="宋体"/>
          <w:b/>
          <w:bCs/>
          <w:i w:val="0"/>
          <w:iCs w:val="0"/>
          <w:color w:val="auto"/>
          <w:sz w:val="24"/>
          <w:szCs w:val="24"/>
          <w:highlight w:val="none"/>
          <w:lang w:val="zh-CN"/>
        </w:rPr>
      </w:pPr>
      <w:bookmarkStart w:id="443" w:name="_Toc279701258"/>
      <w:bookmarkStart w:id="444" w:name="_Toc8588"/>
      <w:bookmarkStart w:id="445" w:name="_Toc487900368"/>
      <w:bookmarkStart w:id="446" w:name="_Toc259093687"/>
      <w:bookmarkStart w:id="447" w:name="_Toc7102"/>
      <w:bookmarkStart w:id="448" w:name="_Toc16959"/>
      <w:bookmarkStart w:id="449" w:name="_Toc8298"/>
      <w:r>
        <w:rPr>
          <w:rFonts w:hint="eastAsia" w:ascii="宋体" w:hAnsi="宋体" w:eastAsia="宋体" w:cs="宋体"/>
          <w:b/>
          <w:bCs/>
          <w:i w:val="0"/>
          <w:iCs w:val="0"/>
          <w:color w:val="auto"/>
          <w:sz w:val="24"/>
          <w:szCs w:val="24"/>
          <w:highlight w:val="none"/>
          <w:lang w:val="zh-CN"/>
        </w:rPr>
        <w:t>2.13 乙方破产</w:t>
      </w:r>
      <w:bookmarkEnd w:id="443"/>
      <w:bookmarkEnd w:id="444"/>
      <w:bookmarkEnd w:id="445"/>
      <w:bookmarkEnd w:id="446"/>
      <w:bookmarkEnd w:id="447"/>
      <w:bookmarkEnd w:id="448"/>
      <w:bookmarkEnd w:id="449"/>
    </w:p>
    <w:p w14:paraId="703ABA5C">
      <w:pPr>
        <w:spacing w:line="360" w:lineRule="auto"/>
        <w:ind w:firstLine="435"/>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如果乙方破产导致合同无法履行时，甲方可以书面形式通知乙方终止合同且不给予乙方任何补偿和赔偿，但合同的终止不损害或不影响甲方已经采取或将要采取的任何要求乙方支付违约金、赔偿损失等的行动或补救措施的权利。</w:t>
      </w:r>
    </w:p>
    <w:p w14:paraId="1E0444CC">
      <w:pPr>
        <w:spacing w:line="360" w:lineRule="auto"/>
        <w:ind w:firstLine="437"/>
        <w:outlineLvl w:val="2"/>
        <w:rPr>
          <w:rFonts w:hint="eastAsia" w:ascii="宋体" w:hAnsi="宋体" w:eastAsia="宋体" w:cs="宋体"/>
          <w:b/>
          <w:i w:val="0"/>
          <w:iCs w:val="0"/>
          <w:color w:val="auto"/>
          <w:sz w:val="24"/>
          <w:szCs w:val="24"/>
          <w:highlight w:val="none"/>
        </w:rPr>
      </w:pPr>
      <w:bookmarkStart w:id="450" w:name="_Toc1334"/>
      <w:bookmarkStart w:id="451" w:name="_Toc6134"/>
      <w:bookmarkStart w:id="452" w:name="_Toc15387"/>
      <w:bookmarkStart w:id="453" w:name="_Toc29333"/>
      <w:r>
        <w:rPr>
          <w:rFonts w:hint="eastAsia" w:ascii="宋体" w:hAnsi="宋体" w:eastAsia="宋体" w:cs="宋体"/>
          <w:b/>
          <w:bCs/>
          <w:i w:val="0"/>
          <w:iCs w:val="0"/>
          <w:color w:val="auto"/>
          <w:sz w:val="24"/>
          <w:szCs w:val="24"/>
          <w:highlight w:val="none"/>
          <w:lang w:val="zh-CN"/>
        </w:rPr>
        <w:t>2.14 合同中止、终止</w:t>
      </w:r>
      <w:bookmarkEnd w:id="450"/>
      <w:bookmarkEnd w:id="451"/>
      <w:bookmarkEnd w:id="452"/>
      <w:bookmarkEnd w:id="453"/>
    </w:p>
    <w:p w14:paraId="555878A9">
      <w:pPr>
        <w:spacing w:line="360" w:lineRule="auto"/>
        <w:ind w:firstLine="435"/>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2.14.1双方当事人不得擅自中止或者终止合同；</w:t>
      </w:r>
    </w:p>
    <w:p w14:paraId="0655205D">
      <w:pPr>
        <w:spacing w:line="360" w:lineRule="auto"/>
        <w:ind w:firstLine="435"/>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2.14.2合同继续履行将损害国家利益和社会公共利益的，双方当事人应当中止或者终止合同。有过错的一方应当承担赔偿责任，双方当事人都有过错的，各自承担相应的责任。</w:t>
      </w:r>
    </w:p>
    <w:p w14:paraId="59E9C451">
      <w:pPr>
        <w:spacing w:line="360" w:lineRule="auto"/>
        <w:ind w:firstLine="437"/>
        <w:outlineLvl w:val="2"/>
        <w:rPr>
          <w:rFonts w:hint="eastAsia" w:ascii="宋体" w:hAnsi="宋体" w:eastAsia="宋体" w:cs="宋体"/>
          <w:b/>
          <w:bCs/>
          <w:i w:val="0"/>
          <w:iCs w:val="0"/>
          <w:color w:val="auto"/>
          <w:sz w:val="24"/>
          <w:szCs w:val="24"/>
          <w:highlight w:val="none"/>
          <w:lang w:val="zh-CN"/>
        </w:rPr>
      </w:pPr>
      <w:bookmarkStart w:id="454" w:name="_Toc19383"/>
      <w:bookmarkStart w:id="455" w:name="_Toc14563"/>
      <w:bookmarkStart w:id="456" w:name="_Toc1125"/>
      <w:bookmarkStart w:id="457" w:name="_Toc6596"/>
      <w:r>
        <w:rPr>
          <w:rFonts w:hint="eastAsia" w:ascii="宋体" w:hAnsi="宋体" w:eastAsia="宋体" w:cs="宋体"/>
          <w:b/>
          <w:bCs/>
          <w:i w:val="0"/>
          <w:iCs w:val="0"/>
          <w:color w:val="auto"/>
          <w:sz w:val="24"/>
          <w:szCs w:val="24"/>
          <w:highlight w:val="none"/>
          <w:lang w:val="zh-CN"/>
        </w:rPr>
        <w:t>2.15 检验和验收</w:t>
      </w:r>
      <w:bookmarkEnd w:id="454"/>
      <w:bookmarkEnd w:id="455"/>
      <w:bookmarkEnd w:id="456"/>
      <w:bookmarkEnd w:id="457"/>
    </w:p>
    <w:p w14:paraId="5186FF32">
      <w:pPr>
        <w:spacing w:line="360" w:lineRule="auto"/>
        <w:ind w:firstLine="435"/>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2.15.1乙方按照</w:t>
      </w:r>
      <w:r>
        <w:rPr>
          <w:rFonts w:hint="eastAsia" w:ascii="宋体" w:hAnsi="宋体" w:eastAsia="宋体" w:cs="宋体"/>
          <w:b/>
          <w:i w:val="0"/>
          <w:iCs w:val="0"/>
          <w:color w:val="auto"/>
          <w:sz w:val="24"/>
          <w:szCs w:val="24"/>
          <w:highlight w:val="none"/>
          <w:u w:val="single"/>
        </w:rPr>
        <w:t>合同专用条款</w:t>
      </w:r>
      <w:r>
        <w:rPr>
          <w:rFonts w:hint="eastAsia" w:ascii="宋体" w:hAnsi="宋体" w:eastAsia="宋体" w:cs="宋体"/>
          <w:i w:val="0"/>
          <w:iCs w:val="0"/>
          <w:color w:val="auto"/>
          <w:sz w:val="24"/>
          <w:szCs w:val="24"/>
          <w:highlight w:val="none"/>
        </w:rPr>
        <w:t>的约定，定期提交服务报告，甲方按照</w:t>
      </w:r>
      <w:r>
        <w:rPr>
          <w:rFonts w:hint="eastAsia" w:ascii="宋体" w:hAnsi="宋体" w:eastAsia="宋体" w:cs="宋体"/>
          <w:b/>
          <w:i w:val="0"/>
          <w:iCs w:val="0"/>
          <w:color w:val="auto"/>
          <w:sz w:val="24"/>
          <w:szCs w:val="24"/>
          <w:highlight w:val="none"/>
          <w:u w:val="single"/>
        </w:rPr>
        <w:t>合同专用条款</w:t>
      </w:r>
      <w:r>
        <w:rPr>
          <w:rFonts w:hint="eastAsia" w:ascii="宋体" w:hAnsi="宋体" w:eastAsia="宋体" w:cs="宋体"/>
          <w:i w:val="0"/>
          <w:iCs w:val="0"/>
          <w:color w:val="auto"/>
          <w:sz w:val="24"/>
          <w:szCs w:val="24"/>
          <w:highlight w:val="none"/>
        </w:rPr>
        <w:t>的约定进行定期验收；</w:t>
      </w:r>
    </w:p>
    <w:p w14:paraId="260AB904">
      <w:pPr>
        <w:spacing w:line="360" w:lineRule="auto"/>
        <w:ind w:firstLine="435"/>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2.15.2合同期满或者履行完毕后，甲方有权组织（包括依法邀请国家认可的质量检测机构参加）对乙方履约的验收，即：按照合同约定的标准，组织对乙方履约情况的验收，并出具验收书；向社会公众提供的公共服务项目，验收时应当邀请服务对象参与并出具意见，验收结果应当向社会公告；</w:t>
      </w:r>
    </w:p>
    <w:p w14:paraId="10117125">
      <w:pPr>
        <w:spacing w:line="360" w:lineRule="auto"/>
        <w:ind w:firstLine="435"/>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2.15.3检验和验收标准、程序等具体内容以及前述验收书的效力详见</w:t>
      </w:r>
      <w:r>
        <w:rPr>
          <w:rFonts w:hint="eastAsia" w:ascii="宋体" w:hAnsi="宋体" w:eastAsia="宋体" w:cs="宋体"/>
          <w:b/>
          <w:i w:val="0"/>
          <w:iCs w:val="0"/>
          <w:color w:val="auto"/>
          <w:sz w:val="24"/>
          <w:szCs w:val="24"/>
          <w:highlight w:val="none"/>
          <w:u w:val="single"/>
        </w:rPr>
        <w:t>合同专用条款</w:t>
      </w:r>
      <w:r>
        <w:rPr>
          <w:rFonts w:hint="eastAsia" w:ascii="宋体" w:hAnsi="宋体" w:eastAsia="宋体" w:cs="宋体"/>
          <w:i w:val="0"/>
          <w:iCs w:val="0"/>
          <w:color w:val="auto"/>
          <w:sz w:val="24"/>
          <w:szCs w:val="24"/>
          <w:highlight w:val="none"/>
        </w:rPr>
        <w:t>。</w:t>
      </w:r>
    </w:p>
    <w:bookmarkEnd w:id="421"/>
    <w:bookmarkEnd w:id="422"/>
    <w:bookmarkEnd w:id="423"/>
    <w:bookmarkEnd w:id="424"/>
    <w:p w14:paraId="416B44B9">
      <w:pPr>
        <w:spacing w:line="360" w:lineRule="auto"/>
        <w:ind w:firstLine="437"/>
        <w:outlineLvl w:val="2"/>
        <w:rPr>
          <w:rFonts w:hint="eastAsia" w:ascii="宋体" w:hAnsi="宋体" w:eastAsia="宋体" w:cs="宋体"/>
          <w:b/>
          <w:bCs/>
          <w:i w:val="0"/>
          <w:iCs w:val="0"/>
          <w:color w:val="auto"/>
          <w:sz w:val="24"/>
          <w:szCs w:val="24"/>
          <w:highlight w:val="none"/>
        </w:rPr>
      </w:pPr>
      <w:bookmarkStart w:id="458" w:name="_Toc259093692"/>
      <w:bookmarkStart w:id="459" w:name="_Toc18567"/>
      <w:bookmarkStart w:id="460" w:name="_Toc10330"/>
      <w:bookmarkStart w:id="461" w:name="_Toc279701263"/>
      <w:bookmarkStart w:id="462" w:name="_Toc12773"/>
      <w:bookmarkStart w:id="463" w:name="_Toc487900373"/>
      <w:bookmarkStart w:id="464" w:name="_Toc9826"/>
      <w:r>
        <w:rPr>
          <w:rFonts w:hint="eastAsia" w:ascii="宋体" w:hAnsi="宋体" w:eastAsia="宋体" w:cs="宋体"/>
          <w:b/>
          <w:bCs/>
          <w:i w:val="0"/>
          <w:iCs w:val="0"/>
          <w:color w:val="auto"/>
          <w:sz w:val="24"/>
          <w:szCs w:val="24"/>
          <w:highlight w:val="none"/>
        </w:rPr>
        <w:t xml:space="preserve">2.16 </w:t>
      </w:r>
      <w:r>
        <w:rPr>
          <w:rFonts w:hint="eastAsia" w:ascii="宋体" w:hAnsi="宋体" w:eastAsia="宋体" w:cs="宋体"/>
          <w:b/>
          <w:bCs/>
          <w:i w:val="0"/>
          <w:iCs w:val="0"/>
          <w:color w:val="auto"/>
          <w:sz w:val="24"/>
          <w:szCs w:val="24"/>
          <w:highlight w:val="none"/>
          <w:lang w:val="zh-CN"/>
        </w:rPr>
        <w:t>合同使用的文字和适用的法律</w:t>
      </w:r>
      <w:bookmarkEnd w:id="458"/>
      <w:bookmarkEnd w:id="459"/>
      <w:bookmarkEnd w:id="460"/>
      <w:bookmarkEnd w:id="461"/>
      <w:bookmarkEnd w:id="462"/>
      <w:bookmarkEnd w:id="463"/>
      <w:bookmarkEnd w:id="464"/>
    </w:p>
    <w:p w14:paraId="5C82FC43">
      <w:pPr>
        <w:spacing w:line="360" w:lineRule="auto"/>
        <w:ind w:firstLine="435"/>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2.16.1合同使用汉语书就、变更和解释；</w:t>
      </w:r>
    </w:p>
    <w:p w14:paraId="55BC91F2">
      <w:pPr>
        <w:spacing w:line="360" w:lineRule="auto"/>
        <w:ind w:firstLine="435"/>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2.16.2合同适用中华人民共和国法律。</w:t>
      </w:r>
    </w:p>
    <w:p w14:paraId="78C52FB5">
      <w:pPr>
        <w:spacing w:line="360" w:lineRule="auto"/>
        <w:ind w:firstLine="437"/>
        <w:outlineLvl w:val="2"/>
        <w:rPr>
          <w:rFonts w:hint="eastAsia" w:ascii="宋体" w:hAnsi="宋体" w:eastAsia="宋体" w:cs="宋体"/>
          <w:b/>
          <w:i w:val="0"/>
          <w:iCs w:val="0"/>
          <w:color w:val="auto"/>
          <w:sz w:val="24"/>
          <w:szCs w:val="24"/>
          <w:highlight w:val="none"/>
        </w:rPr>
      </w:pPr>
      <w:bookmarkStart w:id="465" w:name="_Toc3148"/>
      <w:bookmarkStart w:id="466" w:name="_Toc259093693"/>
      <w:bookmarkStart w:id="467" w:name="_Toc16673"/>
      <w:bookmarkStart w:id="468" w:name="_Toc12004"/>
      <w:bookmarkStart w:id="469" w:name="_Toc17354"/>
      <w:bookmarkStart w:id="470" w:name="_Toc279701264"/>
      <w:bookmarkStart w:id="471" w:name="_Toc487900374"/>
      <w:r>
        <w:rPr>
          <w:rFonts w:hint="eastAsia" w:ascii="宋体" w:hAnsi="宋体" w:eastAsia="宋体" w:cs="宋体"/>
          <w:b/>
          <w:bCs/>
          <w:i w:val="0"/>
          <w:iCs w:val="0"/>
          <w:color w:val="auto"/>
          <w:sz w:val="24"/>
          <w:szCs w:val="24"/>
          <w:highlight w:val="none"/>
          <w:lang w:val="zh-CN"/>
        </w:rPr>
        <w:t>2.17 履约保证金</w:t>
      </w:r>
      <w:bookmarkEnd w:id="465"/>
      <w:bookmarkEnd w:id="466"/>
      <w:bookmarkEnd w:id="467"/>
      <w:bookmarkEnd w:id="468"/>
      <w:bookmarkEnd w:id="469"/>
      <w:bookmarkEnd w:id="470"/>
    </w:p>
    <w:p w14:paraId="683037AD">
      <w:pPr>
        <w:spacing w:line="360" w:lineRule="auto"/>
        <w:ind w:firstLine="435"/>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2.17.1采购文件要求乙方提交履约保证金的，乙方应按</w:t>
      </w:r>
      <w:r>
        <w:rPr>
          <w:rFonts w:hint="eastAsia" w:ascii="宋体" w:hAnsi="宋体" w:eastAsia="宋体" w:cs="宋体"/>
          <w:b/>
          <w:i w:val="0"/>
          <w:iCs w:val="0"/>
          <w:color w:val="auto"/>
          <w:sz w:val="24"/>
          <w:szCs w:val="24"/>
          <w:highlight w:val="none"/>
          <w:u w:val="single"/>
        </w:rPr>
        <w:t>合同专用条款</w:t>
      </w:r>
      <w:r>
        <w:rPr>
          <w:rFonts w:hint="eastAsia" w:ascii="宋体" w:hAnsi="宋体" w:eastAsia="宋体" w:cs="宋体"/>
          <w:i w:val="0"/>
          <w:iCs w:val="0"/>
          <w:color w:val="auto"/>
          <w:sz w:val="24"/>
          <w:szCs w:val="24"/>
          <w:highlight w:val="none"/>
        </w:rPr>
        <w:t>约定的方式，以支票、汇票、本票或者金融机构、担保机构出具的保函等非现金形式提交；</w:t>
      </w:r>
    </w:p>
    <w:p w14:paraId="65897EA8">
      <w:pPr>
        <w:spacing w:line="360" w:lineRule="auto"/>
        <w:ind w:firstLine="435"/>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2.17.2履约保证金在</w:t>
      </w:r>
      <w:r>
        <w:rPr>
          <w:rFonts w:hint="eastAsia" w:ascii="宋体" w:hAnsi="宋体" w:eastAsia="宋体" w:cs="宋体"/>
          <w:b/>
          <w:i w:val="0"/>
          <w:iCs w:val="0"/>
          <w:color w:val="auto"/>
          <w:sz w:val="24"/>
          <w:szCs w:val="24"/>
          <w:highlight w:val="none"/>
          <w:u w:val="single"/>
        </w:rPr>
        <w:t>合同专用条款</w:t>
      </w:r>
      <w:r>
        <w:rPr>
          <w:rFonts w:hint="eastAsia" w:ascii="宋体" w:hAnsi="宋体" w:eastAsia="宋体" w:cs="宋体"/>
          <w:i w:val="0"/>
          <w:iCs w:val="0"/>
          <w:color w:val="auto"/>
          <w:sz w:val="24"/>
          <w:szCs w:val="24"/>
          <w:highlight w:val="none"/>
        </w:rPr>
        <w:t>约定期间内不予退还或者应完全有效，前述约定期间届满之日起</w:t>
      </w:r>
      <w:r>
        <w:rPr>
          <w:rFonts w:hint="eastAsia" w:ascii="宋体" w:hAnsi="宋体" w:eastAsia="宋体" w:cs="宋体"/>
          <w:i w:val="0"/>
          <w:iCs w:val="0"/>
          <w:color w:val="auto"/>
          <w:sz w:val="24"/>
          <w:szCs w:val="24"/>
          <w:highlight w:val="none"/>
          <w:u w:val="single"/>
        </w:rPr>
        <w:t xml:space="preserve">   </w:t>
      </w:r>
      <w:r>
        <w:rPr>
          <w:rFonts w:hint="eastAsia" w:ascii="宋体" w:hAnsi="宋体" w:eastAsia="宋体" w:cs="宋体"/>
          <w:i w:val="0"/>
          <w:iCs w:val="0"/>
          <w:color w:val="auto"/>
          <w:sz w:val="24"/>
          <w:szCs w:val="24"/>
          <w:highlight w:val="none"/>
        </w:rPr>
        <w:t>个工作日内，甲方应将履约保证金退还乙方</w:t>
      </w:r>
      <w:r>
        <w:rPr>
          <w:rFonts w:hint="eastAsia" w:ascii="宋体" w:hAnsi="宋体" w:eastAsia="宋体" w:cs="宋体"/>
          <w:i w:val="0"/>
          <w:iCs w:val="0"/>
          <w:color w:val="auto"/>
          <w:sz w:val="24"/>
          <w:szCs w:val="24"/>
          <w:highlight w:val="none"/>
          <w:lang w:eastAsia="zh-CN"/>
        </w:rPr>
        <w:t>，</w:t>
      </w:r>
      <w:r>
        <w:rPr>
          <w:rFonts w:hint="eastAsia" w:ascii="宋体" w:hAnsi="宋体" w:eastAsia="宋体" w:cs="宋体"/>
          <w:i w:val="0"/>
          <w:iCs w:val="0"/>
          <w:color w:val="auto"/>
          <w:sz w:val="24"/>
          <w:szCs w:val="24"/>
          <w:highlight w:val="none"/>
          <w:lang w:val="en-US" w:eastAsia="zh-CN"/>
        </w:rPr>
        <w:t>甲方</w:t>
      </w:r>
      <w:r>
        <w:rPr>
          <w:rFonts w:hint="eastAsia" w:ascii="宋体" w:hAnsi="宋体" w:eastAsia="宋体" w:cs="宋体"/>
          <w:i w:val="0"/>
          <w:iCs w:val="0"/>
          <w:color w:val="auto"/>
          <w:sz w:val="24"/>
          <w:szCs w:val="24"/>
          <w:highlight w:val="none"/>
        </w:rPr>
        <w:t>逾期退还履约保证金</w:t>
      </w:r>
      <w:r>
        <w:rPr>
          <w:rFonts w:hint="eastAsia" w:ascii="宋体" w:hAnsi="宋体" w:eastAsia="宋体" w:cs="宋体"/>
          <w:i w:val="0"/>
          <w:iCs w:val="0"/>
          <w:color w:val="auto"/>
          <w:sz w:val="24"/>
          <w:szCs w:val="24"/>
          <w:highlight w:val="none"/>
          <w:lang w:val="en-US" w:eastAsia="zh-CN"/>
        </w:rPr>
        <w:t>应承担违约责任。</w:t>
      </w:r>
    </w:p>
    <w:p w14:paraId="31FFCBA0">
      <w:pPr>
        <w:spacing w:line="360" w:lineRule="auto"/>
        <w:ind w:firstLine="435"/>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2.17.3如果乙方不履行合同，履约保证金不予退还；如果乙方未能按合同约定全面履行义务，那么甲方有权从履约保证金中取得补偿或赔偿，同时不影响甲方要求乙方承担合同约定的超过履约保证金的违约责任的权利。</w:t>
      </w:r>
    </w:p>
    <w:bookmarkEnd w:id="471"/>
    <w:p w14:paraId="5910B33F">
      <w:pPr>
        <w:spacing w:line="360" w:lineRule="auto"/>
        <w:ind w:firstLine="437"/>
        <w:outlineLvl w:val="2"/>
        <w:rPr>
          <w:rFonts w:hint="eastAsia" w:ascii="宋体" w:hAnsi="宋体" w:eastAsia="宋体" w:cs="宋体"/>
          <w:b/>
          <w:i w:val="0"/>
          <w:iCs w:val="0"/>
          <w:color w:val="auto"/>
          <w:sz w:val="24"/>
          <w:szCs w:val="24"/>
          <w:highlight w:val="none"/>
        </w:rPr>
      </w:pPr>
      <w:bookmarkStart w:id="472" w:name="_Toc19890"/>
      <w:bookmarkStart w:id="473" w:name="_Toc31625"/>
      <w:bookmarkStart w:id="474" w:name="_Toc6885"/>
      <w:bookmarkStart w:id="475" w:name="_Toc14001"/>
      <w:r>
        <w:rPr>
          <w:rFonts w:hint="eastAsia" w:ascii="宋体" w:hAnsi="宋体" w:eastAsia="宋体" w:cs="宋体"/>
          <w:b/>
          <w:bCs/>
          <w:i w:val="0"/>
          <w:iCs w:val="0"/>
          <w:color w:val="auto"/>
          <w:sz w:val="24"/>
          <w:szCs w:val="24"/>
          <w:highlight w:val="none"/>
          <w:lang w:val="zh-CN"/>
        </w:rPr>
        <w:t>2.18 合同份数</w:t>
      </w:r>
      <w:bookmarkEnd w:id="472"/>
      <w:bookmarkEnd w:id="473"/>
      <w:bookmarkEnd w:id="474"/>
      <w:bookmarkEnd w:id="475"/>
    </w:p>
    <w:p w14:paraId="5A9A9E70">
      <w:pPr>
        <w:spacing w:line="360" w:lineRule="auto"/>
        <w:ind w:firstLine="435"/>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合同份数按</w:t>
      </w:r>
      <w:r>
        <w:rPr>
          <w:rFonts w:hint="eastAsia" w:ascii="宋体" w:hAnsi="宋体" w:eastAsia="宋体" w:cs="宋体"/>
          <w:b/>
          <w:i w:val="0"/>
          <w:iCs w:val="0"/>
          <w:color w:val="auto"/>
          <w:sz w:val="24"/>
          <w:szCs w:val="24"/>
          <w:highlight w:val="none"/>
          <w:u w:val="single"/>
        </w:rPr>
        <w:t>合同专用条款</w:t>
      </w:r>
      <w:r>
        <w:rPr>
          <w:rFonts w:hint="eastAsia" w:ascii="宋体" w:hAnsi="宋体" w:eastAsia="宋体" w:cs="宋体"/>
          <w:i w:val="0"/>
          <w:iCs w:val="0"/>
          <w:color w:val="auto"/>
          <w:sz w:val="24"/>
          <w:szCs w:val="24"/>
          <w:highlight w:val="none"/>
        </w:rPr>
        <w:t>规定，每份均具有同等法律效力。</w:t>
      </w:r>
    </w:p>
    <w:p w14:paraId="56FABD10">
      <w:pPr>
        <w:spacing w:line="360" w:lineRule="auto"/>
        <w:jc w:val="center"/>
        <w:outlineLvl w:val="1"/>
        <w:rPr>
          <w:rFonts w:hint="eastAsia" w:ascii="宋体" w:hAnsi="宋体" w:eastAsia="宋体" w:cs="宋体"/>
          <w:b/>
          <w:color w:val="auto"/>
          <w:sz w:val="36"/>
          <w:szCs w:val="36"/>
          <w:highlight w:val="none"/>
        </w:rPr>
      </w:pPr>
      <w:r>
        <w:rPr>
          <w:rFonts w:ascii="等线" w:hAnsi="等线" w:eastAsia="等线" w:cs="Times New Roman"/>
          <w:color w:val="auto"/>
          <w:sz w:val="24"/>
          <w:szCs w:val="24"/>
          <w:highlight w:val="none"/>
        </w:rPr>
        <w:br w:type="page"/>
      </w:r>
      <w:bookmarkStart w:id="476" w:name="_Toc7510"/>
      <w:bookmarkStart w:id="477" w:name="_Toc7126"/>
      <w:bookmarkStart w:id="478" w:name="_Toc3736"/>
      <w:bookmarkStart w:id="479" w:name="_Toc21802"/>
      <w:r>
        <w:rPr>
          <w:rFonts w:hint="eastAsia" w:ascii="宋体" w:hAnsi="宋体" w:eastAsia="宋体" w:cs="宋体"/>
          <w:b/>
          <w:color w:val="auto"/>
          <w:sz w:val="36"/>
          <w:szCs w:val="36"/>
          <w:highlight w:val="none"/>
        </w:rPr>
        <w:t>第三部分 合同专用条款</w:t>
      </w:r>
      <w:bookmarkEnd w:id="476"/>
      <w:bookmarkEnd w:id="477"/>
      <w:bookmarkEnd w:id="478"/>
      <w:bookmarkEnd w:id="479"/>
    </w:p>
    <w:p w14:paraId="00AE2B4F">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本部分是对前两部分的补充和修改，如果前两部分和本部分的约定不一致，应以本部分的约定为准。本部分的条款号应与前两部分的条款号保持对应；与前两部分无对应关系的内容可另行编制条款号。</w:t>
      </w:r>
    </w:p>
    <w:tbl>
      <w:tblPr>
        <w:tblStyle w:val="33"/>
        <w:tblW w:w="8362"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794"/>
        <w:gridCol w:w="7568"/>
      </w:tblGrid>
      <w:tr w14:paraId="53C47F5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91" w:hRule="atLeast"/>
          <w:jc w:val="center"/>
        </w:trPr>
        <w:tc>
          <w:tcPr>
            <w:tcW w:w="794" w:type="dxa"/>
            <w:tcBorders>
              <w:left w:val="single" w:color="auto" w:sz="4" w:space="0"/>
            </w:tcBorders>
            <w:noWrap w:val="0"/>
            <w:vAlign w:val="center"/>
          </w:tcPr>
          <w:p w14:paraId="38CB709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条款号</w:t>
            </w:r>
          </w:p>
        </w:tc>
        <w:tc>
          <w:tcPr>
            <w:tcW w:w="7568" w:type="dxa"/>
            <w:noWrap w:val="0"/>
            <w:vAlign w:val="center"/>
          </w:tcPr>
          <w:p w14:paraId="4BBDD5D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约定内容</w:t>
            </w:r>
          </w:p>
        </w:tc>
      </w:tr>
      <w:tr w14:paraId="2D13044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center"/>
        </w:trPr>
        <w:tc>
          <w:tcPr>
            <w:tcW w:w="794" w:type="dxa"/>
            <w:tcBorders>
              <w:left w:val="single" w:color="auto" w:sz="4" w:space="0"/>
            </w:tcBorders>
            <w:noWrap w:val="0"/>
            <w:vAlign w:val="center"/>
          </w:tcPr>
          <w:p w14:paraId="164CC51F">
            <w:pPr>
              <w:spacing w:line="560" w:lineRule="exact"/>
              <w:rPr>
                <w:rFonts w:hint="eastAsia" w:ascii="宋体" w:hAnsi="宋体" w:eastAsia="宋体" w:cs="宋体"/>
                <w:color w:val="auto"/>
                <w:sz w:val="24"/>
                <w:szCs w:val="24"/>
                <w:highlight w:val="none"/>
              </w:rPr>
            </w:pPr>
          </w:p>
        </w:tc>
        <w:tc>
          <w:tcPr>
            <w:tcW w:w="7568" w:type="dxa"/>
            <w:noWrap w:val="0"/>
            <w:vAlign w:val="center"/>
          </w:tcPr>
          <w:p w14:paraId="44EF376E">
            <w:pPr>
              <w:spacing w:line="560" w:lineRule="exact"/>
              <w:rPr>
                <w:rFonts w:hint="eastAsia" w:ascii="宋体" w:hAnsi="宋体" w:eastAsia="宋体" w:cs="宋体"/>
                <w:color w:val="auto"/>
                <w:sz w:val="24"/>
                <w:szCs w:val="24"/>
                <w:highlight w:val="none"/>
              </w:rPr>
            </w:pPr>
          </w:p>
        </w:tc>
      </w:tr>
      <w:tr w14:paraId="26C191D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794" w:type="dxa"/>
            <w:tcBorders>
              <w:left w:val="single" w:color="auto" w:sz="4" w:space="0"/>
            </w:tcBorders>
            <w:noWrap w:val="0"/>
            <w:vAlign w:val="center"/>
          </w:tcPr>
          <w:p w14:paraId="10A07458">
            <w:pPr>
              <w:spacing w:line="560" w:lineRule="exact"/>
              <w:rPr>
                <w:rFonts w:hint="eastAsia" w:ascii="宋体" w:hAnsi="宋体" w:eastAsia="宋体" w:cs="宋体"/>
                <w:color w:val="auto"/>
                <w:sz w:val="24"/>
                <w:szCs w:val="24"/>
                <w:highlight w:val="none"/>
              </w:rPr>
            </w:pPr>
          </w:p>
        </w:tc>
        <w:tc>
          <w:tcPr>
            <w:tcW w:w="7568" w:type="dxa"/>
            <w:noWrap w:val="0"/>
            <w:vAlign w:val="center"/>
          </w:tcPr>
          <w:p w14:paraId="104CB876">
            <w:pPr>
              <w:spacing w:line="560" w:lineRule="exact"/>
              <w:rPr>
                <w:rFonts w:hint="eastAsia" w:ascii="宋体" w:hAnsi="宋体" w:eastAsia="宋体" w:cs="宋体"/>
                <w:color w:val="auto"/>
                <w:sz w:val="24"/>
                <w:szCs w:val="24"/>
                <w:highlight w:val="none"/>
              </w:rPr>
            </w:pPr>
          </w:p>
        </w:tc>
      </w:tr>
      <w:tr w14:paraId="06FF6C3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794" w:type="dxa"/>
            <w:tcBorders>
              <w:left w:val="single" w:color="auto" w:sz="4" w:space="0"/>
            </w:tcBorders>
            <w:noWrap w:val="0"/>
            <w:vAlign w:val="center"/>
          </w:tcPr>
          <w:p w14:paraId="336EC4A0">
            <w:pPr>
              <w:spacing w:line="560" w:lineRule="exact"/>
              <w:rPr>
                <w:rFonts w:hint="eastAsia" w:ascii="宋体" w:hAnsi="宋体" w:eastAsia="宋体" w:cs="宋体"/>
                <w:color w:val="auto"/>
                <w:sz w:val="24"/>
                <w:szCs w:val="24"/>
                <w:highlight w:val="none"/>
              </w:rPr>
            </w:pPr>
          </w:p>
        </w:tc>
        <w:tc>
          <w:tcPr>
            <w:tcW w:w="7568" w:type="dxa"/>
            <w:noWrap w:val="0"/>
            <w:vAlign w:val="center"/>
          </w:tcPr>
          <w:p w14:paraId="1C831BCA">
            <w:pPr>
              <w:spacing w:line="560" w:lineRule="exact"/>
              <w:rPr>
                <w:rFonts w:hint="eastAsia" w:ascii="宋体" w:hAnsi="宋体" w:eastAsia="宋体" w:cs="宋体"/>
                <w:color w:val="auto"/>
                <w:sz w:val="24"/>
                <w:szCs w:val="24"/>
                <w:highlight w:val="none"/>
              </w:rPr>
            </w:pPr>
          </w:p>
        </w:tc>
      </w:tr>
      <w:tr w14:paraId="7744764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794" w:type="dxa"/>
            <w:tcBorders>
              <w:left w:val="single" w:color="auto" w:sz="4" w:space="0"/>
            </w:tcBorders>
            <w:noWrap w:val="0"/>
            <w:vAlign w:val="center"/>
          </w:tcPr>
          <w:p w14:paraId="277A0298">
            <w:pPr>
              <w:spacing w:line="560" w:lineRule="exact"/>
              <w:rPr>
                <w:rFonts w:hint="eastAsia" w:ascii="宋体" w:hAnsi="宋体" w:eastAsia="宋体" w:cs="宋体"/>
                <w:color w:val="auto"/>
                <w:sz w:val="24"/>
                <w:szCs w:val="24"/>
                <w:highlight w:val="none"/>
              </w:rPr>
            </w:pPr>
          </w:p>
        </w:tc>
        <w:tc>
          <w:tcPr>
            <w:tcW w:w="7568" w:type="dxa"/>
            <w:noWrap w:val="0"/>
            <w:vAlign w:val="center"/>
          </w:tcPr>
          <w:p w14:paraId="6EC19BEC">
            <w:pPr>
              <w:spacing w:line="560" w:lineRule="exact"/>
              <w:rPr>
                <w:rFonts w:hint="eastAsia" w:ascii="宋体" w:hAnsi="宋体" w:eastAsia="宋体" w:cs="宋体"/>
                <w:color w:val="auto"/>
                <w:sz w:val="24"/>
                <w:szCs w:val="24"/>
                <w:highlight w:val="none"/>
              </w:rPr>
            </w:pPr>
          </w:p>
        </w:tc>
      </w:tr>
      <w:tr w14:paraId="0D375B2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4" w:type="dxa"/>
            <w:tcBorders>
              <w:left w:val="single" w:color="auto" w:sz="4" w:space="0"/>
            </w:tcBorders>
            <w:noWrap w:val="0"/>
            <w:vAlign w:val="center"/>
          </w:tcPr>
          <w:p w14:paraId="2BB48441">
            <w:pPr>
              <w:spacing w:line="560" w:lineRule="exact"/>
              <w:rPr>
                <w:rFonts w:hint="eastAsia" w:ascii="宋体" w:hAnsi="宋体" w:eastAsia="宋体" w:cs="宋体"/>
                <w:color w:val="auto"/>
                <w:sz w:val="24"/>
                <w:szCs w:val="24"/>
                <w:highlight w:val="none"/>
              </w:rPr>
            </w:pPr>
          </w:p>
        </w:tc>
        <w:tc>
          <w:tcPr>
            <w:tcW w:w="7568" w:type="dxa"/>
            <w:noWrap w:val="0"/>
            <w:vAlign w:val="center"/>
          </w:tcPr>
          <w:p w14:paraId="3C9C7D4A">
            <w:pPr>
              <w:spacing w:line="560" w:lineRule="exact"/>
              <w:rPr>
                <w:rFonts w:hint="eastAsia" w:ascii="宋体" w:hAnsi="宋体" w:eastAsia="宋体" w:cs="宋体"/>
                <w:color w:val="auto"/>
                <w:sz w:val="24"/>
                <w:szCs w:val="24"/>
                <w:highlight w:val="none"/>
                <w:u w:val="single"/>
              </w:rPr>
            </w:pPr>
          </w:p>
        </w:tc>
      </w:tr>
      <w:tr w14:paraId="7D28480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4" w:type="dxa"/>
            <w:tcBorders>
              <w:left w:val="single" w:color="auto" w:sz="4" w:space="0"/>
            </w:tcBorders>
            <w:noWrap w:val="0"/>
            <w:vAlign w:val="center"/>
          </w:tcPr>
          <w:p w14:paraId="67252A2A">
            <w:pPr>
              <w:spacing w:line="560" w:lineRule="exact"/>
              <w:rPr>
                <w:rFonts w:hint="eastAsia" w:ascii="宋体" w:hAnsi="宋体" w:eastAsia="宋体" w:cs="宋体"/>
                <w:color w:val="auto"/>
                <w:sz w:val="24"/>
                <w:szCs w:val="24"/>
                <w:highlight w:val="none"/>
              </w:rPr>
            </w:pPr>
          </w:p>
        </w:tc>
        <w:tc>
          <w:tcPr>
            <w:tcW w:w="7568" w:type="dxa"/>
            <w:noWrap w:val="0"/>
            <w:vAlign w:val="center"/>
          </w:tcPr>
          <w:p w14:paraId="759F9A34">
            <w:pPr>
              <w:spacing w:line="560" w:lineRule="exact"/>
              <w:rPr>
                <w:rFonts w:hint="eastAsia" w:ascii="宋体" w:hAnsi="宋体" w:eastAsia="宋体" w:cs="宋体"/>
                <w:color w:val="auto"/>
                <w:sz w:val="24"/>
                <w:szCs w:val="24"/>
                <w:highlight w:val="none"/>
              </w:rPr>
            </w:pPr>
          </w:p>
        </w:tc>
      </w:tr>
      <w:tr w14:paraId="1FAF715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794" w:type="dxa"/>
            <w:tcBorders>
              <w:left w:val="single" w:color="auto" w:sz="4" w:space="0"/>
            </w:tcBorders>
            <w:noWrap w:val="0"/>
            <w:vAlign w:val="center"/>
          </w:tcPr>
          <w:p w14:paraId="5F82B2AC">
            <w:pPr>
              <w:spacing w:line="560" w:lineRule="exact"/>
              <w:rPr>
                <w:rFonts w:hint="eastAsia" w:ascii="宋体" w:hAnsi="宋体" w:eastAsia="宋体" w:cs="宋体"/>
                <w:color w:val="auto"/>
                <w:sz w:val="24"/>
                <w:szCs w:val="24"/>
                <w:highlight w:val="none"/>
              </w:rPr>
            </w:pPr>
          </w:p>
        </w:tc>
        <w:tc>
          <w:tcPr>
            <w:tcW w:w="7568" w:type="dxa"/>
            <w:noWrap w:val="0"/>
            <w:vAlign w:val="center"/>
          </w:tcPr>
          <w:p w14:paraId="024AC1E2">
            <w:pPr>
              <w:spacing w:line="560" w:lineRule="exact"/>
              <w:rPr>
                <w:rFonts w:hint="eastAsia" w:ascii="宋体" w:hAnsi="宋体" w:eastAsia="宋体" w:cs="宋体"/>
                <w:color w:val="auto"/>
                <w:sz w:val="24"/>
                <w:szCs w:val="24"/>
                <w:highlight w:val="none"/>
                <w:u w:val="single"/>
              </w:rPr>
            </w:pPr>
          </w:p>
        </w:tc>
      </w:tr>
      <w:tr w14:paraId="7E5BE27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4" w:type="dxa"/>
            <w:tcBorders>
              <w:left w:val="single" w:color="auto" w:sz="4" w:space="0"/>
            </w:tcBorders>
            <w:noWrap w:val="0"/>
            <w:vAlign w:val="center"/>
          </w:tcPr>
          <w:p w14:paraId="38085BA9">
            <w:pPr>
              <w:spacing w:line="560" w:lineRule="exact"/>
              <w:rPr>
                <w:rFonts w:hint="eastAsia" w:ascii="宋体" w:hAnsi="宋体" w:eastAsia="宋体" w:cs="宋体"/>
                <w:color w:val="auto"/>
                <w:sz w:val="24"/>
                <w:szCs w:val="24"/>
                <w:highlight w:val="none"/>
              </w:rPr>
            </w:pPr>
          </w:p>
        </w:tc>
        <w:tc>
          <w:tcPr>
            <w:tcW w:w="7568" w:type="dxa"/>
            <w:noWrap w:val="0"/>
            <w:vAlign w:val="center"/>
          </w:tcPr>
          <w:p w14:paraId="4825A84D">
            <w:pPr>
              <w:spacing w:line="560" w:lineRule="exact"/>
              <w:rPr>
                <w:rFonts w:hint="eastAsia" w:ascii="宋体" w:hAnsi="宋体" w:eastAsia="宋体" w:cs="宋体"/>
                <w:color w:val="auto"/>
                <w:sz w:val="24"/>
                <w:szCs w:val="24"/>
                <w:highlight w:val="none"/>
              </w:rPr>
            </w:pPr>
          </w:p>
        </w:tc>
      </w:tr>
      <w:tr w14:paraId="3A83859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4" w:type="dxa"/>
            <w:tcBorders>
              <w:left w:val="single" w:color="auto" w:sz="4" w:space="0"/>
            </w:tcBorders>
            <w:noWrap w:val="0"/>
            <w:vAlign w:val="center"/>
          </w:tcPr>
          <w:p w14:paraId="6E0AE567">
            <w:pPr>
              <w:spacing w:line="560" w:lineRule="exact"/>
              <w:rPr>
                <w:rFonts w:hint="eastAsia" w:ascii="宋体" w:hAnsi="宋体" w:eastAsia="宋体" w:cs="宋体"/>
                <w:color w:val="auto"/>
                <w:sz w:val="24"/>
                <w:szCs w:val="24"/>
                <w:highlight w:val="none"/>
              </w:rPr>
            </w:pPr>
          </w:p>
        </w:tc>
        <w:tc>
          <w:tcPr>
            <w:tcW w:w="7568" w:type="dxa"/>
            <w:noWrap w:val="0"/>
            <w:vAlign w:val="center"/>
          </w:tcPr>
          <w:p w14:paraId="4616EE76">
            <w:pPr>
              <w:spacing w:line="560" w:lineRule="exact"/>
              <w:rPr>
                <w:rFonts w:hint="eastAsia" w:ascii="宋体" w:hAnsi="宋体" w:eastAsia="宋体" w:cs="宋体"/>
                <w:color w:val="auto"/>
                <w:sz w:val="24"/>
                <w:szCs w:val="24"/>
                <w:highlight w:val="none"/>
              </w:rPr>
            </w:pPr>
          </w:p>
        </w:tc>
      </w:tr>
      <w:tr w14:paraId="15F719E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4" w:type="dxa"/>
            <w:tcBorders>
              <w:left w:val="single" w:color="auto" w:sz="4" w:space="0"/>
            </w:tcBorders>
            <w:noWrap w:val="0"/>
            <w:vAlign w:val="center"/>
          </w:tcPr>
          <w:p w14:paraId="6F557024">
            <w:pPr>
              <w:spacing w:line="560" w:lineRule="exact"/>
              <w:rPr>
                <w:rFonts w:hint="eastAsia" w:ascii="宋体" w:hAnsi="宋体" w:eastAsia="宋体" w:cs="宋体"/>
                <w:color w:val="auto"/>
                <w:sz w:val="24"/>
                <w:szCs w:val="24"/>
                <w:highlight w:val="none"/>
              </w:rPr>
            </w:pPr>
          </w:p>
        </w:tc>
        <w:tc>
          <w:tcPr>
            <w:tcW w:w="7568" w:type="dxa"/>
            <w:noWrap w:val="0"/>
            <w:vAlign w:val="center"/>
          </w:tcPr>
          <w:p w14:paraId="48E0191C">
            <w:pPr>
              <w:spacing w:line="560" w:lineRule="exact"/>
              <w:rPr>
                <w:rFonts w:hint="eastAsia" w:ascii="宋体" w:hAnsi="宋体" w:eastAsia="宋体" w:cs="宋体"/>
                <w:color w:val="auto"/>
                <w:sz w:val="24"/>
                <w:szCs w:val="24"/>
                <w:highlight w:val="none"/>
              </w:rPr>
            </w:pPr>
          </w:p>
        </w:tc>
      </w:tr>
      <w:tr w14:paraId="7AEF784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4" w:type="dxa"/>
            <w:tcBorders>
              <w:top w:val="single" w:color="auto" w:sz="6" w:space="0"/>
              <w:left w:val="single" w:color="auto" w:sz="4" w:space="0"/>
              <w:bottom w:val="single" w:color="auto" w:sz="6" w:space="0"/>
              <w:right w:val="single" w:color="auto" w:sz="6" w:space="0"/>
            </w:tcBorders>
            <w:noWrap w:val="0"/>
            <w:vAlign w:val="center"/>
          </w:tcPr>
          <w:p w14:paraId="3400E9D3">
            <w:pPr>
              <w:spacing w:line="560" w:lineRule="exact"/>
              <w:rPr>
                <w:rFonts w:hint="eastAsia" w:ascii="宋体" w:hAnsi="宋体" w:eastAsia="宋体" w:cs="宋体"/>
                <w:color w:val="auto"/>
                <w:sz w:val="24"/>
                <w:szCs w:val="24"/>
                <w:highlight w:val="none"/>
              </w:rPr>
            </w:pPr>
          </w:p>
        </w:tc>
        <w:tc>
          <w:tcPr>
            <w:tcW w:w="7568" w:type="dxa"/>
            <w:tcBorders>
              <w:top w:val="single" w:color="auto" w:sz="6" w:space="0"/>
              <w:left w:val="single" w:color="auto" w:sz="6" w:space="0"/>
              <w:bottom w:val="single" w:color="auto" w:sz="6" w:space="0"/>
              <w:right w:val="single" w:color="auto" w:sz="6" w:space="0"/>
            </w:tcBorders>
            <w:noWrap w:val="0"/>
            <w:vAlign w:val="center"/>
          </w:tcPr>
          <w:p w14:paraId="1475D71A">
            <w:pPr>
              <w:spacing w:line="560" w:lineRule="exact"/>
              <w:rPr>
                <w:rFonts w:hint="eastAsia" w:ascii="宋体" w:hAnsi="宋体" w:eastAsia="宋体" w:cs="宋体"/>
                <w:color w:val="auto"/>
                <w:sz w:val="24"/>
                <w:szCs w:val="24"/>
                <w:highlight w:val="none"/>
              </w:rPr>
            </w:pPr>
          </w:p>
        </w:tc>
      </w:tr>
      <w:tr w14:paraId="703E2D7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4" w:type="dxa"/>
            <w:tcBorders>
              <w:top w:val="single" w:color="auto" w:sz="6" w:space="0"/>
              <w:left w:val="single" w:color="auto" w:sz="4" w:space="0"/>
              <w:bottom w:val="single" w:color="auto" w:sz="6" w:space="0"/>
              <w:right w:val="single" w:color="auto" w:sz="6" w:space="0"/>
            </w:tcBorders>
            <w:noWrap w:val="0"/>
            <w:vAlign w:val="center"/>
          </w:tcPr>
          <w:p w14:paraId="02E6471E">
            <w:pPr>
              <w:spacing w:line="560" w:lineRule="exact"/>
              <w:rPr>
                <w:rFonts w:hint="eastAsia" w:ascii="宋体" w:hAnsi="宋体" w:eastAsia="宋体" w:cs="宋体"/>
                <w:color w:val="auto"/>
                <w:sz w:val="24"/>
                <w:szCs w:val="24"/>
                <w:highlight w:val="none"/>
              </w:rPr>
            </w:pPr>
          </w:p>
        </w:tc>
        <w:tc>
          <w:tcPr>
            <w:tcW w:w="7568" w:type="dxa"/>
            <w:tcBorders>
              <w:top w:val="single" w:color="auto" w:sz="6" w:space="0"/>
              <w:left w:val="single" w:color="auto" w:sz="6" w:space="0"/>
              <w:bottom w:val="single" w:color="auto" w:sz="6" w:space="0"/>
              <w:right w:val="single" w:color="auto" w:sz="6" w:space="0"/>
            </w:tcBorders>
            <w:noWrap w:val="0"/>
            <w:vAlign w:val="center"/>
          </w:tcPr>
          <w:p w14:paraId="1987D37C">
            <w:pPr>
              <w:spacing w:line="560" w:lineRule="exact"/>
              <w:rPr>
                <w:rFonts w:hint="eastAsia" w:ascii="宋体" w:hAnsi="宋体" w:eastAsia="宋体" w:cs="宋体"/>
                <w:color w:val="auto"/>
                <w:sz w:val="24"/>
                <w:szCs w:val="24"/>
                <w:highlight w:val="none"/>
              </w:rPr>
            </w:pPr>
          </w:p>
        </w:tc>
      </w:tr>
    </w:tbl>
    <w:p w14:paraId="04C2BA59">
      <w:pPr>
        <w:spacing w:line="360" w:lineRule="auto"/>
        <w:rPr>
          <w:rFonts w:ascii="等线" w:hAnsi="等线" w:eastAsia="等线"/>
          <w:color w:val="auto"/>
          <w:sz w:val="24"/>
          <w:highlight w:val="none"/>
        </w:rPr>
      </w:pPr>
    </w:p>
    <w:p w14:paraId="2B50F852">
      <w:pPr>
        <w:pStyle w:val="2"/>
        <w:keepNext/>
        <w:keepLines/>
        <w:pageBreakBefore w:val="0"/>
        <w:widowControl w:val="0"/>
        <w:numPr>
          <w:ilvl w:val="0"/>
          <w:numId w:val="0"/>
        </w:numPr>
        <w:kinsoku/>
        <w:wordWrap/>
        <w:overflowPunct/>
        <w:topLinePunct w:val="0"/>
        <w:autoSpaceDE/>
        <w:autoSpaceDN/>
        <w:bidi w:val="0"/>
        <w:adjustRightInd/>
        <w:snapToGrid/>
        <w:spacing w:before="220" w:after="220" w:line="480" w:lineRule="auto"/>
        <w:ind w:left="420" w:leftChars="0" w:hanging="420" w:firstLineChars="0"/>
        <w:textAlignment w:val="auto"/>
        <w:rPr>
          <w:rFonts w:hint="eastAsia" w:ascii="宋体" w:hAnsi="宋体" w:eastAsia="宋体" w:cs="宋体"/>
          <w:b/>
          <w:bCs/>
          <w:color w:val="auto"/>
          <w:kern w:val="44"/>
          <w:sz w:val="36"/>
          <w:szCs w:val="36"/>
          <w:highlight w:val="none"/>
          <w:lang w:val="en-US" w:eastAsia="zh-CN" w:bidi="ar-SA"/>
        </w:rPr>
      </w:pPr>
      <w:r>
        <w:rPr>
          <w:rFonts w:ascii="等线" w:hAnsi="等线" w:eastAsia="等线"/>
          <w:color w:val="auto"/>
          <w:sz w:val="24"/>
          <w:highlight w:val="none"/>
        </w:rPr>
        <w:br w:type="page"/>
      </w:r>
      <w:bookmarkEnd w:id="295"/>
      <w:bookmarkStart w:id="480" w:name="_Toc15871"/>
      <w:bookmarkStart w:id="481" w:name="_Toc155185919"/>
      <w:bookmarkStart w:id="482" w:name="_Toc20007"/>
      <w:r>
        <w:rPr>
          <w:rFonts w:hint="eastAsia" w:ascii="宋体" w:hAnsi="宋体" w:eastAsia="宋体" w:cs="宋体"/>
          <w:b/>
          <w:bCs/>
          <w:color w:val="auto"/>
          <w:kern w:val="44"/>
          <w:sz w:val="36"/>
          <w:szCs w:val="36"/>
          <w:highlight w:val="none"/>
          <w:lang w:val="en-US" w:eastAsia="zh-CN" w:bidi="ar-SA"/>
        </w:rPr>
        <w:t>第七章 投标文件格式</w:t>
      </w:r>
      <w:bookmarkEnd w:id="480"/>
      <w:bookmarkEnd w:id="481"/>
      <w:bookmarkEnd w:id="482"/>
    </w:p>
    <w:p w14:paraId="4C74DA43">
      <w:pPr>
        <w:rPr>
          <w:rFonts w:hint="eastAsia" w:cs="仿宋_GB2312"/>
          <w:color w:val="auto"/>
          <w:szCs w:val="24"/>
          <w:highlight w:val="none"/>
          <w:lang w:val="zh-CN"/>
        </w:rPr>
      </w:pPr>
    </w:p>
    <w:p w14:paraId="50875780">
      <w:pPr>
        <w:rPr>
          <w:rFonts w:cs="仿宋_GB2312"/>
          <w:color w:val="auto"/>
          <w:szCs w:val="24"/>
          <w:highlight w:val="none"/>
          <w:lang w:val="zh-CN"/>
        </w:rPr>
      </w:pPr>
      <w:r>
        <w:rPr>
          <w:rFonts w:hint="eastAsia" w:cs="仿宋_GB2312"/>
          <w:color w:val="auto"/>
          <w:szCs w:val="24"/>
          <w:highlight w:val="none"/>
          <w:lang w:val="zh-CN"/>
        </w:rPr>
        <w:t>封面：</w:t>
      </w:r>
    </w:p>
    <w:p w14:paraId="131B1AEB">
      <w:pPr>
        <w:autoSpaceDE w:val="0"/>
        <w:autoSpaceDN w:val="0"/>
        <w:adjustRightInd w:val="0"/>
        <w:rPr>
          <w:color w:val="auto"/>
          <w:sz w:val="21"/>
          <w:szCs w:val="24"/>
          <w:highlight w:val="none"/>
        </w:rPr>
      </w:pPr>
    </w:p>
    <w:p w14:paraId="4CC70F63">
      <w:pPr>
        <w:autoSpaceDE w:val="0"/>
        <w:autoSpaceDN w:val="0"/>
        <w:adjustRightInd w:val="0"/>
        <w:rPr>
          <w:color w:val="auto"/>
          <w:sz w:val="21"/>
          <w:szCs w:val="24"/>
          <w:highlight w:val="none"/>
        </w:rPr>
      </w:pPr>
    </w:p>
    <w:p w14:paraId="31A6960D">
      <w:pPr>
        <w:keepNext w:val="0"/>
        <w:keepLines w:val="0"/>
        <w:widowControl/>
        <w:suppressLineNumbers w:val="0"/>
        <w:jc w:val="center"/>
      </w:pPr>
      <w:r>
        <w:rPr>
          <w:rFonts w:ascii="榛戜綋" w:hAnsi="榛戜綋" w:eastAsia="榛戜綋" w:cs="榛戜綋"/>
          <w:color w:val="000000"/>
          <w:kern w:val="0"/>
          <w:sz w:val="48"/>
          <w:szCs w:val="48"/>
          <w:lang w:val="en-US" w:eastAsia="zh-CN" w:bidi="ar"/>
        </w:rPr>
        <w:t>（项目名称）项目</w:t>
      </w:r>
    </w:p>
    <w:p w14:paraId="4B43D6CF">
      <w:pPr>
        <w:keepNext w:val="0"/>
        <w:keepLines w:val="0"/>
        <w:widowControl/>
        <w:suppressLineNumbers w:val="0"/>
        <w:jc w:val="center"/>
        <w:rPr>
          <w:rFonts w:hint="eastAsia" w:ascii="黑体" w:hAnsi="黑体" w:eastAsia="黑体" w:cs="黑体"/>
          <w:sz w:val="95"/>
          <w:szCs w:val="95"/>
          <w:lang w:eastAsia="zh-CN"/>
        </w:rPr>
      </w:pPr>
      <w:r>
        <w:rPr>
          <w:rFonts w:hint="eastAsia" w:ascii="宋体" w:hAnsi="宋体" w:eastAsia="宋体" w:cs="宋体"/>
          <w:color w:val="000000"/>
          <w:kern w:val="0"/>
          <w:sz w:val="31"/>
          <w:szCs w:val="31"/>
          <w:lang w:val="en-US" w:eastAsia="zh-CN" w:bidi="ar"/>
        </w:rPr>
        <w:t>项目编号：</w:t>
      </w:r>
    </w:p>
    <w:p w14:paraId="147CB512">
      <w:pPr>
        <w:spacing w:before="308" w:line="1868" w:lineRule="exact"/>
        <w:jc w:val="center"/>
        <w:rPr>
          <w:rFonts w:hint="eastAsia" w:ascii="黑体" w:hAnsi="黑体" w:eastAsia="黑体" w:cs="黑体"/>
          <w:sz w:val="95"/>
          <w:szCs w:val="95"/>
          <w:lang w:eastAsia="zh-CN"/>
        </w:rPr>
      </w:pPr>
      <w:r>
        <w:rPr>
          <w:rFonts w:hint="eastAsia" w:ascii="黑体" w:hAnsi="黑体" w:eastAsia="黑体" w:cs="黑体"/>
          <w:sz w:val="95"/>
          <w:szCs w:val="95"/>
          <w:lang w:eastAsia="zh-CN"/>
        </w:rPr>
        <w:t>投</w:t>
      </w:r>
    </w:p>
    <w:p w14:paraId="7E7E319E">
      <w:pPr>
        <w:spacing w:before="308" w:line="1868" w:lineRule="exact"/>
        <w:jc w:val="center"/>
        <w:rPr>
          <w:rFonts w:ascii="黑体" w:hAnsi="黑体" w:eastAsia="黑体" w:cs="黑体"/>
          <w:sz w:val="95"/>
          <w:szCs w:val="95"/>
        </w:rPr>
      </w:pPr>
      <w:r>
        <w:rPr>
          <w:rFonts w:ascii="黑体" w:hAnsi="黑体" w:eastAsia="黑体" w:cs="黑体"/>
          <w:sz w:val="95"/>
          <w:szCs w:val="95"/>
        </w:rPr>
        <w:t>标</w:t>
      </w:r>
    </w:p>
    <w:p w14:paraId="350DD70F">
      <w:pPr>
        <w:spacing w:before="308" w:line="1868" w:lineRule="exact"/>
        <w:jc w:val="center"/>
        <w:rPr>
          <w:rFonts w:ascii="黑体" w:hAnsi="黑体" w:eastAsia="黑体" w:cs="黑体"/>
          <w:sz w:val="95"/>
          <w:szCs w:val="95"/>
        </w:rPr>
      </w:pPr>
      <w:r>
        <w:rPr>
          <w:rFonts w:ascii="黑体" w:hAnsi="黑体" w:eastAsia="黑体" w:cs="黑体"/>
          <w:sz w:val="95"/>
          <w:szCs w:val="95"/>
        </w:rPr>
        <w:t>文</w:t>
      </w:r>
    </w:p>
    <w:p w14:paraId="353E2343">
      <w:pPr>
        <w:spacing w:before="308" w:line="1868" w:lineRule="exact"/>
        <w:jc w:val="center"/>
        <w:rPr>
          <w:rFonts w:ascii="黑体" w:hAnsi="黑体" w:eastAsia="黑体" w:cs="黑体"/>
          <w:sz w:val="95"/>
          <w:szCs w:val="95"/>
        </w:rPr>
      </w:pPr>
      <w:r>
        <w:rPr>
          <w:rFonts w:ascii="黑体" w:hAnsi="黑体" w:eastAsia="黑体" w:cs="黑体"/>
          <w:sz w:val="95"/>
          <w:szCs w:val="95"/>
        </w:rPr>
        <w:t>件</w:t>
      </w:r>
    </w:p>
    <w:p w14:paraId="15446995">
      <w:pPr>
        <w:spacing w:before="101" w:line="225" w:lineRule="auto"/>
        <w:rPr>
          <w:rFonts w:ascii="宋体" w:hAnsi="宋体" w:eastAsia="宋体" w:cs="宋体"/>
          <w:spacing w:val="-7"/>
          <w:sz w:val="31"/>
          <w:szCs w:val="31"/>
        </w:rPr>
      </w:pPr>
    </w:p>
    <w:p w14:paraId="6765FF6E">
      <w:pPr>
        <w:pStyle w:val="15"/>
        <w:tabs>
          <w:tab w:val="left" w:pos="567"/>
        </w:tabs>
        <w:spacing w:line="245" w:lineRule="auto"/>
        <w:rPr>
          <w:rFonts w:ascii="宋体" w:hAnsi="宋体" w:eastAsia="宋体" w:cs="宋体"/>
          <w:spacing w:val="-7"/>
          <w:kern w:val="2"/>
          <w:sz w:val="31"/>
          <w:szCs w:val="31"/>
          <w:lang w:val="en-US" w:eastAsia="zh-CN" w:bidi="ar-SA"/>
        </w:rPr>
      </w:pPr>
      <w:r>
        <w:rPr>
          <w:rFonts w:ascii="宋体" w:hAnsi="宋体" w:eastAsia="宋体" w:cs="宋体"/>
          <w:spacing w:val="-7"/>
          <w:kern w:val="2"/>
          <w:sz w:val="31"/>
          <w:szCs w:val="31"/>
          <w:lang w:val="en-US" w:eastAsia="zh-CN" w:bidi="ar-SA"/>
        </w:rPr>
        <w:t>投标</w:t>
      </w:r>
      <w:r>
        <w:rPr>
          <w:rFonts w:hint="eastAsia" w:ascii="宋体" w:hAnsi="宋体" w:eastAsia="宋体" w:cs="宋体"/>
          <w:spacing w:val="-7"/>
          <w:kern w:val="2"/>
          <w:sz w:val="31"/>
          <w:szCs w:val="31"/>
          <w:lang w:val="en-US" w:eastAsia="zh-CN" w:bidi="ar-SA"/>
        </w:rPr>
        <w:t>单位</w:t>
      </w:r>
      <w:r>
        <w:rPr>
          <w:rFonts w:ascii="宋体" w:hAnsi="宋体" w:eastAsia="宋体" w:cs="宋体"/>
          <w:spacing w:val="-7"/>
          <w:kern w:val="2"/>
          <w:sz w:val="31"/>
          <w:szCs w:val="31"/>
          <w:lang w:val="en-US" w:eastAsia="zh-CN" w:bidi="ar-SA"/>
        </w:rPr>
        <w:t>名称</w:t>
      </w:r>
      <w:r>
        <w:rPr>
          <w:rFonts w:hint="eastAsia" w:ascii="宋体" w:hAnsi="宋体" w:eastAsia="宋体" w:cs="宋体"/>
          <w:spacing w:val="-7"/>
          <w:kern w:val="2"/>
          <w:sz w:val="31"/>
          <w:szCs w:val="31"/>
          <w:lang w:val="en-US" w:eastAsia="zh-CN" w:bidi="ar-SA"/>
        </w:rPr>
        <w:t>（加盖公章）</w:t>
      </w:r>
      <w:r>
        <w:rPr>
          <w:rFonts w:ascii="宋体" w:hAnsi="宋体" w:eastAsia="宋体" w:cs="宋体"/>
          <w:spacing w:val="-7"/>
          <w:kern w:val="2"/>
          <w:sz w:val="31"/>
          <w:szCs w:val="31"/>
          <w:lang w:val="en-US" w:eastAsia="zh-CN" w:bidi="ar-SA"/>
        </w:rPr>
        <w:t>：</w:t>
      </w:r>
    </w:p>
    <w:p w14:paraId="0B012FC3">
      <w:pPr>
        <w:pStyle w:val="15"/>
        <w:tabs>
          <w:tab w:val="left" w:pos="567"/>
        </w:tabs>
        <w:spacing w:line="245" w:lineRule="auto"/>
        <w:rPr>
          <w:rFonts w:ascii="宋体" w:hAnsi="宋体" w:eastAsia="宋体" w:cs="宋体"/>
          <w:spacing w:val="-7"/>
          <w:kern w:val="2"/>
          <w:sz w:val="31"/>
          <w:szCs w:val="31"/>
          <w:lang w:val="en-US" w:eastAsia="zh-CN" w:bidi="ar-SA"/>
        </w:rPr>
      </w:pPr>
      <w:r>
        <w:rPr>
          <w:rFonts w:hint="eastAsia" w:ascii="宋体" w:hAnsi="宋体" w:eastAsia="宋体" w:cs="宋体"/>
          <w:spacing w:val="-7"/>
          <w:kern w:val="2"/>
          <w:sz w:val="31"/>
          <w:szCs w:val="31"/>
          <w:lang w:val="en-US" w:eastAsia="zh-CN" w:bidi="ar-SA"/>
        </w:rPr>
        <w:t xml:space="preserve">法人或法人授权代表（签字或盖章）： </w:t>
      </w:r>
    </w:p>
    <w:p w14:paraId="48FC9324">
      <w:pPr>
        <w:pStyle w:val="15"/>
        <w:tabs>
          <w:tab w:val="left" w:pos="567"/>
        </w:tabs>
        <w:spacing w:line="245" w:lineRule="auto"/>
        <w:rPr>
          <w:rFonts w:ascii="宋体" w:hAnsi="宋体" w:eastAsia="宋体" w:cs="宋体"/>
          <w:spacing w:val="-7"/>
          <w:kern w:val="2"/>
          <w:sz w:val="31"/>
          <w:szCs w:val="31"/>
          <w:lang w:val="en-US" w:eastAsia="zh-CN" w:bidi="ar-SA"/>
        </w:rPr>
      </w:pPr>
    </w:p>
    <w:p w14:paraId="425B73EE">
      <w:pPr>
        <w:pStyle w:val="15"/>
        <w:tabs>
          <w:tab w:val="left" w:pos="567"/>
        </w:tabs>
        <w:spacing w:line="245" w:lineRule="auto"/>
      </w:pPr>
    </w:p>
    <w:p w14:paraId="17ED5DCC">
      <w:pPr>
        <w:pStyle w:val="15"/>
        <w:tabs>
          <w:tab w:val="left" w:pos="567"/>
        </w:tabs>
        <w:spacing w:line="245" w:lineRule="auto"/>
      </w:pPr>
    </w:p>
    <w:p w14:paraId="2160650F">
      <w:pPr>
        <w:pStyle w:val="15"/>
        <w:tabs>
          <w:tab w:val="left" w:pos="567"/>
        </w:tabs>
        <w:spacing w:line="245" w:lineRule="auto"/>
      </w:pPr>
    </w:p>
    <w:p w14:paraId="25DC096C">
      <w:pPr>
        <w:pStyle w:val="15"/>
        <w:tabs>
          <w:tab w:val="left" w:pos="567"/>
        </w:tabs>
        <w:spacing w:line="246" w:lineRule="auto"/>
      </w:pPr>
    </w:p>
    <w:p w14:paraId="0826CBB3">
      <w:pPr>
        <w:spacing w:before="101" w:line="227" w:lineRule="auto"/>
        <w:ind w:left="4481"/>
        <w:rPr>
          <w:rFonts w:ascii="宋体" w:hAnsi="宋体" w:eastAsia="宋体" w:cs="宋体"/>
          <w:b/>
          <w:bCs/>
          <w:sz w:val="28"/>
          <w:szCs w:val="28"/>
        </w:rPr>
      </w:pPr>
      <w:r>
        <w:rPr>
          <w:rFonts w:ascii="宋体" w:hAnsi="宋体" w:eastAsia="宋体" w:cs="宋体"/>
          <w:b/>
          <w:bCs/>
          <w:spacing w:val="-27"/>
          <w:sz w:val="28"/>
          <w:szCs w:val="28"/>
        </w:rPr>
        <w:t>目</w:t>
      </w:r>
      <w:r>
        <w:rPr>
          <w:rFonts w:hint="eastAsia" w:ascii="宋体" w:hAnsi="宋体" w:eastAsia="宋体" w:cs="宋体"/>
          <w:b/>
          <w:bCs/>
          <w:spacing w:val="-27"/>
          <w:sz w:val="28"/>
          <w:szCs w:val="28"/>
          <w:lang w:val="en-US" w:eastAsia="zh-CN"/>
        </w:rPr>
        <w:t xml:space="preserve"> </w:t>
      </w:r>
      <w:r>
        <w:rPr>
          <w:rFonts w:ascii="宋体" w:hAnsi="宋体" w:eastAsia="宋体" w:cs="宋体"/>
          <w:b/>
          <w:bCs/>
          <w:spacing w:val="-27"/>
          <w:sz w:val="28"/>
          <w:szCs w:val="28"/>
        </w:rPr>
        <w:t>录</w:t>
      </w:r>
    </w:p>
    <w:p w14:paraId="41DE1884">
      <w:pPr>
        <w:spacing w:before="224" w:line="226" w:lineRule="auto"/>
        <w:ind w:left="3"/>
        <w:rPr>
          <w:rFonts w:hint="eastAsia" w:ascii="宋体" w:hAnsi="宋体" w:eastAsia="宋体" w:cs="宋体"/>
          <w:spacing w:val="1"/>
          <w:sz w:val="24"/>
          <w:szCs w:val="24"/>
          <w:highlight w:val="none"/>
        </w:rPr>
      </w:pPr>
    </w:p>
    <w:p w14:paraId="1C79FE4C">
      <w:pPr>
        <w:spacing w:line="228" w:lineRule="auto"/>
        <w:rPr>
          <w:rFonts w:hint="default" w:ascii="宋体" w:hAnsi="宋体" w:eastAsia="宋体" w:cs="宋体"/>
          <w:sz w:val="20"/>
          <w:szCs w:val="20"/>
          <w:highlight w:val="none"/>
          <w:lang w:val="en-US" w:eastAsia="zh-CN"/>
        </w:rPr>
      </w:pPr>
      <w:r>
        <w:rPr>
          <w:rFonts w:hint="eastAsia" w:ascii="宋体" w:hAnsi="宋体" w:cs="宋体"/>
          <w:sz w:val="20"/>
          <w:szCs w:val="20"/>
          <w:highlight w:val="none"/>
          <w:lang w:val="en-US" w:eastAsia="zh-CN"/>
        </w:rPr>
        <w:t>自行编写目录。</w:t>
      </w:r>
    </w:p>
    <w:p w14:paraId="6F941F55">
      <w:pPr>
        <w:pStyle w:val="2"/>
        <w:sectPr>
          <w:footerReference r:id="rId14" w:type="default"/>
          <w:pgSz w:w="11906" w:h="16838"/>
          <w:pgMar w:top="400" w:right="1785" w:bottom="1097" w:left="1193" w:header="0" w:footer="936" w:gutter="0"/>
          <w:pgNumType w:fmt="decimal"/>
          <w:cols w:space="720" w:num="1"/>
        </w:sectPr>
      </w:pPr>
    </w:p>
    <w:p w14:paraId="292CC47C">
      <w:pPr>
        <w:spacing w:before="91" w:line="219" w:lineRule="auto"/>
        <w:ind w:left="24"/>
        <w:rPr>
          <w:rFonts w:ascii="宋体" w:hAnsi="宋体" w:eastAsia="宋体" w:cs="宋体"/>
          <w:sz w:val="28"/>
          <w:szCs w:val="28"/>
        </w:rPr>
      </w:pPr>
      <w:r>
        <w:rPr>
          <w:rFonts w:ascii="宋体" w:hAnsi="宋体" w:eastAsia="宋体" w:cs="宋体"/>
          <w:spacing w:val="-6"/>
          <w:sz w:val="28"/>
          <w:szCs w:val="28"/>
        </w:rPr>
        <w:t>附件一</w:t>
      </w:r>
    </w:p>
    <w:p w14:paraId="0773D2C2">
      <w:pPr>
        <w:spacing w:before="74" w:line="225" w:lineRule="auto"/>
        <w:ind w:left="4258"/>
        <w:rPr>
          <w:rFonts w:hint="eastAsia" w:ascii="宋体" w:hAnsi="宋体" w:eastAsia="宋体" w:cs="宋体"/>
          <w:b/>
          <w:bCs/>
          <w:sz w:val="24"/>
          <w:szCs w:val="24"/>
        </w:rPr>
      </w:pPr>
      <w:r>
        <w:rPr>
          <w:rFonts w:hint="eastAsia" w:ascii="宋体" w:hAnsi="宋体" w:eastAsia="宋体" w:cs="宋体"/>
          <w:b/>
          <w:bCs/>
          <w:spacing w:val="4"/>
          <w:sz w:val="24"/>
          <w:szCs w:val="24"/>
        </w:rPr>
        <w:t>投标函</w:t>
      </w:r>
    </w:p>
    <w:p w14:paraId="41100FED">
      <w:pPr>
        <w:pStyle w:val="15"/>
        <w:tabs>
          <w:tab w:val="left" w:pos="567"/>
        </w:tabs>
        <w:spacing w:line="253" w:lineRule="auto"/>
        <w:rPr>
          <w:rFonts w:hint="eastAsia" w:ascii="宋体" w:hAnsi="宋体" w:eastAsia="宋体" w:cs="宋体"/>
          <w:sz w:val="24"/>
          <w:szCs w:val="24"/>
        </w:rPr>
      </w:pPr>
    </w:p>
    <w:p w14:paraId="431B1181">
      <w:pPr>
        <w:spacing w:before="75" w:line="227" w:lineRule="auto"/>
        <w:rPr>
          <w:rFonts w:hint="eastAsia" w:ascii="宋体" w:hAnsi="宋体" w:eastAsia="宋体" w:cs="宋体"/>
          <w:sz w:val="24"/>
          <w:szCs w:val="24"/>
        </w:rPr>
      </w:pPr>
      <w:r>
        <w:rPr>
          <w:rFonts w:hint="eastAsia" w:cs="宋体"/>
          <w:spacing w:val="5"/>
          <w:sz w:val="24"/>
          <w:szCs w:val="24"/>
          <w:u w:val="single" w:color="auto"/>
          <w:lang w:eastAsia="zh-CN"/>
        </w:rPr>
        <w:t>招标人</w:t>
      </w:r>
      <w:r>
        <w:rPr>
          <w:rFonts w:hint="eastAsia" w:ascii="宋体" w:hAnsi="宋体" w:eastAsia="宋体" w:cs="宋体"/>
          <w:spacing w:val="5"/>
          <w:sz w:val="24"/>
          <w:szCs w:val="24"/>
        </w:rPr>
        <w:t>：</w:t>
      </w:r>
    </w:p>
    <w:p w14:paraId="11A73DAB">
      <w:pPr>
        <w:spacing w:before="182" w:line="376" w:lineRule="auto"/>
        <w:ind w:right="2"/>
        <w:jc w:val="right"/>
        <w:rPr>
          <w:rFonts w:hint="eastAsia" w:ascii="宋体" w:hAnsi="宋体" w:eastAsia="宋体" w:cs="宋体"/>
          <w:sz w:val="24"/>
          <w:szCs w:val="24"/>
        </w:rPr>
      </w:pPr>
      <w:r>
        <w:rPr>
          <w:rFonts w:hint="eastAsia" w:ascii="宋体" w:hAnsi="宋体" w:eastAsia="宋体" w:cs="宋体"/>
          <w:spacing w:val="7"/>
          <w:sz w:val="24"/>
          <w:szCs w:val="24"/>
        </w:rPr>
        <w:t>我们收到你们的</w:t>
      </w:r>
      <w:r>
        <w:rPr>
          <w:rFonts w:hint="eastAsia" w:ascii="宋体" w:hAnsi="宋体" w:eastAsia="宋体" w:cs="宋体"/>
          <w:spacing w:val="7"/>
          <w:sz w:val="24"/>
          <w:szCs w:val="24"/>
          <w:u w:val="single" w:color="auto"/>
        </w:rPr>
        <w:t xml:space="preserve">     （项目名称</w:t>
      </w:r>
      <w:r>
        <w:rPr>
          <w:rFonts w:hint="eastAsia" w:ascii="宋体" w:hAnsi="宋体" w:eastAsia="宋体" w:cs="宋体"/>
          <w:spacing w:val="-10"/>
          <w:sz w:val="24"/>
          <w:szCs w:val="24"/>
          <w:u w:val="single" w:color="auto"/>
        </w:rPr>
        <w:t>）</w:t>
      </w:r>
      <w:r>
        <w:rPr>
          <w:rFonts w:hint="eastAsia" w:ascii="宋体" w:hAnsi="宋体" w:eastAsia="宋体" w:cs="宋体"/>
          <w:spacing w:val="10"/>
          <w:sz w:val="24"/>
          <w:szCs w:val="24"/>
          <w:u w:val="single" w:color="auto"/>
        </w:rPr>
        <w:t xml:space="preserve">     </w:t>
      </w:r>
      <w:r>
        <w:rPr>
          <w:rFonts w:hint="eastAsia" w:ascii="宋体" w:hAnsi="宋体" w:eastAsia="宋体" w:cs="宋体"/>
          <w:spacing w:val="-10"/>
          <w:sz w:val="24"/>
          <w:szCs w:val="24"/>
          <w:u w:val="single" w:color="auto"/>
        </w:rPr>
        <w:t>（</w:t>
      </w:r>
      <w:r>
        <w:rPr>
          <w:rFonts w:hint="eastAsia" w:ascii="宋体" w:hAnsi="宋体" w:eastAsia="宋体" w:cs="宋体"/>
          <w:spacing w:val="7"/>
          <w:sz w:val="24"/>
          <w:szCs w:val="24"/>
          <w:u w:val="single" w:color="auto"/>
        </w:rPr>
        <w:t>项目编号：  ）</w:t>
      </w:r>
      <w:r>
        <w:rPr>
          <w:rFonts w:hint="eastAsia" w:ascii="宋体" w:hAnsi="宋体" w:eastAsia="宋体" w:cs="宋体"/>
          <w:spacing w:val="7"/>
          <w:sz w:val="24"/>
          <w:szCs w:val="24"/>
        </w:rPr>
        <w:t>招标文件， 经认真研</w:t>
      </w:r>
    </w:p>
    <w:p w14:paraId="02294DFB">
      <w:pPr>
        <w:spacing w:line="226" w:lineRule="auto"/>
        <w:ind w:left="62"/>
        <w:rPr>
          <w:rFonts w:hint="eastAsia" w:ascii="宋体" w:hAnsi="宋体" w:eastAsia="宋体" w:cs="宋体"/>
          <w:sz w:val="24"/>
          <w:szCs w:val="24"/>
        </w:rPr>
      </w:pPr>
      <w:r>
        <w:rPr>
          <w:rFonts w:hint="eastAsia" w:ascii="宋体" w:hAnsi="宋体" w:eastAsia="宋体" w:cs="宋体"/>
          <w:spacing w:val="6"/>
          <w:sz w:val="24"/>
          <w:szCs w:val="24"/>
        </w:rPr>
        <w:t>究，我们决定参加本次招标活动。</w:t>
      </w:r>
    </w:p>
    <w:p w14:paraId="35048238">
      <w:pPr>
        <w:spacing w:before="184" w:line="468" w:lineRule="exact"/>
        <w:jc w:val="left"/>
        <w:rPr>
          <w:rFonts w:hint="eastAsia" w:ascii="宋体" w:hAnsi="宋体" w:eastAsia="宋体" w:cs="宋体"/>
          <w:spacing w:val="8"/>
          <w:position w:val="17"/>
          <w:sz w:val="24"/>
          <w:szCs w:val="24"/>
        </w:rPr>
      </w:pPr>
      <w:r>
        <w:rPr>
          <w:rFonts w:hint="eastAsia" w:ascii="宋体" w:hAnsi="宋体" w:eastAsia="宋体" w:cs="宋体"/>
          <w:spacing w:val="8"/>
          <w:position w:val="17"/>
          <w:sz w:val="24"/>
          <w:szCs w:val="24"/>
        </w:rPr>
        <w:t>1、按照招标文件中的一切要求，提供招标的相关服务。</w:t>
      </w:r>
    </w:p>
    <w:p w14:paraId="6EB23C7C">
      <w:pPr>
        <w:spacing w:before="186" w:line="228" w:lineRule="auto"/>
        <w:ind w:left="7"/>
        <w:rPr>
          <w:rFonts w:hint="eastAsia" w:ascii="宋体" w:hAnsi="宋体" w:eastAsia="宋体" w:cs="宋体"/>
          <w:sz w:val="24"/>
          <w:szCs w:val="24"/>
        </w:rPr>
      </w:pPr>
      <w:r>
        <w:rPr>
          <w:rFonts w:hint="eastAsia" w:ascii="宋体" w:hAnsi="宋体" w:eastAsia="宋体" w:cs="宋体"/>
          <w:spacing w:val="3"/>
          <w:sz w:val="24"/>
          <w:szCs w:val="24"/>
        </w:rPr>
        <w:t>小写：</w:t>
      </w:r>
      <w:r>
        <w:rPr>
          <w:rFonts w:hint="eastAsia" w:ascii="宋体" w:hAnsi="宋体" w:eastAsia="宋体" w:cs="宋体"/>
          <w:spacing w:val="5"/>
          <w:sz w:val="24"/>
          <w:szCs w:val="24"/>
          <w:u w:val="single" w:color="auto"/>
        </w:rPr>
        <w:t xml:space="preserve">                     </w:t>
      </w:r>
      <w:r>
        <w:rPr>
          <w:rFonts w:hint="eastAsia" w:ascii="宋体" w:hAnsi="宋体" w:eastAsia="宋体" w:cs="宋体"/>
          <w:spacing w:val="-91"/>
          <w:sz w:val="24"/>
          <w:szCs w:val="24"/>
        </w:rPr>
        <w:t xml:space="preserve"> </w:t>
      </w:r>
      <w:r>
        <w:rPr>
          <w:rFonts w:hint="eastAsia" w:ascii="宋体" w:hAnsi="宋体" w:eastAsia="宋体" w:cs="宋体"/>
          <w:spacing w:val="3"/>
          <w:sz w:val="24"/>
          <w:szCs w:val="24"/>
        </w:rPr>
        <w:t>元</w:t>
      </w:r>
    </w:p>
    <w:p w14:paraId="7137599F">
      <w:pPr>
        <w:spacing w:before="181" w:line="228" w:lineRule="auto"/>
        <w:ind w:left="3"/>
        <w:rPr>
          <w:rFonts w:hint="eastAsia" w:ascii="宋体" w:hAnsi="宋体" w:eastAsia="宋体" w:cs="宋体"/>
          <w:sz w:val="24"/>
          <w:szCs w:val="24"/>
        </w:rPr>
      </w:pPr>
      <w:r>
        <w:rPr>
          <w:rFonts w:hint="eastAsia" w:ascii="宋体" w:hAnsi="宋体" w:eastAsia="宋体" w:cs="宋体"/>
          <w:spacing w:val="5"/>
          <w:sz w:val="24"/>
          <w:szCs w:val="24"/>
        </w:rPr>
        <w:t>大写：</w:t>
      </w:r>
      <w:r>
        <w:rPr>
          <w:rFonts w:hint="eastAsia" w:ascii="宋体" w:hAnsi="宋体" w:eastAsia="宋体" w:cs="宋体"/>
          <w:spacing w:val="5"/>
          <w:sz w:val="24"/>
          <w:szCs w:val="24"/>
          <w:u w:val="single" w:color="auto"/>
        </w:rPr>
        <w:t xml:space="preserve">                     </w:t>
      </w:r>
      <w:r>
        <w:rPr>
          <w:rFonts w:hint="eastAsia" w:ascii="宋体" w:hAnsi="宋体" w:eastAsia="宋体" w:cs="宋体"/>
          <w:spacing w:val="5"/>
          <w:sz w:val="24"/>
          <w:szCs w:val="24"/>
        </w:rPr>
        <w:t xml:space="preserve"> 。</w:t>
      </w:r>
    </w:p>
    <w:p w14:paraId="6949565E">
      <w:pPr>
        <w:spacing w:before="184" w:line="468" w:lineRule="exact"/>
        <w:jc w:val="right"/>
        <w:rPr>
          <w:rFonts w:hint="eastAsia" w:ascii="宋体" w:hAnsi="宋体" w:eastAsia="宋体" w:cs="宋体"/>
          <w:sz w:val="24"/>
          <w:szCs w:val="24"/>
        </w:rPr>
      </w:pPr>
      <w:r>
        <w:rPr>
          <w:rFonts w:hint="eastAsia" w:ascii="宋体" w:hAnsi="宋体" w:eastAsia="宋体" w:cs="宋体"/>
          <w:spacing w:val="8"/>
          <w:position w:val="17"/>
          <w:sz w:val="24"/>
          <w:szCs w:val="24"/>
        </w:rPr>
        <w:t>2、如果我们的投标文件被接受，我们将履行招标文件中规定的</w:t>
      </w:r>
      <w:r>
        <w:rPr>
          <w:rFonts w:hint="eastAsia" w:ascii="宋体" w:hAnsi="宋体" w:eastAsia="宋体" w:cs="宋体"/>
          <w:spacing w:val="7"/>
          <w:position w:val="17"/>
          <w:sz w:val="24"/>
          <w:szCs w:val="24"/>
        </w:rPr>
        <w:t>每一项义务和要求，按</w:t>
      </w:r>
    </w:p>
    <w:p w14:paraId="3E2393C4">
      <w:pPr>
        <w:spacing w:before="1" w:line="226" w:lineRule="auto"/>
        <w:ind w:left="54"/>
        <w:rPr>
          <w:rFonts w:hint="eastAsia" w:ascii="宋体" w:hAnsi="宋体" w:eastAsia="宋体" w:cs="宋体"/>
          <w:sz w:val="24"/>
          <w:szCs w:val="24"/>
        </w:rPr>
      </w:pPr>
      <w:r>
        <w:rPr>
          <w:rFonts w:hint="eastAsia" w:ascii="宋体" w:hAnsi="宋体" w:eastAsia="宋体" w:cs="宋体"/>
          <w:spacing w:val="8"/>
          <w:sz w:val="24"/>
          <w:szCs w:val="24"/>
        </w:rPr>
        <w:t>期、按质、按量完成本次服务。</w:t>
      </w:r>
    </w:p>
    <w:p w14:paraId="38697900">
      <w:pPr>
        <w:spacing w:before="183" w:line="227" w:lineRule="auto"/>
        <w:ind w:left="536"/>
        <w:rPr>
          <w:rFonts w:hint="eastAsia" w:ascii="宋体" w:hAnsi="宋体" w:eastAsia="宋体" w:cs="宋体"/>
          <w:sz w:val="24"/>
          <w:szCs w:val="24"/>
        </w:rPr>
      </w:pPr>
      <w:r>
        <w:rPr>
          <w:rFonts w:hint="eastAsia" w:ascii="宋体" w:hAnsi="宋体" w:eastAsia="宋体" w:cs="宋体"/>
          <w:spacing w:val="8"/>
          <w:sz w:val="24"/>
          <w:szCs w:val="24"/>
        </w:rPr>
        <w:t>3、我们同意按招标文件的规定，本投标文</w:t>
      </w:r>
      <w:r>
        <w:rPr>
          <w:rFonts w:hint="eastAsia" w:ascii="宋体" w:hAnsi="宋体" w:eastAsia="宋体" w:cs="宋体"/>
          <w:spacing w:val="7"/>
          <w:sz w:val="24"/>
          <w:szCs w:val="24"/>
        </w:rPr>
        <w:t>件的有效期为开标后</w:t>
      </w:r>
      <w:r>
        <w:rPr>
          <w:rFonts w:hint="eastAsia" w:ascii="宋体" w:hAnsi="宋体" w:eastAsia="宋体" w:cs="宋体"/>
          <w:spacing w:val="7"/>
          <w:sz w:val="24"/>
          <w:szCs w:val="24"/>
          <w:u w:val="single" w:color="auto"/>
        </w:rPr>
        <w:t xml:space="preserve">      </w:t>
      </w:r>
      <w:r>
        <w:rPr>
          <w:rFonts w:hint="eastAsia" w:ascii="宋体" w:hAnsi="宋体" w:eastAsia="宋体" w:cs="宋体"/>
          <w:spacing w:val="-100"/>
          <w:sz w:val="24"/>
          <w:szCs w:val="24"/>
        </w:rPr>
        <w:t xml:space="preserve"> </w:t>
      </w:r>
      <w:r>
        <w:rPr>
          <w:rFonts w:hint="eastAsia" w:ascii="宋体" w:hAnsi="宋体" w:eastAsia="宋体" w:cs="宋体"/>
          <w:spacing w:val="7"/>
          <w:sz w:val="24"/>
          <w:szCs w:val="24"/>
        </w:rPr>
        <w:t>天。</w:t>
      </w:r>
    </w:p>
    <w:p w14:paraId="17459368">
      <w:pPr>
        <w:spacing w:before="184" w:line="468" w:lineRule="exact"/>
        <w:jc w:val="left"/>
        <w:rPr>
          <w:rFonts w:hint="eastAsia" w:ascii="宋体" w:hAnsi="宋体" w:eastAsia="宋体" w:cs="宋体"/>
          <w:spacing w:val="8"/>
          <w:position w:val="17"/>
          <w:sz w:val="24"/>
          <w:szCs w:val="24"/>
        </w:rPr>
      </w:pPr>
      <w:r>
        <w:rPr>
          <w:rFonts w:hint="eastAsia" w:ascii="宋体" w:hAnsi="宋体" w:eastAsia="宋体" w:cs="宋体"/>
          <w:spacing w:val="8"/>
          <w:position w:val="17"/>
          <w:sz w:val="24"/>
          <w:szCs w:val="24"/>
        </w:rPr>
        <w:t>4、我们愿意提供招标人在招标文件中要求的所有资料。</w:t>
      </w:r>
    </w:p>
    <w:p w14:paraId="79DB304A">
      <w:pPr>
        <w:spacing w:before="183" w:line="466" w:lineRule="exact"/>
        <w:jc w:val="right"/>
        <w:rPr>
          <w:rFonts w:hint="eastAsia" w:ascii="宋体" w:hAnsi="宋体" w:eastAsia="宋体" w:cs="宋体"/>
          <w:sz w:val="24"/>
          <w:szCs w:val="24"/>
        </w:rPr>
      </w:pPr>
      <w:r>
        <w:rPr>
          <w:rFonts w:hint="eastAsia" w:ascii="宋体" w:hAnsi="宋体" w:eastAsia="宋体" w:cs="宋体"/>
          <w:spacing w:val="8"/>
          <w:position w:val="17"/>
          <w:sz w:val="24"/>
          <w:szCs w:val="24"/>
        </w:rPr>
        <w:t>5、我们认为你们有选择或拒绝任何投标者中标的权力。我</w:t>
      </w:r>
      <w:r>
        <w:rPr>
          <w:rFonts w:hint="eastAsia" w:ascii="宋体" w:hAnsi="宋体" w:eastAsia="宋体" w:cs="宋体"/>
          <w:spacing w:val="7"/>
          <w:position w:val="17"/>
          <w:sz w:val="24"/>
          <w:szCs w:val="24"/>
        </w:rPr>
        <w:t>们理解，最</w:t>
      </w:r>
      <w:r>
        <w:rPr>
          <w:rFonts w:hint="eastAsia" w:ascii="宋体" w:hAnsi="宋体" w:eastAsia="宋体" w:cs="宋体"/>
          <w:spacing w:val="7"/>
          <w:position w:val="17"/>
          <w:sz w:val="24"/>
          <w:szCs w:val="24"/>
          <w:lang w:val="en-US" w:eastAsia="zh-CN"/>
        </w:rPr>
        <w:t>高</w:t>
      </w:r>
      <w:r>
        <w:rPr>
          <w:rFonts w:hint="eastAsia" w:ascii="宋体" w:hAnsi="宋体" w:eastAsia="宋体" w:cs="宋体"/>
          <w:spacing w:val="7"/>
          <w:position w:val="17"/>
          <w:sz w:val="24"/>
          <w:szCs w:val="24"/>
        </w:rPr>
        <w:t>报价不是中标</w:t>
      </w:r>
    </w:p>
    <w:p w14:paraId="1B2A23EC">
      <w:pPr>
        <w:spacing w:line="227" w:lineRule="auto"/>
        <w:ind w:left="71"/>
        <w:rPr>
          <w:rFonts w:hint="eastAsia" w:ascii="宋体" w:hAnsi="宋体" w:eastAsia="宋体" w:cs="宋体"/>
          <w:sz w:val="24"/>
          <w:szCs w:val="24"/>
        </w:rPr>
      </w:pPr>
      <w:r>
        <w:rPr>
          <w:rFonts w:hint="eastAsia" w:ascii="宋体" w:hAnsi="宋体" w:eastAsia="宋体" w:cs="宋体"/>
          <w:spacing w:val="-1"/>
          <w:sz w:val="24"/>
          <w:szCs w:val="24"/>
        </w:rPr>
        <w:t>的唯一条件。</w:t>
      </w:r>
    </w:p>
    <w:p w14:paraId="745D9B15">
      <w:pPr>
        <w:spacing w:before="184" w:line="468" w:lineRule="exact"/>
        <w:jc w:val="left"/>
        <w:rPr>
          <w:rFonts w:hint="eastAsia" w:ascii="宋体" w:hAnsi="宋体" w:eastAsia="宋体" w:cs="宋体"/>
          <w:spacing w:val="8"/>
          <w:position w:val="17"/>
          <w:sz w:val="24"/>
          <w:szCs w:val="24"/>
        </w:rPr>
      </w:pPr>
      <w:r>
        <w:rPr>
          <w:rFonts w:hint="eastAsia" w:ascii="宋体" w:hAnsi="宋体" w:eastAsia="宋体" w:cs="宋体"/>
          <w:spacing w:val="8"/>
          <w:position w:val="17"/>
          <w:sz w:val="24"/>
          <w:szCs w:val="24"/>
        </w:rPr>
        <w:t>6、我们愿按合同法履行自己的全部责任。</w:t>
      </w:r>
    </w:p>
    <w:p w14:paraId="01EE662A">
      <w:pPr>
        <w:spacing w:before="185" w:line="227" w:lineRule="auto"/>
        <w:ind w:left="537"/>
        <w:rPr>
          <w:rFonts w:hint="eastAsia" w:ascii="宋体" w:hAnsi="宋体" w:eastAsia="宋体" w:cs="宋体"/>
          <w:sz w:val="24"/>
          <w:szCs w:val="24"/>
        </w:rPr>
      </w:pPr>
      <w:r>
        <w:rPr>
          <w:rFonts w:hint="eastAsia" w:ascii="宋体" w:hAnsi="宋体" w:eastAsia="宋体" w:cs="宋体"/>
          <w:spacing w:val="8"/>
          <w:sz w:val="24"/>
          <w:szCs w:val="24"/>
        </w:rPr>
        <w:t>7、我们愿意遵守国家有关规定和招标文件中规定的收费标准，承付中标服务费。</w:t>
      </w:r>
    </w:p>
    <w:p w14:paraId="1E20B77C">
      <w:pPr>
        <w:spacing w:before="184" w:line="468" w:lineRule="exact"/>
        <w:jc w:val="left"/>
        <w:rPr>
          <w:rFonts w:hint="eastAsia" w:ascii="宋体" w:hAnsi="宋体" w:eastAsia="宋体" w:cs="宋体"/>
          <w:spacing w:val="8"/>
          <w:position w:val="17"/>
          <w:sz w:val="24"/>
          <w:szCs w:val="24"/>
        </w:rPr>
      </w:pPr>
      <w:r>
        <w:rPr>
          <w:rFonts w:hint="eastAsia" w:ascii="宋体" w:hAnsi="宋体" w:eastAsia="宋体" w:cs="宋体"/>
          <w:spacing w:val="8"/>
          <w:position w:val="17"/>
          <w:sz w:val="24"/>
          <w:szCs w:val="24"/>
        </w:rPr>
        <w:t>8、该项投标在开标后的全过程中保持有效，不做任何更改和变动。</w:t>
      </w:r>
    </w:p>
    <w:p w14:paraId="251DC3F5">
      <w:pPr>
        <w:spacing w:before="184" w:line="374" w:lineRule="auto"/>
        <w:ind w:left="532"/>
        <w:rPr>
          <w:rFonts w:hint="eastAsia" w:ascii="宋体" w:hAnsi="宋体" w:eastAsia="宋体" w:cs="宋体"/>
          <w:sz w:val="24"/>
          <w:szCs w:val="24"/>
        </w:rPr>
      </w:pPr>
      <w:r>
        <w:rPr>
          <w:rFonts w:hint="eastAsia" w:ascii="宋体" w:hAnsi="宋体" w:eastAsia="宋体" w:cs="宋体"/>
          <w:spacing w:val="6"/>
          <w:sz w:val="24"/>
          <w:szCs w:val="24"/>
        </w:rPr>
        <w:t>9、我们同意按招标文件规定，交纳</w:t>
      </w:r>
      <w:r>
        <w:rPr>
          <w:rFonts w:hint="eastAsia" w:ascii="宋体" w:hAnsi="宋体" w:eastAsia="宋体" w:cs="宋体"/>
          <w:spacing w:val="6"/>
          <w:sz w:val="24"/>
          <w:szCs w:val="24"/>
          <w:u w:val="single" w:color="auto"/>
          <w:lang w:val="en-US" w:eastAsia="zh-CN"/>
        </w:rPr>
        <w:t>0</w:t>
      </w:r>
      <w:r>
        <w:rPr>
          <w:rFonts w:hint="eastAsia" w:ascii="宋体" w:hAnsi="宋体" w:eastAsia="宋体" w:cs="宋体"/>
          <w:spacing w:val="6"/>
          <w:sz w:val="24"/>
          <w:szCs w:val="24"/>
        </w:rPr>
        <w:t>元的投标保证金。</w:t>
      </w:r>
    </w:p>
    <w:p w14:paraId="10842D03">
      <w:pPr>
        <w:spacing w:line="227" w:lineRule="auto"/>
        <w:ind w:left="549"/>
        <w:rPr>
          <w:rFonts w:hint="eastAsia" w:ascii="宋体" w:hAnsi="宋体" w:eastAsia="宋体" w:cs="宋体"/>
          <w:sz w:val="24"/>
          <w:szCs w:val="24"/>
        </w:rPr>
      </w:pPr>
      <w:r>
        <w:rPr>
          <w:rFonts w:hint="eastAsia" w:ascii="宋体" w:hAnsi="宋体" w:eastAsia="宋体" w:cs="宋体"/>
          <w:sz w:val="24"/>
          <w:szCs w:val="24"/>
        </w:rPr>
        <w:t>10、其它说明。</w:t>
      </w:r>
    </w:p>
    <w:p w14:paraId="70D40AD9">
      <w:pPr>
        <w:spacing w:before="185" w:line="227" w:lineRule="auto"/>
        <w:ind w:left="549"/>
        <w:rPr>
          <w:rFonts w:hint="eastAsia" w:ascii="宋体" w:hAnsi="宋体" w:eastAsia="宋体" w:cs="宋体"/>
          <w:sz w:val="24"/>
          <w:szCs w:val="24"/>
        </w:rPr>
      </w:pPr>
      <w:r>
        <w:rPr>
          <w:rFonts w:hint="eastAsia" w:ascii="宋体" w:hAnsi="宋体" w:eastAsia="宋体" w:cs="宋体"/>
          <w:spacing w:val="5"/>
          <w:sz w:val="24"/>
          <w:szCs w:val="24"/>
        </w:rPr>
        <w:t>11、所有有关本标书的函电，请按下列地址联系：</w:t>
      </w:r>
    </w:p>
    <w:p w14:paraId="0880EB09">
      <w:pPr>
        <w:spacing w:before="185" w:line="237" w:lineRule="auto"/>
        <w:ind w:left="531"/>
        <w:rPr>
          <w:rFonts w:hint="eastAsia" w:ascii="宋体" w:hAnsi="宋体" w:eastAsia="宋体" w:cs="宋体"/>
          <w:sz w:val="24"/>
          <w:szCs w:val="24"/>
        </w:rPr>
      </w:pPr>
      <w:r>
        <w:rPr>
          <w:rFonts w:hint="eastAsia" w:ascii="宋体" w:hAnsi="宋体" w:eastAsia="宋体" w:cs="宋体"/>
          <w:spacing w:val="5"/>
          <w:sz w:val="24"/>
          <w:szCs w:val="24"/>
        </w:rPr>
        <w:t>地址：</w:t>
      </w:r>
      <w:r>
        <w:rPr>
          <w:rFonts w:hint="eastAsia" w:ascii="宋体" w:hAnsi="宋体" w:eastAsia="宋体" w:cs="宋体"/>
          <w:spacing w:val="7"/>
          <w:sz w:val="24"/>
          <w:szCs w:val="24"/>
        </w:rPr>
        <w:t xml:space="preserve"> </w:t>
      </w:r>
      <w:r>
        <w:rPr>
          <w:rFonts w:hint="eastAsia" w:ascii="宋体" w:hAnsi="宋体" w:eastAsia="宋体" w:cs="宋体"/>
          <w:sz w:val="24"/>
          <w:szCs w:val="24"/>
          <w:u w:val="single" w:color="auto"/>
        </w:rPr>
        <w:t xml:space="preserve">                                          </w:t>
      </w:r>
    </w:p>
    <w:p w14:paraId="6713A44A">
      <w:pPr>
        <w:spacing w:before="170" w:line="374" w:lineRule="auto"/>
        <w:ind w:left="532"/>
        <w:rPr>
          <w:rFonts w:hint="eastAsia" w:ascii="宋体" w:hAnsi="宋体" w:eastAsia="宋体" w:cs="宋体"/>
          <w:sz w:val="24"/>
          <w:szCs w:val="24"/>
        </w:rPr>
      </w:pPr>
      <w:r>
        <w:rPr>
          <w:rFonts w:hint="eastAsia" w:ascii="宋体" w:hAnsi="宋体" w:eastAsia="宋体" w:cs="宋体"/>
          <w:spacing w:val="-28"/>
          <w:sz w:val="24"/>
          <w:szCs w:val="24"/>
        </w:rPr>
        <w:t>联</w:t>
      </w:r>
      <w:r>
        <w:rPr>
          <w:rFonts w:hint="eastAsia" w:ascii="宋体" w:hAnsi="宋体" w:eastAsia="宋体" w:cs="宋体"/>
          <w:spacing w:val="-28"/>
          <w:sz w:val="24"/>
          <w:szCs w:val="24"/>
          <w:lang w:val="en-US" w:eastAsia="zh-CN"/>
        </w:rPr>
        <w:t xml:space="preserve"> </w:t>
      </w:r>
      <w:r>
        <w:rPr>
          <w:rFonts w:hint="eastAsia" w:ascii="宋体" w:hAnsi="宋体" w:eastAsia="宋体" w:cs="宋体"/>
          <w:spacing w:val="-28"/>
          <w:sz w:val="24"/>
          <w:szCs w:val="24"/>
        </w:rPr>
        <w:t>系人：</w:t>
      </w:r>
      <w:r>
        <w:rPr>
          <w:rFonts w:hint="eastAsia" w:ascii="宋体" w:hAnsi="宋体" w:eastAsia="宋体" w:cs="宋体"/>
          <w:spacing w:val="24"/>
          <w:sz w:val="24"/>
          <w:szCs w:val="24"/>
        </w:rPr>
        <w:t xml:space="preserve"> </w:t>
      </w:r>
      <w:r>
        <w:rPr>
          <w:rFonts w:hint="eastAsia" w:ascii="宋体" w:hAnsi="宋体" w:eastAsia="宋体" w:cs="宋体"/>
          <w:sz w:val="24"/>
          <w:szCs w:val="24"/>
          <w:u w:val="single" w:color="auto"/>
        </w:rPr>
        <w:t xml:space="preserve">                                          </w:t>
      </w:r>
    </w:p>
    <w:p w14:paraId="4B74507F">
      <w:pPr>
        <w:spacing w:before="1" w:line="229" w:lineRule="auto"/>
        <w:ind w:left="559"/>
        <w:rPr>
          <w:rFonts w:hint="eastAsia" w:ascii="宋体" w:hAnsi="宋体" w:eastAsia="宋体" w:cs="宋体"/>
          <w:sz w:val="24"/>
          <w:szCs w:val="24"/>
        </w:rPr>
      </w:pPr>
      <w:r>
        <w:rPr>
          <w:rFonts w:hint="eastAsia" w:ascii="宋体" w:hAnsi="宋体" w:eastAsia="宋体" w:cs="宋体"/>
          <w:spacing w:val="-28"/>
          <w:sz w:val="24"/>
          <w:szCs w:val="24"/>
        </w:rPr>
        <w:t>电</w:t>
      </w:r>
      <w:r>
        <w:rPr>
          <w:rFonts w:hint="eastAsia" w:ascii="宋体" w:hAnsi="宋体" w:eastAsia="宋体" w:cs="宋体"/>
          <w:spacing w:val="-28"/>
          <w:sz w:val="24"/>
          <w:szCs w:val="24"/>
          <w:lang w:val="en-US" w:eastAsia="zh-CN"/>
        </w:rPr>
        <w:t xml:space="preserve"> </w:t>
      </w:r>
      <w:r>
        <w:rPr>
          <w:rFonts w:hint="eastAsia" w:ascii="宋体" w:hAnsi="宋体" w:eastAsia="宋体" w:cs="宋体"/>
          <w:spacing w:val="-28"/>
          <w:sz w:val="24"/>
          <w:szCs w:val="24"/>
        </w:rPr>
        <w:t>话：</w:t>
      </w:r>
      <w:r>
        <w:rPr>
          <w:rFonts w:hint="eastAsia" w:ascii="宋体" w:hAnsi="宋体" w:eastAsia="宋体" w:cs="宋体"/>
          <w:spacing w:val="-28"/>
          <w:sz w:val="24"/>
          <w:szCs w:val="24"/>
          <w:lang w:val="en-US" w:eastAsia="zh-CN"/>
        </w:rPr>
        <w:t xml:space="preserve">  </w:t>
      </w:r>
      <w:r>
        <w:rPr>
          <w:rFonts w:hint="eastAsia" w:ascii="宋体" w:hAnsi="宋体" w:eastAsia="宋体" w:cs="宋体"/>
          <w:spacing w:val="-28"/>
          <w:sz w:val="24"/>
          <w:szCs w:val="24"/>
        </w:rPr>
        <w:t xml:space="preserve">  </w:t>
      </w:r>
      <w:r>
        <w:rPr>
          <w:rFonts w:hint="eastAsia" w:ascii="宋体" w:hAnsi="宋体" w:eastAsia="宋体" w:cs="宋体"/>
          <w:sz w:val="24"/>
          <w:szCs w:val="24"/>
          <w:u w:val="single" w:color="auto"/>
        </w:rPr>
        <w:t xml:space="preserve">                                         </w:t>
      </w:r>
    </w:p>
    <w:p w14:paraId="795B160D">
      <w:pPr>
        <w:spacing w:before="182" w:line="227" w:lineRule="auto"/>
        <w:ind w:left="529"/>
        <w:rPr>
          <w:rFonts w:hint="eastAsia" w:ascii="宋体" w:hAnsi="宋体" w:eastAsia="宋体" w:cs="宋体"/>
          <w:sz w:val="24"/>
          <w:szCs w:val="24"/>
        </w:rPr>
      </w:pPr>
      <w:r>
        <w:rPr>
          <w:rFonts w:hint="eastAsia" w:ascii="宋体" w:hAnsi="宋体" w:eastAsia="宋体" w:cs="宋体"/>
          <w:spacing w:val="-28"/>
          <w:sz w:val="24"/>
          <w:szCs w:val="24"/>
        </w:rPr>
        <w:t>传</w:t>
      </w:r>
      <w:r>
        <w:rPr>
          <w:rFonts w:hint="eastAsia" w:ascii="宋体" w:hAnsi="宋体" w:eastAsia="宋体" w:cs="宋体"/>
          <w:spacing w:val="-28"/>
          <w:sz w:val="24"/>
          <w:szCs w:val="24"/>
          <w:lang w:val="en-US" w:eastAsia="zh-CN"/>
        </w:rPr>
        <w:t xml:space="preserve"> </w:t>
      </w:r>
      <w:r>
        <w:rPr>
          <w:rFonts w:hint="eastAsia" w:ascii="宋体" w:hAnsi="宋体" w:eastAsia="宋体" w:cs="宋体"/>
          <w:spacing w:val="-28"/>
          <w:sz w:val="24"/>
          <w:szCs w:val="24"/>
        </w:rPr>
        <w:t xml:space="preserve">真： </w:t>
      </w:r>
      <w:r>
        <w:rPr>
          <w:rFonts w:hint="eastAsia" w:ascii="宋体" w:hAnsi="宋体" w:eastAsia="宋体" w:cs="宋体"/>
          <w:sz w:val="24"/>
          <w:szCs w:val="24"/>
          <w:u w:val="single" w:color="auto"/>
        </w:rPr>
        <w:t xml:space="preserve">                                          </w:t>
      </w:r>
    </w:p>
    <w:p w14:paraId="7867D854">
      <w:pPr>
        <w:spacing w:before="183" w:line="408" w:lineRule="auto"/>
        <w:ind w:left="549"/>
        <w:rPr>
          <w:rFonts w:hint="eastAsia" w:ascii="宋体" w:hAnsi="宋体" w:eastAsia="宋体" w:cs="宋体"/>
          <w:sz w:val="24"/>
          <w:szCs w:val="24"/>
        </w:rPr>
      </w:pPr>
      <w:r>
        <w:rPr>
          <w:rFonts w:hint="eastAsia" w:ascii="宋体" w:hAnsi="宋体" w:eastAsia="宋体" w:cs="宋体"/>
          <w:spacing w:val="-28"/>
          <w:sz w:val="24"/>
          <w:szCs w:val="24"/>
        </w:rPr>
        <w:t>邮</w:t>
      </w:r>
      <w:r>
        <w:rPr>
          <w:rFonts w:hint="eastAsia" w:ascii="宋体" w:hAnsi="宋体" w:eastAsia="宋体" w:cs="宋体"/>
          <w:spacing w:val="-28"/>
          <w:sz w:val="24"/>
          <w:szCs w:val="24"/>
          <w:lang w:val="en-US" w:eastAsia="zh-CN"/>
        </w:rPr>
        <w:t xml:space="preserve"> </w:t>
      </w:r>
      <w:r>
        <w:rPr>
          <w:rFonts w:hint="eastAsia" w:ascii="宋体" w:hAnsi="宋体" w:eastAsia="宋体" w:cs="宋体"/>
          <w:spacing w:val="-28"/>
          <w:sz w:val="24"/>
          <w:szCs w:val="24"/>
        </w:rPr>
        <w:t>政</w:t>
      </w:r>
      <w:r>
        <w:rPr>
          <w:rFonts w:hint="eastAsia" w:ascii="宋体" w:hAnsi="宋体" w:eastAsia="宋体" w:cs="宋体"/>
          <w:spacing w:val="-28"/>
          <w:sz w:val="24"/>
          <w:szCs w:val="24"/>
          <w:lang w:val="en-US" w:eastAsia="zh-CN"/>
        </w:rPr>
        <w:t xml:space="preserve"> </w:t>
      </w:r>
      <w:r>
        <w:rPr>
          <w:rFonts w:hint="eastAsia" w:ascii="宋体" w:hAnsi="宋体" w:eastAsia="宋体" w:cs="宋体"/>
          <w:spacing w:val="-28"/>
          <w:sz w:val="24"/>
          <w:szCs w:val="24"/>
        </w:rPr>
        <w:t>编</w:t>
      </w:r>
      <w:r>
        <w:rPr>
          <w:rFonts w:hint="eastAsia" w:ascii="宋体" w:hAnsi="宋体" w:eastAsia="宋体" w:cs="宋体"/>
          <w:spacing w:val="-28"/>
          <w:sz w:val="24"/>
          <w:szCs w:val="24"/>
          <w:lang w:val="en-US" w:eastAsia="zh-CN"/>
        </w:rPr>
        <w:t xml:space="preserve"> </w:t>
      </w:r>
      <w:r>
        <w:rPr>
          <w:rFonts w:hint="eastAsia" w:ascii="宋体" w:hAnsi="宋体" w:eastAsia="宋体" w:cs="宋体"/>
          <w:spacing w:val="-28"/>
          <w:sz w:val="24"/>
          <w:szCs w:val="24"/>
        </w:rPr>
        <w:t>码</w:t>
      </w:r>
      <w:r>
        <w:rPr>
          <w:rFonts w:hint="eastAsia" w:ascii="宋体" w:hAnsi="宋体" w:eastAsia="宋体" w:cs="宋体"/>
          <w:spacing w:val="-28"/>
          <w:sz w:val="24"/>
          <w:szCs w:val="24"/>
          <w:lang w:val="en-US" w:eastAsia="zh-CN"/>
        </w:rPr>
        <w:t xml:space="preserve"> </w:t>
      </w:r>
      <w:r>
        <w:rPr>
          <w:rFonts w:hint="eastAsia" w:ascii="宋体" w:hAnsi="宋体" w:eastAsia="宋体" w:cs="宋体"/>
          <w:spacing w:val="-28"/>
          <w:sz w:val="24"/>
          <w:szCs w:val="24"/>
        </w:rPr>
        <w:t>：</w:t>
      </w:r>
      <w:r>
        <w:rPr>
          <w:rFonts w:hint="eastAsia" w:ascii="宋体" w:hAnsi="宋体" w:eastAsia="宋体" w:cs="宋体"/>
          <w:sz w:val="24"/>
          <w:szCs w:val="24"/>
          <w:u w:val="single" w:color="auto"/>
        </w:rPr>
        <w:t xml:space="preserve">                                          </w:t>
      </w:r>
    </w:p>
    <w:p w14:paraId="67234E0C">
      <w:pPr>
        <w:spacing w:before="1" w:line="226" w:lineRule="auto"/>
        <w:ind w:left="3"/>
        <w:rPr>
          <w:rFonts w:hint="eastAsia" w:ascii="宋体" w:hAnsi="宋体" w:eastAsia="宋体" w:cs="宋体"/>
          <w:sz w:val="24"/>
          <w:szCs w:val="24"/>
        </w:rPr>
      </w:pPr>
      <w:r>
        <w:rPr>
          <w:rFonts w:hint="eastAsia" w:ascii="宋体" w:hAnsi="宋体" w:eastAsia="宋体" w:cs="宋体"/>
          <w:spacing w:val="-4"/>
          <w:sz w:val="24"/>
          <w:szCs w:val="24"/>
        </w:rPr>
        <w:t>投标人全称（盖公章）：</w:t>
      </w:r>
    </w:p>
    <w:p w14:paraId="7E15629F">
      <w:pPr>
        <w:spacing w:before="202" w:line="227" w:lineRule="auto"/>
        <w:ind w:left="1"/>
        <w:rPr>
          <w:rFonts w:hint="eastAsia" w:ascii="宋体" w:hAnsi="宋体" w:eastAsia="宋体" w:cs="宋体"/>
          <w:sz w:val="24"/>
          <w:szCs w:val="24"/>
        </w:rPr>
      </w:pPr>
      <w:r>
        <w:rPr>
          <w:rFonts w:hint="eastAsia" w:ascii="宋体" w:hAnsi="宋体" w:eastAsia="宋体" w:cs="宋体"/>
          <w:spacing w:val="1"/>
          <w:sz w:val="24"/>
          <w:szCs w:val="24"/>
        </w:rPr>
        <w:t>法定代表人或授权代表（签名或盖章</w:t>
      </w:r>
      <w:r>
        <w:rPr>
          <w:rFonts w:hint="eastAsia" w:ascii="宋体" w:hAnsi="宋体" w:eastAsia="宋体" w:cs="宋体"/>
          <w:spacing w:val="4"/>
          <w:sz w:val="24"/>
          <w:szCs w:val="24"/>
        </w:rPr>
        <w:t>）：</w:t>
      </w:r>
    </w:p>
    <w:p w14:paraId="3B6F8658">
      <w:pPr>
        <w:spacing w:before="184" w:line="227" w:lineRule="auto"/>
        <w:ind w:left="42"/>
        <w:rPr>
          <w:rFonts w:hint="eastAsia" w:ascii="宋体" w:hAnsi="宋体" w:eastAsia="宋体" w:cs="宋体"/>
          <w:sz w:val="24"/>
          <w:szCs w:val="24"/>
        </w:rPr>
      </w:pPr>
      <w:r>
        <w:rPr>
          <w:rFonts w:hint="eastAsia" w:ascii="宋体" w:hAnsi="宋体" w:eastAsia="宋体" w:cs="宋体"/>
          <w:spacing w:val="-13"/>
          <w:sz w:val="24"/>
          <w:szCs w:val="24"/>
        </w:rPr>
        <w:t>日</w:t>
      </w:r>
      <w:r>
        <w:rPr>
          <w:rFonts w:hint="eastAsia" w:ascii="宋体" w:hAnsi="宋体" w:eastAsia="宋体" w:cs="宋体"/>
          <w:spacing w:val="40"/>
          <w:sz w:val="24"/>
          <w:szCs w:val="24"/>
        </w:rPr>
        <w:t xml:space="preserve">   </w:t>
      </w:r>
      <w:r>
        <w:rPr>
          <w:rFonts w:hint="eastAsia" w:ascii="宋体" w:hAnsi="宋体" w:eastAsia="宋体" w:cs="宋体"/>
          <w:spacing w:val="-13"/>
          <w:sz w:val="24"/>
          <w:szCs w:val="24"/>
        </w:rPr>
        <w:t>期：       年</w:t>
      </w:r>
      <w:r>
        <w:rPr>
          <w:rFonts w:hint="eastAsia" w:ascii="宋体" w:hAnsi="宋体" w:eastAsia="宋体" w:cs="宋体"/>
          <w:spacing w:val="1"/>
          <w:sz w:val="24"/>
          <w:szCs w:val="24"/>
        </w:rPr>
        <w:t xml:space="preserve">   </w:t>
      </w:r>
      <w:r>
        <w:rPr>
          <w:rFonts w:hint="eastAsia" w:ascii="宋体" w:hAnsi="宋体" w:eastAsia="宋体" w:cs="宋体"/>
          <w:spacing w:val="-13"/>
          <w:sz w:val="24"/>
          <w:szCs w:val="24"/>
        </w:rPr>
        <w:t>月</w:t>
      </w:r>
      <w:r>
        <w:rPr>
          <w:rFonts w:hint="eastAsia" w:ascii="宋体" w:hAnsi="宋体" w:eastAsia="宋体" w:cs="宋体"/>
          <w:spacing w:val="37"/>
          <w:sz w:val="24"/>
          <w:szCs w:val="24"/>
        </w:rPr>
        <w:t xml:space="preserve">   </w:t>
      </w:r>
      <w:r>
        <w:rPr>
          <w:rFonts w:hint="eastAsia" w:ascii="宋体" w:hAnsi="宋体" w:eastAsia="宋体" w:cs="宋体"/>
          <w:spacing w:val="-13"/>
          <w:sz w:val="24"/>
          <w:szCs w:val="24"/>
        </w:rPr>
        <w:t>日</w:t>
      </w:r>
    </w:p>
    <w:p w14:paraId="29EE2FA0">
      <w:pPr>
        <w:spacing w:line="227" w:lineRule="auto"/>
        <w:rPr>
          <w:rFonts w:hint="eastAsia" w:ascii="宋体" w:hAnsi="宋体" w:eastAsia="宋体" w:cs="宋体"/>
          <w:sz w:val="24"/>
          <w:szCs w:val="24"/>
        </w:rPr>
        <w:sectPr>
          <w:footerReference r:id="rId15" w:type="default"/>
          <w:pgSz w:w="11906" w:h="16838"/>
          <w:pgMar w:top="400" w:right="1252" w:bottom="1097" w:left="1198" w:header="0" w:footer="937" w:gutter="0"/>
          <w:pgNumType w:fmt="decimal"/>
          <w:cols w:space="720" w:num="1"/>
        </w:sectPr>
      </w:pPr>
    </w:p>
    <w:p w14:paraId="00782BA5">
      <w:pPr>
        <w:spacing w:before="74" w:line="225" w:lineRule="auto"/>
        <w:jc w:val="left"/>
        <w:rPr>
          <w:rFonts w:hint="eastAsia" w:ascii="宋体" w:hAnsi="宋体" w:eastAsia="宋体" w:cs="宋体"/>
          <w:b/>
          <w:bCs/>
          <w:spacing w:val="4"/>
          <w:sz w:val="24"/>
          <w:szCs w:val="24"/>
        </w:rPr>
      </w:pPr>
      <w:r>
        <w:rPr>
          <w:rFonts w:hint="eastAsia" w:ascii="宋体" w:hAnsi="宋体" w:eastAsia="宋体" w:cs="宋体"/>
          <w:b/>
          <w:bCs/>
          <w:spacing w:val="4"/>
          <w:sz w:val="24"/>
          <w:szCs w:val="24"/>
        </w:rPr>
        <w:t>附件二</w:t>
      </w:r>
    </w:p>
    <w:p w14:paraId="3190473B">
      <w:pPr>
        <w:spacing w:before="74" w:line="225" w:lineRule="auto"/>
        <w:ind w:left="4258"/>
        <w:rPr>
          <w:rFonts w:hint="eastAsia" w:ascii="宋体" w:hAnsi="宋体" w:eastAsia="宋体" w:cs="宋体"/>
          <w:b/>
          <w:bCs/>
          <w:spacing w:val="4"/>
          <w:sz w:val="24"/>
          <w:szCs w:val="24"/>
        </w:rPr>
      </w:pPr>
      <w:r>
        <w:rPr>
          <w:rFonts w:hint="eastAsia" w:ascii="宋体" w:hAnsi="宋体" w:eastAsia="宋体" w:cs="宋体"/>
          <w:b/>
          <w:bCs/>
          <w:spacing w:val="4"/>
          <w:sz w:val="24"/>
          <w:szCs w:val="24"/>
        </w:rPr>
        <w:t>开标一览表</w:t>
      </w:r>
    </w:p>
    <w:p w14:paraId="72DB8FBE">
      <w:pPr>
        <w:spacing w:before="117"/>
        <w:rPr>
          <w:rFonts w:hint="eastAsia" w:ascii="宋体" w:hAnsi="宋体" w:eastAsia="宋体" w:cs="宋体"/>
          <w:sz w:val="24"/>
          <w:szCs w:val="24"/>
        </w:rPr>
      </w:pPr>
    </w:p>
    <w:p w14:paraId="32BA9275">
      <w:pPr>
        <w:spacing w:before="117"/>
        <w:rPr>
          <w:rFonts w:hint="eastAsia" w:ascii="宋体" w:hAnsi="宋体" w:eastAsia="宋体" w:cs="宋体"/>
          <w:sz w:val="24"/>
          <w:szCs w:val="24"/>
        </w:rPr>
      </w:pPr>
    </w:p>
    <w:tbl>
      <w:tblPr>
        <w:tblStyle w:val="78"/>
        <w:tblW w:w="8784" w:type="dxa"/>
        <w:tblInd w:w="9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625"/>
        <w:gridCol w:w="973"/>
        <w:gridCol w:w="6186"/>
      </w:tblGrid>
      <w:tr w14:paraId="378D74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trPr>
        <w:tc>
          <w:tcPr>
            <w:tcW w:w="2598" w:type="dxa"/>
            <w:gridSpan w:val="2"/>
            <w:noWrap w:val="0"/>
            <w:vAlign w:val="top"/>
          </w:tcPr>
          <w:p w14:paraId="678E6E12">
            <w:pPr>
              <w:pStyle w:val="79"/>
              <w:autoSpaceDE w:val="0"/>
              <w:autoSpaceDN w:val="0"/>
              <w:spacing w:before="195" w:line="228" w:lineRule="auto"/>
              <w:ind w:left="799"/>
              <w:rPr>
                <w:rFonts w:hint="eastAsia" w:ascii="宋体" w:hAnsi="宋体" w:eastAsia="宋体" w:cs="宋体"/>
                <w:sz w:val="24"/>
                <w:szCs w:val="24"/>
              </w:rPr>
            </w:pPr>
            <w:r>
              <w:rPr>
                <w:rFonts w:hint="eastAsia" w:ascii="宋体" w:hAnsi="宋体" w:eastAsia="宋体" w:cs="宋体"/>
                <w:spacing w:val="6"/>
                <w:sz w:val="24"/>
                <w:szCs w:val="24"/>
              </w:rPr>
              <w:t>项目名称</w:t>
            </w:r>
          </w:p>
        </w:tc>
        <w:tc>
          <w:tcPr>
            <w:tcW w:w="6186" w:type="dxa"/>
            <w:noWrap w:val="0"/>
            <w:vAlign w:val="top"/>
          </w:tcPr>
          <w:p w14:paraId="07F37FCB">
            <w:pPr>
              <w:autoSpaceDE w:val="0"/>
              <w:autoSpaceDN w:val="0"/>
              <w:rPr>
                <w:rFonts w:hint="eastAsia" w:ascii="宋体" w:hAnsi="宋体" w:eastAsia="宋体" w:cs="宋体"/>
                <w:sz w:val="24"/>
                <w:szCs w:val="24"/>
              </w:rPr>
            </w:pPr>
          </w:p>
        </w:tc>
      </w:tr>
      <w:tr w14:paraId="05EC09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6" w:hRule="atLeast"/>
        </w:trPr>
        <w:tc>
          <w:tcPr>
            <w:tcW w:w="2598" w:type="dxa"/>
            <w:gridSpan w:val="2"/>
            <w:noWrap w:val="0"/>
            <w:vAlign w:val="top"/>
          </w:tcPr>
          <w:p w14:paraId="4EB75FE8">
            <w:pPr>
              <w:pStyle w:val="79"/>
              <w:autoSpaceDE w:val="0"/>
              <w:autoSpaceDN w:val="0"/>
              <w:spacing w:before="191" w:line="227" w:lineRule="auto"/>
              <w:ind w:left="799"/>
              <w:rPr>
                <w:rFonts w:hint="eastAsia" w:ascii="宋体" w:hAnsi="宋体" w:eastAsia="宋体" w:cs="宋体"/>
                <w:sz w:val="24"/>
                <w:szCs w:val="24"/>
              </w:rPr>
            </w:pPr>
            <w:r>
              <w:rPr>
                <w:rFonts w:hint="eastAsia" w:ascii="宋体" w:hAnsi="宋体" w:eastAsia="宋体" w:cs="宋体"/>
                <w:spacing w:val="6"/>
                <w:sz w:val="24"/>
                <w:szCs w:val="24"/>
              </w:rPr>
              <w:t>项目编号</w:t>
            </w:r>
          </w:p>
        </w:tc>
        <w:tc>
          <w:tcPr>
            <w:tcW w:w="6186" w:type="dxa"/>
            <w:noWrap w:val="0"/>
            <w:vAlign w:val="top"/>
          </w:tcPr>
          <w:p w14:paraId="063AE57D">
            <w:pPr>
              <w:autoSpaceDE w:val="0"/>
              <w:autoSpaceDN w:val="0"/>
              <w:rPr>
                <w:rFonts w:hint="eastAsia" w:ascii="宋体" w:hAnsi="宋体" w:eastAsia="宋体" w:cs="宋体"/>
                <w:sz w:val="24"/>
                <w:szCs w:val="24"/>
              </w:rPr>
            </w:pPr>
          </w:p>
        </w:tc>
      </w:tr>
      <w:tr w14:paraId="0BD8C8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3" w:hRule="atLeast"/>
        </w:trPr>
        <w:tc>
          <w:tcPr>
            <w:tcW w:w="2598" w:type="dxa"/>
            <w:gridSpan w:val="2"/>
            <w:noWrap w:val="0"/>
            <w:vAlign w:val="top"/>
          </w:tcPr>
          <w:p w14:paraId="39705852">
            <w:pPr>
              <w:pStyle w:val="79"/>
              <w:autoSpaceDE w:val="0"/>
              <w:autoSpaceDN w:val="0"/>
              <w:spacing w:before="150" w:line="228" w:lineRule="auto"/>
              <w:ind w:left="556"/>
              <w:rPr>
                <w:rFonts w:hint="eastAsia" w:ascii="宋体" w:hAnsi="宋体" w:eastAsia="宋体" w:cs="宋体"/>
                <w:sz w:val="24"/>
                <w:szCs w:val="24"/>
              </w:rPr>
            </w:pPr>
            <w:r>
              <w:rPr>
                <w:rFonts w:hint="eastAsia" w:ascii="宋体" w:hAnsi="宋体" w:eastAsia="宋体" w:cs="宋体"/>
                <w:spacing w:val="8"/>
                <w:sz w:val="24"/>
                <w:szCs w:val="24"/>
              </w:rPr>
              <w:t>合同履行期限</w:t>
            </w:r>
          </w:p>
        </w:tc>
        <w:tc>
          <w:tcPr>
            <w:tcW w:w="6186" w:type="dxa"/>
            <w:noWrap w:val="0"/>
            <w:vAlign w:val="top"/>
          </w:tcPr>
          <w:p w14:paraId="0745BCC5">
            <w:pPr>
              <w:autoSpaceDE w:val="0"/>
              <w:autoSpaceDN w:val="0"/>
              <w:rPr>
                <w:rFonts w:hint="eastAsia" w:ascii="宋体" w:hAnsi="宋体" w:eastAsia="宋体" w:cs="宋体"/>
                <w:sz w:val="24"/>
                <w:szCs w:val="24"/>
              </w:rPr>
            </w:pPr>
          </w:p>
        </w:tc>
      </w:tr>
      <w:tr w14:paraId="61456F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7" w:hRule="atLeast"/>
        </w:trPr>
        <w:tc>
          <w:tcPr>
            <w:tcW w:w="2598" w:type="dxa"/>
            <w:gridSpan w:val="2"/>
            <w:noWrap w:val="0"/>
            <w:vAlign w:val="top"/>
          </w:tcPr>
          <w:p w14:paraId="4D167D73">
            <w:pPr>
              <w:pStyle w:val="79"/>
              <w:autoSpaceDE w:val="0"/>
              <w:autoSpaceDN w:val="0"/>
              <w:spacing w:before="183" w:line="228" w:lineRule="auto"/>
              <w:ind w:left="678"/>
              <w:rPr>
                <w:rFonts w:hint="eastAsia" w:ascii="宋体" w:hAnsi="宋体" w:eastAsia="宋体" w:cs="宋体"/>
                <w:sz w:val="24"/>
                <w:szCs w:val="24"/>
              </w:rPr>
            </w:pPr>
            <w:r>
              <w:rPr>
                <w:rFonts w:hint="eastAsia" w:ascii="宋体" w:hAnsi="宋体" w:eastAsia="宋体" w:cs="宋体"/>
                <w:spacing w:val="7"/>
                <w:sz w:val="24"/>
                <w:szCs w:val="24"/>
              </w:rPr>
              <w:t>投标有效期</w:t>
            </w:r>
          </w:p>
        </w:tc>
        <w:tc>
          <w:tcPr>
            <w:tcW w:w="6186" w:type="dxa"/>
            <w:noWrap w:val="0"/>
            <w:vAlign w:val="top"/>
          </w:tcPr>
          <w:p w14:paraId="5725FB9B">
            <w:pPr>
              <w:autoSpaceDE w:val="0"/>
              <w:autoSpaceDN w:val="0"/>
              <w:rPr>
                <w:rFonts w:hint="eastAsia" w:ascii="宋体" w:hAnsi="宋体" w:eastAsia="宋体" w:cs="宋体"/>
                <w:sz w:val="24"/>
                <w:szCs w:val="24"/>
              </w:rPr>
            </w:pPr>
          </w:p>
        </w:tc>
      </w:tr>
      <w:tr w14:paraId="34FF16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7" w:hRule="atLeast"/>
        </w:trPr>
        <w:tc>
          <w:tcPr>
            <w:tcW w:w="2598" w:type="dxa"/>
            <w:gridSpan w:val="2"/>
            <w:noWrap w:val="0"/>
            <w:vAlign w:val="top"/>
          </w:tcPr>
          <w:p w14:paraId="5891B237">
            <w:pPr>
              <w:pStyle w:val="79"/>
              <w:autoSpaceDE w:val="0"/>
              <w:autoSpaceDN w:val="0"/>
              <w:spacing w:before="183" w:line="228" w:lineRule="auto"/>
              <w:ind w:left="796"/>
              <w:rPr>
                <w:rFonts w:hint="eastAsia" w:ascii="宋体" w:hAnsi="宋体" w:eastAsia="宋体" w:cs="宋体"/>
                <w:sz w:val="24"/>
                <w:szCs w:val="24"/>
              </w:rPr>
            </w:pPr>
            <w:r>
              <w:rPr>
                <w:rFonts w:hint="eastAsia" w:ascii="宋体" w:hAnsi="宋体" w:eastAsia="宋体" w:cs="宋体"/>
                <w:spacing w:val="7"/>
                <w:sz w:val="24"/>
                <w:szCs w:val="24"/>
              </w:rPr>
              <w:t>质量标准</w:t>
            </w:r>
          </w:p>
        </w:tc>
        <w:tc>
          <w:tcPr>
            <w:tcW w:w="6186" w:type="dxa"/>
            <w:noWrap w:val="0"/>
            <w:vAlign w:val="top"/>
          </w:tcPr>
          <w:p w14:paraId="39E33A88">
            <w:pPr>
              <w:autoSpaceDE w:val="0"/>
              <w:autoSpaceDN w:val="0"/>
              <w:rPr>
                <w:rFonts w:hint="eastAsia" w:ascii="宋体" w:hAnsi="宋体" w:eastAsia="宋体" w:cs="宋体"/>
                <w:sz w:val="24"/>
                <w:szCs w:val="24"/>
              </w:rPr>
            </w:pPr>
          </w:p>
        </w:tc>
      </w:tr>
      <w:tr w14:paraId="0ADFC4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1625" w:type="dxa"/>
            <w:vMerge w:val="restart"/>
            <w:tcBorders>
              <w:bottom w:val="nil"/>
            </w:tcBorders>
            <w:noWrap w:val="0"/>
            <w:vAlign w:val="top"/>
          </w:tcPr>
          <w:p w14:paraId="2DE57305">
            <w:pPr>
              <w:pStyle w:val="79"/>
              <w:autoSpaceDE w:val="0"/>
              <w:autoSpaceDN w:val="0"/>
              <w:spacing w:before="252" w:line="475" w:lineRule="exact"/>
              <w:ind w:left="191"/>
              <w:rPr>
                <w:rFonts w:hint="eastAsia" w:ascii="宋体" w:hAnsi="宋体" w:eastAsia="宋体" w:cs="宋体"/>
                <w:sz w:val="24"/>
                <w:szCs w:val="24"/>
              </w:rPr>
            </w:pPr>
            <w:r>
              <w:rPr>
                <w:rFonts w:hint="eastAsia" w:ascii="宋体" w:hAnsi="宋体" w:eastAsia="宋体" w:cs="宋体"/>
                <w:spacing w:val="7"/>
                <w:position w:val="18"/>
                <w:sz w:val="24"/>
                <w:szCs w:val="24"/>
              </w:rPr>
              <w:t>投标总报价</w:t>
            </w:r>
          </w:p>
          <w:p w14:paraId="7A5FB542">
            <w:pPr>
              <w:pStyle w:val="79"/>
              <w:autoSpaceDE w:val="0"/>
              <w:autoSpaceDN w:val="0"/>
              <w:spacing w:line="226" w:lineRule="auto"/>
              <w:ind w:left="200"/>
              <w:rPr>
                <w:rFonts w:hint="eastAsia" w:ascii="宋体" w:hAnsi="宋体" w:eastAsia="宋体" w:cs="宋体"/>
                <w:sz w:val="24"/>
                <w:szCs w:val="24"/>
              </w:rPr>
            </w:pPr>
            <w:r>
              <w:rPr>
                <w:rFonts w:hint="eastAsia" w:ascii="宋体" w:hAnsi="宋体" w:eastAsia="宋体" w:cs="宋体"/>
                <w:spacing w:val="1"/>
                <w:sz w:val="24"/>
                <w:szCs w:val="24"/>
              </w:rPr>
              <w:t>（人民币）</w:t>
            </w:r>
          </w:p>
        </w:tc>
        <w:tc>
          <w:tcPr>
            <w:tcW w:w="973" w:type="dxa"/>
            <w:noWrap w:val="0"/>
            <w:vAlign w:val="top"/>
          </w:tcPr>
          <w:p w14:paraId="7E3C6C12">
            <w:pPr>
              <w:pStyle w:val="79"/>
              <w:autoSpaceDE w:val="0"/>
              <w:autoSpaceDN w:val="0"/>
              <w:spacing w:before="182" w:line="230" w:lineRule="auto"/>
              <w:ind w:left="228"/>
              <w:rPr>
                <w:rFonts w:hint="eastAsia" w:ascii="宋体" w:hAnsi="宋体" w:eastAsia="宋体" w:cs="宋体"/>
                <w:sz w:val="24"/>
                <w:szCs w:val="24"/>
              </w:rPr>
            </w:pPr>
            <w:r>
              <w:rPr>
                <w:rFonts w:hint="eastAsia" w:ascii="宋体" w:hAnsi="宋体" w:eastAsia="宋体" w:cs="宋体"/>
                <w:spacing w:val="2"/>
                <w:sz w:val="24"/>
                <w:szCs w:val="24"/>
              </w:rPr>
              <w:t>小写</w:t>
            </w:r>
          </w:p>
        </w:tc>
        <w:tc>
          <w:tcPr>
            <w:tcW w:w="6186" w:type="dxa"/>
            <w:noWrap w:val="0"/>
            <w:vAlign w:val="top"/>
          </w:tcPr>
          <w:p w14:paraId="320514FE">
            <w:pPr>
              <w:autoSpaceDE w:val="0"/>
              <w:autoSpaceDN w:val="0"/>
              <w:rPr>
                <w:rFonts w:hint="eastAsia" w:ascii="宋体" w:hAnsi="宋体" w:eastAsia="宋体" w:cs="宋体"/>
                <w:sz w:val="24"/>
                <w:szCs w:val="24"/>
              </w:rPr>
            </w:pPr>
          </w:p>
        </w:tc>
      </w:tr>
      <w:tr w14:paraId="7804CF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0" w:hRule="atLeast"/>
        </w:trPr>
        <w:tc>
          <w:tcPr>
            <w:tcW w:w="1625" w:type="dxa"/>
            <w:vMerge w:val="continue"/>
            <w:tcBorders>
              <w:top w:val="nil"/>
            </w:tcBorders>
            <w:noWrap w:val="0"/>
            <w:vAlign w:val="top"/>
          </w:tcPr>
          <w:p w14:paraId="468EC13D">
            <w:pPr>
              <w:autoSpaceDE w:val="0"/>
              <w:autoSpaceDN w:val="0"/>
              <w:rPr>
                <w:rFonts w:hint="eastAsia" w:ascii="宋体" w:hAnsi="宋体" w:eastAsia="宋体" w:cs="宋体"/>
                <w:sz w:val="24"/>
                <w:szCs w:val="24"/>
              </w:rPr>
            </w:pPr>
          </w:p>
        </w:tc>
        <w:tc>
          <w:tcPr>
            <w:tcW w:w="973" w:type="dxa"/>
            <w:noWrap w:val="0"/>
            <w:vAlign w:val="top"/>
          </w:tcPr>
          <w:p w14:paraId="4A23D459">
            <w:pPr>
              <w:pStyle w:val="79"/>
              <w:autoSpaceDE w:val="0"/>
              <w:autoSpaceDN w:val="0"/>
              <w:spacing w:before="185" w:line="228" w:lineRule="auto"/>
              <w:ind w:left="225"/>
              <w:rPr>
                <w:rFonts w:hint="eastAsia" w:ascii="宋体" w:hAnsi="宋体" w:eastAsia="宋体" w:cs="宋体"/>
                <w:sz w:val="24"/>
                <w:szCs w:val="24"/>
              </w:rPr>
            </w:pPr>
            <w:r>
              <w:rPr>
                <w:rFonts w:hint="eastAsia" w:ascii="宋体" w:hAnsi="宋体" w:eastAsia="宋体" w:cs="宋体"/>
                <w:spacing w:val="3"/>
                <w:sz w:val="24"/>
                <w:szCs w:val="24"/>
              </w:rPr>
              <w:t>大写</w:t>
            </w:r>
          </w:p>
        </w:tc>
        <w:tc>
          <w:tcPr>
            <w:tcW w:w="6186" w:type="dxa"/>
            <w:noWrap w:val="0"/>
            <w:vAlign w:val="top"/>
          </w:tcPr>
          <w:p w14:paraId="0C50C706">
            <w:pPr>
              <w:autoSpaceDE w:val="0"/>
              <w:autoSpaceDN w:val="0"/>
              <w:rPr>
                <w:rFonts w:hint="eastAsia" w:ascii="宋体" w:hAnsi="宋体" w:eastAsia="宋体" w:cs="宋体"/>
                <w:sz w:val="24"/>
                <w:szCs w:val="24"/>
              </w:rPr>
            </w:pPr>
          </w:p>
        </w:tc>
      </w:tr>
    </w:tbl>
    <w:p w14:paraId="235D2D02">
      <w:pPr>
        <w:pStyle w:val="15"/>
        <w:tabs>
          <w:tab w:val="left" w:pos="567"/>
        </w:tabs>
        <w:spacing w:line="253" w:lineRule="auto"/>
        <w:rPr>
          <w:rFonts w:hint="eastAsia" w:ascii="宋体" w:hAnsi="宋体" w:eastAsia="宋体" w:cs="宋体"/>
          <w:sz w:val="24"/>
          <w:szCs w:val="24"/>
        </w:rPr>
      </w:pPr>
    </w:p>
    <w:p w14:paraId="077D4E1F">
      <w:pPr>
        <w:pStyle w:val="15"/>
        <w:tabs>
          <w:tab w:val="left" w:pos="567"/>
        </w:tabs>
        <w:spacing w:line="253" w:lineRule="auto"/>
        <w:rPr>
          <w:rFonts w:hint="eastAsia" w:ascii="宋体" w:hAnsi="宋体" w:eastAsia="宋体" w:cs="宋体"/>
          <w:sz w:val="24"/>
          <w:szCs w:val="24"/>
        </w:rPr>
      </w:pPr>
    </w:p>
    <w:p w14:paraId="34999B74">
      <w:pPr>
        <w:spacing w:before="75" w:line="226" w:lineRule="auto"/>
        <w:rPr>
          <w:rFonts w:hint="eastAsia" w:ascii="宋体" w:hAnsi="宋体" w:eastAsia="宋体" w:cs="宋体"/>
          <w:sz w:val="24"/>
          <w:szCs w:val="24"/>
        </w:rPr>
      </w:pPr>
      <w:r>
        <w:rPr>
          <w:rFonts w:hint="eastAsia" w:ascii="宋体" w:hAnsi="宋体" w:eastAsia="宋体" w:cs="宋体"/>
          <w:spacing w:val="9"/>
          <w:sz w:val="24"/>
          <w:szCs w:val="24"/>
        </w:rPr>
        <w:t>注： ▲1.开标一览表中报价为符合采购文件要求的项目总</w:t>
      </w:r>
      <w:r>
        <w:rPr>
          <w:rFonts w:hint="eastAsia" w:ascii="宋体" w:hAnsi="宋体" w:eastAsia="宋体" w:cs="宋体"/>
          <w:spacing w:val="8"/>
          <w:sz w:val="24"/>
          <w:szCs w:val="24"/>
        </w:rPr>
        <w:t>报价（包括但不限于完成本招标文</w:t>
      </w:r>
      <w:r>
        <w:rPr>
          <w:rFonts w:hint="eastAsia" w:ascii="宋体" w:hAnsi="宋体" w:eastAsia="宋体" w:cs="宋体"/>
          <w:spacing w:val="9"/>
          <w:sz w:val="24"/>
          <w:szCs w:val="24"/>
        </w:rPr>
        <w:t>件规定的全部工作内容和要求的总费用包括人工费、往返交通费、食宿餐饮费、现场氛围营造费用、场地租用费用、设备灯光租用费用、节目编排、演员化妆费用涉及不可预见等完成</w:t>
      </w:r>
      <w:r>
        <w:rPr>
          <w:rFonts w:hint="eastAsia" w:ascii="宋体" w:hAnsi="宋体" w:eastAsia="宋体" w:cs="宋体"/>
          <w:sz w:val="24"/>
          <w:szCs w:val="24"/>
        </w:rPr>
        <w:t xml:space="preserve"> </w:t>
      </w:r>
      <w:r>
        <w:rPr>
          <w:rFonts w:hint="eastAsia" w:ascii="宋体" w:hAnsi="宋体" w:eastAsia="宋体" w:cs="宋体"/>
          <w:spacing w:val="9"/>
          <w:sz w:val="24"/>
          <w:szCs w:val="24"/>
        </w:rPr>
        <w:t>本项目的其它费用和政策性文件规定及合同包含的所有风险、责任及招标代理服务费等各项</w:t>
      </w:r>
      <w:r>
        <w:rPr>
          <w:rFonts w:hint="eastAsia" w:ascii="宋体" w:hAnsi="宋体" w:eastAsia="宋体" w:cs="宋体"/>
          <w:spacing w:val="4"/>
          <w:sz w:val="24"/>
          <w:szCs w:val="24"/>
        </w:rPr>
        <w:t>应有费用。）</w:t>
      </w:r>
    </w:p>
    <w:p w14:paraId="0658FE95">
      <w:pPr>
        <w:spacing w:before="193" w:line="227" w:lineRule="auto"/>
        <w:ind w:left="8"/>
        <w:rPr>
          <w:rFonts w:hint="eastAsia" w:ascii="宋体" w:hAnsi="宋体" w:eastAsia="宋体" w:cs="宋体"/>
          <w:sz w:val="24"/>
          <w:szCs w:val="24"/>
        </w:rPr>
      </w:pPr>
      <w:r>
        <w:rPr>
          <w:rFonts w:hint="eastAsia" w:ascii="宋体" w:hAnsi="宋体" w:eastAsia="宋体" w:cs="宋体"/>
          <w:spacing w:val="7"/>
          <w:sz w:val="24"/>
          <w:szCs w:val="24"/>
        </w:rPr>
        <w:t>▲2.不提供此表格的将视为没有实质性响应采购文件。</w:t>
      </w:r>
    </w:p>
    <w:p w14:paraId="77760460">
      <w:pPr>
        <w:spacing w:before="108" w:line="468" w:lineRule="exact"/>
        <w:jc w:val="right"/>
        <w:rPr>
          <w:rFonts w:hint="eastAsia" w:ascii="宋体" w:hAnsi="宋体" w:eastAsia="宋体" w:cs="宋体"/>
          <w:sz w:val="24"/>
          <w:szCs w:val="24"/>
        </w:rPr>
      </w:pPr>
      <w:r>
        <w:rPr>
          <w:rFonts w:hint="eastAsia" w:ascii="宋体" w:hAnsi="宋体" w:eastAsia="宋体" w:cs="宋体"/>
          <w:spacing w:val="8"/>
          <w:position w:val="17"/>
          <w:sz w:val="24"/>
          <w:szCs w:val="24"/>
        </w:rPr>
        <w:t>3、任何有选择或有条件的投标总价或表中某一包填写多个报价，均将导致投标</w:t>
      </w:r>
      <w:r>
        <w:rPr>
          <w:rFonts w:hint="eastAsia" w:ascii="宋体" w:hAnsi="宋体" w:eastAsia="宋体" w:cs="宋体"/>
          <w:spacing w:val="7"/>
          <w:position w:val="17"/>
          <w:sz w:val="24"/>
          <w:szCs w:val="24"/>
        </w:rPr>
        <w:t>被拒绝；</w:t>
      </w:r>
    </w:p>
    <w:p w14:paraId="788F6DF5">
      <w:pPr>
        <w:spacing w:before="2" w:line="225" w:lineRule="auto"/>
        <w:ind w:firstLine="256" w:firstLineChars="100"/>
        <w:rPr>
          <w:rFonts w:hint="eastAsia" w:ascii="宋体" w:hAnsi="宋体" w:eastAsia="宋体" w:cs="宋体"/>
          <w:sz w:val="24"/>
          <w:szCs w:val="24"/>
        </w:rPr>
      </w:pPr>
      <w:r>
        <w:rPr>
          <w:rFonts w:hint="eastAsia" w:ascii="宋体" w:hAnsi="宋体" w:eastAsia="宋体" w:cs="宋体"/>
          <w:spacing w:val="8"/>
          <w:sz w:val="24"/>
          <w:szCs w:val="24"/>
        </w:rPr>
        <w:t>4、供应商的报价应包含税金及本次招标内容所必需的全部费用。</w:t>
      </w:r>
    </w:p>
    <w:p w14:paraId="0F37061E">
      <w:pPr>
        <w:spacing w:before="267" w:line="227" w:lineRule="auto"/>
        <w:ind w:firstLine="256" w:firstLineChars="100"/>
        <w:rPr>
          <w:rFonts w:hint="eastAsia" w:ascii="宋体" w:hAnsi="宋体" w:eastAsia="宋体" w:cs="宋体"/>
          <w:sz w:val="24"/>
          <w:szCs w:val="24"/>
        </w:rPr>
      </w:pPr>
      <w:r>
        <w:rPr>
          <w:rFonts w:hint="eastAsia" w:ascii="宋体" w:hAnsi="宋体" w:eastAsia="宋体" w:cs="宋体"/>
          <w:spacing w:val="8"/>
          <w:sz w:val="24"/>
          <w:szCs w:val="24"/>
        </w:rPr>
        <w:t>5、大写标注：壹、贰、叁、肆、伍、陆、柒、捌、玖、拾、佰、仟、万、亿。</w:t>
      </w:r>
    </w:p>
    <w:p w14:paraId="524A0827">
      <w:pPr>
        <w:pStyle w:val="15"/>
        <w:tabs>
          <w:tab w:val="left" w:pos="567"/>
        </w:tabs>
        <w:spacing w:line="269" w:lineRule="auto"/>
        <w:rPr>
          <w:rFonts w:hint="eastAsia" w:ascii="宋体" w:hAnsi="宋体" w:eastAsia="宋体" w:cs="宋体"/>
          <w:sz w:val="24"/>
          <w:szCs w:val="24"/>
        </w:rPr>
      </w:pPr>
    </w:p>
    <w:p w14:paraId="092E7491">
      <w:pPr>
        <w:pStyle w:val="15"/>
        <w:tabs>
          <w:tab w:val="left" w:pos="567"/>
        </w:tabs>
        <w:spacing w:line="270" w:lineRule="auto"/>
        <w:rPr>
          <w:rFonts w:hint="eastAsia" w:ascii="宋体" w:hAnsi="宋体" w:eastAsia="宋体" w:cs="宋体"/>
          <w:sz w:val="24"/>
          <w:szCs w:val="24"/>
        </w:rPr>
      </w:pPr>
    </w:p>
    <w:p w14:paraId="75301C4E">
      <w:pPr>
        <w:spacing w:before="75" w:line="227" w:lineRule="auto"/>
        <w:ind w:left="2"/>
        <w:rPr>
          <w:rFonts w:hint="eastAsia" w:ascii="宋体" w:hAnsi="宋体" w:eastAsia="宋体" w:cs="宋体"/>
          <w:sz w:val="24"/>
          <w:szCs w:val="24"/>
        </w:rPr>
      </w:pPr>
      <w:r>
        <w:rPr>
          <w:rFonts w:hint="eastAsia" w:ascii="宋体" w:hAnsi="宋体" w:eastAsia="宋体" w:cs="宋体"/>
          <w:spacing w:val="-4"/>
          <w:sz w:val="24"/>
          <w:szCs w:val="24"/>
        </w:rPr>
        <w:t>投标人全称（盖公章）：</w:t>
      </w:r>
    </w:p>
    <w:p w14:paraId="265BC1C7">
      <w:pPr>
        <w:spacing w:before="226" w:line="227" w:lineRule="auto"/>
        <w:rPr>
          <w:rFonts w:hint="eastAsia" w:ascii="宋体" w:hAnsi="宋体" w:eastAsia="宋体" w:cs="宋体"/>
          <w:sz w:val="24"/>
          <w:szCs w:val="24"/>
        </w:rPr>
      </w:pPr>
      <w:r>
        <w:rPr>
          <w:rFonts w:hint="eastAsia" w:ascii="宋体" w:hAnsi="宋体" w:eastAsia="宋体" w:cs="宋体"/>
          <w:spacing w:val="1"/>
          <w:sz w:val="24"/>
          <w:szCs w:val="24"/>
        </w:rPr>
        <w:t>法定代表人或授权代表（签名或盖章</w:t>
      </w:r>
      <w:r>
        <w:rPr>
          <w:rFonts w:hint="eastAsia" w:ascii="宋体" w:hAnsi="宋体" w:eastAsia="宋体" w:cs="宋体"/>
          <w:spacing w:val="4"/>
          <w:sz w:val="24"/>
          <w:szCs w:val="24"/>
        </w:rPr>
        <w:t>）：</w:t>
      </w:r>
    </w:p>
    <w:p w14:paraId="288839C9">
      <w:pPr>
        <w:spacing w:before="217" w:line="227" w:lineRule="auto"/>
        <w:ind w:left="41"/>
        <w:rPr>
          <w:rFonts w:hint="eastAsia" w:ascii="宋体" w:hAnsi="宋体" w:eastAsia="宋体" w:cs="宋体"/>
          <w:sz w:val="24"/>
          <w:szCs w:val="24"/>
        </w:rPr>
      </w:pPr>
      <w:r>
        <w:rPr>
          <w:rFonts w:hint="eastAsia" w:ascii="宋体" w:hAnsi="宋体" w:eastAsia="宋体" w:cs="宋体"/>
          <w:spacing w:val="-13"/>
          <w:sz w:val="24"/>
          <w:szCs w:val="24"/>
        </w:rPr>
        <w:t>日</w:t>
      </w:r>
      <w:r>
        <w:rPr>
          <w:rFonts w:hint="eastAsia" w:ascii="宋体" w:hAnsi="宋体" w:eastAsia="宋体" w:cs="宋体"/>
          <w:spacing w:val="40"/>
          <w:sz w:val="24"/>
          <w:szCs w:val="24"/>
        </w:rPr>
        <w:t xml:space="preserve">   </w:t>
      </w:r>
      <w:r>
        <w:rPr>
          <w:rFonts w:hint="eastAsia" w:ascii="宋体" w:hAnsi="宋体" w:eastAsia="宋体" w:cs="宋体"/>
          <w:spacing w:val="-13"/>
          <w:sz w:val="24"/>
          <w:szCs w:val="24"/>
        </w:rPr>
        <w:t>期：       年</w:t>
      </w:r>
      <w:r>
        <w:rPr>
          <w:rFonts w:hint="eastAsia" w:ascii="宋体" w:hAnsi="宋体" w:eastAsia="宋体" w:cs="宋体"/>
          <w:spacing w:val="1"/>
          <w:sz w:val="24"/>
          <w:szCs w:val="24"/>
        </w:rPr>
        <w:t xml:space="preserve">   </w:t>
      </w:r>
      <w:r>
        <w:rPr>
          <w:rFonts w:hint="eastAsia" w:ascii="宋体" w:hAnsi="宋体" w:eastAsia="宋体" w:cs="宋体"/>
          <w:spacing w:val="-13"/>
          <w:sz w:val="24"/>
          <w:szCs w:val="24"/>
        </w:rPr>
        <w:t>月</w:t>
      </w:r>
      <w:r>
        <w:rPr>
          <w:rFonts w:hint="eastAsia" w:ascii="宋体" w:hAnsi="宋体" w:eastAsia="宋体" w:cs="宋体"/>
          <w:spacing w:val="37"/>
          <w:sz w:val="24"/>
          <w:szCs w:val="24"/>
        </w:rPr>
        <w:t xml:space="preserve">   </w:t>
      </w:r>
      <w:r>
        <w:rPr>
          <w:rFonts w:hint="eastAsia" w:ascii="宋体" w:hAnsi="宋体" w:eastAsia="宋体" w:cs="宋体"/>
          <w:spacing w:val="-13"/>
          <w:sz w:val="24"/>
          <w:szCs w:val="24"/>
        </w:rPr>
        <w:t>日</w:t>
      </w:r>
    </w:p>
    <w:p w14:paraId="5E793C9D">
      <w:pPr>
        <w:spacing w:line="227" w:lineRule="auto"/>
        <w:rPr>
          <w:rFonts w:hint="eastAsia" w:ascii="宋体" w:hAnsi="宋体" w:eastAsia="宋体" w:cs="宋体"/>
          <w:sz w:val="24"/>
          <w:szCs w:val="24"/>
        </w:rPr>
        <w:sectPr>
          <w:footerReference r:id="rId16" w:type="default"/>
          <w:pgSz w:w="11900" w:h="16838"/>
          <w:pgMar w:top="400" w:right="1000" w:bottom="535" w:left="1199" w:header="0" w:footer="375" w:gutter="0"/>
          <w:pgNumType w:fmt="decimal"/>
          <w:cols w:space="720" w:num="1"/>
        </w:sectPr>
      </w:pPr>
    </w:p>
    <w:p w14:paraId="6050A9CE">
      <w:pPr>
        <w:pStyle w:val="15"/>
        <w:tabs>
          <w:tab w:val="left" w:pos="567"/>
        </w:tabs>
        <w:spacing w:line="241" w:lineRule="auto"/>
        <w:rPr>
          <w:rFonts w:hint="eastAsia" w:ascii="宋体" w:hAnsi="宋体" w:eastAsia="宋体" w:cs="宋体"/>
          <w:sz w:val="24"/>
          <w:szCs w:val="24"/>
        </w:rPr>
      </w:pPr>
    </w:p>
    <w:p w14:paraId="109C66AF">
      <w:pPr>
        <w:spacing w:before="74" w:line="225" w:lineRule="auto"/>
        <w:jc w:val="left"/>
        <w:rPr>
          <w:rFonts w:hint="eastAsia" w:ascii="宋体" w:hAnsi="宋体" w:eastAsia="宋体" w:cs="宋体"/>
          <w:b/>
          <w:bCs/>
          <w:spacing w:val="4"/>
          <w:sz w:val="24"/>
          <w:szCs w:val="24"/>
        </w:rPr>
      </w:pPr>
      <w:r>
        <w:rPr>
          <w:rFonts w:hint="eastAsia" w:ascii="宋体" w:hAnsi="宋体" w:eastAsia="宋体" w:cs="宋体"/>
          <w:b/>
          <w:bCs/>
          <w:spacing w:val="4"/>
          <w:sz w:val="24"/>
          <w:szCs w:val="24"/>
        </w:rPr>
        <w:t>附件三</w:t>
      </w:r>
    </w:p>
    <w:p w14:paraId="130D5045">
      <w:pPr>
        <w:spacing w:before="37" w:line="219" w:lineRule="auto"/>
        <w:ind w:left="3479"/>
        <w:rPr>
          <w:rFonts w:hint="eastAsia" w:ascii="宋体" w:hAnsi="宋体" w:eastAsia="宋体" w:cs="宋体"/>
          <w:b/>
          <w:bCs/>
          <w:sz w:val="24"/>
          <w:szCs w:val="24"/>
        </w:rPr>
      </w:pPr>
      <w:r>
        <w:rPr>
          <w:rFonts w:hint="eastAsia" w:ascii="宋体" w:hAnsi="宋体" w:eastAsia="宋体" w:cs="宋体"/>
          <w:b/>
          <w:bCs/>
          <w:spacing w:val="-3"/>
          <w:sz w:val="24"/>
          <w:szCs w:val="24"/>
        </w:rPr>
        <w:t>投标单位基本情况表</w:t>
      </w:r>
    </w:p>
    <w:p w14:paraId="18B654EB">
      <w:pPr>
        <w:spacing w:before="11"/>
        <w:rPr>
          <w:rFonts w:hint="eastAsia" w:ascii="宋体" w:hAnsi="宋体" w:eastAsia="宋体" w:cs="宋体"/>
          <w:sz w:val="24"/>
          <w:szCs w:val="24"/>
        </w:rPr>
      </w:pPr>
    </w:p>
    <w:p w14:paraId="66D0CAB4">
      <w:pPr>
        <w:spacing w:before="10"/>
        <w:rPr>
          <w:rFonts w:hint="eastAsia" w:ascii="宋体" w:hAnsi="宋体" w:eastAsia="宋体" w:cs="宋体"/>
          <w:sz w:val="24"/>
          <w:szCs w:val="24"/>
        </w:rPr>
      </w:pPr>
    </w:p>
    <w:tbl>
      <w:tblPr>
        <w:tblStyle w:val="78"/>
        <w:tblW w:w="8830" w:type="dxa"/>
        <w:tblInd w:w="22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754"/>
        <w:gridCol w:w="2121"/>
        <w:gridCol w:w="1985"/>
        <w:gridCol w:w="1970"/>
      </w:tblGrid>
      <w:tr w14:paraId="6EC63B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9" w:hRule="atLeast"/>
        </w:trPr>
        <w:tc>
          <w:tcPr>
            <w:tcW w:w="2754" w:type="dxa"/>
            <w:noWrap w:val="0"/>
            <w:vAlign w:val="top"/>
          </w:tcPr>
          <w:p w14:paraId="3E5E91DD">
            <w:pPr>
              <w:pStyle w:val="79"/>
              <w:autoSpaceDE w:val="0"/>
              <w:autoSpaceDN w:val="0"/>
              <w:spacing w:before="201" w:line="228" w:lineRule="auto"/>
              <w:ind w:left="591"/>
              <w:rPr>
                <w:rFonts w:hint="eastAsia" w:ascii="宋体" w:hAnsi="宋体" w:eastAsia="宋体" w:cs="宋体"/>
                <w:sz w:val="24"/>
                <w:szCs w:val="24"/>
              </w:rPr>
            </w:pPr>
            <w:r>
              <w:rPr>
                <w:rFonts w:hint="eastAsia" w:ascii="宋体" w:hAnsi="宋体" w:eastAsia="宋体" w:cs="宋体"/>
                <w:spacing w:val="19"/>
                <w:sz w:val="24"/>
                <w:szCs w:val="24"/>
              </w:rPr>
              <w:t>投标单位全称</w:t>
            </w:r>
          </w:p>
        </w:tc>
        <w:tc>
          <w:tcPr>
            <w:tcW w:w="6076" w:type="dxa"/>
            <w:gridSpan w:val="3"/>
            <w:noWrap w:val="0"/>
            <w:vAlign w:val="top"/>
          </w:tcPr>
          <w:p w14:paraId="3746303E">
            <w:pPr>
              <w:autoSpaceDE w:val="0"/>
              <w:autoSpaceDN w:val="0"/>
              <w:rPr>
                <w:rFonts w:hint="eastAsia" w:ascii="宋体" w:hAnsi="宋体" w:eastAsia="宋体" w:cs="宋体"/>
                <w:sz w:val="24"/>
                <w:szCs w:val="24"/>
              </w:rPr>
            </w:pPr>
          </w:p>
        </w:tc>
      </w:tr>
      <w:tr w14:paraId="37873C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2754" w:type="dxa"/>
            <w:noWrap w:val="0"/>
            <w:vAlign w:val="top"/>
          </w:tcPr>
          <w:p w14:paraId="56A25CA4">
            <w:pPr>
              <w:pStyle w:val="79"/>
              <w:autoSpaceDE w:val="0"/>
              <w:autoSpaceDN w:val="0"/>
              <w:spacing w:before="198" w:line="227" w:lineRule="auto"/>
              <w:ind w:left="342"/>
              <w:rPr>
                <w:rFonts w:hint="eastAsia" w:ascii="宋体" w:hAnsi="宋体" w:eastAsia="宋体" w:cs="宋体"/>
                <w:sz w:val="24"/>
                <w:szCs w:val="24"/>
              </w:rPr>
            </w:pPr>
            <w:r>
              <w:rPr>
                <w:rFonts w:hint="eastAsia" w:ascii="宋体" w:hAnsi="宋体" w:eastAsia="宋体" w:cs="宋体"/>
                <w:spacing w:val="20"/>
                <w:sz w:val="24"/>
                <w:szCs w:val="24"/>
              </w:rPr>
              <w:t>统一社会信用代码</w:t>
            </w:r>
          </w:p>
        </w:tc>
        <w:tc>
          <w:tcPr>
            <w:tcW w:w="6076" w:type="dxa"/>
            <w:gridSpan w:val="3"/>
            <w:noWrap w:val="0"/>
            <w:vAlign w:val="top"/>
          </w:tcPr>
          <w:p w14:paraId="121CA0FE">
            <w:pPr>
              <w:autoSpaceDE w:val="0"/>
              <w:autoSpaceDN w:val="0"/>
              <w:rPr>
                <w:rFonts w:hint="eastAsia" w:ascii="宋体" w:hAnsi="宋体" w:eastAsia="宋体" w:cs="宋体"/>
                <w:sz w:val="24"/>
                <w:szCs w:val="24"/>
              </w:rPr>
            </w:pPr>
          </w:p>
        </w:tc>
      </w:tr>
      <w:tr w14:paraId="7AD1D5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5" w:hRule="atLeast"/>
        </w:trPr>
        <w:tc>
          <w:tcPr>
            <w:tcW w:w="2754" w:type="dxa"/>
            <w:noWrap w:val="0"/>
            <w:vAlign w:val="top"/>
          </w:tcPr>
          <w:p w14:paraId="41840BD6">
            <w:pPr>
              <w:pStyle w:val="79"/>
              <w:autoSpaceDE w:val="0"/>
              <w:autoSpaceDN w:val="0"/>
              <w:spacing w:before="191" w:line="227" w:lineRule="auto"/>
              <w:ind w:left="590"/>
              <w:rPr>
                <w:rFonts w:hint="eastAsia" w:ascii="宋体" w:hAnsi="宋体" w:eastAsia="宋体" w:cs="宋体"/>
                <w:sz w:val="24"/>
                <w:szCs w:val="24"/>
              </w:rPr>
            </w:pPr>
            <w:r>
              <w:rPr>
                <w:rFonts w:hint="eastAsia" w:ascii="宋体" w:hAnsi="宋体" w:eastAsia="宋体" w:cs="宋体"/>
                <w:spacing w:val="19"/>
                <w:sz w:val="24"/>
                <w:szCs w:val="24"/>
              </w:rPr>
              <w:t>主要业务范围</w:t>
            </w:r>
          </w:p>
        </w:tc>
        <w:tc>
          <w:tcPr>
            <w:tcW w:w="6076" w:type="dxa"/>
            <w:gridSpan w:val="3"/>
            <w:noWrap w:val="0"/>
            <w:vAlign w:val="top"/>
          </w:tcPr>
          <w:p w14:paraId="1578F911">
            <w:pPr>
              <w:autoSpaceDE w:val="0"/>
              <w:autoSpaceDN w:val="0"/>
              <w:rPr>
                <w:rFonts w:hint="eastAsia" w:ascii="宋体" w:hAnsi="宋体" w:eastAsia="宋体" w:cs="宋体"/>
                <w:sz w:val="24"/>
                <w:szCs w:val="24"/>
              </w:rPr>
            </w:pPr>
          </w:p>
        </w:tc>
      </w:tr>
      <w:tr w14:paraId="2D7119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2754" w:type="dxa"/>
            <w:noWrap w:val="0"/>
            <w:vAlign w:val="top"/>
          </w:tcPr>
          <w:p w14:paraId="3E2D20B1">
            <w:pPr>
              <w:pStyle w:val="79"/>
              <w:autoSpaceDE w:val="0"/>
              <w:autoSpaceDN w:val="0"/>
              <w:spacing w:before="202" w:line="227" w:lineRule="auto"/>
              <w:ind w:left="457"/>
              <w:rPr>
                <w:rFonts w:hint="eastAsia" w:ascii="宋体" w:hAnsi="宋体" w:eastAsia="宋体" w:cs="宋体"/>
                <w:sz w:val="24"/>
                <w:szCs w:val="24"/>
              </w:rPr>
            </w:pPr>
            <w:r>
              <w:rPr>
                <w:rFonts w:hint="eastAsia" w:ascii="宋体" w:hAnsi="宋体" w:eastAsia="宋体" w:cs="宋体"/>
                <w:spacing w:val="22"/>
                <w:sz w:val="24"/>
                <w:szCs w:val="24"/>
              </w:rPr>
              <w:t>法定代表人名称</w:t>
            </w:r>
          </w:p>
        </w:tc>
        <w:tc>
          <w:tcPr>
            <w:tcW w:w="2121" w:type="dxa"/>
            <w:noWrap w:val="0"/>
            <w:vAlign w:val="top"/>
          </w:tcPr>
          <w:p w14:paraId="6AC483AC">
            <w:pPr>
              <w:autoSpaceDE w:val="0"/>
              <w:autoSpaceDN w:val="0"/>
              <w:rPr>
                <w:rFonts w:hint="eastAsia" w:ascii="宋体" w:hAnsi="宋体" w:eastAsia="宋体" w:cs="宋体"/>
                <w:sz w:val="24"/>
                <w:szCs w:val="24"/>
              </w:rPr>
            </w:pPr>
          </w:p>
        </w:tc>
        <w:tc>
          <w:tcPr>
            <w:tcW w:w="1985" w:type="dxa"/>
            <w:noWrap w:val="0"/>
            <w:vAlign w:val="top"/>
          </w:tcPr>
          <w:p w14:paraId="38D04234">
            <w:pPr>
              <w:pStyle w:val="79"/>
              <w:autoSpaceDE w:val="0"/>
              <w:autoSpaceDN w:val="0"/>
              <w:spacing w:before="202" w:line="227" w:lineRule="auto"/>
              <w:ind w:left="526"/>
              <w:rPr>
                <w:rFonts w:hint="eastAsia" w:ascii="宋体" w:hAnsi="宋体" w:eastAsia="宋体" w:cs="宋体"/>
                <w:sz w:val="24"/>
                <w:szCs w:val="24"/>
              </w:rPr>
            </w:pPr>
            <w:r>
              <w:rPr>
                <w:rFonts w:hint="eastAsia" w:ascii="宋体" w:hAnsi="宋体" w:eastAsia="宋体" w:cs="宋体"/>
                <w:spacing w:val="-1"/>
                <w:sz w:val="24"/>
                <w:szCs w:val="24"/>
              </w:rPr>
              <w:t>职</w:t>
            </w:r>
            <w:r>
              <w:rPr>
                <w:rFonts w:hint="eastAsia" w:ascii="宋体" w:hAnsi="宋体" w:eastAsia="宋体" w:cs="宋体"/>
                <w:spacing w:val="24"/>
                <w:sz w:val="24"/>
                <w:szCs w:val="24"/>
              </w:rPr>
              <w:t xml:space="preserve">   </w:t>
            </w:r>
            <w:r>
              <w:rPr>
                <w:rFonts w:hint="eastAsia" w:ascii="宋体" w:hAnsi="宋体" w:eastAsia="宋体" w:cs="宋体"/>
                <w:spacing w:val="-1"/>
                <w:sz w:val="24"/>
                <w:szCs w:val="24"/>
              </w:rPr>
              <w:t>务</w:t>
            </w:r>
          </w:p>
        </w:tc>
        <w:tc>
          <w:tcPr>
            <w:tcW w:w="1970" w:type="dxa"/>
            <w:noWrap w:val="0"/>
            <w:vAlign w:val="top"/>
          </w:tcPr>
          <w:p w14:paraId="0D9526C5">
            <w:pPr>
              <w:autoSpaceDE w:val="0"/>
              <w:autoSpaceDN w:val="0"/>
              <w:rPr>
                <w:rFonts w:hint="eastAsia" w:ascii="宋体" w:hAnsi="宋体" w:eastAsia="宋体" w:cs="宋体"/>
                <w:sz w:val="24"/>
                <w:szCs w:val="24"/>
              </w:rPr>
            </w:pPr>
          </w:p>
        </w:tc>
      </w:tr>
      <w:tr w14:paraId="730997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trPr>
        <w:tc>
          <w:tcPr>
            <w:tcW w:w="2754" w:type="dxa"/>
            <w:noWrap w:val="0"/>
            <w:vAlign w:val="top"/>
          </w:tcPr>
          <w:p w14:paraId="27A9E954">
            <w:pPr>
              <w:pStyle w:val="79"/>
              <w:autoSpaceDE w:val="0"/>
              <w:autoSpaceDN w:val="0"/>
              <w:spacing w:before="192" w:line="228" w:lineRule="auto"/>
              <w:ind w:left="591"/>
              <w:rPr>
                <w:rFonts w:hint="eastAsia" w:ascii="宋体" w:hAnsi="宋体" w:eastAsia="宋体" w:cs="宋体"/>
                <w:sz w:val="24"/>
                <w:szCs w:val="24"/>
              </w:rPr>
            </w:pPr>
            <w:r>
              <w:rPr>
                <w:rFonts w:hint="eastAsia" w:ascii="宋体" w:hAnsi="宋体" w:eastAsia="宋体" w:cs="宋体"/>
                <w:spacing w:val="19"/>
                <w:sz w:val="24"/>
                <w:szCs w:val="24"/>
              </w:rPr>
              <w:t>投标单位地址</w:t>
            </w:r>
          </w:p>
        </w:tc>
        <w:tc>
          <w:tcPr>
            <w:tcW w:w="2121" w:type="dxa"/>
            <w:noWrap w:val="0"/>
            <w:vAlign w:val="top"/>
          </w:tcPr>
          <w:p w14:paraId="6F7EE06C">
            <w:pPr>
              <w:autoSpaceDE w:val="0"/>
              <w:autoSpaceDN w:val="0"/>
              <w:rPr>
                <w:rFonts w:hint="eastAsia" w:ascii="宋体" w:hAnsi="宋体" w:eastAsia="宋体" w:cs="宋体"/>
                <w:sz w:val="24"/>
                <w:szCs w:val="24"/>
              </w:rPr>
            </w:pPr>
          </w:p>
        </w:tc>
        <w:tc>
          <w:tcPr>
            <w:tcW w:w="1985" w:type="dxa"/>
            <w:noWrap w:val="0"/>
            <w:vAlign w:val="top"/>
          </w:tcPr>
          <w:p w14:paraId="1B7646E7">
            <w:pPr>
              <w:pStyle w:val="79"/>
              <w:autoSpaceDE w:val="0"/>
              <w:autoSpaceDN w:val="0"/>
              <w:spacing w:before="192" w:line="227" w:lineRule="auto"/>
              <w:ind w:left="495"/>
              <w:rPr>
                <w:rFonts w:hint="eastAsia" w:ascii="宋体" w:hAnsi="宋体" w:eastAsia="宋体" w:cs="宋体"/>
                <w:sz w:val="24"/>
                <w:szCs w:val="24"/>
              </w:rPr>
            </w:pPr>
            <w:r>
              <w:rPr>
                <w:rFonts w:hint="eastAsia" w:ascii="宋体" w:hAnsi="宋体" w:eastAsia="宋体" w:cs="宋体"/>
                <w:spacing w:val="7"/>
                <w:sz w:val="24"/>
                <w:szCs w:val="24"/>
              </w:rPr>
              <w:t>邮政编码</w:t>
            </w:r>
          </w:p>
        </w:tc>
        <w:tc>
          <w:tcPr>
            <w:tcW w:w="1970" w:type="dxa"/>
            <w:noWrap w:val="0"/>
            <w:vAlign w:val="top"/>
          </w:tcPr>
          <w:p w14:paraId="766BAA81">
            <w:pPr>
              <w:autoSpaceDE w:val="0"/>
              <w:autoSpaceDN w:val="0"/>
              <w:rPr>
                <w:rFonts w:hint="eastAsia" w:ascii="宋体" w:hAnsi="宋体" w:eastAsia="宋体" w:cs="宋体"/>
                <w:sz w:val="24"/>
                <w:szCs w:val="24"/>
              </w:rPr>
            </w:pPr>
          </w:p>
        </w:tc>
      </w:tr>
      <w:tr w14:paraId="41D155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4" w:hRule="atLeast"/>
        </w:trPr>
        <w:tc>
          <w:tcPr>
            <w:tcW w:w="2754" w:type="dxa"/>
            <w:noWrap w:val="0"/>
            <w:vAlign w:val="top"/>
          </w:tcPr>
          <w:p w14:paraId="607A01A5">
            <w:pPr>
              <w:pStyle w:val="79"/>
              <w:autoSpaceDE w:val="0"/>
              <w:autoSpaceDN w:val="0"/>
              <w:spacing w:before="127" w:line="230" w:lineRule="auto"/>
              <w:ind w:left="768"/>
              <w:rPr>
                <w:rFonts w:hint="eastAsia" w:ascii="宋体" w:hAnsi="宋体" w:eastAsia="宋体" w:cs="宋体"/>
                <w:sz w:val="24"/>
                <w:szCs w:val="24"/>
              </w:rPr>
            </w:pPr>
            <w:r>
              <w:rPr>
                <w:rFonts w:hint="eastAsia" w:ascii="宋体" w:hAnsi="宋体" w:eastAsia="宋体" w:cs="宋体"/>
                <w:spacing w:val="-14"/>
                <w:sz w:val="24"/>
                <w:szCs w:val="24"/>
              </w:rPr>
              <w:t>电</w:t>
            </w:r>
            <w:r>
              <w:rPr>
                <w:rFonts w:hint="eastAsia" w:ascii="宋体" w:hAnsi="宋体" w:eastAsia="宋体" w:cs="宋体"/>
                <w:spacing w:val="14"/>
                <w:sz w:val="24"/>
                <w:szCs w:val="24"/>
              </w:rPr>
              <w:t xml:space="preserve">      </w:t>
            </w:r>
            <w:r>
              <w:rPr>
                <w:rFonts w:hint="eastAsia" w:ascii="宋体" w:hAnsi="宋体" w:eastAsia="宋体" w:cs="宋体"/>
                <w:spacing w:val="-14"/>
                <w:sz w:val="24"/>
                <w:szCs w:val="24"/>
              </w:rPr>
              <w:t>话</w:t>
            </w:r>
          </w:p>
        </w:tc>
        <w:tc>
          <w:tcPr>
            <w:tcW w:w="2121" w:type="dxa"/>
            <w:noWrap w:val="0"/>
            <w:vAlign w:val="top"/>
          </w:tcPr>
          <w:p w14:paraId="6CF49664">
            <w:pPr>
              <w:autoSpaceDE w:val="0"/>
              <w:autoSpaceDN w:val="0"/>
              <w:rPr>
                <w:rFonts w:hint="eastAsia" w:ascii="宋体" w:hAnsi="宋体" w:eastAsia="宋体" w:cs="宋体"/>
                <w:sz w:val="24"/>
                <w:szCs w:val="24"/>
              </w:rPr>
            </w:pPr>
          </w:p>
        </w:tc>
        <w:tc>
          <w:tcPr>
            <w:tcW w:w="1985" w:type="dxa"/>
            <w:noWrap w:val="0"/>
            <w:vAlign w:val="top"/>
          </w:tcPr>
          <w:p w14:paraId="1C0E8C71">
            <w:pPr>
              <w:pStyle w:val="79"/>
              <w:autoSpaceDE w:val="0"/>
              <w:autoSpaceDN w:val="0"/>
              <w:spacing w:before="125" w:line="227" w:lineRule="auto"/>
              <w:ind w:left="518"/>
              <w:rPr>
                <w:rFonts w:hint="eastAsia" w:ascii="宋体" w:hAnsi="宋体" w:eastAsia="宋体" w:cs="宋体"/>
                <w:sz w:val="24"/>
                <w:szCs w:val="24"/>
              </w:rPr>
            </w:pPr>
            <w:r>
              <w:rPr>
                <w:rFonts w:hint="eastAsia" w:ascii="宋体" w:hAnsi="宋体" w:eastAsia="宋体" w:cs="宋体"/>
                <w:spacing w:val="1"/>
                <w:sz w:val="24"/>
                <w:szCs w:val="24"/>
              </w:rPr>
              <w:t>传</w:t>
            </w:r>
            <w:r>
              <w:rPr>
                <w:rFonts w:hint="eastAsia" w:ascii="宋体" w:hAnsi="宋体" w:eastAsia="宋体" w:cs="宋体"/>
                <w:spacing w:val="27"/>
                <w:sz w:val="24"/>
                <w:szCs w:val="24"/>
              </w:rPr>
              <w:t xml:space="preserve">   </w:t>
            </w:r>
            <w:r>
              <w:rPr>
                <w:rFonts w:hint="eastAsia" w:ascii="宋体" w:hAnsi="宋体" w:eastAsia="宋体" w:cs="宋体"/>
                <w:spacing w:val="1"/>
                <w:sz w:val="24"/>
                <w:szCs w:val="24"/>
              </w:rPr>
              <w:t>真</w:t>
            </w:r>
          </w:p>
        </w:tc>
        <w:tc>
          <w:tcPr>
            <w:tcW w:w="1970" w:type="dxa"/>
            <w:noWrap w:val="0"/>
            <w:vAlign w:val="top"/>
          </w:tcPr>
          <w:p w14:paraId="165ACF69">
            <w:pPr>
              <w:autoSpaceDE w:val="0"/>
              <w:autoSpaceDN w:val="0"/>
              <w:rPr>
                <w:rFonts w:hint="eastAsia" w:ascii="宋体" w:hAnsi="宋体" w:eastAsia="宋体" w:cs="宋体"/>
                <w:sz w:val="24"/>
                <w:szCs w:val="24"/>
              </w:rPr>
            </w:pPr>
          </w:p>
        </w:tc>
      </w:tr>
      <w:tr w14:paraId="1312A9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7" w:hRule="atLeast"/>
        </w:trPr>
        <w:tc>
          <w:tcPr>
            <w:tcW w:w="2754" w:type="dxa"/>
            <w:noWrap w:val="0"/>
            <w:vAlign w:val="top"/>
          </w:tcPr>
          <w:p w14:paraId="4C7A16DE">
            <w:pPr>
              <w:pStyle w:val="79"/>
              <w:autoSpaceDE w:val="0"/>
              <w:autoSpaceDN w:val="0"/>
              <w:spacing w:before="193" w:line="227" w:lineRule="auto"/>
              <w:ind w:left="590"/>
              <w:rPr>
                <w:rFonts w:hint="eastAsia" w:ascii="宋体" w:hAnsi="宋体" w:eastAsia="宋体" w:cs="宋体"/>
                <w:sz w:val="24"/>
                <w:szCs w:val="24"/>
              </w:rPr>
            </w:pPr>
            <w:r>
              <w:rPr>
                <w:rFonts w:hint="eastAsia" w:ascii="宋体" w:hAnsi="宋体" w:eastAsia="宋体" w:cs="宋体"/>
                <w:spacing w:val="19"/>
                <w:sz w:val="24"/>
                <w:szCs w:val="24"/>
              </w:rPr>
              <w:t>现有职工人数</w:t>
            </w:r>
          </w:p>
        </w:tc>
        <w:tc>
          <w:tcPr>
            <w:tcW w:w="2121" w:type="dxa"/>
            <w:noWrap w:val="0"/>
            <w:vAlign w:val="top"/>
          </w:tcPr>
          <w:p w14:paraId="1AF45A05">
            <w:pPr>
              <w:autoSpaceDE w:val="0"/>
              <w:autoSpaceDN w:val="0"/>
              <w:rPr>
                <w:rFonts w:hint="eastAsia" w:ascii="宋体" w:hAnsi="宋体" w:eastAsia="宋体" w:cs="宋体"/>
                <w:sz w:val="24"/>
                <w:szCs w:val="24"/>
              </w:rPr>
            </w:pPr>
          </w:p>
        </w:tc>
        <w:tc>
          <w:tcPr>
            <w:tcW w:w="1985" w:type="dxa"/>
            <w:noWrap w:val="0"/>
            <w:vAlign w:val="top"/>
          </w:tcPr>
          <w:p w14:paraId="4C73F7DD">
            <w:pPr>
              <w:pStyle w:val="79"/>
              <w:autoSpaceDE w:val="0"/>
              <w:autoSpaceDN w:val="0"/>
              <w:spacing w:before="193" w:line="227" w:lineRule="auto"/>
              <w:ind w:left="213"/>
              <w:rPr>
                <w:rFonts w:hint="eastAsia" w:ascii="宋体" w:hAnsi="宋体" w:eastAsia="宋体" w:cs="宋体"/>
                <w:sz w:val="24"/>
                <w:szCs w:val="24"/>
              </w:rPr>
            </w:pPr>
            <w:r>
              <w:rPr>
                <w:rFonts w:hint="eastAsia" w:ascii="宋体" w:hAnsi="宋体" w:eastAsia="宋体" w:cs="宋体"/>
                <w:spacing w:val="18"/>
                <w:sz w:val="24"/>
                <w:szCs w:val="24"/>
              </w:rPr>
              <w:t>公司管理人员</w:t>
            </w:r>
          </w:p>
        </w:tc>
        <w:tc>
          <w:tcPr>
            <w:tcW w:w="1970" w:type="dxa"/>
            <w:noWrap w:val="0"/>
            <w:vAlign w:val="top"/>
          </w:tcPr>
          <w:p w14:paraId="05093EED">
            <w:pPr>
              <w:autoSpaceDE w:val="0"/>
              <w:autoSpaceDN w:val="0"/>
              <w:rPr>
                <w:rFonts w:hint="eastAsia" w:ascii="宋体" w:hAnsi="宋体" w:eastAsia="宋体" w:cs="宋体"/>
                <w:sz w:val="24"/>
                <w:szCs w:val="24"/>
              </w:rPr>
            </w:pPr>
          </w:p>
        </w:tc>
      </w:tr>
      <w:tr w14:paraId="10C25A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1" w:hRule="atLeast"/>
        </w:trPr>
        <w:tc>
          <w:tcPr>
            <w:tcW w:w="2754" w:type="dxa"/>
            <w:noWrap w:val="0"/>
            <w:vAlign w:val="top"/>
          </w:tcPr>
          <w:p w14:paraId="05E20848">
            <w:pPr>
              <w:pStyle w:val="79"/>
              <w:autoSpaceDE w:val="0"/>
              <w:autoSpaceDN w:val="0"/>
              <w:spacing w:before="287" w:line="227" w:lineRule="auto"/>
              <w:ind w:left="722"/>
              <w:rPr>
                <w:rFonts w:hint="eastAsia" w:ascii="宋体" w:hAnsi="宋体" w:eastAsia="宋体" w:cs="宋体"/>
                <w:sz w:val="24"/>
                <w:szCs w:val="24"/>
              </w:rPr>
            </w:pPr>
            <w:r>
              <w:rPr>
                <w:rFonts w:hint="eastAsia" w:ascii="宋体" w:hAnsi="宋体" w:eastAsia="宋体" w:cs="宋体"/>
                <w:spacing w:val="17"/>
                <w:sz w:val="24"/>
                <w:szCs w:val="24"/>
              </w:rPr>
              <w:t>高级工程师</w:t>
            </w:r>
          </w:p>
        </w:tc>
        <w:tc>
          <w:tcPr>
            <w:tcW w:w="6076" w:type="dxa"/>
            <w:gridSpan w:val="3"/>
            <w:noWrap w:val="0"/>
            <w:vAlign w:val="top"/>
          </w:tcPr>
          <w:p w14:paraId="2307ACB1">
            <w:pPr>
              <w:pStyle w:val="79"/>
              <w:autoSpaceDE w:val="0"/>
              <w:autoSpaceDN w:val="0"/>
              <w:spacing w:before="286" w:line="230" w:lineRule="auto"/>
              <w:ind w:left="2890"/>
              <w:rPr>
                <w:rFonts w:hint="eastAsia" w:ascii="宋体" w:hAnsi="宋体" w:eastAsia="宋体" w:cs="宋体"/>
                <w:sz w:val="24"/>
                <w:szCs w:val="24"/>
              </w:rPr>
            </w:pPr>
            <w:r>
              <w:rPr>
                <w:rFonts w:hint="eastAsia" w:ascii="宋体" w:hAnsi="宋体" w:eastAsia="宋体" w:cs="宋体"/>
                <w:sz w:val="24"/>
                <w:szCs w:val="24"/>
              </w:rPr>
              <w:t>人</w:t>
            </w:r>
          </w:p>
        </w:tc>
      </w:tr>
      <w:tr w14:paraId="5318B7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6" w:hRule="atLeast"/>
        </w:trPr>
        <w:tc>
          <w:tcPr>
            <w:tcW w:w="2754" w:type="dxa"/>
            <w:noWrap w:val="0"/>
            <w:vAlign w:val="top"/>
          </w:tcPr>
          <w:p w14:paraId="77F7C16C">
            <w:pPr>
              <w:pStyle w:val="79"/>
              <w:autoSpaceDE w:val="0"/>
              <w:autoSpaceDN w:val="0"/>
              <w:spacing w:before="301" w:line="227" w:lineRule="auto"/>
              <w:ind w:left="970"/>
              <w:rPr>
                <w:rFonts w:hint="eastAsia" w:ascii="宋体" w:hAnsi="宋体" w:eastAsia="宋体" w:cs="宋体"/>
                <w:sz w:val="24"/>
                <w:szCs w:val="24"/>
              </w:rPr>
            </w:pPr>
            <w:r>
              <w:rPr>
                <w:rFonts w:hint="eastAsia" w:ascii="宋体" w:hAnsi="宋体" w:eastAsia="宋体" w:cs="宋体"/>
                <w:spacing w:val="16"/>
                <w:sz w:val="24"/>
                <w:szCs w:val="24"/>
              </w:rPr>
              <w:t>工程师</w:t>
            </w:r>
          </w:p>
        </w:tc>
        <w:tc>
          <w:tcPr>
            <w:tcW w:w="6076" w:type="dxa"/>
            <w:gridSpan w:val="3"/>
            <w:noWrap w:val="0"/>
            <w:vAlign w:val="top"/>
          </w:tcPr>
          <w:p w14:paraId="66FBF0C6">
            <w:pPr>
              <w:pStyle w:val="79"/>
              <w:autoSpaceDE w:val="0"/>
              <w:autoSpaceDN w:val="0"/>
              <w:spacing w:before="301" w:line="230" w:lineRule="auto"/>
              <w:ind w:left="2890"/>
              <w:rPr>
                <w:rFonts w:hint="eastAsia" w:ascii="宋体" w:hAnsi="宋体" w:eastAsia="宋体" w:cs="宋体"/>
                <w:sz w:val="24"/>
                <w:szCs w:val="24"/>
              </w:rPr>
            </w:pPr>
            <w:r>
              <w:rPr>
                <w:rFonts w:hint="eastAsia" w:ascii="宋体" w:hAnsi="宋体" w:eastAsia="宋体" w:cs="宋体"/>
                <w:sz w:val="24"/>
                <w:szCs w:val="24"/>
              </w:rPr>
              <w:t>人</w:t>
            </w:r>
          </w:p>
        </w:tc>
      </w:tr>
      <w:tr w14:paraId="775A5D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6" w:hRule="atLeast"/>
        </w:trPr>
        <w:tc>
          <w:tcPr>
            <w:tcW w:w="2754" w:type="dxa"/>
            <w:noWrap w:val="0"/>
            <w:vAlign w:val="top"/>
          </w:tcPr>
          <w:p w14:paraId="154EFD93">
            <w:pPr>
              <w:pStyle w:val="79"/>
              <w:autoSpaceDE w:val="0"/>
              <w:autoSpaceDN w:val="0"/>
              <w:spacing w:before="301" w:line="227" w:lineRule="auto"/>
              <w:ind w:left="711"/>
              <w:rPr>
                <w:rFonts w:hint="eastAsia" w:ascii="宋体" w:hAnsi="宋体" w:eastAsia="宋体" w:cs="宋体"/>
                <w:sz w:val="24"/>
                <w:szCs w:val="24"/>
              </w:rPr>
            </w:pPr>
            <w:r>
              <w:rPr>
                <w:rFonts w:hint="eastAsia" w:ascii="宋体" w:hAnsi="宋体" w:eastAsia="宋体" w:cs="宋体"/>
                <w:spacing w:val="21"/>
                <w:sz w:val="24"/>
                <w:szCs w:val="24"/>
              </w:rPr>
              <w:t>助理工程师</w:t>
            </w:r>
          </w:p>
        </w:tc>
        <w:tc>
          <w:tcPr>
            <w:tcW w:w="6076" w:type="dxa"/>
            <w:gridSpan w:val="3"/>
            <w:noWrap w:val="0"/>
            <w:vAlign w:val="top"/>
          </w:tcPr>
          <w:p w14:paraId="16C83F9C">
            <w:pPr>
              <w:pStyle w:val="79"/>
              <w:autoSpaceDE w:val="0"/>
              <w:autoSpaceDN w:val="0"/>
              <w:spacing w:before="301" w:line="230" w:lineRule="auto"/>
              <w:ind w:left="2890"/>
              <w:rPr>
                <w:rFonts w:hint="eastAsia" w:ascii="宋体" w:hAnsi="宋体" w:eastAsia="宋体" w:cs="宋体"/>
                <w:sz w:val="24"/>
                <w:szCs w:val="24"/>
              </w:rPr>
            </w:pPr>
            <w:r>
              <w:rPr>
                <w:rFonts w:hint="eastAsia" w:ascii="宋体" w:hAnsi="宋体" w:eastAsia="宋体" w:cs="宋体"/>
                <w:sz w:val="24"/>
                <w:szCs w:val="24"/>
              </w:rPr>
              <w:t>人</w:t>
            </w:r>
          </w:p>
        </w:tc>
      </w:tr>
      <w:tr w14:paraId="5B1FEE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72" w:hRule="atLeast"/>
        </w:trPr>
        <w:tc>
          <w:tcPr>
            <w:tcW w:w="8830" w:type="dxa"/>
            <w:gridSpan w:val="4"/>
            <w:noWrap w:val="0"/>
            <w:vAlign w:val="top"/>
          </w:tcPr>
          <w:p w14:paraId="716D1082">
            <w:pPr>
              <w:pStyle w:val="79"/>
              <w:autoSpaceDE w:val="0"/>
              <w:autoSpaceDN w:val="0"/>
              <w:spacing w:before="76" w:line="227" w:lineRule="auto"/>
              <w:ind w:left="9"/>
              <w:rPr>
                <w:rFonts w:hint="eastAsia" w:ascii="宋体" w:hAnsi="宋体" w:eastAsia="宋体" w:cs="宋体"/>
                <w:sz w:val="24"/>
                <w:szCs w:val="24"/>
              </w:rPr>
            </w:pPr>
            <w:r>
              <w:rPr>
                <w:rFonts w:hint="eastAsia" w:ascii="宋体" w:hAnsi="宋体" w:eastAsia="宋体" w:cs="宋体"/>
                <w:spacing w:val="18"/>
                <w:sz w:val="24"/>
                <w:szCs w:val="24"/>
              </w:rPr>
              <w:t>单位组织机构简介：</w:t>
            </w:r>
          </w:p>
          <w:p w14:paraId="4053F49B">
            <w:pPr>
              <w:pStyle w:val="79"/>
              <w:autoSpaceDE w:val="0"/>
              <w:autoSpaceDN w:val="0"/>
              <w:spacing w:before="27" w:line="362" w:lineRule="exact"/>
              <w:ind w:left="19"/>
              <w:rPr>
                <w:rFonts w:hint="eastAsia" w:ascii="宋体" w:hAnsi="宋体" w:eastAsia="宋体" w:cs="宋体"/>
                <w:sz w:val="24"/>
                <w:szCs w:val="24"/>
              </w:rPr>
            </w:pPr>
            <w:r>
              <w:rPr>
                <w:rFonts w:hint="eastAsia" w:ascii="宋体" w:hAnsi="宋体" w:eastAsia="宋体" w:cs="宋体"/>
                <w:spacing w:val="19"/>
                <w:position w:val="9"/>
                <w:sz w:val="24"/>
                <w:szCs w:val="24"/>
              </w:rPr>
              <w:t>（部室划分、各部室人数）</w:t>
            </w:r>
          </w:p>
          <w:p w14:paraId="691047AB">
            <w:pPr>
              <w:pStyle w:val="79"/>
              <w:autoSpaceDE w:val="0"/>
              <w:autoSpaceDN w:val="0"/>
              <w:spacing w:line="226" w:lineRule="auto"/>
              <w:ind w:left="11"/>
              <w:rPr>
                <w:rFonts w:hint="eastAsia" w:ascii="宋体" w:hAnsi="宋体" w:eastAsia="宋体" w:cs="宋体"/>
                <w:sz w:val="24"/>
                <w:szCs w:val="24"/>
              </w:rPr>
            </w:pPr>
            <w:r>
              <w:rPr>
                <w:rFonts w:hint="eastAsia" w:ascii="宋体" w:hAnsi="宋体" w:eastAsia="宋体" w:cs="宋体"/>
                <w:spacing w:val="23"/>
                <w:sz w:val="24"/>
                <w:szCs w:val="24"/>
              </w:rPr>
              <w:t>企业组织机构框图附后</w:t>
            </w:r>
          </w:p>
        </w:tc>
      </w:tr>
    </w:tbl>
    <w:p w14:paraId="64A4142A">
      <w:pPr>
        <w:pStyle w:val="15"/>
        <w:tabs>
          <w:tab w:val="left" w:pos="567"/>
        </w:tabs>
        <w:spacing w:line="369" w:lineRule="auto"/>
        <w:rPr>
          <w:rFonts w:hint="eastAsia" w:ascii="宋体" w:hAnsi="宋体" w:eastAsia="宋体" w:cs="宋体"/>
          <w:sz w:val="24"/>
          <w:szCs w:val="24"/>
        </w:rPr>
      </w:pPr>
    </w:p>
    <w:p w14:paraId="37E8AE81">
      <w:pPr>
        <w:spacing w:before="75" w:line="227" w:lineRule="auto"/>
        <w:ind w:left="1"/>
        <w:rPr>
          <w:rFonts w:hint="eastAsia" w:ascii="宋体" w:hAnsi="宋体" w:eastAsia="宋体" w:cs="宋体"/>
          <w:sz w:val="24"/>
          <w:szCs w:val="24"/>
        </w:rPr>
      </w:pPr>
      <w:r>
        <w:rPr>
          <w:rFonts w:hint="eastAsia" w:ascii="宋体" w:hAnsi="宋体" w:eastAsia="宋体" w:cs="宋体"/>
          <w:spacing w:val="-4"/>
          <w:sz w:val="24"/>
          <w:szCs w:val="24"/>
        </w:rPr>
        <w:t>投标人全称（盖公章）：</w:t>
      </w:r>
    </w:p>
    <w:p w14:paraId="2A13CFEA">
      <w:pPr>
        <w:spacing w:before="202" w:line="227" w:lineRule="auto"/>
        <w:rPr>
          <w:rFonts w:hint="eastAsia" w:ascii="宋体" w:hAnsi="宋体" w:eastAsia="宋体" w:cs="宋体"/>
          <w:sz w:val="24"/>
          <w:szCs w:val="24"/>
        </w:rPr>
      </w:pPr>
      <w:r>
        <w:rPr>
          <w:rFonts w:hint="eastAsia" w:ascii="宋体" w:hAnsi="宋体" w:eastAsia="宋体" w:cs="宋体"/>
          <w:spacing w:val="1"/>
          <w:sz w:val="24"/>
          <w:szCs w:val="24"/>
        </w:rPr>
        <w:t>法定代表人或授权代表（签名或盖章</w:t>
      </w:r>
      <w:r>
        <w:rPr>
          <w:rFonts w:hint="eastAsia" w:ascii="宋体" w:hAnsi="宋体" w:eastAsia="宋体" w:cs="宋体"/>
          <w:spacing w:val="4"/>
          <w:sz w:val="24"/>
          <w:szCs w:val="24"/>
        </w:rPr>
        <w:t>）：</w:t>
      </w:r>
    </w:p>
    <w:p w14:paraId="2739D42C">
      <w:pPr>
        <w:spacing w:before="186" w:line="227" w:lineRule="auto"/>
        <w:ind w:left="40"/>
        <w:rPr>
          <w:rFonts w:hint="eastAsia" w:ascii="宋体" w:hAnsi="宋体" w:eastAsia="宋体" w:cs="宋体"/>
          <w:sz w:val="24"/>
          <w:szCs w:val="24"/>
        </w:rPr>
      </w:pPr>
      <w:r>
        <w:rPr>
          <w:rFonts w:hint="eastAsia" w:ascii="宋体" w:hAnsi="宋体" w:eastAsia="宋体" w:cs="宋体"/>
          <w:spacing w:val="-13"/>
          <w:sz w:val="24"/>
          <w:szCs w:val="24"/>
        </w:rPr>
        <w:t>日</w:t>
      </w:r>
      <w:r>
        <w:rPr>
          <w:rFonts w:hint="eastAsia" w:ascii="宋体" w:hAnsi="宋体" w:eastAsia="宋体" w:cs="宋体"/>
          <w:spacing w:val="40"/>
          <w:sz w:val="24"/>
          <w:szCs w:val="24"/>
        </w:rPr>
        <w:t xml:space="preserve">   </w:t>
      </w:r>
      <w:r>
        <w:rPr>
          <w:rFonts w:hint="eastAsia" w:ascii="宋体" w:hAnsi="宋体" w:eastAsia="宋体" w:cs="宋体"/>
          <w:spacing w:val="-13"/>
          <w:sz w:val="24"/>
          <w:szCs w:val="24"/>
        </w:rPr>
        <w:t>期：       年</w:t>
      </w:r>
      <w:r>
        <w:rPr>
          <w:rFonts w:hint="eastAsia" w:ascii="宋体" w:hAnsi="宋体" w:eastAsia="宋体" w:cs="宋体"/>
          <w:spacing w:val="1"/>
          <w:sz w:val="24"/>
          <w:szCs w:val="24"/>
        </w:rPr>
        <w:t xml:space="preserve">   </w:t>
      </w:r>
      <w:r>
        <w:rPr>
          <w:rFonts w:hint="eastAsia" w:ascii="宋体" w:hAnsi="宋体" w:eastAsia="宋体" w:cs="宋体"/>
          <w:spacing w:val="-13"/>
          <w:sz w:val="24"/>
          <w:szCs w:val="24"/>
        </w:rPr>
        <w:t>月</w:t>
      </w:r>
      <w:r>
        <w:rPr>
          <w:rFonts w:hint="eastAsia" w:ascii="宋体" w:hAnsi="宋体" w:eastAsia="宋体" w:cs="宋体"/>
          <w:spacing w:val="37"/>
          <w:sz w:val="24"/>
          <w:szCs w:val="24"/>
        </w:rPr>
        <w:t xml:space="preserve">   </w:t>
      </w:r>
      <w:r>
        <w:rPr>
          <w:rFonts w:hint="eastAsia" w:ascii="宋体" w:hAnsi="宋体" w:eastAsia="宋体" w:cs="宋体"/>
          <w:spacing w:val="-13"/>
          <w:sz w:val="24"/>
          <w:szCs w:val="24"/>
        </w:rPr>
        <w:t>日</w:t>
      </w:r>
    </w:p>
    <w:p w14:paraId="3F0CBEB7">
      <w:pPr>
        <w:spacing w:line="227" w:lineRule="auto"/>
        <w:rPr>
          <w:rFonts w:hint="eastAsia" w:ascii="宋体" w:hAnsi="宋体" w:eastAsia="宋体" w:cs="宋体"/>
          <w:sz w:val="24"/>
          <w:szCs w:val="24"/>
        </w:rPr>
        <w:sectPr>
          <w:footerReference r:id="rId17" w:type="default"/>
          <w:pgSz w:w="11906" w:h="16838"/>
          <w:pgMar w:top="400" w:right="1650" w:bottom="1097" w:left="1200" w:header="0" w:footer="937" w:gutter="0"/>
          <w:pgNumType w:fmt="decimal"/>
          <w:cols w:space="720" w:num="1"/>
        </w:sectPr>
      </w:pPr>
    </w:p>
    <w:p w14:paraId="58A6480F">
      <w:pPr>
        <w:spacing w:before="91" w:line="219" w:lineRule="auto"/>
        <w:ind w:left="3237"/>
        <w:rPr>
          <w:rFonts w:hint="eastAsia" w:ascii="宋体" w:hAnsi="宋体" w:eastAsia="宋体" w:cs="宋体"/>
          <w:b/>
          <w:bCs/>
          <w:sz w:val="24"/>
          <w:szCs w:val="24"/>
        </w:rPr>
      </w:pPr>
      <w:r>
        <w:rPr>
          <w:rFonts w:hint="eastAsia" w:ascii="宋体" w:hAnsi="宋体" w:eastAsia="宋体" w:cs="宋体"/>
          <w:b/>
          <w:bCs/>
          <w:spacing w:val="-22"/>
          <w:sz w:val="24"/>
          <w:szCs w:val="24"/>
        </w:rPr>
        <w:t>拟投入人员一览表</w:t>
      </w:r>
    </w:p>
    <w:p w14:paraId="54749CE2">
      <w:pPr>
        <w:pStyle w:val="15"/>
        <w:tabs>
          <w:tab w:val="left" w:pos="567"/>
        </w:tabs>
        <w:rPr>
          <w:rFonts w:hint="eastAsia" w:ascii="宋体" w:hAnsi="宋体" w:eastAsia="宋体" w:cs="宋体"/>
          <w:sz w:val="24"/>
          <w:szCs w:val="24"/>
        </w:rPr>
      </w:pPr>
    </w:p>
    <w:p w14:paraId="79B96FED">
      <w:pPr>
        <w:pStyle w:val="15"/>
        <w:tabs>
          <w:tab w:val="left" w:pos="567"/>
        </w:tabs>
        <w:spacing w:line="241" w:lineRule="auto"/>
        <w:rPr>
          <w:rFonts w:hint="eastAsia" w:ascii="宋体" w:hAnsi="宋体" w:eastAsia="宋体" w:cs="宋体"/>
          <w:sz w:val="24"/>
          <w:szCs w:val="24"/>
        </w:rPr>
      </w:pPr>
    </w:p>
    <w:p w14:paraId="13E33515">
      <w:pPr>
        <w:pStyle w:val="15"/>
        <w:tabs>
          <w:tab w:val="left" w:pos="567"/>
        </w:tabs>
        <w:spacing w:line="241" w:lineRule="auto"/>
        <w:rPr>
          <w:rFonts w:hint="eastAsia" w:ascii="宋体" w:hAnsi="宋体" w:eastAsia="宋体" w:cs="宋体"/>
          <w:sz w:val="24"/>
          <w:szCs w:val="24"/>
        </w:rPr>
      </w:pPr>
    </w:p>
    <w:p w14:paraId="01FA2C98">
      <w:pPr>
        <w:spacing w:before="75" w:line="228" w:lineRule="auto"/>
        <w:ind w:left="14"/>
        <w:rPr>
          <w:rFonts w:hint="eastAsia" w:ascii="宋体" w:hAnsi="宋体" w:eastAsia="宋体" w:cs="宋体"/>
          <w:sz w:val="24"/>
          <w:szCs w:val="24"/>
        </w:rPr>
      </w:pPr>
      <w:r>
        <w:rPr>
          <w:rFonts w:hint="eastAsia" w:ascii="宋体" w:hAnsi="宋体" w:eastAsia="宋体" w:cs="宋体"/>
          <w:sz w:val="24"/>
          <w:szCs w:val="24"/>
          <w:u w:val="single" w:color="auto"/>
          <w:lang w:eastAsia="zh-CN"/>
        </w:rPr>
        <w:t>项目名称：</w:t>
      </w:r>
      <w:r>
        <w:rPr>
          <w:rFonts w:hint="eastAsia" w:ascii="宋体" w:hAnsi="宋体" w:eastAsia="宋体" w:cs="宋体"/>
          <w:sz w:val="24"/>
          <w:szCs w:val="24"/>
          <w:u w:val="single" w:color="auto"/>
        </w:rPr>
        <w:t xml:space="preserve">                 </w:t>
      </w:r>
    </w:p>
    <w:p w14:paraId="1ADB246F">
      <w:pPr>
        <w:spacing w:before="282" w:line="227" w:lineRule="auto"/>
        <w:ind w:left="14"/>
        <w:rPr>
          <w:rFonts w:hint="eastAsia" w:ascii="宋体" w:hAnsi="宋体" w:eastAsia="宋体" w:cs="宋体"/>
          <w:sz w:val="24"/>
          <w:szCs w:val="24"/>
        </w:rPr>
      </w:pPr>
      <w:r>
        <w:rPr>
          <w:rFonts w:hint="eastAsia" w:ascii="宋体" w:hAnsi="宋体" w:eastAsia="宋体" w:cs="宋体"/>
          <w:sz w:val="24"/>
          <w:szCs w:val="24"/>
          <w:u w:val="single" w:color="auto"/>
          <w:lang w:eastAsia="zh-CN"/>
        </w:rPr>
        <w:t>项目编号：</w:t>
      </w:r>
      <w:r>
        <w:rPr>
          <w:rFonts w:hint="eastAsia" w:ascii="宋体" w:hAnsi="宋体" w:eastAsia="宋体" w:cs="宋体"/>
          <w:sz w:val="24"/>
          <w:szCs w:val="24"/>
          <w:u w:val="single" w:color="auto"/>
        </w:rPr>
        <w:t xml:space="preserve">                 </w:t>
      </w:r>
    </w:p>
    <w:p w14:paraId="43FADCFC">
      <w:pPr>
        <w:spacing w:line="106" w:lineRule="exact"/>
        <w:rPr>
          <w:rFonts w:hint="eastAsia" w:ascii="宋体" w:hAnsi="宋体" w:eastAsia="宋体" w:cs="宋体"/>
          <w:sz w:val="24"/>
          <w:szCs w:val="24"/>
        </w:rPr>
      </w:pPr>
    </w:p>
    <w:tbl>
      <w:tblPr>
        <w:tblStyle w:val="78"/>
        <w:tblW w:w="853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94"/>
        <w:gridCol w:w="1066"/>
        <w:gridCol w:w="1066"/>
        <w:gridCol w:w="1066"/>
        <w:gridCol w:w="1054"/>
        <w:gridCol w:w="1054"/>
        <w:gridCol w:w="1055"/>
        <w:gridCol w:w="1076"/>
      </w:tblGrid>
      <w:tr w14:paraId="115CEE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7" w:hRule="atLeast"/>
        </w:trPr>
        <w:tc>
          <w:tcPr>
            <w:tcW w:w="1094" w:type="dxa"/>
            <w:noWrap w:val="0"/>
            <w:vAlign w:val="top"/>
          </w:tcPr>
          <w:p w14:paraId="2142A762">
            <w:pPr>
              <w:pStyle w:val="79"/>
              <w:autoSpaceDE w:val="0"/>
              <w:autoSpaceDN w:val="0"/>
              <w:spacing w:before="188" w:line="229" w:lineRule="auto"/>
              <w:ind w:left="280"/>
              <w:rPr>
                <w:rFonts w:hint="eastAsia" w:ascii="宋体" w:hAnsi="宋体" w:eastAsia="宋体" w:cs="宋体"/>
                <w:sz w:val="24"/>
                <w:szCs w:val="24"/>
              </w:rPr>
            </w:pPr>
            <w:r>
              <w:rPr>
                <w:rFonts w:hint="eastAsia" w:ascii="宋体" w:hAnsi="宋体" w:eastAsia="宋体" w:cs="宋体"/>
                <w:spacing w:val="5"/>
                <w:sz w:val="24"/>
                <w:szCs w:val="24"/>
              </w:rPr>
              <w:t>序号</w:t>
            </w:r>
          </w:p>
        </w:tc>
        <w:tc>
          <w:tcPr>
            <w:tcW w:w="1066" w:type="dxa"/>
            <w:noWrap w:val="0"/>
            <w:vAlign w:val="top"/>
          </w:tcPr>
          <w:p w14:paraId="42697FC5">
            <w:pPr>
              <w:pStyle w:val="79"/>
              <w:autoSpaceDE w:val="0"/>
              <w:autoSpaceDN w:val="0"/>
              <w:spacing w:before="186" w:line="227" w:lineRule="auto"/>
              <w:ind w:left="267"/>
              <w:rPr>
                <w:rFonts w:hint="eastAsia" w:ascii="宋体" w:hAnsi="宋体" w:eastAsia="宋体" w:cs="宋体"/>
                <w:sz w:val="24"/>
                <w:szCs w:val="24"/>
              </w:rPr>
            </w:pPr>
            <w:r>
              <w:rPr>
                <w:rFonts w:hint="eastAsia" w:ascii="宋体" w:hAnsi="宋体" w:eastAsia="宋体" w:cs="宋体"/>
                <w:spacing w:val="5"/>
                <w:sz w:val="24"/>
                <w:szCs w:val="24"/>
              </w:rPr>
              <w:t>姓名</w:t>
            </w:r>
          </w:p>
        </w:tc>
        <w:tc>
          <w:tcPr>
            <w:tcW w:w="1066" w:type="dxa"/>
            <w:noWrap w:val="0"/>
            <w:vAlign w:val="top"/>
          </w:tcPr>
          <w:p w14:paraId="6BB69A0F">
            <w:pPr>
              <w:pStyle w:val="79"/>
              <w:autoSpaceDE w:val="0"/>
              <w:autoSpaceDN w:val="0"/>
              <w:spacing w:before="188" w:line="228" w:lineRule="auto"/>
              <w:ind w:left="269"/>
              <w:rPr>
                <w:rFonts w:hint="eastAsia" w:ascii="宋体" w:hAnsi="宋体" w:eastAsia="宋体" w:cs="宋体"/>
                <w:sz w:val="24"/>
                <w:szCs w:val="24"/>
              </w:rPr>
            </w:pPr>
            <w:r>
              <w:rPr>
                <w:rFonts w:hint="eastAsia" w:ascii="宋体" w:hAnsi="宋体" w:eastAsia="宋体" w:cs="宋体"/>
                <w:spacing w:val="3"/>
                <w:sz w:val="24"/>
                <w:szCs w:val="24"/>
              </w:rPr>
              <w:t>性别</w:t>
            </w:r>
          </w:p>
        </w:tc>
        <w:tc>
          <w:tcPr>
            <w:tcW w:w="1066" w:type="dxa"/>
            <w:noWrap w:val="0"/>
            <w:vAlign w:val="top"/>
          </w:tcPr>
          <w:p w14:paraId="37EE886D">
            <w:pPr>
              <w:pStyle w:val="79"/>
              <w:autoSpaceDE w:val="0"/>
              <w:autoSpaceDN w:val="0"/>
              <w:spacing w:before="186" w:line="227" w:lineRule="auto"/>
              <w:ind w:left="270"/>
              <w:rPr>
                <w:rFonts w:hint="eastAsia" w:ascii="宋体" w:hAnsi="宋体" w:eastAsia="宋体" w:cs="宋体"/>
                <w:sz w:val="24"/>
                <w:szCs w:val="24"/>
              </w:rPr>
            </w:pPr>
            <w:r>
              <w:rPr>
                <w:rFonts w:hint="eastAsia" w:ascii="宋体" w:hAnsi="宋体" w:eastAsia="宋体" w:cs="宋体"/>
                <w:spacing w:val="4"/>
                <w:sz w:val="24"/>
                <w:szCs w:val="24"/>
              </w:rPr>
              <w:t>年龄</w:t>
            </w:r>
          </w:p>
        </w:tc>
        <w:tc>
          <w:tcPr>
            <w:tcW w:w="1054" w:type="dxa"/>
            <w:noWrap w:val="0"/>
            <w:vAlign w:val="top"/>
          </w:tcPr>
          <w:p w14:paraId="4AB7D200">
            <w:pPr>
              <w:pStyle w:val="79"/>
              <w:autoSpaceDE w:val="0"/>
              <w:autoSpaceDN w:val="0"/>
              <w:spacing w:before="186" w:line="227" w:lineRule="auto"/>
              <w:ind w:left="43"/>
              <w:rPr>
                <w:rFonts w:hint="eastAsia" w:ascii="宋体" w:hAnsi="宋体" w:eastAsia="宋体" w:cs="宋体"/>
                <w:sz w:val="24"/>
                <w:szCs w:val="24"/>
              </w:rPr>
            </w:pPr>
            <w:r>
              <w:rPr>
                <w:rFonts w:hint="eastAsia" w:ascii="宋体" w:hAnsi="宋体" w:eastAsia="宋体" w:cs="宋体"/>
                <w:sz w:val="24"/>
                <w:szCs w:val="24"/>
              </w:rPr>
              <w:t>从业年限</w:t>
            </w:r>
          </w:p>
        </w:tc>
        <w:tc>
          <w:tcPr>
            <w:tcW w:w="1054" w:type="dxa"/>
            <w:noWrap w:val="0"/>
            <w:vAlign w:val="top"/>
          </w:tcPr>
          <w:p w14:paraId="74346E60">
            <w:pPr>
              <w:pStyle w:val="79"/>
              <w:autoSpaceDE w:val="0"/>
              <w:autoSpaceDN w:val="0"/>
              <w:spacing w:before="185" w:line="227" w:lineRule="auto"/>
              <w:ind w:left="57"/>
              <w:rPr>
                <w:rFonts w:hint="eastAsia" w:ascii="宋体" w:hAnsi="宋体" w:eastAsia="宋体" w:cs="宋体"/>
                <w:sz w:val="24"/>
                <w:szCs w:val="24"/>
              </w:rPr>
            </w:pPr>
            <w:r>
              <w:rPr>
                <w:rFonts w:hint="eastAsia" w:ascii="宋体" w:hAnsi="宋体" w:eastAsia="宋体" w:cs="宋体"/>
                <w:spacing w:val="-4"/>
                <w:sz w:val="24"/>
                <w:szCs w:val="24"/>
              </w:rPr>
              <w:t>资格证书</w:t>
            </w:r>
          </w:p>
        </w:tc>
        <w:tc>
          <w:tcPr>
            <w:tcW w:w="1055" w:type="dxa"/>
            <w:noWrap w:val="0"/>
            <w:vAlign w:val="top"/>
          </w:tcPr>
          <w:p w14:paraId="78A0CE8A">
            <w:pPr>
              <w:pStyle w:val="79"/>
              <w:autoSpaceDE w:val="0"/>
              <w:autoSpaceDN w:val="0"/>
              <w:spacing w:before="185" w:line="227" w:lineRule="auto"/>
              <w:ind w:left="42"/>
              <w:rPr>
                <w:rFonts w:hint="eastAsia" w:ascii="宋体" w:hAnsi="宋体" w:eastAsia="宋体" w:cs="宋体"/>
                <w:sz w:val="24"/>
                <w:szCs w:val="24"/>
              </w:rPr>
            </w:pPr>
            <w:r>
              <w:rPr>
                <w:rFonts w:hint="eastAsia" w:ascii="宋体" w:hAnsi="宋体" w:eastAsia="宋体" w:cs="宋体"/>
                <w:spacing w:val="1"/>
                <w:sz w:val="24"/>
                <w:szCs w:val="24"/>
              </w:rPr>
              <w:t>拟任职务</w:t>
            </w:r>
          </w:p>
        </w:tc>
        <w:tc>
          <w:tcPr>
            <w:tcW w:w="1076" w:type="dxa"/>
            <w:noWrap w:val="0"/>
            <w:vAlign w:val="top"/>
          </w:tcPr>
          <w:p w14:paraId="646E6B1A">
            <w:pPr>
              <w:pStyle w:val="79"/>
              <w:autoSpaceDE w:val="0"/>
              <w:autoSpaceDN w:val="0"/>
              <w:spacing w:before="188" w:line="229" w:lineRule="auto"/>
              <w:ind w:left="281"/>
              <w:rPr>
                <w:rFonts w:hint="eastAsia" w:ascii="宋体" w:hAnsi="宋体" w:eastAsia="宋体" w:cs="宋体"/>
                <w:sz w:val="24"/>
                <w:szCs w:val="24"/>
              </w:rPr>
            </w:pPr>
            <w:r>
              <w:rPr>
                <w:rFonts w:hint="eastAsia" w:ascii="宋体" w:hAnsi="宋体" w:eastAsia="宋体" w:cs="宋体"/>
                <w:spacing w:val="2"/>
                <w:sz w:val="24"/>
                <w:szCs w:val="24"/>
              </w:rPr>
              <w:t>备注</w:t>
            </w:r>
          </w:p>
        </w:tc>
      </w:tr>
      <w:tr w14:paraId="78F0E4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trPr>
        <w:tc>
          <w:tcPr>
            <w:tcW w:w="1094" w:type="dxa"/>
            <w:noWrap w:val="0"/>
            <w:vAlign w:val="top"/>
          </w:tcPr>
          <w:p w14:paraId="55134127">
            <w:pPr>
              <w:pStyle w:val="79"/>
              <w:autoSpaceDE w:val="0"/>
              <w:autoSpaceDN w:val="0"/>
              <w:spacing w:before="214" w:line="189" w:lineRule="auto"/>
              <w:ind w:left="479"/>
              <w:rPr>
                <w:rFonts w:hint="eastAsia" w:ascii="宋体" w:hAnsi="宋体" w:eastAsia="宋体" w:cs="宋体"/>
                <w:sz w:val="24"/>
                <w:szCs w:val="24"/>
              </w:rPr>
            </w:pPr>
            <w:r>
              <w:rPr>
                <w:rFonts w:hint="eastAsia" w:ascii="宋体" w:hAnsi="宋体" w:eastAsia="宋体" w:cs="宋体"/>
                <w:sz w:val="24"/>
                <w:szCs w:val="24"/>
              </w:rPr>
              <w:t>1</w:t>
            </w:r>
          </w:p>
        </w:tc>
        <w:tc>
          <w:tcPr>
            <w:tcW w:w="1066" w:type="dxa"/>
            <w:noWrap w:val="0"/>
            <w:vAlign w:val="top"/>
          </w:tcPr>
          <w:p w14:paraId="6390BC07">
            <w:pPr>
              <w:autoSpaceDE w:val="0"/>
              <w:autoSpaceDN w:val="0"/>
              <w:rPr>
                <w:rFonts w:hint="eastAsia" w:ascii="宋体" w:hAnsi="宋体" w:eastAsia="宋体" w:cs="宋体"/>
                <w:sz w:val="24"/>
                <w:szCs w:val="24"/>
              </w:rPr>
            </w:pPr>
          </w:p>
        </w:tc>
        <w:tc>
          <w:tcPr>
            <w:tcW w:w="1066" w:type="dxa"/>
            <w:noWrap w:val="0"/>
            <w:vAlign w:val="top"/>
          </w:tcPr>
          <w:p w14:paraId="261024A7">
            <w:pPr>
              <w:autoSpaceDE w:val="0"/>
              <w:autoSpaceDN w:val="0"/>
              <w:rPr>
                <w:rFonts w:hint="eastAsia" w:ascii="宋体" w:hAnsi="宋体" w:eastAsia="宋体" w:cs="宋体"/>
                <w:sz w:val="24"/>
                <w:szCs w:val="24"/>
              </w:rPr>
            </w:pPr>
          </w:p>
        </w:tc>
        <w:tc>
          <w:tcPr>
            <w:tcW w:w="1066" w:type="dxa"/>
            <w:noWrap w:val="0"/>
            <w:vAlign w:val="top"/>
          </w:tcPr>
          <w:p w14:paraId="592781AB">
            <w:pPr>
              <w:autoSpaceDE w:val="0"/>
              <w:autoSpaceDN w:val="0"/>
              <w:rPr>
                <w:rFonts w:hint="eastAsia" w:ascii="宋体" w:hAnsi="宋体" w:eastAsia="宋体" w:cs="宋体"/>
                <w:sz w:val="24"/>
                <w:szCs w:val="24"/>
              </w:rPr>
            </w:pPr>
          </w:p>
        </w:tc>
        <w:tc>
          <w:tcPr>
            <w:tcW w:w="1054" w:type="dxa"/>
            <w:noWrap w:val="0"/>
            <w:vAlign w:val="top"/>
          </w:tcPr>
          <w:p w14:paraId="57586E5F">
            <w:pPr>
              <w:autoSpaceDE w:val="0"/>
              <w:autoSpaceDN w:val="0"/>
              <w:rPr>
                <w:rFonts w:hint="eastAsia" w:ascii="宋体" w:hAnsi="宋体" w:eastAsia="宋体" w:cs="宋体"/>
                <w:sz w:val="24"/>
                <w:szCs w:val="24"/>
              </w:rPr>
            </w:pPr>
          </w:p>
        </w:tc>
        <w:tc>
          <w:tcPr>
            <w:tcW w:w="1054" w:type="dxa"/>
            <w:noWrap w:val="0"/>
            <w:vAlign w:val="top"/>
          </w:tcPr>
          <w:p w14:paraId="2FB739AD">
            <w:pPr>
              <w:autoSpaceDE w:val="0"/>
              <w:autoSpaceDN w:val="0"/>
              <w:rPr>
                <w:rFonts w:hint="eastAsia" w:ascii="宋体" w:hAnsi="宋体" w:eastAsia="宋体" w:cs="宋体"/>
                <w:sz w:val="24"/>
                <w:szCs w:val="24"/>
              </w:rPr>
            </w:pPr>
          </w:p>
        </w:tc>
        <w:tc>
          <w:tcPr>
            <w:tcW w:w="1055" w:type="dxa"/>
            <w:noWrap w:val="0"/>
            <w:vAlign w:val="top"/>
          </w:tcPr>
          <w:p w14:paraId="45A00040">
            <w:pPr>
              <w:autoSpaceDE w:val="0"/>
              <w:autoSpaceDN w:val="0"/>
              <w:rPr>
                <w:rFonts w:hint="eastAsia" w:ascii="宋体" w:hAnsi="宋体" w:eastAsia="宋体" w:cs="宋体"/>
                <w:sz w:val="24"/>
                <w:szCs w:val="24"/>
              </w:rPr>
            </w:pPr>
          </w:p>
        </w:tc>
        <w:tc>
          <w:tcPr>
            <w:tcW w:w="1076" w:type="dxa"/>
            <w:noWrap w:val="0"/>
            <w:vAlign w:val="top"/>
          </w:tcPr>
          <w:p w14:paraId="45342511">
            <w:pPr>
              <w:autoSpaceDE w:val="0"/>
              <w:autoSpaceDN w:val="0"/>
              <w:rPr>
                <w:rFonts w:hint="eastAsia" w:ascii="宋体" w:hAnsi="宋体" w:eastAsia="宋体" w:cs="宋体"/>
                <w:sz w:val="24"/>
                <w:szCs w:val="24"/>
              </w:rPr>
            </w:pPr>
          </w:p>
        </w:tc>
      </w:tr>
      <w:tr w14:paraId="70475D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trPr>
        <w:tc>
          <w:tcPr>
            <w:tcW w:w="1094" w:type="dxa"/>
            <w:noWrap w:val="0"/>
            <w:vAlign w:val="top"/>
          </w:tcPr>
          <w:p w14:paraId="0F10A413">
            <w:pPr>
              <w:pStyle w:val="79"/>
              <w:autoSpaceDE w:val="0"/>
              <w:autoSpaceDN w:val="0"/>
              <w:spacing w:before="218" w:line="188" w:lineRule="auto"/>
              <w:ind w:left="464"/>
              <w:rPr>
                <w:rFonts w:hint="eastAsia" w:ascii="宋体" w:hAnsi="宋体" w:eastAsia="宋体" w:cs="宋体"/>
                <w:sz w:val="24"/>
                <w:szCs w:val="24"/>
              </w:rPr>
            </w:pPr>
            <w:r>
              <w:rPr>
                <w:rFonts w:hint="eastAsia" w:ascii="宋体" w:hAnsi="宋体" w:eastAsia="宋体" w:cs="宋体"/>
                <w:sz w:val="24"/>
                <w:szCs w:val="24"/>
              </w:rPr>
              <w:t>2</w:t>
            </w:r>
          </w:p>
        </w:tc>
        <w:tc>
          <w:tcPr>
            <w:tcW w:w="1066" w:type="dxa"/>
            <w:noWrap w:val="0"/>
            <w:vAlign w:val="top"/>
          </w:tcPr>
          <w:p w14:paraId="6F99CBAF">
            <w:pPr>
              <w:autoSpaceDE w:val="0"/>
              <w:autoSpaceDN w:val="0"/>
              <w:rPr>
                <w:rFonts w:hint="eastAsia" w:ascii="宋体" w:hAnsi="宋体" w:eastAsia="宋体" w:cs="宋体"/>
                <w:sz w:val="24"/>
                <w:szCs w:val="24"/>
              </w:rPr>
            </w:pPr>
          </w:p>
        </w:tc>
        <w:tc>
          <w:tcPr>
            <w:tcW w:w="1066" w:type="dxa"/>
            <w:noWrap w:val="0"/>
            <w:vAlign w:val="top"/>
          </w:tcPr>
          <w:p w14:paraId="492AFC01">
            <w:pPr>
              <w:autoSpaceDE w:val="0"/>
              <w:autoSpaceDN w:val="0"/>
              <w:rPr>
                <w:rFonts w:hint="eastAsia" w:ascii="宋体" w:hAnsi="宋体" w:eastAsia="宋体" w:cs="宋体"/>
                <w:sz w:val="24"/>
                <w:szCs w:val="24"/>
              </w:rPr>
            </w:pPr>
          </w:p>
        </w:tc>
        <w:tc>
          <w:tcPr>
            <w:tcW w:w="1066" w:type="dxa"/>
            <w:noWrap w:val="0"/>
            <w:vAlign w:val="top"/>
          </w:tcPr>
          <w:p w14:paraId="4E05F683">
            <w:pPr>
              <w:autoSpaceDE w:val="0"/>
              <w:autoSpaceDN w:val="0"/>
              <w:rPr>
                <w:rFonts w:hint="eastAsia" w:ascii="宋体" w:hAnsi="宋体" w:eastAsia="宋体" w:cs="宋体"/>
                <w:sz w:val="24"/>
                <w:szCs w:val="24"/>
              </w:rPr>
            </w:pPr>
          </w:p>
        </w:tc>
        <w:tc>
          <w:tcPr>
            <w:tcW w:w="1054" w:type="dxa"/>
            <w:noWrap w:val="0"/>
            <w:vAlign w:val="top"/>
          </w:tcPr>
          <w:p w14:paraId="24155965">
            <w:pPr>
              <w:autoSpaceDE w:val="0"/>
              <w:autoSpaceDN w:val="0"/>
              <w:rPr>
                <w:rFonts w:hint="eastAsia" w:ascii="宋体" w:hAnsi="宋体" w:eastAsia="宋体" w:cs="宋体"/>
                <w:sz w:val="24"/>
                <w:szCs w:val="24"/>
              </w:rPr>
            </w:pPr>
          </w:p>
        </w:tc>
        <w:tc>
          <w:tcPr>
            <w:tcW w:w="1054" w:type="dxa"/>
            <w:noWrap w:val="0"/>
            <w:vAlign w:val="top"/>
          </w:tcPr>
          <w:p w14:paraId="047119E5">
            <w:pPr>
              <w:autoSpaceDE w:val="0"/>
              <w:autoSpaceDN w:val="0"/>
              <w:rPr>
                <w:rFonts w:hint="eastAsia" w:ascii="宋体" w:hAnsi="宋体" w:eastAsia="宋体" w:cs="宋体"/>
                <w:sz w:val="24"/>
                <w:szCs w:val="24"/>
              </w:rPr>
            </w:pPr>
          </w:p>
        </w:tc>
        <w:tc>
          <w:tcPr>
            <w:tcW w:w="1055" w:type="dxa"/>
            <w:noWrap w:val="0"/>
            <w:vAlign w:val="top"/>
          </w:tcPr>
          <w:p w14:paraId="254A6D84">
            <w:pPr>
              <w:autoSpaceDE w:val="0"/>
              <w:autoSpaceDN w:val="0"/>
              <w:rPr>
                <w:rFonts w:hint="eastAsia" w:ascii="宋体" w:hAnsi="宋体" w:eastAsia="宋体" w:cs="宋体"/>
                <w:sz w:val="24"/>
                <w:szCs w:val="24"/>
              </w:rPr>
            </w:pPr>
          </w:p>
        </w:tc>
        <w:tc>
          <w:tcPr>
            <w:tcW w:w="1076" w:type="dxa"/>
            <w:noWrap w:val="0"/>
            <w:vAlign w:val="top"/>
          </w:tcPr>
          <w:p w14:paraId="11FABCBA">
            <w:pPr>
              <w:autoSpaceDE w:val="0"/>
              <w:autoSpaceDN w:val="0"/>
              <w:rPr>
                <w:rFonts w:hint="eastAsia" w:ascii="宋体" w:hAnsi="宋体" w:eastAsia="宋体" w:cs="宋体"/>
                <w:sz w:val="24"/>
                <w:szCs w:val="24"/>
              </w:rPr>
            </w:pPr>
          </w:p>
        </w:tc>
      </w:tr>
      <w:tr w14:paraId="32C168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trPr>
        <w:tc>
          <w:tcPr>
            <w:tcW w:w="1094" w:type="dxa"/>
            <w:noWrap w:val="0"/>
            <w:vAlign w:val="top"/>
          </w:tcPr>
          <w:p w14:paraId="2E26693E">
            <w:pPr>
              <w:pStyle w:val="79"/>
              <w:autoSpaceDE w:val="0"/>
              <w:autoSpaceDN w:val="0"/>
              <w:spacing w:before="220" w:line="189" w:lineRule="auto"/>
              <w:ind w:left="466"/>
              <w:rPr>
                <w:rFonts w:hint="eastAsia" w:ascii="宋体" w:hAnsi="宋体" w:eastAsia="宋体" w:cs="宋体"/>
                <w:sz w:val="24"/>
                <w:szCs w:val="24"/>
              </w:rPr>
            </w:pPr>
            <w:r>
              <w:rPr>
                <w:rFonts w:hint="eastAsia" w:ascii="宋体" w:hAnsi="宋体" w:eastAsia="宋体" w:cs="宋体"/>
                <w:sz w:val="24"/>
                <w:szCs w:val="24"/>
              </w:rPr>
              <w:t>3</w:t>
            </w:r>
          </w:p>
        </w:tc>
        <w:tc>
          <w:tcPr>
            <w:tcW w:w="1066" w:type="dxa"/>
            <w:noWrap w:val="0"/>
            <w:vAlign w:val="top"/>
          </w:tcPr>
          <w:p w14:paraId="0B0E7B75">
            <w:pPr>
              <w:autoSpaceDE w:val="0"/>
              <w:autoSpaceDN w:val="0"/>
              <w:rPr>
                <w:rFonts w:hint="eastAsia" w:ascii="宋体" w:hAnsi="宋体" w:eastAsia="宋体" w:cs="宋体"/>
                <w:sz w:val="24"/>
                <w:szCs w:val="24"/>
              </w:rPr>
            </w:pPr>
          </w:p>
        </w:tc>
        <w:tc>
          <w:tcPr>
            <w:tcW w:w="1066" w:type="dxa"/>
            <w:noWrap w:val="0"/>
            <w:vAlign w:val="top"/>
          </w:tcPr>
          <w:p w14:paraId="61985931">
            <w:pPr>
              <w:autoSpaceDE w:val="0"/>
              <w:autoSpaceDN w:val="0"/>
              <w:rPr>
                <w:rFonts w:hint="eastAsia" w:ascii="宋体" w:hAnsi="宋体" w:eastAsia="宋体" w:cs="宋体"/>
                <w:sz w:val="24"/>
                <w:szCs w:val="24"/>
              </w:rPr>
            </w:pPr>
          </w:p>
        </w:tc>
        <w:tc>
          <w:tcPr>
            <w:tcW w:w="1066" w:type="dxa"/>
            <w:noWrap w:val="0"/>
            <w:vAlign w:val="top"/>
          </w:tcPr>
          <w:p w14:paraId="71B038D6">
            <w:pPr>
              <w:autoSpaceDE w:val="0"/>
              <w:autoSpaceDN w:val="0"/>
              <w:rPr>
                <w:rFonts w:hint="eastAsia" w:ascii="宋体" w:hAnsi="宋体" w:eastAsia="宋体" w:cs="宋体"/>
                <w:sz w:val="24"/>
                <w:szCs w:val="24"/>
              </w:rPr>
            </w:pPr>
          </w:p>
        </w:tc>
        <w:tc>
          <w:tcPr>
            <w:tcW w:w="1054" w:type="dxa"/>
            <w:noWrap w:val="0"/>
            <w:vAlign w:val="top"/>
          </w:tcPr>
          <w:p w14:paraId="2540130F">
            <w:pPr>
              <w:autoSpaceDE w:val="0"/>
              <w:autoSpaceDN w:val="0"/>
              <w:rPr>
                <w:rFonts w:hint="eastAsia" w:ascii="宋体" w:hAnsi="宋体" w:eastAsia="宋体" w:cs="宋体"/>
                <w:sz w:val="24"/>
                <w:szCs w:val="24"/>
              </w:rPr>
            </w:pPr>
          </w:p>
        </w:tc>
        <w:tc>
          <w:tcPr>
            <w:tcW w:w="1054" w:type="dxa"/>
            <w:noWrap w:val="0"/>
            <w:vAlign w:val="top"/>
          </w:tcPr>
          <w:p w14:paraId="4D5BFF92">
            <w:pPr>
              <w:autoSpaceDE w:val="0"/>
              <w:autoSpaceDN w:val="0"/>
              <w:rPr>
                <w:rFonts w:hint="eastAsia" w:ascii="宋体" w:hAnsi="宋体" w:eastAsia="宋体" w:cs="宋体"/>
                <w:sz w:val="24"/>
                <w:szCs w:val="24"/>
              </w:rPr>
            </w:pPr>
          </w:p>
        </w:tc>
        <w:tc>
          <w:tcPr>
            <w:tcW w:w="1055" w:type="dxa"/>
            <w:noWrap w:val="0"/>
            <w:vAlign w:val="top"/>
          </w:tcPr>
          <w:p w14:paraId="0657E9E5">
            <w:pPr>
              <w:autoSpaceDE w:val="0"/>
              <w:autoSpaceDN w:val="0"/>
              <w:rPr>
                <w:rFonts w:hint="eastAsia" w:ascii="宋体" w:hAnsi="宋体" w:eastAsia="宋体" w:cs="宋体"/>
                <w:sz w:val="24"/>
                <w:szCs w:val="24"/>
              </w:rPr>
            </w:pPr>
          </w:p>
        </w:tc>
        <w:tc>
          <w:tcPr>
            <w:tcW w:w="1076" w:type="dxa"/>
            <w:noWrap w:val="0"/>
            <w:vAlign w:val="top"/>
          </w:tcPr>
          <w:p w14:paraId="136CEFDE">
            <w:pPr>
              <w:autoSpaceDE w:val="0"/>
              <w:autoSpaceDN w:val="0"/>
              <w:rPr>
                <w:rFonts w:hint="eastAsia" w:ascii="宋体" w:hAnsi="宋体" w:eastAsia="宋体" w:cs="宋体"/>
                <w:sz w:val="24"/>
                <w:szCs w:val="24"/>
              </w:rPr>
            </w:pPr>
          </w:p>
        </w:tc>
      </w:tr>
      <w:tr w14:paraId="40AD81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4" w:hRule="atLeast"/>
        </w:trPr>
        <w:tc>
          <w:tcPr>
            <w:tcW w:w="1094" w:type="dxa"/>
            <w:noWrap w:val="0"/>
            <w:vAlign w:val="top"/>
          </w:tcPr>
          <w:p w14:paraId="0B924F00">
            <w:pPr>
              <w:pStyle w:val="79"/>
              <w:autoSpaceDE w:val="0"/>
              <w:autoSpaceDN w:val="0"/>
              <w:spacing w:before="221" w:line="188" w:lineRule="auto"/>
              <w:ind w:left="460"/>
              <w:rPr>
                <w:rFonts w:hint="eastAsia" w:ascii="宋体" w:hAnsi="宋体" w:eastAsia="宋体" w:cs="宋体"/>
                <w:sz w:val="24"/>
                <w:szCs w:val="24"/>
              </w:rPr>
            </w:pPr>
            <w:r>
              <w:rPr>
                <w:rFonts w:hint="eastAsia" w:ascii="宋体" w:hAnsi="宋体" w:eastAsia="宋体" w:cs="宋体"/>
                <w:sz w:val="24"/>
                <w:szCs w:val="24"/>
              </w:rPr>
              <w:t>4</w:t>
            </w:r>
          </w:p>
        </w:tc>
        <w:tc>
          <w:tcPr>
            <w:tcW w:w="1066" w:type="dxa"/>
            <w:noWrap w:val="0"/>
            <w:vAlign w:val="top"/>
          </w:tcPr>
          <w:p w14:paraId="53887D0F">
            <w:pPr>
              <w:autoSpaceDE w:val="0"/>
              <w:autoSpaceDN w:val="0"/>
              <w:rPr>
                <w:rFonts w:hint="eastAsia" w:ascii="宋体" w:hAnsi="宋体" w:eastAsia="宋体" w:cs="宋体"/>
                <w:sz w:val="24"/>
                <w:szCs w:val="24"/>
              </w:rPr>
            </w:pPr>
          </w:p>
        </w:tc>
        <w:tc>
          <w:tcPr>
            <w:tcW w:w="1066" w:type="dxa"/>
            <w:noWrap w:val="0"/>
            <w:vAlign w:val="top"/>
          </w:tcPr>
          <w:p w14:paraId="5A814D44">
            <w:pPr>
              <w:autoSpaceDE w:val="0"/>
              <w:autoSpaceDN w:val="0"/>
              <w:rPr>
                <w:rFonts w:hint="eastAsia" w:ascii="宋体" w:hAnsi="宋体" w:eastAsia="宋体" w:cs="宋体"/>
                <w:sz w:val="24"/>
                <w:szCs w:val="24"/>
              </w:rPr>
            </w:pPr>
          </w:p>
        </w:tc>
        <w:tc>
          <w:tcPr>
            <w:tcW w:w="1066" w:type="dxa"/>
            <w:noWrap w:val="0"/>
            <w:vAlign w:val="top"/>
          </w:tcPr>
          <w:p w14:paraId="44F06465">
            <w:pPr>
              <w:autoSpaceDE w:val="0"/>
              <w:autoSpaceDN w:val="0"/>
              <w:rPr>
                <w:rFonts w:hint="eastAsia" w:ascii="宋体" w:hAnsi="宋体" w:eastAsia="宋体" w:cs="宋体"/>
                <w:sz w:val="24"/>
                <w:szCs w:val="24"/>
              </w:rPr>
            </w:pPr>
          </w:p>
        </w:tc>
        <w:tc>
          <w:tcPr>
            <w:tcW w:w="1054" w:type="dxa"/>
            <w:noWrap w:val="0"/>
            <w:vAlign w:val="top"/>
          </w:tcPr>
          <w:p w14:paraId="3980B66D">
            <w:pPr>
              <w:autoSpaceDE w:val="0"/>
              <w:autoSpaceDN w:val="0"/>
              <w:rPr>
                <w:rFonts w:hint="eastAsia" w:ascii="宋体" w:hAnsi="宋体" w:eastAsia="宋体" w:cs="宋体"/>
                <w:sz w:val="24"/>
                <w:szCs w:val="24"/>
              </w:rPr>
            </w:pPr>
          </w:p>
        </w:tc>
        <w:tc>
          <w:tcPr>
            <w:tcW w:w="1054" w:type="dxa"/>
            <w:noWrap w:val="0"/>
            <w:vAlign w:val="top"/>
          </w:tcPr>
          <w:p w14:paraId="5473AA8D">
            <w:pPr>
              <w:autoSpaceDE w:val="0"/>
              <w:autoSpaceDN w:val="0"/>
              <w:rPr>
                <w:rFonts w:hint="eastAsia" w:ascii="宋体" w:hAnsi="宋体" w:eastAsia="宋体" w:cs="宋体"/>
                <w:sz w:val="24"/>
                <w:szCs w:val="24"/>
              </w:rPr>
            </w:pPr>
          </w:p>
        </w:tc>
        <w:tc>
          <w:tcPr>
            <w:tcW w:w="1055" w:type="dxa"/>
            <w:noWrap w:val="0"/>
            <w:vAlign w:val="top"/>
          </w:tcPr>
          <w:p w14:paraId="2CFB51D2">
            <w:pPr>
              <w:autoSpaceDE w:val="0"/>
              <w:autoSpaceDN w:val="0"/>
              <w:rPr>
                <w:rFonts w:hint="eastAsia" w:ascii="宋体" w:hAnsi="宋体" w:eastAsia="宋体" w:cs="宋体"/>
                <w:sz w:val="24"/>
                <w:szCs w:val="24"/>
              </w:rPr>
            </w:pPr>
          </w:p>
        </w:tc>
        <w:tc>
          <w:tcPr>
            <w:tcW w:w="1076" w:type="dxa"/>
            <w:noWrap w:val="0"/>
            <w:vAlign w:val="top"/>
          </w:tcPr>
          <w:p w14:paraId="48D1D854">
            <w:pPr>
              <w:autoSpaceDE w:val="0"/>
              <w:autoSpaceDN w:val="0"/>
              <w:rPr>
                <w:rFonts w:hint="eastAsia" w:ascii="宋体" w:hAnsi="宋体" w:eastAsia="宋体" w:cs="宋体"/>
                <w:sz w:val="24"/>
                <w:szCs w:val="24"/>
              </w:rPr>
            </w:pPr>
          </w:p>
        </w:tc>
      </w:tr>
      <w:tr w14:paraId="30DD06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trPr>
        <w:tc>
          <w:tcPr>
            <w:tcW w:w="1094" w:type="dxa"/>
            <w:noWrap w:val="0"/>
            <w:vAlign w:val="top"/>
          </w:tcPr>
          <w:p w14:paraId="7224E26D">
            <w:pPr>
              <w:pStyle w:val="79"/>
              <w:autoSpaceDE w:val="0"/>
              <w:autoSpaceDN w:val="0"/>
              <w:spacing w:before="224" w:line="187" w:lineRule="auto"/>
              <w:ind w:left="466"/>
              <w:rPr>
                <w:rFonts w:hint="eastAsia" w:ascii="宋体" w:hAnsi="宋体" w:eastAsia="宋体" w:cs="宋体"/>
                <w:sz w:val="24"/>
                <w:szCs w:val="24"/>
              </w:rPr>
            </w:pPr>
            <w:r>
              <w:rPr>
                <w:rFonts w:hint="eastAsia" w:ascii="宋体" w:hAnsi="宋体" w:eastAsia="宋体" w:cs="宋体"/>
                <w:sz w:val="24"/>
                <w:szCs w:val="24"/>
              </w:rPr>
              <w:t>5</w:t>
            </w:r>
          </w:p>
        </w:tc>
        <w:tc>
          <w:tcPr>
            <w:tcW w:w="1066" w:type="dxa"/>
            <w:noWrap w:val="0"/>
            <w:vAlign w:val="top"/>
          </w:tcPr>
          <w:p w14:paraId="377D287A">
            <w:pPr>
              <w:autoSpaceDE w:val="0"/>
              <w:autoSpaceDN w:val="0"/>
              <w:rPr>
                <w:rFonts w:hint="eastAsia" w:ascii="宋体" w:hAnsi="宋体" w:eastAsia="宋体" w:cs="宋体"/>
                <w:sz w:val="24"/>
                <w:szCs w:val="24"/>
              </w:rPr>
            </w:pPr>
          </w:p>
        </w:tc>
        <w:tc>
          <w:tcPr>
            <w:tcW w:w="1066" w:type="dxa"/>
            <w:noWrap w:val="0"/>
            <w:vAlign w:val="top"/>
          </w:tcPr>
          <w:p w14:paraId="25FD156B">
            <w:pPr>
              <w:autoSpaceDE w:val="0"/>
              <w:autoSpaceDN w:val="0"/>
              <w:rPr>
                <w:rFonts w:hint="eastAsia" w:ascii="宋体" w:hAnsi="宋体" w:eastAsia="宋体" w:cs="宋体"/>
                <w:sz w:val="24"/>
                <w:szCs w:val="24"/>
              </w:rPr>
            </w:pPr>
          </w:p>
        </w:tc>
        <w:tc>
          <w:tcPr>
            <w:tcW w:w="1066" w:type="dxa"/>
            <w:noWrap w:val="0"/>
            <w:vAlign w:val="top"/>
          </w:tcPr>
          <w:p w14:paraId="15994EC7">
            <w:pPr>
              <w:autoSpaceDE w:val="0"/>
              <w:autoSpaceDN w:val="0"/>
              <w:rPr>
                <w:rFonts w:hint="eastAsia" w:ascii="宋体" w:hAnsi="宋体" w:eastAsia="宋体" w:cs="宋体"/>
                <w:sz w:val="24"/>
                <w:szCs w:val="24"/>
              </w:rPr>
            </w:pPr>
          </w:p>
        </w:tc>
        <w:tc>
          <w:tcPr>
            <w:tcW w:w="1054" w:type="dxa"/>
            <w:noWrap w:val="0"/>
            <w:vAlign w:val="top"/>
          </w:tcPr>
          <w:p w14:paraId="438F1154">
            <w:pPr>
              <w:autoSpaceDE w:val="0"/>
              <w:autoSpaceDN w:val="0"/>
              <w:rPr>
                <w:rFonts w:hint="eastAsia" w:ascii="宋体" w:hAnsi="宋体" w:eastAsia="宋体" w:cs="宋体"/>
                <w:sz w:val="24"/>
                <w:szCs w:val="24"/>
              </w:rPr>
            </w:pPr>
          </w:p>
        </w:tc>
        <w:tc>
          <w:tcPr>
            <w:tcW w:w="1054" w:type="dxa"/>
            <w:noWrap w:val="0"/>
            <w:vAlign w:val="top"/>
          </w:tcPr>
          <w:p w14:paraId="5258EADF">
            <w:pPr>
              <w:autoSpaceDE w:val="0"/>
              <w:autoSpaceDN w:val="0"/>
              <w:rPr>
                <w:rFonts w:hint="eastAsia" w:ascii="宋体" w:hAnsi="宋体" w:eastAsia="宋体" w:cs="宋体"/>
                <w:sz w:val="24"/>
                <w:szCs w:val="24"/>
              </w:rPr>
            </w:pPr>
          </w:p>
        </w:tc>
        <w:tc>
          <w:tcPr>
            <w:tcW w:w="1055" w:type="dxa"/>
            <w:noWrap w:val="0"/>
            <w:vAlign w:val="top"/>
          </w:tcPr>
          <w:p w14:paraId="5F01D919">
            <w:pPr>
              <w:autoSpaceDE w:val="0"/>
              <w:autoSpaceDN w:val="0"/>
              <w:rPr>
                <w:rFonts w:hint="eastAsia" w:ascii="宋体" w:hAnsi="宋体" w:eastAsia="宋体" w:cs="宋体"/>
                <w:sz w:val="24"/>
                <w:szCs w:val="24"/>
              </w:rPr>
            </w:pPr>
          </w:p>
        </w:tc>
        <w:tc>
          <w:tcPr>
            <w:tcW w:w="1076" w:type="dxa"/>
            <w:noWrap w:val="0"/>
            <w:vAlign w:val="top"/>
          </w:tcPr>
          <w:p w14:paraId="683D1245">
            <w:pPr>
              <w:autoSpaceDE w:val="0"/>
              <w:autoSpaceDN w:val="0"/>
              <w:rPr>
                <w:rFonts w:hint="eastAsia" w:ascii="宋体" w:hAnsi="宋体" w:eastAsia="宋体" w:cs="宋体"/>
                <w:sz w:val="24"/>
                <w:szCs w:val="24"/>
              </w:rPr>
            </w:pPr>
          </w:p>
        </w:tc>
      </w:tr>
      <w:tr w14:paraId="7B4F36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5" w:hRule="atLeast"/>
        </w:trPr>
        <w:tc>
          <w:tcPr>
            <w:tcW w:w="1094" w:type="dxa"/>
            <w:noWrap w:val="0"/>
            <w:vAlign w:val="top"/>
          </w:tcPr>
          <w:p w14:paraId="03794B0A">
            <w:pPr>
              <w:pStyle w:val="79"/>
              <w:autoSpaceDE w:val="0"/>
              <w:autoSpaceDN w:val="0"/>
              <w:spacing w:before="224" w:line="189" w:lineRule="auto"/>
              <w:ind w:left="463"/>
              <w:rPr>
                <w:rFonts w:hint="eastAsia" w:ascii="宋体" w:hAnsi="宋体" w:eastAsia="宋体" w:cs="宋体"/>
                <w:sz w:val="24"/>
                <w:szCs w:val="24"/>
              </w:rPr>
            </w:pPr>
            <w:r>
              <w:rPr>
                <w:rFonts w:hint="eastAsia" w:ascii="宋体" w:hAnsi="宋体" w:eastAsia="宋体" w:cs="宋体"/>
                <w:sz w:val="24"/>
                <w:szCs w:val="24"/>
              </w:rPr>
              <w:t>6</w:t>
            </w:r>
          </w:p>
        </w:tc>
        <w:tc>
          <w:tcPr>
            <w:tcW w:w="1066" w:type="dxa"/>
            <w:noWrap w:val="0"/>
            <w:vAlign w:val="top"/>
          </w:tcPr>
          <w:p w14:paraId="5AE93EBF">
            <w:pPr>
              <w:autoSpaceDE w:val="0"/>
              <w:autoSpaceDN w:val="0"/>
              <w:rPr>
                <w:rFonts w:hint="eastAsia" w:ascii="宋体" w:hAnsi="宋体" w:eastAsia="宋体" w:cs="宋体"/>
                <w:sz w:val="24"/>
                <w:szCs w:val="24"/>
              </w:rPr>
            </w:pPr>
          </w:p>
        </w:tc>
        <w:tc>
          <w:tcPr>
            <w:tcW w:w="1066" w:type="dxa"/>
            <w:noWrap w:val="0"/>
            <w:vAlign w:val="top"/>
          </w:tcPr>
          <w:p w14:paraId="30505B1F">
            <w:pPr>
              <w:autoSpaceDE w:val="0"/>
              <w:autoSpaceDN w:val="0"/>
              <w:rPr>
                <w:rFonts w:hint="eastAsia" w:ascii="宋体" w:hAnsi="宋体" w:eastAsia="宋体" w:cs="宋体"/>
                <w:sz w:val="24"/>
                <w:szCs w:val="24"/>
              </w:rPr>
            </w:pPr>
          </w:p>
        </w:tc>
        <w:tc>
          <w:tcPr>
            <w:tcW w:w="1066" w:type="dxa"/>
            <w:noWrap w:val="0"/>
            <w:vAlign w:val="top"/>
          </w:tcPr>
          <w:p w14:paraId="1FF04F69">
            <w:pPr>
              <w:autoSpaceDE w:val="0"/>
              <w:autoSpaceDN w:val="0"/>
              <w:rPr>
                <w:rFonts w:hint="eastAsia" w:ascii="宋体" w:hAnsi="宋体" w:eastAsia="宋体" w:cs="宋体"/>
                <w:sz w:val="24"/>
                <w:szCs w:val="24"/>
              </w:rPr>
            </w:pPr>
          </w:p>
        </w:tc>
        <w:tc>
          <w:tcPr>
            <w:tcW w:w="1054" w:type="dxa"/>
            <w:noWrap w:val="0"/>
            <w:vAlign w:val="top"/>
          </w:tcPr>
          <w:p w14:paraId="6B7F3F30">
            <w:pPr>
              <w:autoSpaceDE w:val="0"/>
              <w:autoSpaceDN w:val="0"/>
              <w:rPr>
                <w:rFonts w:hint="eastAsia" w:ascii="宋体" w:hAnsi="宋体" w:eastAsia="宋体" w:cs="宋体"/>
                <w:sz w:val="24"/>
                <w:szCs w:val="24"/>
              </w:rPr>
            </w:pPr>
          </w:p>
        </w:tc>
        <w:tc>
          <w:tcPr>
            <w:tcW w:w="1054" w:type="dxa"/>
            <w:noWrap w:val="0"/>
            <w:vAlign w:val="top"/>
          </w:tcPr>
          <w:p w14:paraId="7636099B">
            <w:pPr>
              <w:autoSpaceDE w:val="0"/>
              <w:autoSpaceDN w:val="0"/>
              <w:rPr>
                <w:rFonts w:hint="eastAsia" w:ascii="宋体" w:hAnsi="宋体" w:eastAsia="宋体" w:cs="宋体"/>
                <w:sz w:val="24"/>
                <w:szCs w:val="24"/>
              </w:rPr>
            </w:pPr>
          </w:p>
        </w:tc>
        <w:tc>
          <w:tcPr>
            <w:tcW w:w="1055" w:type="dxa"/>
            <w:noWrap w:val="0"/>
            <w:vAlign w:val="top"/>
          </w:tcPr>
          <w:p w14:paraId="4F207049">
            <w:pPr>
              <w:autoSpaceDE w:val="0"/>
              <w:autoSpaceDN w:val="0"/>
              <w:rPr>
                <w:rFonts w:hint="eastAsia" w:ascii="宋体" w:hAnsi="宋体" w:eastAsia="宋体" w:cs="宋体"/>
                <w:sz w:val="24"/>
                <w:szCs w:val="24"/>
              </w:rPr>
            </w:pPr>
          </w:p>
        </w:tc>
        <w:tc>
          <w:tcPr>
            <w:tcW w:w="1076" w:type="dxa"/>
            <w:noWrap w:val="0"/>
            <w:vAlign w:val="top"/>
          </w:tcPr>
          <w:p w14:paraId="2DBFC683">
            <w:pPr>
              <w:autoSpaceDE w:val="0"/>
              <w:autoSpaceDN w:val="0"/>
              <w:rPr>
                <w:rFonts w:hint="eastAsia" w:ascii="宋体" w:hAnsi="宋体" w:eastAsia="宋体" w:cs="宋体"/>
                <w:sz w:val="24"/>
                <w:szCs w:val="24"/>
              </w:rPr>
            </w:pPr>
          </w:p>
        </w:tc>
      </w:tr>
      <w:tr w14:paraId="3BA209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1" w:hRule="atLeast"/>
        </w:trPr>
        <w:tc>
          <w:tcPr>
            <w:tcW w:w="1094" w:type="dxa"/>
            <w:noWrap w:val="0"/>
            <w:vAlign w:val="top"/>
          </w:tcPr>
          <w:p w14:paraId="6C6D71FA">
            <w:pPr>
              <w:pStyle w:val="79"/>
              <w:autoSpaceDE w:val="0"/>
              <w:autoSpaceDN w:val="0"/>
              <w:spacing w:before="238" w:line="332" w:lineRule="exact"/>
              <w:ind w:left="308"/>
              <w:rPr>
                <w:rFonts w:hint="eastAsia" w:ascii="宋体" w:hAnsi="宋体" w:eastAsia="宋体" w:cs="宋体"/>
                <w:sz w:val="24"/>
                <w:szCs w:val="24"/>
              </w:rPr>
            </w:pPr>
            <w:r>
              <w:rPr>
                <w:rFonts w:hint="eastAsia" w:ascii="宋体" w:hAnsi="宋体" w:eastAsia="宋体" w:cs="宋体"/>
                <w:spacing w:val="-8"/>
                <w:position w:val="2"/>
                <w:sz w:val="24"/>
                <w:szCs w:val="24"/>
              </w:rPr>
              <w:t>……</w:t>
            </w:r>
          </w:p>
        </w:tc>
        <w:tc>
          <w:tcPr>
            <w:tcW w:w="1066" w:type="dxa"/>
            <w:noWrap w:val="0"/>
            <w:vAlign w:val="top"/>
          </w:tcPr>
          <w:p w14:paraId="525FBB29">
            <w:pPr>
              <w:autoSpaceDE w:val="0"/>
              <w:autoSpaceDN w:val="0"/>
              <w:rPr>
                <w:rFonts w:hint="eastAsia" w:ascii="宋体" w:hAnsi="宋体" w:eastAsia="宋体" w:cs="宋体"/>
                <w:sz w:val="24"/>
                <w:szCs w:val="24"/>
              </w:rPr>
            </w:pPr>
          </w:p>
        </w:tc>
        <w:tc>
          <w:tcPr>
            <w:tcW w:w="1066" w:type="dxa"/>
            <w:noWrap w:val="0"/>
            <w:vAlign w:val="top"/>
          </w:tcPr>
          <w:p w14:paraId="0857F0DA">
            <w:pPr>
              <w:autoSpaceDE w:val="0"/>
              <w:autoSpaceDN w:val="0"/>
              <w:rPr>
                <w:rFonts w:hint="eastAsia" w:ascii="宋体" w:hAnsi="宋体" w:eastAsia="宋体" w:cs="宋体"/>
                <w:sz w:val="24"/>
                <w:szCs w:val="24"/>
              </w:rPr>
            </w:pPr>
          </w:p>
        </w:tc>
        <w:tc>
          <w:tcPr>
            <w:tcW w:w="1066" w:type="dxa"/>
            <w:noWrap w:val="0"/>
            <w:vAlign w:val="top"/>
          </w:tcPr>
          <w:p w14:paraId="565DB132">
            <w:pPr>
              <w:autoSpaceDE w:val="0"/>
              <w:autoSpaceDN w:val="0"/>
              <w:rPr>
                <w:rFonts w:hint="eastAsia" w:ascii="宋体" w:hAnsi="宋体" w:eastAsia="宋体" w:cs="宋体"/>
                <w:sz w:val="24"/>
                <w:szCs w:val="24"/>
              </w:rPr>
            </w:pPr>
          </w:p>
        </w:tc>
        <w:tc>
          <w:tcPr>
            <w:tcW w:w="1054" w:type="dxa"/>
            <w:noWrap w:val="0"/>
            <w:vAlign w:val="top"/>
          </w:tcPr>
          <w:p w14:paraId="39AA5A01">
            <w:pPr>
              <w:autoSpaceDE w:val="0"/>
              <w:autoSpaceDN w:val="0"/>
              <w:rPr>
                <w:rFonts w:hint="eastAsia" w:ascii="宋体" w:hAnsi="宋体" w:eastAsia="宋体" w:cs="宋体"/>
                <w:sz w:val="24"/>
                <w:szCs w:val="24"/>
              </w:rPr>
            </w:pPr>
          </w:p>
        </w:tc>
        <w:tc>
          <w:tcPr>
            <w:tcW w:w="1054" w:type="dxa"/>
            <w:noWrap w:val="0"/>
            <w:vAlign w:val="top"/>
          </w:tcPr>
          <w:p w14:paraId="518CD42E">
            <w:pPr>
              <w:autoSpaceDE w:val="0"/>
              <w:autoSpaceDN w:val="0"/>
              <w:rPr>
                <w:rFonts w:hint="eastAsia" w:ascii="宋体" w:hAnsi="宋体" w:eastAsia="宋体" w:cs="宋体"/>
                <w:sz w:val="24"/>
                <w:szCs w:val="24"/>
              </w:rPr>
            </w:pPr>
          </w:p>
        </w:tc>
        <w:tc>
          <w:tcPr>
            <w:tcW w:w="1055" w:type="dxa"/>
            <w:noWrap w:val="0"/>
            <w:vAlign w:val="top"/>
          </w:tcPr>
          <w:p w14:paraId="703922A3">
            <w:pPr>
              <w:autoSpaceDE w:val="0"/>
              <w:autoSpaceDN w:val="0"/>
              <w:rPr>
                <w:rFonts w:hint="eastAsia" w:ascii="宋体" w:hAnsi="宋体" w:eastAsia="宋体" w:cs="宋体"/>
                <w:sz w:val="24"/>
                <w:szCs w:val="24"/>
              </w:rPr>
            </w:pPr>
          </w:p>
        </w:tc>
        <w:tc>
          <w:tcPr>
            <w:tcW w:w="1076" w:type="dxa"/>
            <w:noWrap w:val="0"/>
            <w:vAlign w:val="top"/>
          </w:tcPr>
          <w:p w14:paraId="27C00563">
            <w:pPr>
              <w:autoSpaceDE w:val="0"/>
              <w:autoSpaceDN w:val="0"/>
              <w:rPr>
                <w:rFonts w:hint="eastAsia" w:ascii="宋体" w:hAnsi="宋体" w:eastAsia="宋体" w:cs="宋体"/>
                <w:sz w:val="24"/>
                <w:szCs w:val="24"/>
              </w:rPr>
            </w:pPr>
          </w:p>
        </w:tc>
      </w:tr>
    </w:tbl>
    <w:p w14:paraId="076B17AC">
      <w:pPr>
        <w:pStyle w:val="15"/>
        <w:tabs>
          <w:tab w:val="left" w:pos="567"/>
        </w:tabs>
        <w:spacing w:line="259" w:lineRule="auto"/>
        <w:rPr>
          <w:rFonts w:hint="eastAsia" w:ascii="宋体" w:hAnsi="宋体" w:eastAsia="宋体" w:cs="宋体"/>
          <w:sz w:val="24"/>
          <w:szCs w:val="24"/>
        </w:rPr>
      </w:pPr>
    </w:p>
    <w:p w14:paraId="3934B7B4">
      <w:pPr>
        <w:pStyle w:val="15"/>
        <w:tabs>
          <w:tab w:val="left" w:pos="567"/>
        </w:tabs>
        <w:spacing w:line="260" w:lineRule="auto"/>
        <w:rPr>
          <w:rFonts w:hint="eastAsia" w:ascii="宋体" w:hAnsi="宋体" w:eastAsia="宋体" w:cs="宋体"/>
          <w:sz w:val="24"/>
          <w:szCs w:val="24"/>
        </w:rPr>
      </w:pPr>
    </w:p>
    <w:p w14:paraId="67D0C772">
      <w:pPr>
        <w:spacing w:before="74" w:line="227" w:lineRule="auto"/>
        <w:ind w:left="10"/>
        <w:rPr>
          <w:rFonts w:hint="eastAsia" w:ascii="宋体" w:hAnsi="宋体" w:eastAsia="宋体" w:cs="宋体"/>
          <w:sz w:val="24"/>
          <w:szCs w:val="24"/>
        </w:rPr>
      </w:pPr>
      <w:r>
        <w:rPr>
          <w:rFonts w:hint="eastAsia" w:ascii="宋体" w:hAnsi="宋体" w:eastAsia="宋体" w:cs="宋体"/>
          <w:spacing w:val="-2"/>
          <w:sz w:val="24"/>
          <w:szCs w:val="24"/>
        </w:rPr>
        <w:t>注：投标人根据项目需求后附人员身份证、相关从业资格证等。</w:t>
      </w:r>
    </w:p>
    <w:p w14:paraId="52465AEE">
      <w:pPr>
        <w:pStyle w:val="15"/>
        <w:tabs>
          <w:tab w:val="left" w:pos="567"/>
        </w:tabs>
        <w:spacing w:line="247" w:lineRule="auto"/>
        <w:rPr>
          <w:rFonts w:hint="eastAsia" w:ascii="宋体" w:hAnsi="宋体" w:eastAsia="宋体" w:cs="宋体"/>
          <w:sz w:val="24"/>
          <w:szCs w:val="24"/>
        </w:rPr>
      </w:pPr>
    </w:p>
    <w:p w14:paraId="1EE89AD9">
      <w:pPr>
        <w:pStyle w:val="15"/>
        <w:tabs>
          <w:tab w:val="left" w:pos="567"/>
        </w:tabs>
        <w:spacing w:line="246" w:lineRule="auto"/>
        <w:rPr>
          <w:rFonts w:hint="eastAsia" w:ascii="宋体" w:hAnsi="宋体" w:eastAsia="宋体" w:cs="宋体"/>
          <w:sz w:val="24"/>
          <w:szCs w:val="24"/>
        </w:rPr>
      </w:pPr>
    </w:p>
    <w:p w14:paraId="01DA6261">
      <w:pPr>
        <w:pStyle w:val="15"/>
        <w:tabs>
          <w:tab w:val="left" w:pos="567"/>
        </w:tabs>
        <w:spacing w:line="246" w:lineRule="auto"/>
        <w:rPr>
          <w:rFonts w:hint="eastAsia" w:ascii="宋体" w:hAnsi="宋体" w:eastAsia="宋体" w:cs="宋体"/>
          <w:sz w:val="24"/>
          <w:szCs w:val="24"/>
        </w:rPr>
      </w:pPr>
    </w:p>
    <w:p w14:paraId="21E5E3E0">
      <w:pPr>
        <w:pStyle w:val="15"/>
        <w:tabs>
          <w:tab w:val="left" w:pos="567"/>
        </w:tabs>
        <w:spacing w:line="246" w:lineRule="auto"/>
        <w:rPr>
          <w:rFonts w:hint="eastAsia" w:ascii="宋体" w:hAnsi="宋体" w:eastAsia="宋体" w:cs="宋体"/>
          <w:sz w:val="24"/>
          <w:szCs w:val="24"/>
        </w:rPr>
      </w:pPr>
    </w:p>
    <w:p w14:paraId="61EC1862">
      <w:pPr>
        <w:pStyle w:val="15"/>
        <w:tabs>
          <w:tab w:val="left" w:pos="567"/>
        </w:tabs>
        <w:spacing w:line="246" w:lineRule="auto"/>
        <w:rPr>
          <w:rFonts w:hint="eastAsia" w:ascii="宋体" w:hAnsi="宋体" w:eastAsia="宋体" w:cs="宋体"/>
          <w:spacing w:val="0"/>
          <w:sz w:val="24"/>
          <w:szCs w:val="24"/>
        </w:rPr>
      </w:pPr>
    </w:p>
    <w:p w14:paraId="02FEBEFB">
      <w:pPr>
        <w:spacing w:before="75" w:line="227" w:lineRule="auto"/>
        <w:ind w:left="13"/>
        <w:rPr>
          <w:rFonts w:hint="eastAsia" w:ascii="宋体" w:hAnsi="宋体" w:eastAsia="宋体" w:cs="宋体"/>
          <w:spacing w:val="0"/>
          <w:sz w:val="24"/>
          <w:szCs w:val="24"/>
        </w:rPr>
      </w:pPr>
      <w:r>
        <w:rPr>
          <w:rFonts w:hint="eastAsia" w:ascii="宋体" w:hAnsi="宋体" w:eastAsia="宋体" w:cs="宋体"/>
          <w:spacing w:val="0"/>
          <w:sz w:val="24"/>
          <w:szCs w:val="24"/>
        </w:rPr>
        <w:t>投标人全称（盖公章）：</w:t>
      </w:r>
    </w:p>
    <w:p w14:paraId="156AEC27">
      <w:pPr>
        <w:spacing w:before="301" w:line="227" w:lineRule="auto"/>
        <w:ind w:left="11"/>
        <w:rPr>
          <w:rFonts w:hint="eastAsia" w:ascii="宋体" w:hAnsi="宋体" w:eastAsia="宋体" w:cs="宋体"/>
          <w:spacing w:val="0"/>
          <w:sz w:val="24"/>
          <w:szCs w:val="24"/>
        </w:rPr>
      </w:pPr>
      <w:r>
        <w:rPr>
          <w:rFonts w:hint="eastAsia" w:ascii="宋体" w:hAnsi="宋体" w:eastAsia="宋体" w:cs="宋体"/>
          <w:spacing w:val="0"/>
          <w:sz w:val="24"/>
          <w:szCs w:val="24"/>
        </w:rPr>
        <w:t>法定代表人或授权代表（签名或盖章）：</w:t>
      </w:r>
    </w:p>
    <w:p w14:paraId="7A2181DB">
      <w:pPr>
        <w:pStyle w:val="15"/>
        <w:tabs>
          <w:tab w:val="left" w:pos="567"/>
        </w:tabs>
        <w:spacing w:line="373" w:lineRule="auto"/>
        <w:rPr>
          <w:rFonts w:hint="eastAsia" w:ascii="宋体" w:hAnsi="宋体" w:eastAsia="宋体" w:cs="宋体"/>
          <w:sz w:val="24"/>
          <w:szCs w:val="24"/>
        </w:rPr>
      </w:pPr>
    </w:p>
    <w:p w14:paraId="637ED275">
      <w:pPr>
        <w:spacing w:before="74" w:line="227" w:lineRule="auto"/>
        <w:ind w:left="51"/>
        <w:rPr>
          <w:rFonts w:hint="eastAsia" w:ascii="宋体" w:hAnsi="宋体" w:eastAsia="宋体" w:cs="宋体"/>
          <w:sz w:val="24"/>
          <w:szCs w:val="24"/>
        </w:rPr>
      </w:pPr>
      <w:r>
        <w:rPr>
          <w:rFonts w:hint="eastAsia" w:ascii="宋体" w:hAnsi="宋体" w:eastAsia="宋体" w:cs="宋体"/>
          <w:spacing w:val="-14"/>
          <w:sz w:val="24"/>
          <w:szCs w:val="24"/>
        </w:rPr>
        <w:t>日</w:t>
      </w:r>
      <w:r>
        <w:rPr>
          <w:rFonts w:hint="eastAsia" w:ascii="宋体" w:hAnsi="宋体" w:eastAsia="宋体" w:cs="宋体"/>
          <w:spacing w:val="9"/>
          <w:sz w:val="24"/>
          <w:szCs w:val="24"/>
        </w:rPr>
        <w:t xml:space="preserve">    </w:t>
      </w:r>
      <w:r>
        <w:rPr>
          <w:rFonts w:hint="eastAsia" w:ascii="宋体" w:hAnsi="宋体" w:eastAsia="宋体" w:cs="宋体"/>
          <w:spacing w:val="-14"/>
          <w:sz w:val="24"/>
          <w:szCs w:val="24"/>
        </w:rPr>
        <w:t>期：</w:t>
      </w:r>
      <w:r>
        <w:rPr>
          <w:rFonts w:hint="eastAsia" w:ascii="宋体" w:hAnsi="宋体" w:eastAsia="宋体" w:cs="宋体"/>
          <w:spacing w:val="6"/>
          <w:sz w:val="24"/>
          <w:szCs w:val="24"/>
        </w:rPr>
        <w:t xml:space="preserve">     </w:t>
      </w:r>
      <w:r>
        <w:rPr>
          <w:rFonts w:hint="eastAsia" w:ascii="宋体" w:hAnsi="宋体" w:eastAsia="宋体" w:cs="宋体"/>
          <w:spacing w:val="-14"/>
          <w:sz w:val="24"/>
          <w:szCs w:val="24"/>
        </w:rPr>
        <w:t>年</w:t>
      </w:r>
      <w:r>
        <w:rPr>
          <w:rFonts w:hint="eastAsia" w:ascii="宋体" w:hAnsi="宋体" w:eastAsia="宋体" w:cs="宋体"/>
          <w:spacing w:val="20"/>
          <w:sz w:val="24"/>
          <w:szCs w:val="24"/>
        </w:rPr>
        <w:t xml:space="preserve">   </w:t>
      </w:r>
      <w:r>
        <w:rPr>
          <w:rFonts w:hint="eastAsia" w:ascii="宋体" w:hAnsi="宋体" w:eastAsia="宋体" w:cs="宋体"/>
          <w:spacing w:val="-14"/>
          <w:sz w:val="24"/>
          <w:szCs w:val="24"/>
        </w:rPr>
        <w:t>月</w:t>
      </w:r>
      <w:r>
        <w:rPr>
          <w:rFonts w:hint="eastAsia" w:ascii="宋体" w:hAnsi="宋体" w:eastAsia="宋体" w:cs="宋体"/>
          <w:spacing w:val="16"/>
          <w:sz w:val="24"/>
          <w:szCs w:val="24"/>
        </w:rPr>
        <w:t xml:space="preserve">   </w:t>
      </w:r>
      <w:r>
        <w:rPr>
          <w:rFonts w:hint="eastAsia" w:ascii="宋体" w:hAnsi="宋体" w:eastAsia="宋体" w:cs="宋体"/>
          <w:spacing w:val="-14"/>
          <w:sz w:val="24"/>
          <w:szCs w:val="24"/>
        </w:rPr>
        <w:t>日</w:t>
      </w:r>
    </w:p>
    <w:p w14:paraId="4BBFAB63">
      <w:pPr>
        <w:spacing w:line="227" w:lineRule="auto"/>
        <w:rPr>
          <w:rFonts w:hint="eastAsia" w:ascii="宋体" w:hAnsi="宋体" w:eastAsia="宋体" w:cs="宋体"/>
          <w:sz w:val="24"/>
          <w:szCs w:val="24"/>
        </w:rPr>
        <w:sectPr>
          <w:footerReference r:id="rId18" w:type="default"/>
          <w:pgSz w:w="11906" w:h="16838"/>
          <w:pgMar w:top="400" w:right="1685" w:bottom="1097" w:left="1683" w:header="0" w:footer="937" w:gutter="0"/>
          <w:pgNumType w:fmt="decimal"/>
          <w:cols w:space="720" w:num="1"/>
        </w:sectPr>
      </w:pPr>
    </w:p>
    <w:p w14:paraId="1C51D3BF">
      <w:pPr>
        <w:spacing w:before="91" w:line="219" w:lineRule="auto"/>
        <w:ind w:left="2978"/>
        <w:rPr>
          <w:rFonts w:hint="eastAsia" w:ascii="宋体" w:hAnsi="宋体" w:eastAsia="宋体" w:cs="宋体"/>
          <w:b/>
          <w:bCs/>
          <w:sz w:val="24"/>
          <w:szCs w:val="24"/>
        </w:rPr>
      </w:pPr>
      <w:r>
        <w:rPr>
          <w:rFonts w:hint="eastAsia" w:ascii="宋体" w:hAnsi="宋体" w:eastAsia="宋体" w:cs="宋体"/>
          <w:b/>
          <w:bCs/>
          <w:spacing w:val="-23"/>
          <w:sz w:val="24"/>
          <w:szCs w:val="24"/>
        </w:rPr>
        <w:t>拟投入主要人员简历表</w:t>
      </w:r>
    </w:p>
    <w:p w14:paraId="03E841C7">
      <w:pPr>
        <w:spacing w:before="50"/>
        <w:rPr>
          <w:rFonts w:hint="eastAsia" w:ascii="宋体" w:hAnsi="宋体" w:eastAsia="宋体" w:cs="宋体"/>
          <w:sz w:val="24"/>
          <w:szCs w:val="24"/>
        </w:rPr>
      </w:pPr>
    </w:p>
    <w:p w14:paraId="325C9A29">
      <w:pPr>
        <w:spacing w:before="49"/>
        <w:rPr>
          <w:rFonts w:hint="eastAsia" w:ascii="宋体" w:hAnsi="宋体" w:eastAsia="宋体" w:cs="宋体"/>
          <w:sz w:val="24"/>
          <w:szCs w:val="24"/>
        </w:rPr>
      </w:pPr>
    </w:p>
    <w:tbl>
      <w:tblPr>
        <w:tblStyle w:val="78"/>
        <w:tblW w:w="851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46"/>
        <w:gridCol w:w="192"/>
        <w:gridCol w:w="920"/>
        <w:gridCol w:w="997"/>
        <w:gridCol w:w="815"/>
        <w:gridCol w:w="335"/>
        <w:gridCol w:w="859"/>
        <w:gridCol w:w="2855"/>
      </w:tblGrid>
      <w:tr w14:paraId="2A9A80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62" w:hRule="atLeast"/>
        </w:trPr>
        <w:tc>
          <w:tcPr>
            <w:tcW w:w="1738" w:type="dxa"/>
            <w:gridSpan w:val="2"/>
            <w:noWrap w:val="0"/>
            <w:vAlign w:val="top"/>
          </w:tcPr>
          <w:p w14:paraId="58056F89">
            <w:pPr>
              <w:autoSpaceDE w:val="0"/>
              <w:autoSpaceDN w:val="0"/>
              <w:spacing w:line="308" w:lineRule="auto"/>
              <w:rPr>
                <w:rFonts w:hint="eastAsia" w:ascii="宋体" w:hAnsi="宋体" w:eastAsia="宋体" w:cs="宋体"/>
                <w:sz w:val="24"/>
                <w:szCs w:val="24"/>
              </w:rPr>
            </w:pPr>
          </w:p>
          <w:p w14:paraId="551A43C4">
            <w:pPr>
              <w:pStyle w:val="79"/>
              <w:autoSpaceDE w:val="0"/>
              <w:autoSpaceDN w:val="0"/>
              <w:spacing w:before="75" w:line="227" w:lineRule="auto"/>
              <w:ind w:left="456"/>
              <w:rPr>
                <w:rFonts w:hint="eastAsia" w:ascii="宋体" w:hAnsi="宋体" w:eastAsia="宋体" w:cs="宋体"/>
                <w:sz w:val="24"/>
                <w:szCs w:val="24"/>
              </w:rPr>
            </w:pPr>
            <w:r>
              <w:rPr>
                <w:rFonts w:hint="eastAsia" w:ascii="宋体" w:hAnsi="宋体" w:eastAsia="宋体" w:cs="宋体"/>
                <w:sz w:val="24"/>
                <w:szCs w:val="24"/>
              </w:rPr>
              <w:t>姓</w:t>
            </w:r>
            <w:r>
              <w:rPr>
                <w:rFonts w:hint="eastAsia" w:ascii="宋体" w:hAnsi="宋体" w:eastAsia="宋体" w:cs="宋体"/>
                <w:spacing w:val="38"/>
                <w:sz w:val="24"/>
                <w:szCs w:val="24"/>
              </w:rPr>
              <w:t xml:space="preserve">  </w:t>
            </w:r>
            <w:r>
              <w:rPr>
                <w:rFonts w:hint="eastAsia" w:ascii="宋体" w:hAnsi="宋体" w:eastAsia="宋体" w:cs="宋体"/>
                <w:sz w:val="24"/>
                <w:szCs w:val="24"/>
              </w:rPr>
              <w:t>名</w:t>
            </w:r>
          </w:p>
        </w:tc>
        <w:tc>
          <w:tcPr>
            <w:tcW w:w="920" w:type="dxa"/>
            <w:noWrap w:val="0"/>
            <w:vAlign w:val="top"/>
          </w:tcPr>
          <w:p w14:paraId="6E20D2AB">
            <w:pPr>
              <w:autoSpaceDE w:val="0"/>
              <w:autoSpaceDN w:val="0"/>
              <w:rPr>
                <w:rFonts w:hint="eastAsia" w:ascii="宋体" w:hAnsi="宋体" w:eastAsia="宋体" w:cs="宋体"/>
                <w:sz w:val="24"/>
                <w:szCs w:val="24"/>
              </w:rPr>
            </w:pPr>
          </w:p>
        </w:tc>
        <w:tc>
          <w:tcPr>
            <w:tcW w:w="997" w:type="dxa"/>
            <w:noWrap w:val="0"/>
            <w:vAlign w:val="top"/>
          </w:tcPr>
          <w:p w14:paraId="45B36CEA">
            <w:pPr>
              <w:autoSpaceDE w:val="0"/>
              <w:autoSpaceDN w:val="0"/>
              <w:spacing w:line="308" w:lineRule="auto"/>
              <w:rPr>
                <w:rFonts w:hint="eastAsia" w:ascii="宋体" w:hAnsi="宋体" w:eastAsia="宋体" w:cs="宋体"/>
                <w:sz w:val="24"/>
                <w:szCs w:val="24"/>
              </w:rPr>
            </w:pPr>
          </w:p>
          <w:p w14:paraId="1BF4CE9F">
            <w:pPr>
              <w:pStyle w:val="79"/>
              <w:autoSpaceDE w:val="0"/>
              <w:autoSpaceDN w:val="0"/>
              <w:spacing w:before="74" w:line="228" w:lineRule="auto"/>
              <w:ind w:left="227"/>
              <w:rPr>
                <w:rFonts w:hint="eastAsia" w:ascii="宋体" w:hAnsi="宋体" w:eastAsia="宋体" w:cs="宋体"/>
                <w:sz w:val="24"/>
                <w:szCs w:val="24"/>
              </w:rPr>
            </w:pPr>
            <w:r>
              <w:rPr>
                <w:rFonts w:hint="eastAsia" w:ascii="宋体" w:hAnsi="宋体" w:eastAsia="宋体" w:cs="宋体"/>
                <w:spacing w:val="3"/>
                <w:sz w:val="24"/>
                <w:szCs w:val="24"/>
              </w:rPr>
              <w:t>性别</w:t>
            </w:r>
          </w:p>
        </w:tc>
        <w:tc>
          <w:tcPr>
            <w:tcW w:w="815" w:type="dxa"/>
            <w:noWrap w:val="0"/>
            <w:vAlign w:val="top"/>
          </w:tcPr>
          <w:p w14:paraId="23AE6D0F">
            <w:pPr>
              <w:autoSpaceDE w:val="0"/>
              <w:autoSpaceDN w:val="0"/>
              <w:rPr>
                <w:rFonts w:hint="eastAsia" w:ascii="宋体" w:hAnsi="宋体" w:eastAsia="宋体" w:cs="宋体"/>
                <w:sz w:val="24"/>
                <w:szCs w:val="24"/>
              </w:rPr>
            </w:pPr>
          </w:p>
        </w:tc>
        <w:tc>
          <w:tcPr>
            <w:tcW w:w="1194" w:type="dxa"/>
            <w:gridSpan w:val="2"/>
            <w:noWrap w:val="0"/>
            <w:vAlign w:val="top"/>
          </w:tcPr>
          <w:p w14:paraId="0EFEED18">
            <w:pPr>
              <w:autoSpaceDE w:val="0"/>
              <w:autoSpaceDN w:val="0"/>
              <w:spacing w:line="308" w:lineRule="auto"/>
              <w:rPr>
                <w:rFonts w:hint="eastAsia" w:ascii="宋体" w:hAnsi="宋体" w:eastAsia="宋体" w:cs="宋体"/>
                <w:sz w:val="24"/>
                <w:szCs w:val="24"/>
              </w:rPr>
            </w:pPr>
          </w:p>
          <w:p w14:paraId="0CAAAE8A">
            <w:pPr>
              <w:pStyle w:val="79"/>
              <w:autoSpaceDE w:val="0"/>
              <w:autoSpaceDN w:val="0"/>
              <w:spacing w:before="74" w:line="228" w:lineRule="auto"/>
              <w:ind w:left="140"/>
              <w:rPr>
                <w:rFonts w:hint="eastAsia" w:ascii="宋体" w:hAnsi="宋体" w:eastAsia="宋体" w:cs="宋体"/>
                <w:sz w:val="24"/>
                <w:szCs w:val="24"/>
              </w:rPr>
            </w:pPr>
            <w:r>
              <w:rPr>
                <w:rFonts w:hint="eastAsia" w:ascii="宋体" w:hAnsi="宋体" w:eastAsia="宋体" w:cs="宋体"/>
                <w:spacing w:val="-8"/>
                <w:sz w:val="24"/>
                <w:szCs w:val="24"/>
              </w:rPr>
              <w:t>出生日期</w:t>
            </w:r>
          </w:p>
        </w:tc>
        <w:tc>
          <w:tcPr>
            <w:tcW w:w="2855" w:type="dxa"/>
            <w:noWrap w:val="0"/>
            <w:vAlign w:val="top"/>
          </w:tcPr>
          <w:p w14:paraId="33ECAB4E">
            <w:pPr>
              <w:autoSpaceDE w:val="0"/>
              <w:autoSpaceDN w:val="0"/>
              <w:spacing w:line="308" w:lineRule="auto"/>
              <w:rPr>
                <w:rFonts w:hint="eastAsia" w:ascii="宋体" w:hAnsi="宋体" w:eastAsia="宋体" w:cs="宋体"/>
                <w:sz w:val="24"/>
                <w:szCs w:val="24"/>
              </w:rPr>
            </w:pPr>
          </w:p>
          <w:p w14:paraId="5E778C99">
            <w:pPr>
              <w:pStyle w:val="79"/>
              <w:autoSpaceDE w:val="0"/>
              <w:autoSpaceDN w:val="0"/>
              <w:spacing w:before="75" w:line="227" w:lineRule="auto"/>
              <w:ind w:left="704"/>
              <w:rPr>
                <w:rFonts w:hint="eastAsia" w:ascii="宋体" w:hAnsi="宋体" w:eastAsia="宋体" w:cs="宋体"/>
                <w:sz w:val="24"/>
                <w:szCs w:val="24"/>
              </w:rPr>
            </w:pPr>
            <w:r>
              <w:rPr>
                <w:rFonts w:hint="eastAsia" w:ascii="宋体" w:hAnsi="宋体" w:eastAsia="宋体" w:cs="宋体"/>
                <w:spacing w:val="-2"/>
                <w:sz w:val="24"/>
                <w:szCs w:val="24"/>
              </w:rPr>
              <w:t>年</w:t>
            </w:r>
            <w:r>
              <w:rPr>
                <w:rFonts w:hint="eastAsia" w:ascii="宋体" w:hAnsi="宋体" w:eastAsia="宋体" w:cs="宋体"/>
                <w:spacing w:val="41"/>
                <w:sz w:val="24"/>
                <w:szCs w:val="24"/>
              </w:rPr>
              <w:t xml:space="preserve">  </w:t>
            </w:r>
            <w:r>
              <w:rPr>
                <w:rFonts w:hint="eastAsia" w:ascii="宋体" w:hAnsi="宋体" w:eastAsia="宋体" w:cs="宋体"/>
                <w:spacing w:val="-2"/>
                <w:sz w:val="24"/>
                <w:szCs w:val="24"/>
              </w:rPr>
              <w:t>月</w:t>
            </w:r>
            <w:r>
              <w:rPr>
                <w:rFonts w:hint="eastAsia" w:ascii="宋体" w:hAnsi="宋体" w:eastAsia="宋体" w:cs="宋体"/>
                <w:spacing w:val="30"/>
                <w:sz w:val="24"/>
                <w:szCs w:val="24"/>
              </w:rPr>
              <w:t xml:space="preserve">   </w:t>
            </w:r>
            <w:r>
              <w:rPr>
                <w:rFonts w:hint="eastAsia" w:ascii="宋体" w:hAnsi="宋体" w:eastAsia="宋体" w:cs="宋体"/>
                <w:spacing w:val="-2"/>
                <w:sz w:val="24"/>
                <w:szCs w:val="24"/>
              </w:rPr>
              <w:t>日</w:t>
            </w:r>
          </w:p>
        </w:tc>
      </w:tr>
      <w:tr w14:paraId="6CBA10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4" w:hRule="atLeast"/>
        </w:trPr>
        <w:tc>
          <w:tcPr>
            <w:tcW w:w="1738" w:type="dxa"/>
            <w:gridSpan w:val="2"/>
            <w:noWrap w:val="0"/>
            <w:vAlign w:val="top"/>
          </w:tcPr>
          <w:p w14:paraId="491CCDC0">
            <w:pPr>
              <w:autoSpaceDE w:val="0"/>
              <w:autoSpaceDN w:val="0"/>
              <w:spacing w:line="300" w:lineRule="auto"/>
              <w:rPr>
                <w:rFonts w:hint="eastAsia" w:ascii="宋体" w:hAnsi="宋体" w:eastAsia="宋体" w:cs="宋体"/>
                <w:sz w:val="24"/>
                <w:szCs w:val="24"/>
              </w:rPr>
            </w:pPr>
          </w:p>
          <w:p w14:paraId="65CBF027">
            <w:pPr>
              <w:pStyle w:val="79"/>
              <w:autoSpaceDE w:val="0"/>
              <w:autoSpaceDN w:val="0"/>
              <w:spacing w:before="75" w:line="227" w:lineRule="auto"/>
              <w:ind w:left="163"/>
              <w:rPr>
                <w:rFonts w:hint="eastAsia" w:ascii="宋体" w:hAnsi="宋体" w:eastAsia="宋体" w:cs="宋体"/>
                <w:sz w:val="24"/>
                <w:szCs w:val="24"/>
              </w:rPr>
            </w:pPr>
            <w:r>
              <w:rPr>
                <w:rFonts w:hint="eastAsia" w:ascii="宋体" w:hAnsi="宋体" w:eastAsia="宋体" w:cs="宋体"/>
                <w:spacing w:val="-2"/>
                <w:sz w:val="24"/>
                <w:szCs w:val="24"/>
              </w:rPr>
              <w:t>毕业院校专业</w:t>
            </w:r>
          </w:p>
        </w:tc>
        <w:tc>
          <w:tcPr>
            <w:tcW w:w="2732" w:type="dxa"/>
            <w:gridSpan w:val="3"/>
            <w:noWrap w:val="0"/>
            <w:vAlign w:val="top"/>
          </w:tcPr>
          <w:p w14:paraId="20203223">
            <w:pPr>
              <w:autoSpaceDE w:val="0"/>
              <w:autoSpaceDN w:val="0"/>
              <w:rPr>
                <w:rFonts w:hint="eastAsia" w:ascii="宋体" w:hAnsi="宋体" w:eastAsia="宋体" w:cs="宋体"/>
                <w:sz w:val="24"/>
                <w:szCs w:val="24"/>
              </w:rPr>
            </w:pPr>
          </w:p>
        </w:tc>
        <w:tc>
          <w:tcPr>
            <w:tcW w:w="1194" w:type="dxa"/>
            <w:gridSpan w:val="2"/>
            <w:noWrap w:val="0"/>
            <w:vAlign w:val="top"/>
          </w:tcPr>
          <w:p w14:paraId="143BD3D7">
            <w:pPr>
              <w:autoSpaceDE w:val="0"/>
              <w:autoSpaceDN w:val="0"/>
              <w:spacing w:line="300" w:lineRule="auto"/>
              <w:rPr>
                <w:rFonts w:hint="eastAsia" w:ascii="宋体" w:hAnsi="宋体" w:eastAsia="宋体" w:cs="宋体"/>
                <w:sz w:val="24"/>
                <w:szCs w:val="24"/>
              </w:rPr>
            </w:pPr>
          </w:p>
          <w:p w14:paraId="3312DBB2">
            <w:pPr>
              <w:pStyle w:val="79"/>
              <w:autoSpaceDE w:val="0"/>
              <w:autoSpaceDN w:val="0"/>
              <w:spacing w:before="75" w:line="227" w:lineRule="auto"/>
              <w:ind w:left="112"/>
              <w:rPr>
                <w:rFonts w:hint="eastAsia" w:ascii="宋体" w:hAnsi="宋体" w:eastAsia="宋体" w:cs="宋体"/>
                <w:sz w:val="24"/>
                <w:szCs w:val="24"/>
              </w:rPr>
            </w:pPr>
            <w:r>
              <w:rPr>
                <w:rFonts w:hint="eastAsia" w:ascii="宋体" w:hAnsi="宋体" w:eastAsia="宋体" w:cs="宋体"/>
                <w:spacing w:val="-1"/>
                <w:sz w:val="24"/>
                <w:szCs w:val="24"/>
              </w:rPr>
              <w:t>毕业时间</w:t>
            </w:r>
          </w:p>
        </w:tc>
        <w:tc>
          <w:tcPr>
            <w:tcW w:w="2855" w:type="dxa"/>
            <w:noWrap w:val="0"/>
            <w:vAlign w:val="top"/>
          </w:tcPr>
          <w:p w14:paraId="4AD1193E">
            <w:pPr>
              <w:autoSpaceDE w:val="0"/>
              <w:autoSpaceDN w:val="0"/>
              <w:spacing w:line="300" w:lineRule="auto"/>
              <w:rPr>
                <w:rFonts w:hint="eastAsia" w:ascii="宋体" w:hAnsi="宋体" w:eastAsia="宋体" w:cs="宋体"/>
                <w:sz w:val="24"/>
                <w:szCs w:val="24"/>
              </w:rPr>
            </w:pPr>
          </w:p>
          <w:p w14:paraId="6EBE0D71">
            <w:pPr>
              <w:pStyle w:val="79"/>
              <w:autoSpaceDE w:val="0"/>
              <w:autoSpaceDN w:val="0"/>
              <w:spacing w:before="75" w:line="227" w:lineRule="auto"/>
              <w:ind w:left="704"/>
              <w:rPr>
                <w:rFonts w:hint="eastAsia" w:ascii="宋体" w:hAnsi="宋体" w:eastAsia="宋体" w:cs="宋体"/>
                <w:sz w:val="24"/>
                <w:szCs w:val="24"/>
              </w:rPr>
            </w:pPr>
            <w:r>
              <w:rPr>
                <w:rFonts w:hint="eastAsia" w:ascii="宋体" w:hAnsi="宋体" w:eastAsia="宋体" w:cs="宋体"/>
                <w:spacing w:val="-2"/>
                <w:sz w:val="24"/>
                <w:szCs w:val="24"/>
              </w:rPr>
              <w:t>年</w:t>
            </w:r>
            <w:r>
              <w:rPr>
                <w:rFonts w:hint="eastAsia" w:ascii="宋体" w:hAnsi="宋体" w:eastAsia="宋体" w:cs="宋体"/>
                <w:spacing w:val="41"/>
                <w:sz w:val="24"/>
                <w:szCs w:val="24"/>
              </w:rPr>
              <w:t xml:space="preserve">  </w:t>
            </w:r>
            <w:r>
              <w:rPr>
                <w:rFonts w:hint="eastAsia" w:ascii="宋体" w:hAnsi="宋体" w:eastAsia="宋体" w:cs="宋体"/>
                <w:spacing w:val="-2"/>
                <w:sz w:val="24"/>
                <w:szCs w:val="24"/>
              </w:rPr>
              <w:t>月</w:t>
            </w:r>
            <w:r>
              <w:rPr>
                <w:rFonts w:hint="eastAsia" w:ascii="宋体" w:hAnsi="宋体" w:eastAsia="宋体" w:cs="宋体"/>
                <w:spacing w:val="30"/>
                <w:sz w:val="24"/>
                <w:szCs w:val="24"/>
              </w:rPr>
              <w:t xml:space="preserve">   </w:t>
            </w:r>
            <w:r>
              <w:rPr>
                <w:rFonts w:hint="eastAsia" w:ascii="宋体" w:hAnsi="宋体" w:eastAsia="宋体" w:cs="宋体"/>
                <w:spacing w:val="-2"/>
                <w:sz w:val="24"/>
                <w:szCs w:val="24"/>
              </w:rPr>
              <w:t>日</w:t>
            </w:r>
          </w:p>
        </w:tc>
      </w:tr>
      <w:tr w14:paraId="459D5F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5" w:hRule="atLeast"/>
        </w:trPr>
        <w:tc>
          <w:tcPr>
            <w:tcW w:w="1738" w:type="dxa"/>
            <w:gridSpan w:val="2"/>
            <w:noWrap w:val="0"/>
            <w:vAlign w:val="top"/>
          </w:tcPr>
          <w:p w14:paraId="49DBAF40">
            <w:pPr>
              <w:autoSpaceDE w:val="0"/>
              <w:autoSpaceDN w:val="0"/>
              <w:spacing w:line="302" w:lineRule="auto"/>
              <w:rPr>
                <w:rFonts w:hint="eastAsia" w:ascii="宋体" w:hAnsi="宋体" w:eastAsia="宋体" w:cs="宋体"/>
                <w:sz w:val="24"/>
                <w:szCs w:val="24"/>
              </w:rPr>
            </w:pPr>
          </w:p>
          <w:p w14:paraId="316A9635">
            <w:pPr>
              <w:pStyle w:val="79"/>
              <w:autoSpaceDE w:val="0"/>
              <w:autoSpaceDN w:val="0"/>
              <w:spacing w:before="75" w:line="227" w:lineRule="auto"/>
              <w:ind w:left="49"/>
              <w:rPr>
                <w:rFonts w:hint="eastAsia" w:ascii="宋体" w:hAnsi="宋体" w:eastAsia="宋体" w:cs="宋体"/>
                <w:sz w:val="24"/>
                <w:szCs w:val="24"/>
              </w:rPr>
            </w:pPr>
            <w:r>
              <w:rPr>
                <w:rFonts w:hint="eastAsia" w:ascii="宋体" w:hAnsi="宋体" w:eastAsia="宋体" w:cs="宋体"/>
                <w:spacing w:val="-2"/>
                <w:sz w:val="24"/>
                <w:szCs w:val="24"/>
              </w:rPr>
              <w:t>从事本专业时间</w:t>
            </w:r>
          </w:p>
        </w:tc>
        <w:tc>
          <w:tcPr>
            <w:tcW w:w="1917" w:type="dxa"/>
            <w:gridSpan w:val="2"/>
            <w:noWrap w:val="0"/>
            <w:vAlign w:val="top"/>
          </w:tcPr>
          <w:p w14:paraId="3D7E023A">
            <w:pPr>
              <w:autoSpaceDE w:val="0"/>
              <w:autoSpaceDN w:val="0"/>
              <w:rPr>
                <w:rFonts w:hint="eastAsia" w:ascii="宋体" w:hAnsi="宋体" w:eastAsia="宋体" w:cs="宋体"/>
                <w:sz w:val="24"/>
                <w:szCs w:val="24"/>
              </w:rPr>
            </w:pPr>
          </w:p>
        </w:tc>
        <w:tc>
          <w:tcPr>
            <w:tcW w:w="2009" w:type="dxa"/>
            <w:gridSpan w:val="3"/>
            <w:noWrap w:val="0"/>
            <w:vAlign w:val="top"/>
          </w:tcPr>
          <w:p w14:paraId="2735033D">
            <w:pPr>
              <w:autoSpaceDE w:val="0"/>
              <w:autoSpaceDN w:val="0"/>
              <w:spacing w:line="303" w:lineRule="auto"/>
              <w:rPr>
                <w:rFonts w:hint="eastAsia" w:ascii="宋体" w:hAnsi="宋体" w:eastAsia="宋体" w:cs="宋体"/>
                <w:sz w:val="24"/>
                <w:szCs w:val="24"/>
              </w:rPr>
            </w:pPr>
          </w:p>
          <w:p w14:paraId="750C3A7F">
            <w:pPr>
              <w:pStyle w:val="79"/>
              <w:autoSpaceDE w:val="0"/>
              <w:autoSpaceDN w:val="0"/>
              <w:spacing w:before="74" w:line="227" w:lineRule="auto"/>
              <w:ind w:left="73"/>
              <w:rPr>
                <w:rFonts w:hint="eastAsia" w:ascii="宋体" w:hAnsi="宋体" w:eastAsia="宋体" w:cs="宋体"/>
                <w:sz w:val="24"/>
                <w:szCs w:val="24"/>
              </w:rPr>
            </w:pPr>
            <w:r>
              <w:rPr>
                <w:rFonts w:hint="eastAsia" w:ascii="宋体" w:hAnsi="宋体" w:eastAsia="宋体" w:cs="宋体"/>
                <w:spacing w:val="-2"/>
                <w:sz w:val="24"/>
                <w:szCs w:val="24"/>
              </w:rPr>
              <w:t>为申请人服务时间</w:t>
            </w:r>
          </w:p>
        </w:tc>
        <w:tc>
          <w:tcPr>
            <w:tcW w:w="2855" w:type="dxa"/>
            <w:noWrap w:val="0"/>
            <w:vAlign w:val="top"/>
          </w:tcPr>
          <w:p w14:paraId="3BDB8B24">
            <w:pPr>
              <w:autoSpaceDE w:val="0"/>
              <w:autoSpaceDN w:val="0"/>
              <w:rPr>
                <w:rFonts w:hint="eastAsia" w:ascii="宋体" w:hAnsi="宋体" w:eastAsia="宋体" w:cs="宋体"/>
                <w:sz w:val="24"/>
                <w:szCs w:val="24"/>
              </w:rPr>
            </w:pPr>
          </w:p>
        </w:tc>
      </w:tr>
      <w:tr w14:paraId="785EE2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4" w:hRule="atLeast"/>
        </w:trPr>
        <w:tc>
          <w:tcPr>
            <w:tcW w:w="1738" w:type="dxa"/>
            <w:gridSpan w:val="2"/>
            <w:noWrap w:val="0"/>
            <w:vAlign w:val="top"/>
          </w:tcPr>
          <w:p w14:paraId="20E9C37F">
            <w:pPr>
              <w:autoSpaceDE w:val="0"/>
              <w:autoSpaceDN w:val="0"/>
              <w:spacing w:line="303" w:lineRule="auto"/>
              <w:rPr>
                <w:rFonts w:hint="eastAsia" w:ascii="宋体" w:hAnsi="宋体" w:eastAsia="宋体" w:cs="宋体"/>
                <w:sz w:val="24"/>
                <w:szCs w:val="24"/>
              </w:rPr>
            </w:pPr>
          </w:p>
          <w:p w14:paraId="021F7767">
            <w:pPr>
              <w:pStyle w:val="79"/>
              <w:autoSpaceDE w:val="0"/>
              <w:autoSpaceDN w:val="0"/>
              <w:spacing w:before="75" w:line="227" w:lineRule="auto"/>
              <w:ind w:left="379"/>
              <w:rPr>
                <w:rFonts w:hint="eastAsia" w:ascii="宋体" w:hAnsi="宋体" w:eastAsia="宋体" w:cs="宋体"/>
                <w:sz w:val="24"/>
                <w:szCs w:val="24"/>
              </w:rPr>
            </w:pPr>
            <w:r>
              <w:rPr>
                <w:rFonts w:hint="eastAsia" w:ascii="宋体" w:hAnsi="宋体" w:eastAsia="宋体" w:cs="宋体"/>
                <w:spacing w:val="1"/>
                <w:sz w:val="24"/>
                <w:szCs w:val="24"/>
              </w:rPr>
              <w:t>证书名称</w:t>
            </w:r>
          </w:p>
        </w:tc>
        <w:tc>
          <w:tcPr>
            <w:tcW w:w="1917" w:type="dxa"/>
            <w:gridSpan w:val="2"/>
            <w:noWrap w:val="0"/>
            <w:vAlign w:val="top"/>
          </w:tcPr>
          <w:p w14:paraId="34DF4425">
            <w:pPr>
              <w:autoSpaceDE w:val="0"/>
              <w:autoSpaceDN w:val="0"/>
              <w:rPr>
                <w:rFonts w:hint="eastAsia" w:ascii="宋体" w:hAnsi="宋体" w:eastAsia="宋体" w:cs="宋体"/>
                <w:sz w:val="24"/>
                <w:szCs w:val="24"/>
              </w:rPr>
            </w:pPr>
          </w:p>
        </w:tc>
        <w:tc>
          <w:tcPr>
            <w:tcW w:w="2009" w:type="dxa"/>
            <w:gridSpan w:val="3"/>
            <w:noWrap w:val="0"/>
            <w:vAlign w:val="top"/>
          </w:tcPr>
          <w:p w14:paraId="67618721">
            <w:pPr>
              <w:autoSpaceDE w:val="0"/>
              <w:autoSpaceDN w:val="0"/>
              <w:spacing w:line="306" w:lineRule="auto"/>
              <w:rPr>
                <w:rFonts w:hint="eastAsia" w:ascii="宋体" w:hAnsi="宋体" w:eastAsia="宋体" w:cs="宋体"/>
                <w:sz w:val="24"/>
                <w:szCs w:val="24"/>
              </w:rPr>
            </w:pPr>
          </w:p>
          <w:p w14:paraId="6C58B98A">
            <w:pPr>
              <w:pStyle w:val="79"/>
              <w:autoSpaceDE w:val="0"/>
              <w:autoSpaceDN w:val="0"/>
              <w:spacing w:before="75" w:line="228" w:lineRule="auto"/>
              <w:ind w:left="505"/>
              <w:rPr>
                <w:rFonts w:hint="eastAsia" w:ascii="宋体" w:hAnsi="宋体" w:eastAsia="宋体" w:cs="宋体"/>
                <w:sz w:val="24"/>
                <w:szCs w:val="24"/>
              </w:rPr>
            </w:pPr>
            <w:r>
              <w:rPr>
                <w:rFonts w:hint="eastAsia" w:ascii="宋体" w:hAnsi="宋体" w:eastAsia="宋体" w:cs="宋体"/>
                <w:spacing w:val="6"/>
                <w:sz w:val="24"/>
                <w:szCs w:val="24"/>
              </w:rPr>
              <w:t>从业证号</w:t>
            </w:r>
          </w:p>
        </w:tc>
        <w:tc>
          <w:tcPr>
            <w:tcW w:w="2855" w:type="dxa"/>
            <w:noWrap w:val="0"/>
            <w:vAlign w:val="top"/>
          </w:tcPr>
          <w:p w14:paraId="77DB59A3">
            <w:pPr>
              <w:autoSpaceDE w:val="0"/>
              <w:autoSpaceDN w:val="0"/>
              <w:rPr>
                <w:rFonts w:hint="eastAsia" w:ascii="宋体" w:hAnsi="宋体" w:eastAsia="宋体" w:cs="宋体"/>
                <w:sz w:val="24"/>
                <w:szCs w:val="24"/>
              </w:rPr>
            </w:pPr>
          </w:p>
        </w:tc>
      </w:tr>
      <w:tr w14:paraId="67564E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5" w:hRule="atLeast"/>
        </w:trPr>
        <w:tc>
          <w:tcPr>
            <w:tcW w:w="3655" w:type="dxa"/>
            <w:gridSpan w:val="4"/>
            <w:noWrap w:val="0"/>
            <w:vAlign w:val="top"/>
          </w:tcPr>
          <w:p w14:paraId="28F24D14">
            <w:pPr>
              <w:autoSpaceDE w:val="0"/>
              <w:autoSpaceDN w:val="0"/>
              <w:spacing w:line="306" w:lineRule="auto"/>
              <w:rPr>
                <w:rFonts w:hint="eastAsia" w:ascii="宋体" w:hAnsi="宋体" w:eastAsia="宋体" w:cs="宋体"/>
                <w:sz w:val="24"/>
                <w:szCs w:val="24"/>
              </w:rPr>
            </w:pPr>
          </w:p>
          <w:p w14:paraId="20EC3D99">
            <w:pPr>
              <w:pStyle w:val="79"/>
              <w:autoSpaceDE w:val="0"/>
              <w:autoSpaceDN w:val="0"/>
              <w:spacing w:before="75" w:line="227" w:lineRule="auto"/>
              <w:ind w:left="496"/>
              <w:rPr>
                <w:rFonts w:hint="eastAsia" w:ascii="宋体" w:hAnsi="宋体" w:eastAsia="宋体" w:cs="宋体"/>
                <w:sz w:val="24"/>
                <w:szCs w:val="24"/>
              </w:rPr>
            </w:pPr>
            <w:r>
              <w:rPr>
                <w:rFonts w:hint="eastAsia" w:ascii="宋体" w:hAnsi="宋体" w:eastAsia="宋体" w:cs="宋体"/>
                <w:spacing w:val="-7"/>
                <w:sz w:val="24"/>
                <w:szCs w:val="24"/>
              </w:rPr>
              <w:t>在 本 项</w:t>
            </w:r>
            <w:r>
              <w:rPr>
                <w:rFonts w:hint="eastAsia" w:ascii="宋体" w:hAnsi="宋体" w:eastAsia="宋体" w:cs="宋体"/>
                <w:spacing w:val="114"/>
                <w:sz w:val="24"/>
                <w:szCs w:val="24"/>
              </w:rPr>
              <w:t xml:space="preserve"> </w:t>
            </w:r>
            <w:r>
              <w:rPr>
                <w:rFonts w:hint="eastAsia" w:ascii="宋体" w:hAnsi="宋体" w:eastAsia="宋体" w:cs="宋体"/>
                <w:spacing w:val="-7"/>
                <w:sz w:val="24"/>
                <w:szCs w:val="24"/>
              </w:rPr>
              <w:t>目</w:t>
            </w:r>
            <w:r>
              <w:rPr>
                <w:rFonts w:hint="eastAsia" w:ascii="宋体" w:hAnsi="宋体" w:eastAsia="宋体" w:cs="宋体"/>
                <w:spacing w:val="-19"/>
                <w:sz w:val="24"/>
                <w:szCs w:val="24"/>
              </w:rPr>
              <w:t xml:space="preserve"> </w:t>
            </w:r>
            <w:r>
              <w:rPr>
                <w:rFonts w:hint="eastAsia" w:ascii="宋体" w:hAnsi="宋体" w:eastAsia="宋体" w:cs="宋体"/>
                <w:spacing w:val="-7"/>
                <w:sz w:val="24"/>
                <w:szCs w:val="24"/>
              </w:rPr>
              <w:t>拟</w:t>
            </w:r>
            <w:r>
              <w:rPr>
                <w:rFonts w:hint="eastAsia" w:ascii="宋体" w:hAnsi="宋体" w:eastAsia="宋体" w:cs="宋体"/>
                <w:spacing w:val="-25"/>
                <w:sz w:val="24"/>
                <w:szCs w:val="24"/>
              </w:rPr>
              <w:t xml:space="preserve"> </w:t>
            </w:r>
            <w:r>
              <w:rPr>
                <w:rFonts w:hint="eastAsia" w:ascii="宋体" w:hAnsi="宋体" w:eastAsia="宋体" w:cs="宋体"/>
                <w:spacing w:val="-7"/>
                <w:sz w:val="24"/>
                <w:szCs w:val="24"/>
              </w:rPr>
              <w:t>任</w:t>
            </w:r>
            <w:r>
              <w:rPr>
                <w:rFonts w:hint="eastAsia" w:ascii="宋体" w:hAnsi="宋体" w:eastAsia="宋体" w:cs="宋体"/>
                <w:spacing w:val="-19"/>
                <w:sz w:val="24"/>
                <w:szCs w:val="24"/>
              </w:rPr>
              <w:t xml:space="preserve"> </w:t>
            </w:r>
            <w:r>
              <w:rPr>
                <w:rFonts w:hint="eastAsia" w:ascii="宋体" w:hAnsi="宋体" w:eastAsia="宋体" w:cs="宋体"/>
                <w:spacing w:val="-7"/>
                <w:sz w:val="24"/>
                <w:szCs w:val="24"/>
              </w:rPr>
              <w:t>职 务</w:t>
            </w:r>
          </w:p>
        </w:tc>
        <w:tc>
          <w:tcPr>
            <w:tcW w:w="4864" w:type="dxa"/>
            <w:gridSpan w:val="4"/>
            <w:noWrap w:val="0"/>
            <w:vAlign w:val="top"/>
          </w:tcPr>
          <w:p w14:paraId="4564442C">
            <w:pPr>
              <w:autoSpaceDE w:val="0"/>
              <w:autoSpaceDN w:val="0"/>
              <w:rPr>
                <w:rFonts w:hint="eastAsia" w:ascii="宋体" w:hAnsi="宋体" w:eastAsia="宋体" w:cs="宋体"/>
                <w:sz w:val="24"/>
                <w:szCs w:val="24"/>
              </w:rPr>
            </w:pPr>
          </w:p>
        </w:tc>
      </w:tr>
      <w:tr w14:paraId="6822DB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5" w:hRule="atLeast"/>
        </w:trPr>
        <w:tc>
          <w:tcPr>
            <w:tcW w:w="8519" w:type="dxa"/>
            <w:gridSpan w:val="8"/>
            <w:noWrap w:val="0"/>
            <w:vAlign w:val="top"/>
          </w:tcPr>
          <w:p w14:paraId="64B92E8D">
            <w:pPr>
              <w:autoSpaceDE w:val="0"/>
              <w:autoSpaceDN w:val="0"/>
              <w:spacing w:line="308" w:lineRule="auto"/>
              <w:rPr>
                <w:rFonts w:hint="eastAsia" w:ascii="宋体" w:hAnsi="宋体" w:eastAsia="宋体" w:cs="宋体"/>
                <w:sz w:val="24"/>
                <w:szCs w:val="24"/>
              </w:rPr>
            </w:pPr>
          </w:p>
          <w:p w14:paraId="7153DE57">
            <w:pPr>
              <w:pStyle w:val="79"/>
              <w:autoSpaceDE w:val="0"/>
              <w:autoSpaceDN w:val="0"/>
              <w:spacing w:before="75" w:line="230" w:lineRule="auto"/>
              <w:ind w:left="3319"/>
              <w:rPr>
                <w:rFonts w:hint="eastAsia" w:ascii="宋体" w:hAnsi="宋体" w:eastAsia="宋体" w:cs="宋体"/>
                <w:sz w:val="24"/>
                <w:szCs w:val="24"/>
              </w:rPr>
            </w:pPr>
            <w:r>
              <w:rPr>
                <w:rFonts w:hint="eastAsia" w:ascii="宋体" w:hAnsi="宋体" w:eastAsia="宋体" w:cs="宋体"/>
                <w:spacing w:val="-1"/>
                <w:sz w:val="24"/>
                <w:szCs w:val="24"/>
              </w:rPr>
              <w:t>主</w:t>
            </w:r>
            <w:r>
              <w:rPr>
                <w:rFonts w:hint="eastAsia" w:ascii="宋体" w:hAnsi="宋体" w:eastAsia="宋体" w:cs="宋体"/>
                <w:spacing w:val="35"/>
                <w:sz w:val="24"/>
                <w:szCs w:val="24"/>
              </w:rPr>
              <w:t xml:space="preserve">  </w:t>
            </w:r>
            <w:r>
              <w:rPr>
                <w:rFonts w:hint="eastAsia" w:ascii="宋体" w:hAnsi="宋体" w:eastAsia="宋体" w:cs="宋体"/>
                <w:spacing w:val="-1"/>
                <w:sz w:val="24"/>
                <w:szCs w:val="24"/>
              </w:rPr>
              <w:t>要</w:t>
            </w:r>
            <w:r>
              <w:rPr>
                <w:rFonts w:hint="eastAsia" w:ascii="宋体" w:hAnsi="宋体" w:eastAsia="宋体" w:cs="宋体"/>
                <w:spacing w:val="37"/>
                <w:sz w:val="24"/>
                <w:szCs w:val="24"/>
              </w:rPr>
              <w:t xml:space="preserve">  </w:t>
            </w:r>
            <w:r>
              <w:rPr>
                <w:rFonts w:hint="eastAsia" w:ascii="宋体" w:hAnsi="宋体" w:eastAsia="宋体" w:cs="宋体"/>
                <w:spacing w:val="-1"/>
                <w:sz w:val="24"/>
                <w:szCs w:val="24"/>
              </w:rPr>
              <w:t>经</w:t>
            </w:r>
            <w:r>
              <w:rPr>
                <w:rFonts w:hint="eastAsia" w:ascii="宋体" w:hAnsi="宋体" w:eastAsia="宋体" w:cs="宋体"/>
                <w:spacing w:val="39"/>
                <w:sz w:val="24"/>
                <w:szCs w:val="24"/>
              </w:rPr>
              <w:t xml:space="preserve">  </w:t>
            </w:r>
            <w:r>
              <w:rPr>
                <w:rFonts w:hint="eastAsia" w:ascii="宋体" w:hAnsi="宋体" w:eastAsia="宋体" w:cs="宋体"/>
                <w:spacing w:val="-1"/>
                <w:sz w:val="24"/>
                <w:szCs w:val="24"/>
              </w:rPr>
              <w:t>历</w:t>
            </w:r>
          </w:p>
        </w:tc>
      </w:tr>
      <w:tr w14:paraId="6B2EDA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6" w:hRule="atLeast"/>
        </w:trPr>
        <w:tc>
          <w:tcPr>
            <w:tcW w:w="1546" w:type="dxa"/>
            <w:noWrap w:val="0"/>
            <w:vAlign w:val="top"/>
          </w:tcPr>
          <w:p w14:paraId="7D6FC59E">
            <w:pPr>
              <w:autoSpaceDE w:val="0"/>
              <w:autoSpaceDN w:val="0"/>
              <w:spacing w:line="309" w:lineRule="auto"/>
              <w:rPr>
                <w:rFonts w:hint="eastAsia" w:ascii="宋体" w:hAnsi="宋体" w:eastAsia="宋体" w:cs="宋体"/>
                <w:sz w:val="24"/>
                <w:szCs w:val="24"/>
              </w:rPr>
            </w:pPr>
          </w:p>
          <w:p w14:paraId="4601BF1C">
            <w:pPr>
              <w:pStyle w:val="79"/>
              <w:autoSpaceDE w:val="0"/>
              <w:autoSpaceDN w:val="0"/>
              <w:spacing w:before="75" w:line="230" w:lineRule="auto"/>
              <w:ind w:left="408"/>
              <w:rPr>
                <w:rFonts w:hint="eastAsia" w:ascii="宋体" w:hAnsi="宋体" w:eastAsia="宋体" w:cs="宋体"/>
                <w:sz w:val="24"/>
                <w:szCs w:val="24"/>
              </w:rPr>
            </w:pPr>
            <w:r>
              <w:rPr>
                <w:rFonts w:hint="eastAsia" w:ascii="宋体" w:hAnsi="宋体" w:eastAsia="宋体" w:cs="宋体"/>
                <w:spacing w:val="-6"/>
                <w:sz w:val="24"/>
                <w:szCs w:val="24"/>
              </w:rPr>
              <w:t>时</w:t>
            </w:r>
            <w:r>
              <w:rPr>
                <w:rFonts w:hint="eastAsia" w:ascii="宋体" w:hAnsi="宋体" w:eastAsia="宋体" w:cs="宋体"/>
                <w:spacing w:val="14"/>
                <w:sz w:val="24"/>
                <w:szCs w:val="24"/>
              </w:rPr>
              <w:t xml:space="preserve">  </w:t>
            </w:r>
            <w:r>
              <w:rPr>
                <w:rFonts w:hint="eastAsia" w:ascii="宋体" w:hAnsi="宋体" w:eastAsia="宋体" w:cs="宋体"/>
                <w:spacing w:val="-6"/>
                <w:sz w:val="24"/>
                <w:szCs w:val="24"/>
              </w:rPr>
              <w:t>间</w:t>
            </w:r>
          </w:p>
        </w:tc>
        <w:tc>
          <w:tcPr>
            <w:tcW w:w="3259" w:type="dxa"/>
            <w:gridSpan w:val="5"/>
            <w:noWrap w:val="0"/>
            <w:vAlign w:val="top"/>
          </w:tcPr>
          <w:p w14:paraId="782CFC86">
            <w:pPr>
              <w:autoSpaceDE w:val="0"/>
              <w:autoSpaceDN w:val="0"/>
              <w:spacing w:line="308" w:lineRule="auto"/>
              <w:rPr>
                <w:rFonts w:hint="eastAsia" w:ascii="宋体" w:hAnsi="宋体" w:eastAsia="宋体" w:cs="宋体"/>
                <w:sz w:val="24"/>
                <w:szCs w:val="24"/>
              </w:rPr>
            </w:pPr>
          </w:p>
          <w:p w14:paraId="70E32B69">
            <w:pPr>
              <w:pStyle w:val="79"/>
              <w:autoSpaceDE w:val="0"/>
              <w:autoSpaceDN w:val="0"/>
              <w:spacing w:before="74" w:line="227" w:lineRule="auto"/>
              <w:ind w:left="364"/>
              <w:rPr>
                <w:rFonts w:hint="eastAsia" w:ascii="宋体" w:hAnsi="宋体" w:eastAsia="宋体" w:cs="宋体"/>
                <w:sz w:val="24"/>
                <w:szCs w:val="24"/>
              </w:rPr>
            </w:pPr>
            <w:r>
              <w:rPr>
                <w:rFonts w:hint="eastAsia" w:ascii="宋体" w:hAnsi="宋体" w:eastAsia="宋体" w:cs="宋体"/>
                <w:spacing w:val="-4"/>
                <w:sz w:val="24"/>
                <w:szCs w:val="24"/>
              </w:rPr>
              <w:t>参加过的项目名称及规模</w:t>
            </w:r>
          </w:p>
        </w:tc>
        <w:tc>
          <w:tcPr>
            <w:tcW w:w="3714" w:type="dxa"/>
            <w:gridSpan w:val="2"/>
            <w:noWrap w:val="0"/>
            <w:vAlign w:val="top"/>
          </w:tcPr>
          <w:p w14:paraId="76A8324D">
            <w:pPr>
              <w:autoSpaceDE w:val="0"/>
              <w:autoSpaceDN w:val="0"/>
              <w:spacing w:line="308" w:lineRule="auto"/>
              <w:rPr>
                <w:rFonts w:hint="eastAsia" w:ascii="宋体" w:hAnsi="宋体" w:eastAsia="宋体" w:cs="宋体"/>
                <w:sz w:val="24"/>
                <w:szCs w:val="24"/>
              </w:rPr>
            </w:pPr>
          </w:p>
          <w:p w14:paraId="4759D262">
            <w:pPr>
              <w:pStyle w:val="79"/>
              <w:autoSpaceDE w:val="0"/>
              <w:autoSpaceDN w:val="0"/>
              <w:spacing w:before="74" w:line="227" w:lineRule="auto"/>
              <w:ind w:left="1146"/>
              <w:rPr>
                <w:rFonts w:hint="eastAsia" w:ascii="宋体" w:hAnsi="宋体" w:eastAsia="宋体" w:cs="宋体"/>
                <w:sz w:val="24"/>
                <w:szCs w:val="24"/>
              </w:rPr>
            </w:pPr>
            <w:r>
              <w:rPr>
                <w:rFonts w:hint="eastAsia" w:ascii="宋体" w:hAnsi="宋体" w:eastAsia="宋体" w:cs="宋体"/>
                <w:spacing w:val="-1"/>
                <w:sz w:val="24"/>
                <w:szCs w:val="24"/>
              </w:rPr>
              <w:t>该项目中任职</w:t>
            </w:r>
          </w:p>
        </w:tc>
      </w:tr>
      <w:tr w14:paraId="0535E7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19" w:hRule="atLeast"/>
        </w:trPr>
        <w:tc>
          <w:tcPr>
            <w:tcW w:w="1546" w:type="dxa"/>
            <w:noWrap w:val="0"/>
            <w:vAlign w:val="top"/>
          </w:tcPr>
          <w:p w14:paraId="284502C5">
            <w:pPr>
              <w:autoSpaceDE w:val="0"/>
              <w:autoSpaceDN w:val="0"/>
              <w:rPr>
                <w:rFonts w:hint="eastAsia" w:ascii="宋体" w:hAnsi="宋体" w:eastAsia="宋体" w:cs="宋体"/>
                <w:sz w:val="24"/>
                <w:szCs w:val="24"/>
              </w:rPr>
            </w:pPr>
          </w:p>
        </w:tc>
        <w:tc>
          <w:tcPr>
            <w:tcW w:w="3259" w:type="dxa"/>
            <w:gridSpan w:val="5"/>
            <w:noWrap w:val="0"/>
            <w:vAlign w:val="top"/>
          </w:tcPr>
          <w:p w14:paraId="3484A85B">
            <w:pPr>
              <w:autoSpaceDE w:val="0"/>
              <w:autoSpaceDN w:val="0"/>
              <w:rPr>
                <w:rFonts w:hint="eastAsia" w:ascii="宋体" w:hAnsi="宋体" w:eastAsia="宋体" w:cs="宋体"/>
                <w:sz w:val="24"/>
                <w:szCs w:val="24"/>
              </w:rPr>
            </w:pPr>
          </w:p>
        </w:tc>
        <w:tc>
          <w:tcPr>
            <w:tcW w:w="3714" w:type="dxa"/>
            <w:gridSpan w:val="2"/>
            <w:noWrap w:val="0"/>
            <w:vAlign w:val="top"/>
          </w:tcPr>
          <w:p w14:paraId="2EDA785C">
            <w:pPr>
              <w:autoSpaceDE w:val="0"/>
              <w:autoSpaceDN w:val="0"/>
              <w:rPr>
                <w:rFonts w:hint="eastAsia" w:ascii="宋体" w:hAnsi="宋体" w:eastAsia="宋体" w:cs="宋体"/>
                <w:sz w:val="24"/>
                <w:szCs w:val="24"/>
              </w:rPr>
            </w:pPr>
          </w:p>
        </w:tc>
      </w:tr>
      <w:tr w14:paraId="05CF87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7" w:hRule="atLeast"/>
        </w:trPr>
        <w:tc>
          <w:tcPr>
            <w:tcW w:w="1546" w:type="dxa"/>
            <w:noWrap w:val="0"/>
            <w:vAlign w:val="top"/>
          </w:tcPr>
          <w:p w14:paraId="69C816EC">
            <w:pPr>
              <w:autoSpaceDE w:val="0"/>
              <w:autoSpaceDN w:val="0"/>
              <w:rPr>
                <w:rFonts w:hint="eastAsia" w:ascii="宋体" w:hAnsi="宋体" w:eastAsia="宋体" w:cs="宋体"/>
                <w:sz w:val="24"/>
                <w:szCs w:val="24"/>
              </w:rPr>
            </w:pPr>
          </w:p>
        </w:tc>
        <w:tc>
          <w:tcPr>
            <w:tcW w:w="3259" w:type="dxa"/>
            <w:gridSpan w:val="5"/>
            <w:noWrap w:val="0"/>
            <w:vAlign w:val="top"/>
          </w:tcPr>
          <w:p w14:paraId="7484F3FE">
            <w:pPr>
              <w:autoSpaceDE w:val="0"/>
              <w:autoSpaceDN w:val="0"/>
              <w:rPr>
                <w:rFonts w:hint="eastAsia" w:ascii="宋体" w:hAnsi="宋体" w:eastAsia="宋体" w:cs="宋体"/>
                <w:sz w:val="24"/>
                <w:szCs w:val="24"/>
              </w:rPr>
            </w:pPr>
          </w:p>
        </w:tc>
        <w:tc>
          <w:tcPr>
            <w:tcW w:w="3714" w:type="dxa"/>
            <w:gridSpan w:val="2"/>
            <w:noWrap w:val="0"/>
            <w:vAlign w:val="top"/>
          </w:tcPr>
          <w:p w14:paraId="570A3736">
            <w:pPr>
              <w:autoSpaceDE w:val="0"/>
              <w:autoSpaceDN w:val="0"/>
              <w:rPr>
                <w:rFonts w:hint="eastAsia" w:ascii="宋体" w:hAnsi="宋体" w:eastAsia="宋体" w:cs="宋体"/>
                <w:sz w:val="24"/>
                <w:szCs w:val="24"/>
              </w:rPr>
            </w:pPr>
          </w:p>
        </w:tc>
      </w:tr>
    </w:tbl>
    <w:p w14:paraId="571393F2">
      <w:pPr>
        <w:pStyle w:val="15"/>
        <w:tabs>
          <w:tab w:val="left" w:pos="567"/>
        </w:tabs>
        <w:spacing w:line="246" w:lineRule="auto"/>
        <w:rPr>
          <w:rFonts w:hint="eastAsia" w:ascii="宋体" w:hAnsi="宋体" w:eastAsia="宋体" w:cs="宋体"/>
          <w:sz w:val="24"/>
          <w:szCs w:val="24"/>
        </w:rPr>
      </w:pPr>
    </w:p>
    <w:p w14:paraId="64CA06C2">
      <w:pPr>
        <w:spacing w:before="75" w:line="227" w:lineRule="auto"/>
        <w:ind w:left="10"/>
        <w:rPr>
          <w:rFonts w:hint="eastAsia" w:ascii="宋体" w:hAnsi="宋体" w:eastAsia="宋体" w:cs="宋体"/>
          <w:sz w:val="24"/>
          <w:szCs w:val="24"/>
        </w:rPr>
      </w:pPr>
      <w:r>
        <w:rPr>
          <w:rFonts w:hint="eastAsia" w:ascii="宋体" w:hAnsi="宋体" w:eastAsia="宋体" w:cs="宋体"/>
          <w:spacing w:val="-2"/>
          <w:sz w:val="24"/>
          <w:szCs w:val="24"/>
        </w:rPr>
        <w:t>注：1、供应商需随此表附上从业资格证书等相关资料的复印件</w:t>
      </w:r>
    </w:p>
    <w:p w14:paraId="175B2E32">
      <w:pPr>
        <w:pStyle w:val="15"/>
        <w:tabs>
          <w:tab w:val="left" w:pos="567"/>
        </w:tabs>
        <w:spacing w:line="277" w:lineRule="auto"/>
        <w:rPr>
          <w:rFonts w:hint="eastAsia" w:ascii="宋体" w:hAnsi="宋体" w:eastAsia="宋体" w:cs="宋体"/>
          <w:sz w:val="24"/>
          <w:szCs w:val="24"/>
        </w:rPr>
      </w:pPr>
    </w:p>
    <w:p w14:paraId="117FC6F1">
      <w:pPr>
        <w:pStyle w:val="15"/>
        <w:tabs>
          <w:tab w:val="left" w:pos="567"/>
        </w:tabs>
        <w:spacing w:line="277" w:lineRule="auto"/>
        <w:rPr>
          <w:rFonts w:hint="eastAsia" w:ascii="宋体" w:hAnsi="宋体" w:eastAsia="宋体" w:cs="宋体"/>
          <w:sz w:val="24"/>
          <w:szCs w:val="24"/>
        </w:rPr>
      </w:pPr>
    </w:p>
    <w:p w14:paraId="305B4C06">
      <w:pPr>
        <w:pStyle w:val="15"/>
        <w:tabs>
          <w:tab w:val="left" w:pos="567"/>
        </w:tabs>
        <w:spacing w:line="277" w:lineRule="auto"/>
        <w:rPr>
          <w:rFonts w:hint="eastAsia" w:ascii="宋体" w:hAnsi="宋体" w:eastAsia="宋体" w:cs="宋体"/>
          <w:sz w:val="24"/>
          <w:szCs w:val="24"/>
        </w:rPr>
      </w:pPr>
    </w:p>
    <w:p w14:paraId="49C4FE16">
      <w:pPr>
        <w:pStyle w:val="15"/>
        <w:tabs>
          <w:tab w:val="left" w:pos="567"/>
        </w:tabs>
        <w:spacing w:line="278" w:lineRule="auto"/>
        <w:rPr>
          <w:rFonts w:hint="eastAsia" w:ascii="宋体" w:hAnsi="宋体" w:eastAsia="宋体" w:cs="宋体"/>
          <w:sz w:val="24"/>
          <w:szCs w:val="24"/>
        </w:rPr>
      </w:pPr>
    </w:p>
    <w:p w14:paraId="710AF081">
      <w:pPr>
        <w:spacing w:before="74" w:line="227" w:lineRule="auto"/>
        <w:ind w:left="13"/>
        <w:rPr>
          <w:rFonts w:hint="eastAsia" w:ascii="宋体" w:hAnsi="宋体" w:eastAsia="宋体" w:cs="宋体"/>
          <w:spacing w:val="0"/>
          <w:sz w:val="24"/>
          <w:szCs w:val="24"/>
        </w:rPr>
      </w:pPr>
      <w:r>
        <w:rPr>
          <w:rFonts w:hint="eastAsia" w:ascii="宋体" w:hAnsi="宋体" w:eastAsia="宋体" w:cs="宋体"/>
          <w:spacing w:val="0"/>
          <w:sz w:val="24"/>
          <w:szCs w:val="24"/>
        </w:rPr>
        <w:t>投标人全称（盖公章）：</w:t>
      </w:r>
    </w:p>
    <w:p w14:paraId="275F5055">
      <w:pPr>
        <w:spacing w:before="303" w:line="227" w:lineRule="auto"/>
        <w:ind w:left="11"/>
        <w:rPr>
          <w:rFonts w:hint="eastAsia" w:ascii="宋体" w:hAnsi="宋体" w:eastAsia="宋体" w:cs="宋体"/>
          <w:spacing w:val="0"/>
          <w:sz w:val="24"/>
          <w:szCs w:val="24"/>
        </w:rPr>
      </w:pPr>
      <w:r>
        <w:rPr>
          <w:rFonts w:hint="eastAsia" w:ascii="宋体" w:hAnsi="宋体" w:eastAsia="宋体" w:cs="宋体"/>
          <w:spacing w:val="0"/>
          <w:sz w:val="24"/>
          <w:szCs w:val="24"/>
        </w:rPr>
        <w:t>法定代表人或授权代表（签名或盖章）：</w:t>
      </w:r>
    </w:p>
    <w:p w14:paraId="3EE6211E">
      <w:pPr>
        <w:spacing w:before="287" w:line="227" w:lineRule="auto"/>
        <w:ind w:left="51"/>
        <w:rPr>
          <w:rFonts w:hint="eastAsia" w:ascii="宋体" w:hAnsi="宋体" w:eastAsia="宋体" w:cs="宋体"/>
          <w:sz w:val="24"/>
          <w:szCs w:val="24"/>
        </w:rPr>
      </w:pPr>
      <w:r>
        <w:rPr>
          <w:rFonts w:hint="eastAsia" w:ascii="宋体" w:hAnsi="宋体" w:eastAsia="宋体" w:cs="宋体"/>
          <w:spacing w:val="-14"/>
          <w:sz w:val="24"/>
          <w:szCs w:val="24"/>
        </w:rPr>
        <w:t>日</w:t>
      </w:r>
      <w:r>
        <w:rPr>
          <w:rFonts w:hint="eastAsia" w:ascii="宋体" w:hAnsi="宋体" w:eastAsia="宋体" w:cs="宋体"/>
          <w:spacing w:val="9"/>
          <w:sz w:val="24"/>
          <w:szCs w:val="24"/>
        </w:rPr>
        <w:t xml:space="preserve">    </w:t>
      </w:r>
      <w:r>
        <w:rPr>
          <w:rFonts w:hint="eastAsia" w:ascii="宋体" w:hAnsi="宋体" w:eastAsia="宋体" w:cs="宋体"/>
          <w:spacing w:val="-14"/>
          <w:sz w:val="24"/>
          <w:szCs w:val="24"/>
        </w:rPr>
        <w:t>期：</w:t>
      </w:r>
      <w:r>
        <w:rPr>
          <w:rFonts w:hint="eastAsia" w:ascii="宋体" w:hAnsi="宋体" w:eastAsia="宋体" w:cs="宋体"/>
          <w:spacing w:val="6"/>
          <w:sz w:val="24"/>
          <w:szCs w:val="24"/>
        </w:rPr>
        <w:t xml:space="preserve">     </w:t>
      </w:r>
      <w:r>
        <w:rPr>
          <w:rFonts w:hint="eastAsia" w:ascii="宋体" w:hAnsi="宋体" w:eastAsia="宋体" w:cs="宋体"/>
          <w:spacing w:val="-14"/>
          <w:sz w:val="24"/>
          <w:szCs w:val="24"/>
        </w:rPr>
        <w:t>年</w:t>
      </w:r>
      <w:r>
        <w:rPr>
          <w:rFonts w:hint="eastAsia" w:ascii="宋体" w:hAnsi="宋体" w:eastAsia="宋体" w:cs="宋体"/>
          <w:spacing w:val="20"/>
          <w:sz w:val="24"/>
          <w:szCs w:val="24"/>
        </w:rPr>
        <w:t xml:space="preserve">   </w:t>
      </w:r>
      <w:r>
        <w:rPr>
          <w:rFonts w:hint="eastAsia" w:ascii="宋体" w:hAnsi="宋体" w:eastAsia="宋体" w:cs="宋体"/>
          <w:spacing w:val="-14"/>
          <w:sz w:val="24"/>
          <w:szCs w:val="24"/>
        </w:rPr>
        <w:t>月</w:t>
      </w:r>
      <w:r>
        <w:rPr>
          <w:rFonts w:hint="eastAsia" w:ascii="宋体" w:hAnsi="宋体" w:eastAsia="宋体" w:cs="宋体"/>
          <w:spacing w:val="16"/>
          <w:sz w:val="24"/>
          <w:szCs w:val="24"/>
        </w:rPr>
        <w:t xml:space="preserve">   </w:t>
      </w:r>
      <w:r>
        <w:rPr>
          <w:rFonts w:hint="eastAsia" w:ascii="宋体" w:hAnsi="宋体" w:eastAsia="宋体" w:cs="宋体"/>
          <w:spacing w:val="-14"/>
          <w:sz w:val="24"/>
          <w:szCs w:val="24"/>
        </w:rPr>
        <w:t>日</w:t>
      </w:r>
    </w:p>
    <w:p w14:paraId="63AE8DDF">
      <w:pPr>
        <w:spacing w:line="227" w:lineRule="auto"/>
        <w:rPr>
          <w:rFonts w:hint="eastAsia" w:ascii="宋体" w:hAnsi="宋体" w:eastAsia="宋体" w:cs="宋体"/>
          <w:sz w:val="24"/>
          <w:szCs w:val="24"/>
        </w:rPr>
        <w:sectPr>
          <w:footerReference r:id="rId19" w:type="default"/>
          <w:pgSz w:w="11906" w:h="16838"/>
          <w:pgMar w:top="400" w:right="1697" w:bottom="1097" w:left="1683" w:header="0" w:footer="937" w:gutter="0"/>
          <w:pgNumType w:fmt="decimal"/>
          <w:cols w:space="720" w:num="1"/>
        </w:sectPr>
      </w:pPr>
    </w:p>
    <w:p w14:paraId="72EB69AD">
      <w:pPr>
        <w:spacing w:before="74" w:line="225" w:lineRule="auto"/>
        <w:jc w:val="left"/>
        <w:rPr>
          <w:rFonts w:hint="eastAsia" w:ascii="宋体" w:hAnsi="宋体" w:eastAsia="宋体" w:cs="宋体"/>
          <w:b/>
          <w:bCs/>
          <w:spacing w:val="4"/>
          <w:sz w:val="24"/>
          <w:szCs w:val="24"/>
        </w:rPr>
      </w:pPr>
      <w:r>
        <w:rPr>
          <w:rFonts w:hint="eastAsia" w:ascii="宋体" w:hAnsi="宋体" w:eastAsia="宋体" w:cs="宋体"/>
          <w:b/>
          <w:bCs/>
          <w:spacing w:val="4"/>
          <w:sz w:val="24"/>
          <w:szCs w:val="24"/>
        </w:rPr>
        <w:t>附件四</w:t>
      </w:r>
    </w:p>
    <w:p w14:paraId="01A75DEB">
      <w:pPr>
        <w:spacing w:before="91" w:line="219" w:lineRule="auto"/>
        <w:ind w:left="2978"/>
        <w:rPr>
          <w:rFonts w:hint="eastAsia" w:ascii="宋体" w:hAnsi="宋体" w:eastAsia="宋体" w:cs="宋体"/>
          <w:b/>
          <w:bCs/>
          <w:spacing w:val="-23"/>
          <w:sz w:val="24"/>
          <w:szCs w:val="24"/>
        </w:rPr>
      </w:pPr>
      <w:r>
        <w:rPr>
          <w:rFonts w:hint="eastAsia" w:ascii="宋体" w:hAnsi="宋体" w:eastAsia="宋体" w:cs="宋体"/>
          <w:b/>
          <w:bCs/>
          <w:spacing w:val="-23"/>
          <w:sz w:val="24"/>
          <w:szCs w:val="24"/>
        </w:rPr>
        <w:t>出具法人营业执照函</w:t>
      </w:r>
    </w:p>
    <w:p w14:paraId="616AD048">
      <w:pPr>
        <w:pStyle w:val="15"/>
        <w:tabs>
          <w:tab w:val="left" w:pos="567"/>
        </w:tabs>
        <w:spacing w:line="304" w:lineRule="auto"/>
        <w:rPr>
          <w:rFonts w:hint="eastAsia" w:ascii="宋体" w:hAnsi="宋体" w:eastAsia="宋体" w:cs="宋体"/>
          <w:sz w:val="24"/>
          <w:szCs w:val="24"/>
        </w:rPr>
      </w:pPr>
    </w:p>
    <w:p w14:paraId="7F88DBE7">
      <w:pPr>
        <w:pStyle w:val="15"/>
        <w:tabs>
          <w:tab w:val="left" w:pos="567"/>
        </w:tabs>
        <w:spacing w:line="304" w:lineRule="auto"/>
        <w:rPr>
          <w:rFonts w:hint="eastAsia" w:ascii="宋体" w:hAnsi="宋体" w:eastAsia="宋体" w:cs="宋体"/>
          <w:sz w:val="24"/>
          <w:szCs w:val="24"/>
        </w:rPr>
      </w:pPr>
    </w:p>
    <w:p w14:paraId="28D17325">
      <w:pPr>
        <w:spacing w:before="75" w:line="227" w:lineRule="auto"/>
        <w:rPr>
          <w:rFonts w:hint="eastAsia" w:ascii="宋体" w:hAnsi="宋体" w:eastAsia="宋体" w:cs="宋体"/>
          <w:sz w:val="24"/>
          <w:szCs w:val="24"/>
        </w:rPr>
      </w:pPr>
      <w:r>
        <w:rPr>
          <w:rFonts w:hint="eastAsia" w:cs="宋体"/>
          <w:spacing w:val="5"/>
          <w:sz w:val="24"/>
          <w:szCs w:val="24"/>
          <w:u w:val="single" w:color="auto"/>
          <w:lang w:eastAsia="zh-CN"/>
        </w:rPr>
        <w:t>招标人</w:t>
      </w:r>
      <w:r>
        <w:rPr>
          <w:rFonts w:hint="eastAsia" w:ascii="宋体" w:hAnsi="宋体" w:eastAsia="宋体" w:cs="宋体"/>
          <w:spacing w:val="5"/>
          <w:sz w:val="24"/>
          <w:szCs w:val="24"/>
        </w:rPr>
        <w:t>：</w:t>
      </w:r>
    </w:p>
    <w:p w14:paraId="3CD7AFD8">
      <w:pPr>
        <w:pStyle w:val="15"/>
        <w:tabs>
          <w:tab w:val="left" w:pos="567"/>
        </w:tabs>
        <w:spacing w:line="286" w:lineRule="auto"/>
        <w:rPr>
          <w:rFonts w:hint="eastAsia" w:ascii="宋体" w:hAnsi="宋体" w:eastAsia="宋体" w:cs="宋体"/>
          <w:sz w:val="24"/>
          <w:szCs w:val="24"/>
        </w:rPr>
      </w:pPr>
    </w:p>
    <w:p w14:paraId="40ED7A02">
      <w:pPr>
        <w:pStyle w:val="15"/>
        <w:tabs>
          <w:tab w:val="left" w:pos="567"/>
        </w:tabs>
        <w:spacing w:line="286" w:lineRule="auto"/>
        <w:rPr>
          <w:rFonts w:hint="eastAsia" w:ascii="宋体" w:hAnsi="宋体" w:eastAsia="宋体" w:cs="宋体"/>
          <w:sz w:val="24"/>
          <w:szCs w:val="24"/>
        </w:rPr>
      </w:pPr>
    </w:p>
    <w:p w14:paraId="7531CF38">
      <w:pPr>
        <w:spacing w:before="75" w:line="376" w:lineRule="auto"/>
        <w:jc w:val="left"/>
        <w:rPr>
          <w:rFonts w:hint="eastAsia" w:ascii="宋体" w:hAnsi="宋体" w:eastAsia="宋体" w:cs="宋体"/>
          <w:sz w:val="24"/>
          <w:szCs w:val="24"/>
        </w:rPr>
      </w:pPr>
      <w:r>
        <w:rPr>
          <w:rFonts w:hint="eastAsia" w:ascii="宋体" w:hAnsi="宋体" w:eastAsia="宋体" w:cs="宋体"/>
          <w:spacing w:val="9"/>
          <w:sz w:val="24"/>
          <w:szCs w:val="24"/>
        </w:rPr>
        <w:t>现附上由</w:t>
      </w:r>
      <w:r>
        <w:rPr>
          <w:rFonts w:hint="eastAsia" w:ascii="宋体" w:hAnsi="宋体" w:eastAsia="宋体" w:cs="宋体"/>
          <w:spacing w:val="-112"/>
          <w:sz w:val="24"/>
          <w:szCs w:val="24"/>
        </w:rPr>
        <w:t xml:space="preserve"> </w:t>
      </w:r>
      <w:r>
        <w:rPr>
          <w:rFonts w:hint="eastAsia" w:ascii="宋体" w:hAnsi="宋体" w:eastAsia="宋体" w:cs="宋体"/>
          <w:spacing w:val="9"/>
          <w:sz w:val="24"/>
          <w:szCs w:val="24"/>
          <w:u w:val="single" w:color="auto"/>
        </w:rPr>
        <w:t xml:space="preserve">                          </w:t>
      </w:r>
      <w:r>
        <w:rPr>
          <w:rFonts w:hint="eastAsia" w:ascii="宋体" w:hAnsi="宋体" w:eastAsia="宋体" w:cs="宋体"/>
          <w:spacing w:val="9"/>
          <w:sz w:val="24"/>
          <w:szCs w:val="24"/>
        </w:rPr>
        <w:t>（签发机关名称）签发的我方法</w:t>
      </w:r>
      <w:r>
        <w:rPr>
          <w:rFonts w:hint="eastAsia" w:ascii="宋体" w:hAnsi="宋体" w:eastAsia="宋体" w:cs="宋体"/>
          <w:spacing w:val="8"/>
          <w:sz w:val="24"/>
          <w:szCs w:val="24"/>
        </w:rPr>
        <w:t>人营业执照复</w:t>
      </w:r>
      <w:r>
        <w:rPr>
          <w:rFonts w:hint="eastAsia" w:ascii="宋体" w:hAnsi="宋体" w:eastAsia="宋体" w:cs="宋体"/>
          <w:spacing w:val="5"/>
          <w:sz w:val="24"/>
          <w:szCs w:val="24"/>
        </w:rPr>
        <w:t>印件，该执照已经年检，真实有效。</w:t>
      </w:r>
    </w:p>
    <w:p w14:paraId="762A1BD3">
      <w:pPr>
        <w:pStyle w:val="15"/>
        <w:tabs>
          <w:tab w:val="left" w:pos="567"/>
        </w:tabs>
        <w:spacing w:line="256" w:lineRule="auto"/>
        <w:rPr>
          <w:rFonts w:hint="eastAsia" w:ascii="宋体" w:hAnsi="宋体" w:eastAsia="宋体" w:cs="宋体"/>
          <w:sz w:val="24"/>
          <w:szCs w:val="24"/>
        </w:rPr>
      </w:pPr>
    </w:p>
    <w:p w14:paraId="18F95FDD">
      <w:pPr>
        <w:pStyle w:val="15"/>
        <w:tabs>
          <w:tab w:val="left" w:pos="567"/>
        </w:tabs>
        <w:spacing w:line="256" w:lineRule="auto"/>
        <w:rPr>
          <w:rFonts w:hint="eastAsia" w:ascii="宋体" w:hAnsi="宋体" w:eastAsia="宋体" w:cs="宋体"/>
          <w:sz w:val="24"/>
          <w:szCs w:val="24"/>
        </w:rPr>
      </w:pPr>
    </w:p>
    <w:p w14:paraId="5F7ED7E4">
      <w:pPr>
        <w:pStyle w:val="15"/>
        <w:tabs>
          <w:tab w:val="left" w:pos="567"/>
        </w:tabs>
        <w:spacing w:line="257" w:lineRule="auto"/>
        <w:rPr>
          <w:rFonts w:hint="eastAsia" w:ascii="宋体" w:hAnsi="宋体" w:eastAsia="宋体" w:cs="宋体"/>
          <w:sz w:val="24"/>
          <w:szCs w:val="24"/>
        </w:rPr>
      </w:pPr>
    </w:p>
    <w:p w14:paraId="28B3682F">
      <w:pPr>
        <w:pStyle w:val="15"/>
        <w:tabs>
          <w:tab w:val="left" w:pos="567"/>
        </w:tabs>
        <w:spacing w:line="257" w:lineRule="auto"/>
        <w:rPr>
          <w:rFonts w:hint="eastAsia" w:ascii="宋体" w:hAnsi="宋体" w:eastAsia="宋体" w:cs="宋体"/>
          <w:sz w:val="24"/>
          <w:szCs w:val="24"/>
        </w:rPr>
      </w:pPr>
    </w:p>
    <w:p w14:paraId="4C43227E">
      <w:pPr>
        <w:pStyle w:val="15"/>
        <w:tabs>
          <w:tab w:val="left" w:pos="567"/>
        </w:tabs>
        <w:spacing w:line="257" w:lineRule="auto"/>
        <w:rPr>
          <w:rFonts w:hint="eastAsia" w:ascii="宋体" w:hAnsi="宋体" w:eastAsia="宋体" w:cs="宋体"/>
          <w:sz w:val="24"/>
          <w:szCs w:val="24"/>
        </w:rPr>
      </w:pPr>
    </w:p>
    <w:p w14:paraId="094C1AC7">
      <w:pPr>
        <w:pStyle w:val="15"/>
        <w:tabs>
          <w:tab w:val="left" w:pos="567"/>
        </w:tabs>
        <w:spacing w:line="257" w:lineRule="auto"/>
        <w:rPr>
          <w:rFonts w:hint="eastAsia" w:ascii="宋体" w:hAnsi="宋体" w:eastAsia="宋体" w:cs="宋体"/>
          <w:sz w:val="24"/>
          <w:szCs w:val="24"/>
        </w:rPr>
      </w:pPr>
    </w:p>
    <w:p w14:paraId="58B2DA5E">
      <w:pPr>
        <w:spacing w:before="75" w:line="227" w:lineRule="auto"/>
        <w:ind w:left="3"/>
        <w:rPr>
          <w:rFonts w:hint="eastAsia" w:ascii="宋体" w:hAnsi="宋体" w:eastAsia="宋体" w:cs="宋体"/>
          <w:sz w:val="24"/>
          <w:szCs w:val="24"/>
        </w:rPr>
      </w:pPr>
      <w:r>
        <w:rPr>
          <w:rFonts w:hint="eastAsia" w:ascii="宋体" w:hAnsi="宋体" w:eastAsia="宋体" w:cs="宋体"/>
          <w:spacing w:val="-4"/>
          <w:sz w:val="24"/>
          <w:szCs w:val="24"/>
        </w:rPr>
        <w:t>投标人全称（盖公章）：</w:t>
      </w:r>
    </w:p>
    <w:p w14:paraId="438E5922">
      <w:pPr>
        <w:spacing w:before="202" w:line="227" w:lineRule="auto"/>
        <w:ind w:left="1"/>
        <w:rPr>
          <w:rFonts w:hint="eastAsia" w:ascii="宋体" w:hAnsi="宋体" w:eastAsia="宋体" w:cs="宋体"/>
          <w:sz w:val="24"/>
          <w:szCs w:val="24"/>
        </w:rPr>
      </w:pPr>
      <w:r>
        <w:rPr>
          <w:rFonts w:hint="eastAsia" w:ascii="宋体" w:hAnsi="宋体" w:eastAsia="宋体" w:cs="宋体"/>
          <w:spacing w:val="1"/>
          <w:sz w:val="24"/>
          <w:szCs w:val="24"/>
        </w:rPr>
        <w:t>法定代表人或授权代表（签名或盖章</w:t>
      </w:r>
      <w:r>
        <w:rPr>
          <w:rFonts w:hint="eastAsia" w:ascii="宋体" w:hAnsi="宋体" w:eastAsia="宋体" w:cs="宋体"/>
          <w:spacing w:val="4"/>
          <w:sz w:val="24"/>
          <w:szCs w:val="24"/>
        </w:rPr>
        <w:t>）：</w:t>
      </w:r>
    </w:p>
    <w:p w14:paraId="5220F4D7">
      <w:pPr>
        <w:spacing w:before="184" w:line="227" w:lineRule="auto"/>
        <w:ind w:left="42"/>
        <w:rPr>
          <w:rFonts w:hint="eastAsia" w:ascii="宋体" w:hAnsi="宋体" w:eastAsia="宋体" w:cs="宋体"/>
          <w:sz w:val="24"/>
          <w:szCs w:val="24"/>
        </w:rPr>
      </w:pPr>
      <w:r>
        <w:rPr>
          <w:rFonts w:hint="eastAsia" w:ascii="宋体" w:hAnsi="宋体" w:eastAsia="宋体" w:cs="宋体"/>
          <w:spacing w:val="-13"/>
          <w:sz w:val="24"/>
          <w:szCs w:val="24"/>
        </w:rPr>
        <w:t>日</w:t>
      </w:r>
      <w:r>
        <w:rPr>
          <w:rFonts w:hint="eastAsia" w:ascii="宋体" w:hAnsi="宋体" w:eastAsia="宋体" w:cs="宋体"/>
          <w:spacing w:val="40"/>
          <w:sz w:val="24"/>
          <w:szCs w:val="24"/>
        </w:rPr>
        <w:t xml:space="preserve">   </w:t>
      </w:r>
      <w:r>
        <w:rPr>
          <w:rFonts w:hint="eastAsia" w:ascii="宋体" w:hAnsi="宋体" w:eastAsia="宋体" w:cs="宋体"/>
          <w:spacing w:val="-13"/>
          <w:sz w:val="24"/>
          <w:szCs w:val="24"/>
        </w:rPr>
        <w:t>期：       年</w:t>
      </w:r>
      <w:r>
        <w:rPr>
          <w:rFonts w:hint="eastAsia" w:ascii="宋体" w:hAnsi="宋体" w:eastAsia="宋体" w:cs="宋体"/>
          <w:spacing w:val="1"/>
          <w:sz w:val="24"/>
          <w:szCs w:val="24"/>
        </w:rPr>
        <w:t xml:space="preserve">   </w:t>
      </w:r>
      <w:r>
        <w:rPr>
          <w:rFonts w:hint="eastAsia" w:ascii="宋体" w:hAnsi="宋体" w:eastAsia="宋体" w:cs="宋体"/>
          <w:spacing w:val="-13"/>
          <w:sz w:val="24"/>
          <w:szCs w:val="24"/>
        </w:rPr>
        <w:t>月</w:t>
      </w:r>
      <w:r>
        <w:rPr>
          <w:rFonts w:hint="eastAsia" w:ascii="宋体" w:hAnsi="宋体" w:eastAsia="宋体" w:cs="宋体"/>
          <w:spacing w:val="37"/>
          <w:sz w:val="24"/>
          <w:szCs w:val="24"/>
        </w:rPr>
        <w:t xml:space="preserve">   </w:t>
      </w:r>
      <w:r>
        <w:rPr>
          <w:rFonts w:hint="eastAsia" w:ascii="宋体" w:hAnsi="宋体" w:eastAsia="宋体" w:cs="宋体"/>
          <w:spacing w:val="-13"/>
          <w:sz w:val="24"/>
          <w:szCs w:val="24"/>
        </w:rPr>
        <w:t>日</w:t>
      </w:r>
    </w:p>
    <w:p w14:paraId="43AAE222">
      <w:pPr>
        <w:pStyle w:val="15"/>
        <w:tabs>
          <w:tab w:val="left" w:pos="567"/>
        </w:tabs>
        <w:spacing w:line="291" w:lineRule="auto"/>
        <w:rPr>
          <w:rFonts w:hint="eastAsia" w:ascii="宋体" w:hAnsi="宋体" w:eastAsia="宋体" w:cs="宋体"/>
          <w:sz w:val="24"/>
          <w:szCs w:val="24"/>
        </w:rPr>
      </w:pPr>
    </w:p>
    <w:p w14:paraId="24B0E43C">
      <w:pPr>
        <w:pStyle w:val="15"/>
        <w:tabs>
          <w:tab w:val="left" w:pos="567"/>
        </w:tabs>
        <w:spacing w:line="291" w:lineRule="auto"/>
        <w:rPr>
          <w:rFonts w:hint="eastAsia" w:ascii="宋体" w:hAnsi="宋体" w:eastAsia="宋体" w:cs="宋体"/>
          <w:sz w:val="24"/>
          <w:szCs w:val="24"/>
        </w:rPr>
      </w:pPr>
    </w:p>
    <w:p w14:paraId="079C1B9E">
      <w:pPr>
        <w:pStyle w:val="15"/>
        <w:tabs>
          <w:tab w:val="left" w:pos="567"/>
        </w:tabs>
        <w:spacing w:line="292" w:lineRule="auto"/>
        <w:rPr>
          <w:rFonts w:hint="eastAsia" w:ascii="宋体" w:hAnsi="宋体" w:eastAsia="宋体" w:cs="宋体"/>
          <w:sz w:val="24"/>
          <w:szCs w:val="24"/>
        </w:rPr>
      </w:pPr>
    </w:p>
    <w:p w14:paraId="2AFD2695">
      <w:pPr>
        <w:spacing w:before="75" w:line="227" w:lineRule="auto"/>
        <w:ind w:left="2"/>
        <w:rPr>
          <w:rFonts w:hint="eastAsia" w:ascii="宋体" w:hAnsi="宋体" w:eastAsia="宋体" w:cs="宋体"/>
          <w:sz w:val="24"/>
          <w:szCs w:val="24"/>
        </w:rPr>
      </w:pPr>
      <w:r>
        <w:rPr>
          <w:rFonts w:hint="eastAsia" w:ascii="宋体" w:hAnsi="宋体" w:eastAsia="宋体" w:cs="宋体"/>
          <w:spacing w:val="10"/>
          <w:sz w:val="24"/>
          <w:szCs w:val="24"/>
        </w:rPr>
        <w:t>后附：投标单位三合一营业执照复印件</w:t>
      </w:r>
    </w:p>
    <w:p w14:paraId="51C615B1">
      <w:pPr>
        <w:pStyle w:val="15"/>
        <w:tabs>
          <w:tab w:val="left" w:pos="567"/>
        </w:tabs>
        <w:spacing w:line="241" w:lineRule="auto"/>
        <w:rPr>
          <w:rFonts w:hint="eastAsia" w:ascii="宋体" w:hAnsi="宋体" w:eastAsia="宋体" w:cs="宋体"/>
          <w:sz w:val="24"/>
          <w:szCs w:val="24"/>
        </w:rPr>
      </w:pPr>
    </w:p>
    <w:p w14:paraId="2821327C">
      <w:pPr>
        <w:pStyle w:val="15"/>
        <w:tabs>
          <w:tab w:val="left" w:pos="567"/>
        </w:tabs>
        <w:spacing w:line="246" w:lineRule="auto"/>
        <w:rPr>
          <w:rFonts w:hint="eastAsia" w:ascii="宋体" w:hAnsi="宋体" w:eastAsia="宋体" w:cs="宋体"/>
          <w:sz w:val="24"/>
          <w:szCs w:val="24"/>
        </w:rPr>
      </w:pPr>
    </w:p>
    <w:p w14:paraId="2EA1AE5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p>
    <w:p w14:paraId="0272433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p>
    <w:p w14:paraId="7554EC5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p>
    <w:p w14:paraId="1AFE02A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p>
    <w:p w14:paraId="1A2A05F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p>
    <w:p w14:paraId="00C00C5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p>
    <w:p w14:paraId="3A09762A">
      <w:pPr>
        <w:spacing w:line="360" w:lineRule="exact"/>
        <w:jc w:val="both"/>
        <w:rPr>
          <w:rFonts w:hint="eastAsia" w:ascii="宋体" w:hAnsi="宋体" w:eastAsia="宋体" w:cs="宋体"/>
          <w:b/>
          <w:color w:val="000000"/>
          <w:sz w:val="24"/>
          <w:szCs w:val="24"/>
        </w:rPr>
      </w:pPr>
    </w:p>
    <w:p w14:paraId="54B4D98D">
      <w:pPr>
        <w:spacing w:line="360" w:lineRule="exact"/>
        <w:jc w:val="both"/>
        <w:rPr>
          <w:rFonts w:hint="eastAsia" w:ascii="宋体" w:hAnsi="宋体" w:eastAsia="宋体" w:cs="宋体"/>
          <w:b/>
          <w:color w:val="000000"/>
          <w:sz w:val="24"/>
          <w:szCs w:val="24"/>
          <w:lang w:eastAsia="zh-CN"/>
        </w:rPr>
      </w:pPr>
      <w:r>
        <w:rPr>
          <w:rFonts w:hint="eastAsia" w:ascii="宋体" w:hAnsi="宋体" w:eastAsia="宋体" w:cs="宋体"/>
          <w:b/>
          <w:color w:val="000000"/>
          <w:sz w:val="24"/>
          <w:szCs w:val="24"/>
        </w:rPr>
        <w:t>附</w:t>
      </w:r>
      <w:r>
        <w:rPr>
          <w:rFonts w:hint="eastAsia" w:ascii="宋体" w:hAnsi="宋体" w:eastAsia="宋体" w:cs="宋体"/>
          <w:b/>
          <w:color w:val="000000"/>
          <w:sz w:val="24"/>
          <w:szCs w:val="24"/>
          <w:lang w:eastAsia="zh-CN"/>
        </w:rPr>
        <w:t>件</w:t>
      </w:r>
      <w:r>
        <w:rPr>
          <w:rFonts w:hint="eastAsia" w:ascii="宋体" w:hAnsi="宋体" w:eastAsia="宋体" w:cs="宋体"/>
          <w:b/>
          <w:color w:val="000000"/>
          <w:sz w:val="24"/>
          <w:szCs w:val="24"/>
          <w:lang w:val="en-US" w:eastAsia="zh-CN"/>
        </w:rPr>
        <w:t>五</w:t>
      </w:r>
    </w:p>
    <w:p w14:paraId="65D516D9">
      <w:pPr>
        <w:spacing w:line="360" w:lineRule="exact"/>
        <w:jc w:val="center"/>
        <w:rPr>
          <w:rFonts w:hint="eastAsia" w:ascii="宋体" w:hAnsi="宋体" w:eastAsia="宋体" w:cs="宋体"/>
          <w:b/>
          <w:color w:val="000000"/>
          <w:sz w:val="24"/>
          <w:szCs w:val="24"/>
        </w:rPr>
      </w:pPr>
      <w:r>
        <w:rPr>
          <w:rFonts w:hint="eastAsia" w:ascii="宋体" w:hAnsi="宋体" w:eastAsia="宋体" w:cs="宋体"/>
          <w:b/>
          <w:color w:val="000000"/>
          <w:sz w:val="24"/>
          <w:szCs w:val="24"/>
        </w:rPr>
        <w:t>法定代表人身份证明</w:t>
      </w:r>
    </w:p>
    <w:p w14:paraId="57F0C092">
      <w:pPr>
        <w:kinsoku w:val="0"/>
        <w:overflowPunct w:val="0"/>
        <w:spacing w:line="200" w:lineRule="exact"/>
        <w:rPr>
          <w:rFonts w:hint="eastAsia" w:ascii="宋体" w:hAnsi="宋体" w:eastAsia="宋体" w:cs="宋体"/>
          <w:sz w:val="24"/>
          <w:szCs w:val="24"/>
        </w:rPr>
      </w:pPr>
    </w:p>
    <w:p w14:paraId="56F45EBD">
      <w:pPr>
        <w:tabs>
          <w:tab w:val="left" w:pos="5580"/>
        </w:tabs>
        <w:spacing w:line="360" w:lineRule="auto"/>
        <w:rPr>
          <w:rFonts w:hint="eastAsia" w:ascii="宋体" w:hAnsi="宋体" w:eastAsia="宋体" w:cs="宋体"/>
          <w:color w:val="000000"/>
          <w:sz w:val="24"/>
          <w:szCs w:val="24"/>
        </w:rPr>
      </w:pPr>
      <w:r>
        <w:rPr>
          <w:rFonts w:hint="eastAsia" w:ascii="宋体" w:hAnsi="宋体" w:eastAsia="宋体" w:cs="宋体"/>
          <w:color w:val="000000"/>
          <w:sz w:val="24"/>
          <w:szCs w:val="24"/>
        </w:rPr>
        <w:t>致：</w:t>
      </w:r>
      <w:r>
        <w:rPr>
          <w:rFonts w:hint="eastAsia" w:ascii="宋体" w:hAnsi="宋体" w:eastAsia="宋体" w:cs="宋体"/>
          <w:color w:val="000000"/>
          <w:sz w:val="24"/>
          <w:szCs w:val="24"/>
          <w:u w:val="single"/>
        </w:rPr>
        <w:t>（</w:t>
      </w:r>
      <w:r>
        <w:rPr>
          <w:rFonts w:hint="eastAsia" w:cs="宋体"/>
          <w:color w:val="000000"/>
          <w:sz w:val="24"/>
          <w:szCs w:val="24"/>
          <w:u w:val="single"/>
          <w:lang w:eastAsia="zh-CN"/>
        </w:rPr>
        <w:t>招标人</w:t>
      </w:r>
      <w:r>
        <w:rPr>
          <w:rFonts w:hint="eastAsia" w:ascii="宋体" w:hAnsi="宋体" w:eastAsia="宋体" w:cs="宋体"/>
          <w:color w:val="000000"/>
          <w:sz w:val="24"/>
          <w:szCs w:val="24"/>
          <w:u w:val="single"/>
        </w:rPr>
        <w:t>或</w:t>
      </w:r>
      <w:r>
        <w:rPr>
          <w:rFonts w:hint="eastAsia" w:cs="宋体"/>
          <w:color w:val="000000"/>
          <w:sz w:val="24"/>
          <w:szCs w:val="24"/>
          <w:u w:val="single"/>
          <w:lang w:eastAsia="zh-CN"/>
        </w:rPr>
        <w:t>招标代理机构</w:t>
      </w:r>
      <w:r>
        <w:rPr>
          <w:rFonts w:hint="eastAsia" w:ascii="宋体" w:hAnsi="宋体" w:eastAsia="宋体" w:cs="宋体"/>
          <w:color w:val="000000"/>
          <w:sz w:val="24"/>
          <w:szCs w:val="24"/>
          <w:u w:val="single"/>
        </w:rPr>
        <w:t>）</w:t>
      </w:r>
    </w:p>
    <w:p w14:paraId="43E40792">
      <w:pPr>
        <w:pStyle w:val="15"/>
        <w:tabs>
          <w:tab w:val="left" w:pos="567"/>
          <w:tab w:val="left" w:pos="2412"/>
          <w:tab w:val="left" w:pos="3883"/>
          <w:tab w:val="left" w:pos="5352"/>
          <w:tab w:val="left" w:pos="6821"/>
        </w:tabs>
        <w:kinsoku w:val="0"/>
        <w:overflowPunct w:val="0"/>
        <w:spacing w:line="335" w:lineRule="exact"/>
        <w:ind w:firstLine="480" w:firstLineChars="200"/>
        <w:rPr>
          <w:rFonts w:hint="eastAsia" w:ascii="宋体" w:hAnsi="宋体" w:eastAsia="宋体" w:cs="宋体"/>
          <w:sz w:val="24"/>
          <w:szCs w:val="24"/>
        </w:rPr>
      </w:pPr>
    </w:p>
    <w:p w14:paraId="3C1D0ABD">
      <w:pPr>
        <w:pStyle w:val="15"/>
        <w:tabs>
          <w:tab w:val="left" w:pos="567"/>
          <w:tab w:val="left" w:pos="2412"/>
          <w:tab w:val="left" w:pos="3883"/>
          <w:tab w:val="left" w:pos="5352"/>
          <w:tab w:val="left" w:pos="6821"/>
        </w:tabs>
        <w:kinsoku w:val="0"/>
        <w:overflowPunct w:val="0"/>
        <w:spacing w:line="335"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兹证明，姓名：____性别：____年龄：____职务：____</w:t>
      </w:r>
    </w:p>
    <w:p w14:paraId="5A99EB13">
      <w:pPr>
        <w:pStyle w:val="15"/>
        <w:tabs>
          <w:tab w:val="left" w:pos="567"/>
          <w:tab w:val="left" w:pos="2412"/>
          <w:tab w:val="left" w:pos="3883"/>
          <w:tab w:val="left" w:pos="5352"/>
          <w:tab w:val="left" w:pos="6821"/>
        </w:tabs>
        <w:kinsoku w:val="0"/>
        <w:overflowPunct w:val="0"/>
        <w:spacing w:line="335" w:lineRule="exact"/>
        <w:rPr>
          <w:rFonts w:hint="eastAsia" w:ascii="宋体" w:hAnsi="宋体" w:eastAsia="宋体" w:cs="宋体"/>
          <w:sz w:val="24"/>
          <w:szCs w:val="24"/>
        </w:rPr>
      </w:pPr>
    </w:p>
    <w:p w14:paraId="544D7B0E">
      <w:pPr>
        <w:pStyle w:val="15"/>
        <w:tabs>
          <w:tab w:val="left" w:pos="2250"/>
          <w:tab w:val="left" w:pos="2412"/>
          <w:tab w:val="left" w:pos="3883"/>
          <w:tab w:val="left" w:pos="5352"/>
          <w:tab w:val="left" w:pos="6821"/>
        </w:tabs>
        <w:kinsoku w:val="0"/>
        <w:overflowPunct w:val="0"/>
        <w:spacing w:line="335" w:lineRule="exact"/>
        <w:rPr>
          <w:rFonts w:hint="eastAsia" w:ascii="宋体" w:hAnsi="宋体" w:eastAsia="宋体" w:cs="宋体"/>
          <w:sz w:val="24"/>
          <w:szCs w:val="24"/>
        </w:rPr>
      </w:pPr>
      <w:r>
        <w:rPr>
          <w:rFonts w:hint="eastAsia" w:ascii="宋体" w:hAnsi="宋体" w:eastAsia="宋体" w:cs="宋体"/>
          <w:sz w:val="24"/>
          <w:szCs w:val="24"/>
        </w:rPr>
        <w:t>系</w:t>
      </w:r>
      <w:r>
        <w:rPr>
          <w:rFonts w:hint="eastAsia" w:ascii="宋体" w:hAnsi="宋体" w:eastAsia="宋体" w:cs="宋体"/>
          <w:sz w:val="24"/>
          <w:szCs w:val="24"/>
          <w:u w:val="single"/>
        </w:rPr>
        <w:tab/>
      </w:r>
      <w:r>
        <w:rPr>
          <w:rFonts w:hint="eastAsia" w:ascii="宋体" w:hAnsi="宋体" w:eastAsia="宋体" w:cs="宋体"/>
          <w:sz w:val="24"/>
          <w:szCs w:val="24"/>
        </w:rPr>
        <w:t>（投标人名称）的法定代表人（单位负责人）。</w:t>
      </w:r>
    </w:p>
    <w:p w14:paraId="516D5D97">
      <w:pPr>
        <w:pStyle w:val="15"/>
        <w:tabs>
          <w:tab w:val="left" w:pos="567"/>
          <w:tab w:val="left" w:pos="2412"/>
          <w:tab w:val="left" w:pos="3883"/>
          <w:tab w:val="left" w:pos="5352"/>
          <w:tab w:val="left" w:pos="6821"/>
        </w:tabs>
        <w:kinsoku w:val="0"/>
        <w:overflowPunct w:val="0"/>
        <w:spacing w:line="335" w:lineRule="exact"/>
        <w:rPr>
          <w:rFonts w:hint="eastAsia" w:ascii="宋体" w:hAnsi="宋体" w:eastAsia="宋体" w:cs="宋体"/>
          <w:sz w:val="24"/>
          <w:szCs w:val="24"/>
        </w:rPr>
      </w:pPr>
    </w:p>
    <w:p w14:paraId="2B4CF608">
      <w:pPr>
        <w:pStyle w:val="15"/>
        <w:tabs>
          <w:tab w:val="left" w:pos="567"/>
          <w:tab w:val="left" w:pos="2412"/>
          <w:tab w:val="left" w:pos="3883"/>
          <w:tab w:val="left" w:pos="5352"/>
          <w:tab w:val="left" w:pos="6821"/>
        </w:tabs>
        <w:kinsoku w:val="0"/>
        <w:overflowPunct w:val="0"/>
        <w:spacing w:line="335" w:lineRule="exact"/>
        <w:rPr>
          <w:rFonts w:hint="eastAsia" w:ascii="宋体" w:hAnsi="宋体" w:eastAsia="宋体" w:cs="宋体"/>
          <w:sz w:val="24"/>
          <w:szCs w:val="24"/>
        </w:rPr>
      </w:pPr>
    </w:p>
    <w:p w14:paraId="75820D50">
      <w:pPr>
        <w:pStyle w:val="15"/>
        <w:tabs>
          <w:tab w:val="left" w:pos="567"/>
          <w:tab w:val="left" w:pos="2412"/>
          <w:tab w:val="left" w:pos="3883"/>
          <w:tab w:val="left" w:pos="5352"/>
          <w:tab w:val="left" w:pos="6821"/>
        </w:tabs>
        <w:kinsoku w:val="0"/>
        <w:overflowPunct w:val="0"/>
        <w:spacing w:line="335" w:lineRule="exact"/>
        <w:rPr>
          <w:rFonts w:hint="eastAsia" w:ascii="宋体" w:hAnsi="宋体" w:eastAsia="宋体" w:cs="宋体"/>
          <w:sz w:val="24"/>
          <w:szCs w:val="24"/>
        </w:rPr>
      </w:pPr>
    </w:p>
    <w:p w14:paraId="3107CD66">
      <w:pPr>
        <w:pStyle w:val="15"/>
        <w:tabs>
          <w:tab w:val="left" w:pos="567"/>
        </w:tabs>
        <w:kinsoku w:val="0"/>
        <w:overflowPunct w:val="0"/>
        <w:spacing w:line="583" w:lineRule="auto"/>
        <w:ind w:right="-46"/>
        <w:rPr>
          <w:rFonts w:hint="eastAsia" w:ascii="宋体" w:hAnsi="宋体" w:eastAsia="宋体" w:cs="宋体"/>
          <w:spacing w:val="-3"/>
          <w:sz w:val="24"/>
          <w:szCs w:val="24"/>
        </w:rPr>
      </w:pPr>
      <w:r>
        <w:rPr>
          <w:rFonts w:hint="eastAsia" w:ascii="宋体" w:hAnsi="宋体" w:eastAsia="宋体" w:cs="宋体"/>
          <w:sz w:val="24"/>
          <w:szCs w:val="24"/>
        </w:rPr>
        <w:t>附：</w:t>
      </w:r>
      <w:r>
        <w:rPr>
          <w:rFonts w:hint="eastAsia" w:ascii="宋体" w:hAnsi="宋体" w:eastAsia="宋体" w:cs="宋体"/>
          <w:spacing w:val="-3"/>
          <w:sz w:val="24"/>
          <w:szCs w:val="24"/>
        </w:rPr>
        <w:t>法</w:t>
      </w:r>
      <w:r>
        <w:rPr>
          <w:rFonts w:hint="eastAsia" w:ascii="宋体" w:hAnsi="宋体" w:eastAsia="宋体" w:cs="宋体"/>
          <w:sz w:val="24"/>
          <w:szCs w:val="24"/>
        </w:rPr>
        <w:t>定</w:t>
      </w:r>
      <w:r>
        <w:rPr>
          <w:rFonts w:hint="eastAsia" w:ascii="宋体" w:hAnsi="宋体" w:eastAsia="宋体" w:cs="宋体"/>
          <w:spacing w:val="-3"/>
          <w:sz w:val="24"/>
          <w:szCs w:val="24"/>
        </w:rPr>
        <w:t>代</w:t>
      </w:r>
      <w:r>
        <w:rPr>
          <w:rFonts w:hint="eastAsia" w:ascii="宋体" w:hAnsi="宋体" w:eastAsia="宋体" w:cs="宋体"/>
          <w:sz w:val="24"/>
          <w:szCs w:val="24"/>
        </w:rPr>
        <w:t>表</w:t>
      </w:r>
      <w:r>
        <w:rPr>
          <w:rFonts w:hint="eastAsia" w:ascii="宋体" w:hAnsi="宋体" w:eastAsia="宋体" w:cs="宋体"/>
          <w:spacing w:val="-3"/>
          <w:sz w:val="24"/>
          <w:szCs w:val="24"/>
        </w:rPr>
        <w:t>人</w:t>
      </w:r>
      <w:r>
        <w:rPr>
          <w:rFonts w:hint="eastAsia" w:ascii="宋体" w:hAnsi="宋体" w:eastAsia="宋体" w:cs="宋体"/>
          <w:sz w:val="24"/>
          <w:szCs w:val="24"/>
        </w:rPr>
        <w:t>（</w:t>
      </w:r>
      <w:r>
        <w:rPr>
          <w:rFonts w:hint="eastAsia" w:ascii="宋体" w:hAnsi="宋体" w:eastAsia="宋体" w:cs="宋体"/>
          <w:spacing w:val="-3"/>
          <w:sz w:val="24"/>
          <w:szCs w:val="24"/>
        </w:rPr>
        <w:t>单</w:t>
      </w:r>
      <w:r>
        <w:rPr>
          <w:rFonts w:hint="eastAsia" w:ascii="宋体" w:hAnsi="宋体" w:eastAsia="宋体" w:cs="宋体"/>
          <w:sz w:val="24"/>
          <w:szCs w:val="24"/>
        </w:rPr>
        <w:t>位</w:t>
      </w:r>
      <w:r>
        <w:rPr>
          <w:rFonts w:hint="eastAsia" w:ascii="宋体" w:hAnsi="宋体" w:eastAsia="宋体" w:cs="宋体"/>
          <w:spacing w:val="-3"/>
          <w:sz w:val="24"/>
          <w:szCs w:val="24"/>
        </w:rPr>
        <w:t>负</w:t>
      </w:r>
      <w:r>
        <w:rPr>
          <w:rFonts w:hint="eastAsia" w:ascii="宋体" w:hAnsi="宋体" w:eastAsia="宋体" w:cs="宋体"/>
          <w:sz w:val="24"/>
          <w:szCs w:val="24"/>
        </w:rPr>
        <w:t>责人</w:t>
      </w:r>
      <w:r>
        <w:rPr>
          <w:rFonts w:hint="eastAsia" w:ascii="宋体" w:hAnsi="宋体" w:eastAsia="宋体" w:cs="宋体"/>
          <w:spacing w:val="-3"/>
          <w:sz w:val="24"/>
          <w:szCs w:val="24"/>
        </w:rPr>
        <w:t>）有效期内的身份证正反面电子件。</w:t>
      </w:r>
    </w:p>
    <w:tbl>
      <w:tblPr>
        <w:tblStyle w:val="33"/>
        <w:tblW w:w="920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673"/>
        <w:gridCol w:w="4536"/>
      </w:tblGrid>
      <w:tr w14:paraId="4E0527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99" w:hRule="atLeast"/>
        </w:trPr>
        <w:tc>
          <w:tcPr>
            <w:tcW w:w="4673" w:type="dxa"/>
            <w:noWrap w:val="0"/>
            <w:vAlign w:val="top"/>
          </w:tcPr>
          <w:p w14:paraId="2506C3B8">
            <w:pPr>
              <w:tabs>
                <w:tab w:val="left" w:pos="5580"/>
              </w:tabs>
              <w:spacing w:line="360" w:lineRule="auto"/>
              <w:jc w:val="left"/>
              <w:rPr>
                <w:rFonts w:hint="eastAsia" w:ascii="宋体" w:hAnsi="宋体" w:eastAsia="宋体" w:cs="宋体"/>
                <w:color w:val="000000"/>
                <w:sz w:val="24"/>
                <w:szCs w:val="24"/>
              </w:rPr>
            </w:pPr>
          </w:p>
          <w:p w14:paraId="6040BF56">
            <w:pPr>
              <w:tabs>
                <w:tab w:val="left" w:pos="5580"/>
              </w:tabs>
              <w:spacing w:line="360" w:lineRule="auto"/>
              <w:jc w:val="left"/>
              <w:rPr>
                <w:rFonts w:hint="eastAsia" w:ascii="宋体" w:hAnsi="宋体" w:eastAsia="宋体" w:cs="宋体"/>
                <w:color w:val="000000"/>
                <w:sz w:val="24"/>
                <w:szCs w:val="24"/>
              </w:rPr>
            </w:pPr>
          </w:p>
          <w:p w14:paraId="0AB90CB1">
            <w:pPr>
              <w:tabs>
                <w:tab w:val="left" w:pos="5580"/>
              </w:tabs>
              <w:spacing w:line="360" w:lineRule="auto"/>
              <w:jc w:val="left"/>
              <w:rPr>
                <w:rFonts w:hint="eastAsia" w:ascii="宋体" w:hAnsi="宋体" w:eastAsia="宋体" w:cs="宋体"/>
                <w:color w:val="000000"/>
                <w:sz w:val="24"/>
                <w:szCs w:val="24"/>
              </w:rPr>
            </w:pPr>
          </w:p>
        </w:tc>
        <w:tc>
          <w:tcPr>
            <w:tcW w:w="4536" w:type="dxa"/>
            <w:noWrap w:val="0"/>
            <w:vAlign w:val="top"/>
          </w:tcPr>
          <w:p w14:paraId="0A337C35">
            <w:pPr>
              <w:tabs>
                <w:tab w:val="left" w:pos="5580"/>
              </w:tabs>
              <w:spacing w:line="360" w:lineRule="auto"/>
              <w:jc w:val="left"/>
              <w:rPr>
                <w:rFonts w:hint="eastAsia" w:ascii="宋体" w:hAnsi="宋体" w:eastAsia="宋体" w:cs="宋体"/>
                <w:color w:val="000000"/>
                <w:sz w:val="24"/>
                <w:szCs w:val="24"/>
              </w:rPr>
            </w:pPr>
          </w:p>
          <w:p w14:paraId="17141334">
            <w:pPr>
              <w:tabs>
                <w:tab w:val="left" w:pos="5580"/>
              </w:tabs>
              <w:spacing w:line="360" w:lineRule="auto"/>
              <w:jc w:val="left"/>
              <w:rPr>
                <w:rFonts w:hint="eastAsia" w:ascii="宋体" w:hAnsi="宋体" w:eastAsia="宋体" w:cs="宋体"/>
                <w:color w:val="000000"/>
                <w:sz w:val="24"/>
                <w:szCs w:val="24"/>
              </w:rPr>
            </w:pPr>
          </w:p>
          <w:p w14:paraId="3E180509">
            <w:pPr>
              <w:tabs>
                <w:tab w:val="left" w:pos="5580"/>
              </w:tabs>
              <w:spacing w:line="360" w:lineRule="auto"/>
              <w:jc w:val="left"/>
              <w:rPr>
                <w:rFonts w:hint="eastAsia" w:ascii="宋体" w:hAnsi="宋体" w:eastAsia="宋体" w:cs="宋体"/>
                <w:color w:val="000000"/>
                <w:sz w:val="24"/>
                <w:szCs w:val="24"/>
              </w:rPr>
            </w:pPr>
          </w:p>
        </w:tc>
      </w:tr>
    </w:tbl>
    <w:p w14:paraId="03773BF2">
      <w:pPr>
        <w:pStyle w:val="15"/>
        <w:tabs>
          <w:tab w:val="left" w:pos="567"/>
        </w:tabs>
        <w:kinsoku w:val="0"/>
        <w:overflowPunct w:val="0"/>
        <w:spacing w:line="583" w:lineRule="auto"/>
        <w:ind w:right="4305"/>
        <w:rPr>
          <w:rFonts w:hint="eastAsia" w:ascii="宋体" w:hAnsi="宋体" w:eastAsia="宋体" w:cs="宋体"/>
          <w:spacing w:val="-3"/>
          <w:sz w:val="24"/>
          <w:szCs w:val="24"/>
        </w:rPr>
      </w:pPr>
    </w:p>
    <w:p w14:paraId="2E44F0B2">
      <w:pPr>
        <w:pStyle w:val="15"/>
        <w:tabs>
          <w:tab w:val="left" w:pos="567"/>
        </w:tabs>
        <w:kinsoku w:val="0"/>
        <w:overflowPunct w:val="0"/>
        <w:spacing w:line="583" w:lineRule="auto"/>
        <w:ind w:right="4305"/>
        <w:rPr>
          <w:rFonts w:hint="eastAsia" w:ascii="宋体" w:hAnsi="宋体" w:eastAsia="宋体" w:cs="宋体"/>
          <w:spacing w:val="-3"/>
          <w:sz w:val="24"/>
          <w:szCs w:val="24"/>
        </w:rPr>
      </w:pPr>
    </w:p>
    <w:p w14:paraId="7EFE8E1B">
      <w:pPr>
        <w:autoSpaceDE w:val="0"/>
        <w:autoSpaceDN w:val="0"/>
        <w:adjustRightInd w:val="0"/>
        <w:snapToGrid w:val="0"/>
        <w:spacing w:line="360" w:lineRule="auto"/>
        <w:rPr>
          <w:rFonts w:hint="eastAsia" w:ascii="宋体" w:hAnsi="宋体" w:eastAsia="宋体" w:cs="宋体"/>
          <w:color w:val="000000"/>
          <w:sz w:val="24"/>
          <w:szCs w:val="24"/>
          <w:lang w:val="zh-CN"/>
        </w:rPr>
      </w:pPr>
      <w:r>
        <w:rPr>
          <w:rFonts w:hint="eastAsia" w:ascii="宋体" w:hAnsi="宋体" w:eastAsia="宋体" w:cs="宋体"/>
          <w:color w:val="000000"/>
          <w:sz w:val="24"/>
          <w:szCs w:val="24"/>
        </w:rPr>
        <w:t>投标人名称（加盖公章）</w:t>
      </w:r>
      <w:r>
        <w:rPr>
          <w:rFonts w:hint="eastAsia" w:ascii="宋体" w:hAnsi="宋体" w:eastAsia="宋体" w:cs="宋体"/>
          <w:color w:val="000000"/>
          <w:sz w:val="24"/>
          <w:szCs w:val="24"/>
          <w:lang w:val="zh-CN"/>
        </w:rPr>
        <w:t>：________________</w:t>
      </w:r>
    </w:p>
    <w:p w14:paraId="7F88C0F6">
      <w:pPr>
        <w:pStyle w:val="15"/>
        <w:tabs>
          <w:tab w:val="left" w:pos="567"/>
        </w:tabs>
        <w:kinsoku w:val="0"/>
        <w:overflowPunct w:val="0"/>
        <w:spacing w:line="583" w:lineRule="auto"/>
        <w:ind w:right="95"/>
        <w:rPr>
          <w:rFonts w:hint="eastAsia" w:ascii="宋体" w:hAnsi="宋体" w:eastAsia="宋体" w:cs="宋体"/>
          <w:spacing w:val="-3"/>
          <w:sz w:val="24"/>
          <w:szCs w:val="24"/>
        </w:rPr>
      </w:pPr>
      <w:r>
        <w:rPr>
          <w:rFonts w:hint="eastAsia" w:ascii="宋体" w:hAnsi="宋体" w:eastAsia="宋体" w:cs="宋体"/>
          <w:spacing w:val="-3"/>
          <w:sz w:val="24"/>
          <w:szCs w:val="24"/>
        </w:rPr>
        <w:t>法定代表人（签字、签章或印鉴）：_______</w:t>
      </w:r>
    </w:p>
    <w:p w14:paraId="2821378E">
      <w:pPr>
        <w:autoSpaceDE w:val="0"/>
        <w:autoSpaceDN w:val="0"/>
        <w:adjustRightInd w:val="0"/>
        <w:snapToGrid w:val="0"/>
        <w:spacing w:line="360" w:lineRule="auto"/>
        <w:rPr>
          <w:rFonts w:hint="eastAsia" w:ascii="宋体" w:hAnsi="宋体" w:eastAsia="宋体" w:cs="宋体"/>
          <w:color w:val="000000"/>
          <w:sz w:val="24"/>
          <w:szCs w:val="24"/>
        </w:rPr>
      </w:pPr>
    </w:p>
    <w:p w14:paraId="4A46E58A">
      <w:pPr>
        <w:autoSpaceDE w:val="0"/>
        <w:autoSpaceDN w:val="0"/>
        <w:adjustRightInd w:val="0"/>
        <w:snapToGrid w:val="0"/>
        <w:spacing w:line="360" w:lineRule="auto"/>
        <w:rPr>
          <w:rFonts w:hint="eastAsia" w:ascii="宋体" w:hAnsi="宋体" w:eastAsia="宋体" w:cs="宋体"/>
          <w:color w:val="000000"/>
          <w:sz w:val="24"/>
          <w:szCs w:val="24"/>
          <w:lang w:val="zh-CN"/>
        </w:rPr>
      </w:pPr>
      <w:r>
        <w:rPr>
          <w:rFonts w:hint="eastAsia" w:ascii="宋体" w:hAnsi="宋体" w:eastAsia="宋体" w:cs="宋体"/>
          <w:color w:val="000000"/>
          <w:sz w:val="24"/>
          <w:szCs w:val="24"/>
        </w:rPr>
        <w:t>日期：_____年______月______日</w:t>
      </w:r>
    </w:p>
    <w:p w14:paraId="07805E50">
      <w:pPr>
        <w:widowControl/>
        <w:jc w:val="left"/>
        <w:rPr>
          <w:rFonts w:hint="eastAsia" w:ascii="宋体" w:hAnsi="宋体" w:eastAsia="宋体" w:cs="宋体"/>
          <w:i/>
          <w:color w:val="000000"/>
          <w:sz w:val="24"/>
          <w:szCs w:val="24"/>
          <w:u w:val="single"/>
        </w:rPr>
      </w:pPr>
    </w:p>
    <w:p w14:paraId="2D20E8CC">
      <w:pPr>
        <w:spacing w:before="74" w:line="225" w:lineRule="auto"/>
        <w:jc w:val="left"/>
        <w:rPr>
          <w:rFonts w:hint="eastAsia" w:ascii="宋体" w:hAnsi="宋体" w:eastAsia="宋体" w:cs="宋体"/>
          <w:color w:val="000000"/>
          <w:sz w:val="24"/>
          <w:szCs w:val="24"/>
          <w:lang w:eastAsia="zh-CN"/>
        </w:rPr>
      </w:pPr>
      <w:r>
        <w:rPr>
          <w:rFonts w:hint="eastAsia" w:ascii="宋体" w:hAnsi="宋体" w:eastAsia="宋体" w:cs="宋体"/>
          <w:color w:val="000000"/>
          <w:sz w:val="24"/>
          <w:szCs w:val="24"/>
        </w:rPr>
        <w:br w:type="page"/>
      </w:r>
      <w:r>
        <w:rPr>
          <w:rFonts w:hint="eastAsia" w:ascii="宋体" w:hAnsi="宋体" w:eastAsia="宋体" w:cs="宋体"/>
          <w:b/>
          <w:bCs/>
          <w:spacing w:val="4"/>
          <w:sz w:val="24"/>
          <w:szCs w:val="24"/>
          <w:lang w:eastAsia="zh-CN"/>
        </w:rPr>
        <w:t>附件</w:t>
      </w:r>
      <w:r>
        <w:rPr>
          <w:rFonts w:hint="eastAsia" w:ascii="宋体" w:hAnsi="宋体" w:eastAsia="宋体" w:cs="宋体"/>
          <w:b/>
          <w:bCs/>
          <w:spacing w:val="4"/>
          <w:sz w:val="24"/>
          <w:szCs w:val="24"/>
          <w:lang w:val="en-US" w:eastAsia="zh-CN"/>
        </w:rPr>
        <w:t>六</w:t>
      </w:r>
    </w:p>
    <w:p w14:paraId="1CB25690">
      <w:pPr>
        <w:spacing w:line="360" w:lineRule="exact"/>
        <w:jc w:val="center"/>
        <w:rPr>
          <w:rFonts w:hint="eastAsia" w:ascii="宋体" w:hAnsi="宋体" w:eastAsia="宋体" w:cs="宋体"/>
          <w:b/>
          <w:color w:val="000000"/>
          <w:sz w:val="24"/>
          <w:szCs w:val="24"/>
          <w:lang w:eastAsia="zh-CN"/>
        </w:rPr>
      </w:pPr>
      <w:r>
        <w:rPr>
          <w:rFonts w:hint="eastAsia" w:ascii="宋体" w:hAnsi="宋体" w:eastAsia="宋体" w:cs="宋体"/>
          <w:b/>
          <w:color w:val="000000"/>
          <w:sz w:val="24"/>
          <w:szCs w:val="24"/>
          <w:lang w:val="en-US" w:eastAsia="zh-CN"/>
        </w:rPr>
        <w:t>法定代表人授权委托书</w:t>
      </w:r>
    </w:p>
    <w:p w14:paraId="23CE7900">
      <w:pPr>
        <w:spacing w:line="360" w:lineRule="auto"/>
        <w:ind w:firstLine="420"/>
        <w:rPr>
          <w:rFonts w:hint="eastAsia" w:ascii="宋体" w:hAnsi="宋体" w:eastAsia="宋体" w:cs="宋体"/>
          <w:color w:val="000000"/>
          <w:sz w:val="24"/>
          <w:szCs w:val="24"/>
        </w:rPr>
      </w:pPr>
    </w:p>
    <w:p w14:paraId="5E5AAD5D">
      <w:pPr>
        <w:spacing w:line="360" w:lineRule="auto"/>
        <w:ind w:firstLine="420"/>
        <w:rPr>
          <w:rFonts w:hint="eastAsia" w:ascii="宋体" w:hAnsi="宋体" w:eastAsia="宋体" w:cs="宋体"/>
          <w:color w:val="000000"/>
          <w:sz w:val="24"/>
          <w:szCs w:val="24"/>
        </w:rPr>
      </w:pPr>
      <w:r>
        <w:rPr>
          <w:rFonts w:hint="eastAsia" w:ascii="宋体" w:hAnsi="宋体" w:eastAsia="宋体" w:cs="宋体"/>
          <w:color w:val="000000"/>
          <w:sz w:val="24"/>
          <w:szCs w:val="24"/>
        </w:rPr>
        <w:t>本人</w:t>
      </w:r>
      <w:r>
        <w:rPr>
          <w:rFonts w:hint="eastAsia" w:ascii="宋体" w:hAnsi="宋体" w:eastAsia="宋体" w:cs="宋体"/>
          <w:color w:val="000000"/>
          <w:sz w:val="24"/>
          <w:szCs w:val="24"/>
          <w:lang w:val="zh-CN"/>
        </w:rPr>
        <w:t>_______</w:t>
      </w:r>
      <w:r>
        <w:rPr>
          <w:rFonts w:hint="eastAsia" w:ascii="宋体" w:hAnsi="宋体" w:eastAsia="宋体" w:cs="宋体"/>
          <w:color w:val="000000"/>
          <w:sz w:val="24"/>
          <w:szCs w:val="24"/>
        </w:rPr>
        <w:t>（姓名）系</w:t>
      </w:r>
      <w:r>
        <w:rPr>
          <w:rFonts w:hint="eastAsia" w:ascii="宋体" w:hAnsi="宋体" w:eastAsia="宋体" w:cs="宋体"/>
          <w:color w:val="000000"/>
          <w:sz w:val="24"/>
          <w:szCs w:val="24"/>
          <w:lang w:val="zh-CN"/>
        </w:rPr>
        <w:t>________________</w:t>
      </w:r>
      <w:r>
        <w:rPr>
          <w:rFonts w:hint="eastAsia" w:ascii="宋体" w:hAnsi="宋体" w:eastAsia="宋体" w:cs="宋体"/>
          <w:color w:val="000000"/>
          <w:sz w:val="24"/>
          <w:szCs w:val="24"/>
        </w:rPr>
        <w:t>（投标人名称）的法定代表人，现委托</w:t>
      </w:r>
      <w:r>
        <w:rPr>
          <w:rFonts w:hint="eastAsia" w:ascii="宋体" w:hAnsi="宋体" w:eastAsia="宋体" w:cs="宋体"/>
          <w:color w:val="000000"/>
          <w:sz w:val="24"/>
          <w:szCs w:val="24"/>
          <w:lang w:val="zh-CN"/>
        </w:rPr>
        <w:t>_______</w:t>
      </w:r>
      <w:r>
        <w:rPr>
          <w:rFonts w:hint="eastAsia" w:ascii="宋体" w:hAnsi="宋体" w:eastAsia="宋体" w:cs="宋体"/>
          <w:color w:val="000000"/>
          <w:sz w:val="24"/>
          <w:szCs w:val="24"/>
        </w:rPr>
        <w:t>（姓名）为我方代理人。代理人根据授权，以我方名义签署、澄清确认、递交、撤回、修改</w:t>
      </w:r>
      <w:r>
        <w:rPr>
          <w:rFonts w:hint="eastAsia" w:ascii="宋体" w:hAnsi="宋体" w:eastAsia="宋体" w:cs="宋体"/>
          <w:color w:val="000000"/>
          <w:sz w:val="24"/>
          <w:szCs w:val="24"/>
          <w:lang w:val="zh-CN"/>
        </w:rPr>
        <w:t>________________</w:t>
      </w:r>
      <w:r>
        <w:rPr>
          <w:rFonts w:hint="eastAsia" w:ascii="宋体" w:hAnsi="宋体" w:eastAsia="宋体" w:cs="宋体"/>
          <w:color w:val="000000"/>
          <w:sz w:val="24"/>
          <w:szCs w:val="24"/>
        </w:rPr>
        <w:t>（项目名称）</w:t>
      </w:r>
      <w:r>
        <w:rPr>
          <w:rFonts w:hint="eastAsia" w:ascii="宋体" w:hAnsi="宋体" w:eastAsia="宋体" w:cs="宋体"/>
          <w:color w:val="000000"/>
          <w:sz w:val="24"/>
          <w:szCs w:val="24"/>
          <w:lang w:eastAsia="zh-CN"/>
        </w:rPr>
        <w:t>投标文件</w:t>
      </w:r>
      <w:r>
        <w:rPr>
          <w:rFonts w:hint="eastAsia" w:ascii="宋体" w:hAnsi="宋体" w:eastAsia="宋体" w:cs="宋体"/>
          <w:color w:val="000000"/>
          <w:sz w:val="24"/>
          <w:szCs w:val="24"/>
        </w:rPr>
        <w:t>和处理有关事宜，其法律后果由我方承担。</w:t>
      </w:r>
    </w:p>
    <w:p w14:paraId="05141E1E">
      <w:pPr>
        <w:spacing w:line="360" w:lineRule="auto"/>
        <w:ind w:firstLine="420"/>
        <w:rPr>
          <w:rFonts w:hint="eastAsia" w:ascii="宋体" w:hAnsi="宋体" w:eastAsia="宋体" w:cs="宋体"/>
          <w:color w:val="000000"/>
          <w:sz w:val="24"/>
          <w:szCs w:val="24"/>
        </w:rPr>
      </w:pPr>
      <w:r>
        <w:rPr>
          <w:rFonts w:hint="eastAsia" w:ascii="宋体" w:hAnsi="宋体" w:eastAsia="宋体" w:cs="宋体"/>
          <w:color w:val="000000"/>
          <w:sz w:val="24"/>
          <w:szCs w:val="24"/>
        </w:rPr>
        <w:t>委托期限：自本授权委托书签署之日起至响应有效期届满之日止。</w:t>
      </w:r>
    </w:p>
    <w:p w14:paraId="64DDDF0D">
      <w:pPr>
        <w:spacing w:line="360" w:lineRule="auto"/>
        <w:ind w:firstLine="420"/>
        <w:rPr>
          <w:rFonts w:hint="eastAsia" w:ascii="宋体" w:hAnsi="宋体" w:eastAsia="宋体" w:cs="宋体"/>
          <w:color w:val="000000"/>
          <w:sz w:val="24"/>
          <w:szCs w:val="24"/>
        </w:rPr>
      </w:pPr>
      <w:r>
        <w:rPr>
          <w:rFonts w:hint="eastAsia" w:ascii="宋体" w:hAnsi="宋体" w:eastAsia="宋体" w:cs="宋体"/>
          <w:color w:val="000000"/>
          <w:sz w:val="24"/>
          <w:szCs w:val="24"/>
        </w:rPr>
        <w:t>代理人无转委托权。</w:t>
      </w:r>
      <w:r>
        <w:rPr>
          <w:rFonts w:hint="eastAsia" w:ascii="宋体" w:hAnsi="宋体" w:eastAsia="宋体" w:cs="宋体"/>
          <w:color w:val="000000"/>
          <w:sz w:val="24"/>
          <w:szCs w:val="24"/>
        </w:rPr>
        <w:cr/>
      </w:r>
    </w:p>
    <w:p w14:paraId="60214BA8">
      <w:pPr>
        <w:spacing w:line="360" w:lineRule="auto"/>
        <w:rPr>
          <w:rFonts w:hint="eastAsia" w:ascii="宋体" w:hAnsi="宋体" w:eastAsia="宋体" w:cs="宋体"/>
          <w:color w:val="000000"/>
          <w:sz w:val="24"/>
          <w:szCs w:val="24"/>
          <w:lang w:val="zh-CN"/>
        </w:rPr>
      </w:pPr>
      <w:r>
        <w:rPr>
          <w:rFonts w:hint="eastAsia" w:ascii="宋体" w:hAnsi="宋体" w:eastAsia="宋体" w:cs="宋体"/>
          <w:color w:val="000000"/>
          <w:sz w:val="24"/>
          <w:szCs w:val="24"/>
        </w:rPr>
        <w:t>投标人名称（加盖公章）</w:t>
      </w:r>
      <w:r>
        <w:rPr>
          <w:rFonts w:hint="eastAsia" w:ascii="宋体" w:hAnsi="宋体" w:eastAsia="宋体" w:cs="宋体"/>
          <w:color w:val="000000"/>
          <w:sz w:val="24"/>
          <w:szCs w:val="24"/>
          <w:lang w:val="zh-CN"/>
        </w:rPr>
        <w:t>：________________</w:t>
      </w:r>
    </w:p>
    <w:p w14:paraId="091EB8F9">
      <w:pPr>
        <w:spacing w:line="360" w:lineRule="auto"/>
        <w:rPr>
          <w:rFonts w:hint="eastAsia" w:ascii="宋体" w:hAnsi="宋体" w:eastAsia="宋体" w:cs="宋体"/>
          <w:color w:val="000000"/>
          <w:sz w:val="24"/>
          <w:szCs w:val="24"/>
        </w:rPr>
      </w:pPr>
      <w:r>
        <w:rPr>
          <w:rFonts w:hint="eastAsia" w:ascii="宋体" w:hAnsi="宋体" w:eastAsia="宋体" w:cs="宋体"/>
          <w:color w:val="000000"/>
          <w:sz w:val="24"/>
          <w:szCs w:val="24"/>
        </w:rPr>
        <w:t>法定代表人（签字、签章或印鉴）：</w:t>
      </w:r>
      <w:r>
        <w:rPr>
          <w:rFonts w:hint="eastAsia" w:ascii="宋体" w:hAnsi="宋体" w:eastAsia="宋体" w:cs="宋体"/>
          <w:color w:val="000000"/>
          <w:sz w:val="24"/>
          <w:szCs w:val="24"/>
          <w:lang w:val="zh-CN"/>
        </w:rPr>
        <w:t>_______________</w:t>
      </w:r>
    </w:p>
    <w:p w14:paraId="131C230C">
      <w:pPr>
        <w:autoSpaceDE w:val="0"/>
        <w:autoSpaceDN w:val="0"/>
        <w:adjustRightInd w:val="0"/>
        <w:snapToGrid w:val="0"/>
        <w:spacing w:line="360" w:lineRule="auto"/>
        <w:rPr>
          <w:rFonts w:hint="eastAsia" w:ascii="宋体" w:hAnsi="宋体" w:eastAsia="宋体" w:cs="宋体"/>
          <w:color w:val="000000"/>
          <w:sz w:val="24"/>
          <w:szCs w:val="24"/>
          <w:lang w:val="zh-CN"/>
        </w:rPr>
      </w:pPr>
      <w:r>
        <w:rPr>
          <w:rFonts w:hint="eastAsia" w:ascii="宋体" w:hAnsi="宋体" w:eastAsia="宋体" w:cs="宋体"/>
          <w:color w:val="000000"/>
          <w:sz w:val="24"/>
          <w:szCs w:val="24"/>
        </w:rPr>
        <w:t>委托代理人（签字/签章）：</w:t>
      </w:r>
      <w:r>
        <w:rPr>
          <w:rFonts w:hint="eastAsia" w:ascii="宋体" w:hAnsi="宋体" w:eastAsia="宋体" w:cs="宋体"/>
          <w:color w:val="000000"/>
          <w:sz w:val="24"/>
          <w:szCs w:val="24"/>
          <w:lang w:val="zh-CN"/>
        </w:rPr>
        <w:t>________________</w:t>
      </w:r>
      <w:r>
        <w:rPr>
          <w:rFonts w:hint="eastAsia" w:ascii="宋体" w:hAnsi="宋体" w:eastAsia="宋体" w:cs="宋体"/>
          <w:color w:val="000000"/>
          <w:sz w:val="24"/>
          <w:szCs w:val="24"/>
        </w:rPr>
        <w:t xml:space="preserve">    </w:t>
      </w:r>
      <w:r>
        <w:rPr>
          <w:rFonts w:hint="eastAsia" w:ascii="宋体" w:hAnsi="宋体" w:eastAsia="宋体" w:cs="宋体"/>
          <w:color w:val="000000"/>
          <w:sz w:val="24"/>
          <w:szCs w:val="24"/>
          <w:lang w:val="zh-CN"/>
        </w:rPr>
        <w:t xml:space="preserve">                      </w:t>
      </w:r>
    </w:p>
    <w:p w14:paraId="06B1B851">
      <w:pPr>
        <w:autoSpaceDE w:val="0"/>
        <w:autoSpaceDN w:val="0"/>
        <w:adjustRightInd w:val="0"/>
        <w:snapToGrid w:val="0"/>
        <w:spacing w:line="360" w:lineRule="auto"/>
        <w:rPr>
          <w:rFonts w:hint="eastAsia" w:ascii="宋体" w:hAnsi="宋体" w:eastAsia="宋体" w:cs="宋体"/>
          <w:color w:val="000000"/>
          <w:sz w:val="24"/>
          <w:szCs w:val="24"/>
        </w:rPr>
      </w:pPr>
      <w:r>
        <w:rPr>
          <w:rFonts w:hint="eastAsia" w:ascii="宋体" w:hAnsi="宋体" w:eastAsia="宋体" w:cs="宋体"/>
          <w:color w:val="000000"/>
          <w:sz w:val="24"/>
          <w:szCs w:val="24"/>
        </w:rPr>
        <w:t>日期：_____年______月______日</w:t>
      </w:r>
    </w:p>
    <w:p w14:paraId="5DFD5750">
      <w:pPr>
        <w:tabs>
          <w:tab w:val="left" w:pos="5580"/>
        </w:tabs>
        <w:spacing w:line="360" w:lineRule="auto"/>
        <w:jc w:val="left"/>
        <w:rPr>
          <w:rFonts w:hint="eastAsia" w:ascii="宋体" w:hAnsi="宋体" w:eastAsia="宋体" w:cs="宋体"/>
          <w:color w:val="000000"/>
          <w:sz w:val="24"/>
          <w:szCs w:val="24"/>
        </w:rPr>
      </w:pPr>
      <w:r>
        <w:rPr>
          <w:rFonts w:hint="eastAsia" w:ascii="宋体" w:hAnsi="宋体" w:eastAsia="宋体" w:cs="宋体"/>
          <w:color w:val="000000"/>
          <w:sz w:val="24"/>
          <w:szCs w:val="24"/>
        </w:rPr>
        <w:t>法定代表人有效期内的身份证</w:t>
      </w:r>
      <w:r>
        <w:rPr>
          <w:rFonts w:hint="eastAsia" w:ascii="宋体" w:hAnsi="宋体" w:eastAsia="宋体" w:cs="宋体"/>
          <w:b/>
          <w:color w:val="000000"/>
          <w:sz w:val="24"/>
          <w:szCs w:val="24"/>
        </w:rPr>
        <w:t>正反面</w:t>
      </w:r>
      <w:r>
        <w:rPr>
          <w:rFonts w:hint="eastAsia" w:ascii="宋体" w:hAnsi="宋体" w:eastAsia="宋体" w:cs="宋体"/>
          <w:color w:val="000000"/>
          <w:sz w:val="24"/>
          <w:szCs w:val="24"/>
        </w:rPr>
        <w:t>电子件：</w:t>
      </w:r>
    </w:p>
    <w:tbl>
      <w:tblPr>
        <w:tblStyle w:val="33"/>
        <w:tblW w:w="920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673"/>
        <w:gridCol w:w="4536"/>
      </w:tblGrid>
      <w:tr w14:paraId="6DCA7C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99" w:hRule="atLeast"/>
        </w:trPr>
        <w:tc>
          <w:tcPr>
            <w:tcW w:w="4673" w:type="dxa"/>
            <w:noWrap w:val="0"/>
            <w:vAlign w:val="top"/>
          </w:tcPr>
          <w:p w14:paraId="59374C48">
            <w:pPr>
              <w:tabs>
                <w:tab w:val="left" w:pos="5580"/>
              </w:tabs>
              <w:spacing w:line="360" w:lineRule="auto"/>
              <w:jc w:val="left"/>
              <w:rPr>
                <w:rFonts w:hint="eastAsia" w:ascii="宋体" w:hAnsi="宋体" w:eastAsia="宋体" w:cs="宋体"/>
                <w:color w:val="000000"/>
                <w:sz w:val="24"/>
                <w:szCs w:val="24"/>
              </w:rPr>
            </w:pPr>
          </w:p>
          <w:p w14:paraId="3FDF081D">
            <w:pPr>
              <w:tabs>
                <w:tab w:val="left" w:pos="5580"/>
              </w:tabs>
              <w:spacing w:line="360" w:lineRule="auto"/>
              <w:jc w:val="left"/>
              <w:rPr>
                <w:rFonts w:hint="eastAsia" w:ascii="宋体" w:hAnsi="宋体" w:eastAsia="宋体" w:cs="宋体"/>
                <w:color w:val="000000"/>
                <w:sz w:val="24"/>
                <w:szCs w:val="24"/>
              </w:rPr>
            </w:pPr>
          </w:p>
          <w:p w14:paraId="3D4F4C6B">
            <w:pPr>
              <w:tabs>
                <w:tab w:val="left" w:pos="5580"/>
              </w:tabs>
              <w:spacing w:line="360" w:lineRule="auto"/>
              <w:jc w:val="left"/>
              <w:rPr>
                <w:rFonts w:hint="eastAsia" w:ascii="宋体" w:hAnsi="宋体" w:eastAsia="宋体" w:cs="宋体"/>
                <w:color w:val="000000"/>
                <w:sz w:val="24"/>
                <w:szCs w:val="24"/>
              </w:rPr>
            </w:pPr>
          </w:p>
        </w:tc>
        <w:tc>
          <w:tcPr>
            <w:tcW w:w="4536" w:type="dxa"/>
            <w:noWrap w:val="0"/>
            <w:vAlign w:val="top"/>
          </w:tcPr>
          <w:p w14:paraId="67FD9EDF">
            <w:pPr>
              <w:tabs>
                <w:tab w:val="left" w:pos="5580"/>
              </w:tabs>
              <w:spacing w:line="360" w:lineRule="auto"/>
              <w:jc w:val="left"/>
              <w:rPr>
                <w:rFonts w:hint="eastAsia" w:ascii="宋体" w:hAnsi="宋体" w:eastAsia="宋体" w:cs="宋体"/>
                <w:color w:val="000000"/>
                <w:sz w:val="24"/>
                <w:szCs w:val="24"/>
              </w:rPr>
            </w:pPr>
          </w:p>
          <w:p w14:paraId="5C47A476">
            <w:pPr>
              <w:tabs>
                <w:tab w:val="left" w:pos="5580"/>
              </w:tabs>
              <w:spacing w:line="360" w:lineRule="auto"/>
              <w:jc w:val="left"/>
              <w:rPr>
                <w:rFonts w:hint="eastAsia" w:ascii="宋体" w:hAnsi="宋体" w:eastAsia="宋体" w:cs="宋体"/>
                <w:color w:val="000000"/>
                <w:sz w:val="24"/>
                <w:szCs w:val="24"/>
              </w:rPr>
            </w:pPr>
          </w:p>
          <w:p w14:paraId="16AA48AC">
            <w:pPr>
              <w:tabs>
                <w:tab w:val="left" w:pos="5580"/>
              </w:tabs>
              <w:spacing w:line="360" w:lineRule="auto"/>
              <w:jc w:val="left"/>
              <w:rPr>
                <w:rFonts w:hint="eastAsia" w:ascii="宋体" w:hAnsi="宋体" w:eastAsia="宋体" w:cs="宋体"/>
                <w:color w:val="000000"/>
                <w:sz w:val="24"/>
                <w:szCs w:val="24"/>
              </w:rPr>
            </w:pPr>
          </w:p>
        </w:tc>
      </w:tr>
    </w:tbl>
    <w:p w14:paraId="08F491F8">
      <w:pPr>
        <w:tabs>
          <w:tab w:val="left" w:pos="5580"/>
        </w:tabs>
        <w:spacing w:line="360" w:lineRule="auto"/>
        <w:jc w:val="left"/>
        <w:rPr>
          <w:rFonts w:hint="eastAsia" w:ascii="宋体" w:hAnsi="宋体" w:eastAsia="宋体" w:cs="宋体"/>
          <w:color w:val="000000"/>
          <w:sz w:val="24"/>
          <w:szCs w:val="24"/>
        </w:rPr>
      </w:pPr>
      <w:r>
        <w:rPr>
          <w:rFonts w:hint="eastAsia" w:ascii="宋体" w:hAnsi="宋体" w:eastAsia="宋体" w:cs="宋体"/>
          <w:color w:val="000000"/>
          <w:sz w:val="24"/>
          <w:szCs w:val="24"/>
        </w:rPr>
        <w:t>委托代理人有效期内的身份证</w:t>
      </w:r>
      <w:r>
        <w:rPr>
          <w:rFonts w:hint="eastAsia" w:ascii="宋体" w:hAnsi="宋体" w:eastAsia="宋体" w:cs="宋体"/>
          <w:b/>
          <w:color w:val="000000"/>
          <w:sz w:val="24"/>
          <w:szCs w:val="24"/>
        </w:rPr>
        <w:t>正反面</w:t>
      </w:r>
      <w:r>
        <w:rPr>
          <w:rFonts w:hint="eastAsia" w:ascii="宋体" w:hAnsi="宋体" w:eastAsia="宋体" w:cs="宋体"/>
          <w:color w:val="000000"/>
          <w:sz w:val="24"/>
          <w:szCs w:val="24"/>
        </w:rPr>
        <w:t>电子件：</w:t>
      </w:r>
    </w:p>
    <w:tbl>
      <w:tblPr>
        <w:tblStyle w:val="33"/>
        <w:tblW w:w="920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673"/>
        <w:gridCol w:w="4536"/>
      </w:tblGrid>
      <w:tr w14:paraId="48BC8B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99" w:hRule="atLeast"/>
        </w:trPr>
        <w:tc>
          <w:tcPr>
            <w:tcW w:w="4673" w:type="dxa"/>
            <w:noWrap w:val="0"/>
            <w:vAlign w:val="top"/>
          </w:tcPr>
          <w:p w14:paraId="1F28C5B5">
            <w:pPr>
              <w:tabs>
                <w:tab w:val="left" w:pos="5580"/>
              </w:tabs>
              <w:spacing w:line="360" w:lineRule="auto"/>
              <w:jc w:val="left"/>
              <w:rPr>
                <w:rFonts w:hint="eastAsia" w:ascii="宋体" w:hAnsi="宋体" w:eastAsia="宋体" w:cs="宋体"/>
                <w:color w:val="000000"/>
                <w:sz w:val="24"/>
                <w:szCs w:val="24"/>
              </w:rPr>
            </w:pPr>
          </w:p>
          <w:p w14:paraId="460CCF60">
            <w:pPr>
              <w:tabs>
                <w:tab w:val="left" w:pos="5580"/>
              </w:tabs>
              <w:spacing w:line="360" w:lineRule="auto"/>
              <w:jc w:val="left"/>
              <w:rPr>
                <w:rFonts w:hint="eastAsia" w:ascii="宋体" w:hAnsi="宋体" w:eastAsia="宋体" w:cs="宋体"/>
                <w:color w:val="000000"/>
                <w:sz w:val="24"/>
                <w:szCs w:val="24"/>
              </w:rPr>
            </w:pPr>
          </w:p>
          <w:p w14:paraId="6996F6E8">
            <w:pPr>
              <w:tabs>
                <w:tab w:val="left" w:pos="5580"/>
              </w:tabs>
              <w:spacing w:line="360" w:lineRule="auto"/>
              <w:jc w:val="left"/>
              <w:rPr>
                <w:rFonts w:hint="eastAsia" w:ascii="宋体" w:hAnsi="宋体" w:eastAsia="宋体" w:cs="宋体"/>
                <w:color w:val="000000"/>
                <w:sz w:val="24"/>
                <w:szCs w:val="24"/>
              </w:rPr>
            </w:pPr>
          </w:p>
        </w:tc>
        <w:tc>
          <w:tcPr>
            <w:tcW w:w="4536" w:type="dxa"/>
            <w:noWrap w:val="0"/>
            <w:vAlign w:val="top"/>
          </w:tcPr>
          <w:p w14:paraId="0B1F79CA">
            <w:pPr>
              <w:tabs>
                <w:tab w:val="left" w:pos="5580"/>
              </w:tabs>
              <w:spacing w:line="360" w:lineRule="auto"/>
              <w:jc w:val="left"/>
              <w:rPr>
                <w:rFonts w:hint="eastAsia" w:ascii="宋体" w:hAnsi="宋体" w:eastAsia="宋体" w:cs="宋体"/>
                <w:color w:val="000000"/>
                <w:sz w:val="24"/>
                <w:szCs w:val="24"/>
              </w:rPr>
            </w:pPr>
          </w:p>
          <w:p w14:paraId="6112C6EE">
            <w:pPr>
              <w:tabs>
                <w:tab w:val="left" w:pos="5580"/>
              </w:tabs>
              <w:spacing w:line="360" w:lineRule="auto"/>
              <w:jc w:val="left"/>
              <w:rPr>
                <w:rFonts w:hint="eastAsia" w:ascii="宋体" w:hAnsi="宋体" w:eastAsia="宋体" w:cs="宋体"/>
                <w:color w:val="000000"/>
                <w:sz w:val="24"/>
                <w:szCs w:val="24"/>
              </w:rPr>
            </w:pPr>
          </w:p>
          <w:p w14:paraId="6FD2B028">
            <w:pPr>
              <w:tabs>
                <w:tab w:val="left" w:pos="5580"/>
              </w:tabs>
              <w:spacing w:line="360" w:lineRule="auto"/>
              <w:jc w:val="left"/>
              <w:rPr>
                <w:rFonts w:hint="eastAsia" w:ascii="宋体" w:hAnsi="宋体" w:eastAsia="宋体" w:cs="宋体"/>
                <w:color w:val="000000"/>
                <w:sz w:val="24"/>
                <w:szCs w:val="24"/>
              </w:rPr>
            </w:pPr>
          </w:p>
        </w:tc>
      </w:tr>
    </w:tbl>
    <w:p w14:paraId="5FA4A7BE">
      <w:pPr>
        <w:tabs>
          <w:tab w:val="left" w:pos="5580"/>
        </w:tabs>
        <w:spacing w:line="360" w:lineRule="auto"/>
        <w:jc w:val="left"/>
        <w:rPr>
          <w:rFonts w:hint="eastAsia" w:ascii="宋体" w:hAnsi="宋体" w:eastAsia="宋体" w:cs="宋体"/>
          <w:color w:val="000000"/>
          <w:sz w:val="24"/>
          <w:szCs w:val="24"/>
        </w:rPr>
      </w:pPr>
      <w:r>
        <w:rPr>
          <w:rFonts w:hint="eastAsia" w:ascii="宋体" w:hAnsi="宋体" w:eastAsia="宋体" w:cs="宋体"/>
          <w:color w:val="000000"/>
          <w:sz w:val="24"/>
          <w:szCs w:val="24"/>
        </w:rPr>
        <w:t>说明：</w:t>
      </w:r>
    </w:p>
    <w:p w14:paraId="3D04A1A9">
      <w:pPr>
        <w:tabs>
          <w:tab w:val="left" w:pos="5580"/>
        </w:tabs>
        <w:spacing w:line="360" w:lineRule="auto"/>
        <w:jc w:val="left"/>
        <w:rPr>
          <w:rFonts w:hint="eastAsia" w:ascii="宋体" w:hAnsi="宋体" w:eastAsia="宋体" w:cs="宋体"/>
          <w:color w:val="000000"/>
          <w:sz w:val="24"/>
          <w:szCs w:val="24"/>
        </w:rPr>
      </w:pPr>
      <w:r>
        <w:rPr>
          <w:rFonts w:hint="eastAsia" w:ascii="宋体" w:hAnsi="宋体" w:eastAsia="宋体" w:cs="宋体"/>
          <w:color w:val="000000"/>
          <w:sz w:val="24"/>
          <w:szCs w:val="24"/>
        </w:rPr>
        <w:t>1.若供应商为事业单位或其他组织或分支机构（仅当招标文件注明允许分支机构投标的），则法定代表人（单位负责人）处的签署人可为单位负责人。</w:t>
      </w:r>
    </w:p>
    <w:p w14:paraId="6EE94788">
      <w:pPr>
        <w:tabs>
          <w:tab w:val="left" w:pos="5580"/>
        </w:tabs>
        <w:spacing w:line="360" w:lineRule="auto"/>
        <w:jc w:val="left"/>
        <w:rPr>
          <w:rFonts w:hint="eastAsia" w:ascii="宋体" w:hAnsi="宋体" w:eastAsia="宋体" w:cs="宋体"/>
          <w:color w:val="000000"/>
          <w:sz w:val="24"/>
          <w:szCs w:val="24"/>
        </w:rPr>
      </w:pPr>
      <w:r>
        <w:rPr>
          <w:rFonts w:hint="eastAsia" w:ascii="宋体" w:hAnsi="宋体" w:eastAsia="宋体" w:cs="宋体"/>
          <w:color w:val="000000"/>
          <w:sz w:val="24"/>
          <w:szCs w:val="24"/>
        </w:rPr>
        <w:t>2.若投标文件中签字之处均为法定代表人（单位负责人）本人签署，则可不提供本《授权委托书》，但须提供《法定代表人（单位负责人）身份证明》（实质性格式）。</w:t>
      </w:r>
    </w:p>
    <w:p w14:paraId="68F88A5C">
      <w:pPr>
        <w:tabs>
          <w:tab w:val="left" w:pos="5580"/>
        </w:tabs>
        <w:spacing w:line="360" w:lineRule="auto"/>
        <w:jc w:val="left"/>
        <w:rPr>
          <w:rFonts w:hint="eastAsia" w:ascii="宋体" w:hAnsi="宋体" w:eastAsia="宋体" w:cs="宋体"/>
          <w:color w:val="000000"/>
          <w:sz w:val="24"/>
          <w:szCs w:val="24"/>
        </w:rPr>
      </w:pPr>
      <w:r>
        <w:rPr>
          <w:rFonts w:hint="eastAsia" w:ascii="宋体" w:hAnsi="宋体" w:eastAsia="宋体" w:cs="宋体"/>
          <w:color w:val="000000"/>
          <w:sz w:val="24"/>
          <w:szCs w:val="24"/>
        </w:rPr>
        <w:t>3.供应商为自然人的情形，可不提供本《授权委托书》。</w:t>
      </w:r>
    </w:p>
    <w:p w14:paraId="3C338299">
      <w:pPr>
        <w:spacing w:line="360" w:lineRule="auto"/>
        <w:outlineLvl w:val="9"/>
        <w:rPr>
          <w:rFonts w:hint="eastAsia" w:ascii="宋体" w:hAnsi="宋体" w:eastAsia="宋体" w:cs="宋体"/>
          <w:b/>
          <w:bCs/>
          <w:color w:val="000000"/>
          <w:sz w:val="24"/>
          <w:szCs w:val="24"/>
          <w:lang w:eastAsia="zh-CN"/>
        </w:rPr>
      </w:pPr>
    </w:p>
    <w:p w14:paraId="01A0EA7E">
      <w:pPr>
        <w:spacing w:before="74" w:line="225" w:lineRule="auto"/>
        <w:jc w:val="left"/>
        <w:rPr>
          <w:rFonts w:hint="eastAsia" w:ascii="宋体" w:hAnsi="宋体" w:eastAsia="宋体" w:cs="宋体"/>
          <w:b/>
          <w:bCs/>
          <w:spacing w:val="4"/>
          <w:sz w:val="24"/>
          <w:szCs w:val="24"/>
          <w:lang w:eastAsia="zh-CN"/>
        </w:rPr>
      </w:pPr>
    </w:p>
    <w:p w14:paraId="70D7C624">
      <w:pPr>
        <w:spacing w:before="74" w:line="225" w:lineRule="auto"/>
        <w:jc w:val="left"/>
        <w:rPr>
          <w:rFonts w:hint="eastAsia" w:ascii="宋体" w:hAnsi="宋体" w:eastAsia="宋体" w:cs="宋体"/>
          <w:b/>
          <w:bCs/>
          <w:spacing w:val="4"/>
          <w:sz w:val="24"/>
          <w:szCs w:val="24"/>
          <w:lang w:eastAsia="zh-CN"/>
        </w:rPr>
      </w:pPr>
      <w:r>
        <w:rPr>
          <w:rFonts w:hint="eastAsia" w:ascii="宋体" w:hAnsi="宋体" w:eastAsia="宋体" w:cs="宋体"/>
          <w:b/>
          <w:bCs/>
          <w:spacing w:val="4"/>
          <w:sz w:val="24"/>
          <w:szCs w:val="24"/>
          <w:lang w:eastAsia="zh-CN"/>
        </w:rPr>
        <w:t>附件</w:t>
      </w:r>
      <w:r>
        <w:rPr>
          <w:rFonts w:hint="eastAsia" w:ascii="宋体" w:hAnsi="宋体" w:eastAsia="宋体" w:cs="宋体"/>
          <w:b/>
          <w:bCs/>
          <w:spacing w:val="4"/>
          <w:sz w:val="24"/>
          <w:szCs w:val="24"/>
          <w:lang w:val="en-US" w:eastAsia="zh-CN"/>
        </w:rPr>
        <w:t>七</w:t>
      </w:r>
    </w:p>
    <w:p w14:paraId="7C8F8151">
      <w:pPr>
        <w:spacing w:line="360" w:lineRule="exact"/>
        <w:jc w:val="center"/>
        <w:rPr>
          <w:rFonts w:hint="eastAsia" w:ascii="宋体" w:hAnsi="宋体" w:eastAsia="宋体" w:cs="宋体"/>
          <w:b/>
          <w:color w:val="000000"/>
          <w:sz w:val="24"/>
          <w:szCs w:val="24"/>
          <w:lang w:val="en-US" w:eastAsia="zh-CN"/>
        </w:rPr>
      </w:pPr>
      <w:r>
        <w:rPr>
          <w:rFonts w:hint="eastAsia" w:ascii="宋体" w:hAnsi="宋体" w:eastAsia="宋体" w:cs="宋体"/>
          <w:b/>
          <w:color w:val="000000"/>
          <w:sz w:val="24"/>
          <w:szCs w:val="24"/>
          <w:lang w:val="en-US" w:eastAsia="zh-CN"/>
        </w:rPr>
        <w:t>项目负责人任命书</w:t>
      </w:r>
    </w:p>
    <w:p w14:paraId="09F2E046">
      <w:pPr>
        <w:spacing w:before="74" w:line="254" w:lineRule="auto"/>
        <w:ind w:left="1"/>
        <w:rPr>
          <w:rFonts w:hint="eastAsia" w:ascii="宋体" w:hAnsi="宋体" w:eastAsia="宋体" w:cs="宋体"/>
          <w:spacing w:val="0"/>
          <w:sz w:val="24"/>
          <w:szCs w:val="24"/>
        </w:rPr>
      </w:pPr>
      <w:r>
        <w:rPr>
          <w:rFonts w:hint="eastAsia" w:ascii="宋体" w:hAnsi="宋体" w:eastAsia="宋体" w:cs="宋体"/>
          <w:spacing w:val="0"/>
          <w:sz w:val="24"/>
          <w:szCs w:val="24"/>
        </w:rPr>
        <w:t>单位名称</w:t>
      </w:r>
      <w:r>
        <w:rPr>
          <w:rFonts w:hint="eastAsia" w:ascii="宋体" w:hAnsi="宋体" w:eastAsia="宋体" w:cs="宋体"/>
          <w:spacing w:val="0"/>
          <w:sz w:val="24"/>
          <w:szCs w:val="24"/>
          <w:lang w:eastAsia="zh-CN"/>
        </w:rPr>
        <w:t>：</w:t>
      </w:r>
      <w:r>
        <w:rPr>
          <w:rFonts w:hint="eastAsia" w:ascii="宋体" w:hAnsi="宋体" w:eastAsia="宋体" w:cs="宋体"/>
          <w:spacing w:val="0"/>
          <w:sz w:val="24"/>
          <w:szCs w:val="24"/>
        </w:rPr>
        <w:t xml:space="preserve"> </w:t>
      </w:r>
      <w:r>
        <w:rPr>
          <w:rFonts w:hint="eastAsia" w:ascii="宋体" w:hAnsi="宋体" w:eastAsia="宋体" w:cs="宋体"/>
          <w:spacing w:val="0"/>
          <w:sz w:val="24"/>
          <w:szCs w:val="24"/>
          <w:u w:val="single" w:color="auto"/>
        </w:rPr>
        <w:t xml:space="preserve">                             </w:t>
      </w:r>
      <w:r>
        <w:rPr>
          <w:rFonts w:hint="eastAsia" w:ascii="宋体" w:hAnsi="宋体" w:eastAsia="宋体" w:cs="宋体"/>
          <w:spacing w:val="0"/>
          <w:sz w:val="24"/>
          <w:szCs w:val="24"/>
        </w:rPr>
        <w:t xml:space="preserve"> （单位名称）</w:t>
      </w:r>
    </w:p>
    <w:p w14:paraId="6541DC36">
      <w:pPr>
        <w:spacing w:before="74" w:line="254" w:lineRule="auto"/>
        <w:ind w:left="1"/>
        <w:rPr>
          <w:rFonts w:hint="eastAsia" w:ascii="宋体" w:hAnsi="宋体" w:eastAsia="宋体" w:cs="宋体"/>
          <w:spacing w:val="0"/>
          <w:sz w:val="24"/>
          <w:szCs w:val="24"/>
        </w:rPr>
      </w:pPr>
      <w:r>
        <w:rPr>
          <w:rFonts w:hint="eastAsia" w:ascii="宋体" w:hAnsi="宋体" w:eastAsia="宋体" w:cs="宋体"/>
          <w:spacing w:val="0"/>
          <w:sz w:val="24"/>
          <w:szCs w:val="24"/>
        </w:rPr>
        <w:t>法人代表</w:t>
      </w:r>
      <w:r>
        <w:rPr>
          <w:rFonts w:hint="eastAsia" w:ascii="宋体" w:hAnsi="宋体" w:eastAsia="宋体" w:cs="宋体"/>
          <w:spacing w:val="0"/>
          <w:sz w:val="24"/>
          <w:szCs w:val="24"/>
          <w:lang w:eastAsia="zh-CN"/>
        </w:rPr>
        <w:t>：</w:t>
      </w:r>
      <w:r>
        <w:rPr>
          <w:rFonts w:hint="eastAsia" w:ascii="宋体" w:hAnsi="宋体" w:eastAsia="宋体" w:cs="宋体"/>
          <w:spacing w:val="0"/>
          <w:sz w:val="24"/>
          <w:szCs w:val="24"/>
        </w:rPr>
        <w:t xml:space="preserve">                              （法人代表）</w:t>
      </w:r>
    </w:p>
    <w:p w14:paraId="1C0254C2">
      <w:pPr>
        <w:spacing w:before="75" w:line="237" w:lineRule="auto"/>
        <w:rPr>
          <w:rFonts w:hint="eastAsia" w:ascii="宋体" w:hAnsi="宋体" w:eastAsia="宋体" w:cs="宋体"/>
          <w:spacing w:val="0"/>
          <w:sz w:val="24"/>
          <w:szCs w:val="24"/>
        </w:rPr>
      </w:pPr>
      <w:r>
        <w:rPr>
          <w:rFonts w:hint="eastAsia" w:ascii="宋体" w:hAnsi="宋体" w:eastAsia="宋体" w:cs="宋体"/>
          <w:spacing w:val="0"/>
          <w:sz w:val="24"/>
          <w:szCs w:val="24"/>
        </w:rPr>
        <w:t xml:space="preserve">地      址： </w:t>
      </w:r>
      <w:r>
        <w:rPr>
          <w:rFonts w:hint="eastAsia" w:ascii="宋体" w:hAnsi="宋体" w:eastAsia="宋体" w:cs="宋体"/>
          <w:spacing w:val="0"/>
          <w:sz w:val="24"/>
          <w:szCs w:val="24"/>
          <w:u w:val="single" w:color="auto"/>
        </w:rPr>
        <w:t xml:space="preserve">                             </w:t>
      </w:r>
      <w:r>
        <w:rPr>
          <w:rFonts w:hint="eastAsia" w:ascii="宋体" w:hAnsi="宋体" w:eastAsia="宋体" w:cs="宋体"/>
          <w:spacing w:val="0"/>
          <w:sz w:val="24"/>
          <w:szCs w:val="24"/>
        </w:rPr>
        <w:t xml:space="preserve"> （地     址）</w:t>
      </w:r>
    </w:p>
    <w:p w14:paraId="16279723">
      <w:pPr>
        <w:pStyle w:val="15"/>
        <w:tabs>
          <w:tab w:val="left" w:pos="567"/>
        </w:tabs>
        <w:spacing w:line="265" w:lineRule="auto"/>
        <w:rPr>
          <w:rFonts w:hint="eastAsia" w:ascii="宋体" w:hAnsi="宋体" w:eastAsia="宋体" w:cs="宋体"/>
          <w:spacing w:val="0"/>
          <w:sz w:val="24"/>
          <w:szCs w:val="24"/>
        </w:rPr>
      </w:pPr>
    </w:p>
    <w:p w14:paraId="3799E2C0">
      <w:pPr>
        <w:spacing w:before="75" w:line="227" w:lineRule="auto"/>
        <w:rPr>
          <w:rFonts w:hint="eastAsia" w:ascii="宋体" w:hAnsi="宋体" w:eastAsia="宋体" w:cs="宋体"/>
          <w:spacing w:val="0"/>
          <w:sz w:val="24"/>
          <w:szCs w:val="24"/>
          <w:lang w:val="en-US" w:eastAsia="zh-CN"/>
        </w:rPr>
      </w:pPr>
      <w:r>
        <w:rPr>
          <w:rFonts w:hint="eastAsia" w:ascii="宋体" w:hAnsi="宋体" w:eastAsia="宋体" w:cs="宋体"/>
          <w:spacing w:val="0"/>
          <w:sz w:val="24"/>
          <w:szCs w:val="24"/>
        </w:rPr>
        <w:t xml:space="preserve">被任命人： </w:t>
      </w:r>
      <w:r>
        <w:rPr>
          <w:rFonts w:hint="eastAsia" w:ascii="宋体" w:hAnsi="宋体" w:eastAsia="宋体" w:cs="宋体"/>
          <w:spacing w:val="0"/>
          <w:sz w:val="24"/>
          <w:szCs w:val="24"/>
          <w:u w:val="single" w:color="auto"/>
        </w:rPr>
        <w:t xml:space="preserve">           </w:t>
      </w:r>
      <w:r>
        <w:rPr>
          <w:rFonts w:hint="eastAsia" w:ascii="宋体" w:hAnsi="宋体" w:eastAsia="宋体" w:cs="宋体"/>
          <w:spacing w:val="0"/>
          <w:sz w:val="24"/>
          <w:szCs w:val="24"/>
        </w:rPr>
        <w:t xml:space="preserve"> 性别：</w:t>
      </w:r>
      <w:r>
        <w:rPr>
          <w:rFonts w:hint="eastAsia" w:ascii="宋体" w:hAnsi="宋体" w:eastAsia="宋体" w:cs="宋体"/>
          <w:spacing w:val="0"/>
          <w:sz w:val="24"/>
          <w:szCs w:val="24"/>
          <w:u w:val="single" w:color="auto"/>
        </w:rPr>
        <w:t xml:space="preserve">            </w:t>
      </w:r>
      <w:r>
        <w:rPr>
          <w:rFonts w:hint="eastAsia" w:ascii="宋体" w:hAnsi="宋体" w:eastAsia="宋体" w:cs="宋体"/>
          <w:spacing w:val="0"/>
          <w:sz w:val="24"/>
          <w:szCs w:val="24"/>
        </w:rPr>
        <w:t>年龄：</w:t>
      </w:r>
      <w:r>
        <w:rPr>
          <w:rFonts w:hint="eastAsia" w:ascii="宋体" w:hAnsi="宋体" w:eastAsia="宋体" w:cs="宋体"/>
          <w:spacing w:val="0"/>
          <w:sz w:val="24"/>
          <w:szCs w:val="24"/>
          <w:u w:val="single" w:color="auto"/>
        </w:rPr>
        <w:t xml:space="preserve">      </w:t>
      </w:r>
      <w:r>
        <w:rPr>
          <w:rFonts w:hint="eastAsia" w:ascii="宋体" w:hAnsi="宋体" w:eastAsia="宋体" w:cs="宋体"/>
          <w:spacing w:val="0"/>
          <w:sz w:val="24"/>
          <w:szCs w:val="24"/>
        </w:rPr>
        <w:t>职务</w:t>
      </w:r>
      <w:r>
        <w:rPr>
          <w:rFonts w:hint="eastAsia" w:ascii="宋体" w:hAnsi="宋体" w:eastAsia="宋体" w:cs="宋体"/>
          <w:spacing w:val="0"/>
          <w:sz w:val="24"/>
          <w:szCs w:val="24"/>
          <w:lang w:eastAsia="zh-CN"/>
        </w:rPr>
        <w:t>：</w:t>
      </w:r>
      <w:r>
        <w:rPr>
          <w:rFonts w:hint="eastAsia" w:ascii="宋体" w:hAnsi="宋体" w:eastAsia="宋体" w:cs="宋体"/>
          <w:spacing w:val="0"/>
          <w:sz w:val="24"/>
          <w:szCs w:val="24"/>
          <w:u w:val="single" w:color="auto"/>
        </w:rPr>
        <w:t xml:space="preserve">  </w:t>
      </w:r>
      <w:r>
        <w:rPr>
          <w:rFonts w:hint="eastAsia" w:ascii="宋体" w:hAnsi="宋体" w:eastAsia="宋体" w:cs="宋体"/>
          <w:spacing w:val="0"/>
          <w:sz w:val="24"/>
          <w:szCs w:val="24"/>
          <w:u w:val="single" w:color="auto"/>
          <w:lang w:val="en-US" w:eastAsia="zh-CN"/>
        </w:rPr>
        <w:t xml:space="preserve">     </w:t>
      </w:r>
    </w:p>
    <w:p w14:paraId="371A3C18">
      <w:pPr>
        <w:pStyle w:val="15"/>
        <w:tabs>
          <w:tab w:val="left" w:pos="567"/>
        </w:tabs>
        <w:spacing w:line="273" w:lineRule="auto"/>
        <w:rPr>
          <w:rFonts w:hint="eastAsia" w:ascii="宋体" w:hAnsi="宋体" w:eastAsia="宋体" w:cs="宋体"/>
          <w:spacing w:val="0"/>
          <w:sz w:val="24"/>
          <w:szCs w:val="24"/>
        </w:rPr>
      </w:pPr>
    </w:p>
    <w:p w14:paraId="26D3E564">
      <w:pPr>
        <w:spacing w:before="76" w:line="228" w:lineRule="auto"/>
        <w:ind w:left="2"/>
        <w:rPr>
          <w:rFonts w:hint="eastAsia" w:ascii="宋体" w:hAnsi="宋体" w:eastAsia="宋体" w:cs="宋体"/>
          <w:spacing w:val="0"/>
          <w:sz w:val="24"/>
          <w:szCs w:val="24"/>
        </w:rPr>
      </w:pPr>
      <w:r>
        <w:rPr>
          <w:rFonts w:hint="eastAsia" w:ascii="宋体" w:hAnsi="宋体" w:eastAsia="宋体" w:cs="宋体"/>
          <w:spacing w:val="0"/>
          <w:sz w:val="24"/>
          <w:szCs w:val="24"/>
        </w:rPr>
        <w:t xml:space="preserve">工作单位： </w:t>
      </w:r>
      <w:r>
        <w:rPr>
          <w:rFonts w:hint="eastAsia" w:ascii="宋体" w:hAnsi="宋体" w:eastAsia="宋体" w:cs="宋体"/>
          <w:spacing w:val="0"/>
          <w:sz w:val="24"/>
          <w:szCs w:val="24"/>
          <w:u w:val="single" w:color="auto"/>
        </w:rPr>
        <w:t xml:space="preserve">                             </w:t>
      </w:r>
      <w:r>
        <w:rPr>
          <w:rFonts w:hint="eastAsia" w:ascii="宋体" w:hAnsi="宋体" w:eastAsia="宋体" w:cs="宋体"/>
          <w:spacing w:val="0"/>
          <w:sz w:val="24"/>
          <w:szCs w:val="24"/>
        </w:rPr>
        <w:t xml:space="preserve"> （工作单位）</w:t>
      </w:r>
    </w:p>
    <w:p w14:paraId="26B0B4F6">
      <w:pPr>
        <w:spacing w:before="32" w:line="237" w:lineRule="auto"/>
        <w:rPr>
          <w:rFonts w:hint="eastAsia" w:ascii="宋体" w:hAnsi="宋体" w:eastAsia="宋体" w:cs="宋体"/>
          <w:spacing w:val="0"/>
          <w:sz w:val="24"/>
          <w:szCs w:val="24"/>
        </w:rPr>
      </w:pPr>
      <w:r>
        <w:rPr>
          <w:rFonts w:hint="eastAsia" w:ascii="宋体" w:hAnsi="宋体" w:eastAsia="宋体" w:cs="宋体"/>
          <w:spacing w:val="0"/>
          <w:sz w:val="24"/>
          <w:szCs w:val="24"/>
        </w:rPr>
        <w:t xml:space="preserve">地      址： </w:t>
      </w:r>
      <w:r>
        <w:rPr>
          <w:rFonts w:hint="eastAsia" w:ascii="宋体" w:hAnsi="宋体" w:eastAsia="宋体" w:cs="宋体"/>
          <w:spacing w:val="0"/>
          <w:sz w:val="24"/>
          <w:szCs w:val="24"/>
          <w:u w:val="single" w:color="auto"/>
        </w:rPr>
        <w:t xml:space="preserve">                             </w:t>
      </w:r>
      <w:r>
        <w:rPr>
          <w:rFonts w:hint="eastAsia" w:ascii="宋体" w:hAnsi="宋体" w:eastAsia="宋体" w:cs="宋体"/>
          <w:spacing w:val="0"/>
          <w:sz w:val="24"/>
          <w:szCs w:val="24"/>
        </w:rPr>
        <w:t xml:space="preserve"> （地     址）</w:t>
      </w:r>
    </w:p>
    <w:p w14:paraId="52A1E0CC">
      <w:pPr>
        <w:pStyle w:val="15"/>
        <w:tabs>
          <w:tab w:val="left" w:pos="567"/>
        </w:tabs>
        <w:spacing w:line="263" w:lineRule="auto"/>
        <w:rPr>
          <w:rFonts w:hint="eastAsia" w:ascii="宋体" w:hAnsi="宋体" w:eastAsia="宋体" w:cs="宋体"/>
          <w:spacing w:val="0"/>
          <w:sz w:val="24"/>
          <w:szCs w:val="24"/>
        </w:rPr>
      </w:pPr>
    </w:p>
    <w:p w14:paraId="207239AB">
      <w:pPr>
        <w:spacing w:before="75"/>
        <w:ind w:left="1"/>
        <w:rPr>
          <w:rFonts w:hint="eastAsia" w:ascii="宋体" w:hAnsi="宋体" w:eastAsia="宋体" w:cs="宋体"/>
          <w:spacing w:val="0"/>
          <w:sz w:val="24"/>
          <w:szCs w:val="24"/>
        </w:rPr>
      </w:pPr>
      <w:r>
        <w:rPr>
          <w:rFonts w:hint="eastAsia" w:ascii="宋体" w:hAnsi="宋体" w:eastAsia="宋体" w:cs="宋体"/>
          <w:spacing w:val="0"/>
          <w:sz w:val="24"/>
          <w:szCs w:val="24"/>
        </w:rPr>
        <w:t>我系</w:t>
      </w:r>
      <w:r>
        <w:rPr>
          <w:rFonts w:hint="eastAsia" w:ascii="宋体" w:hAnsi="宋体" w:eastAsia="宋体" w:cs="宋体"/>
          <w:spacing w:val="0"/>
          <w:sz w:val="24"/>
          <w:szCs w:val="24"/>
          <w:u w:val="single" w:color="auto"/>
        </w:rPr>
        <w:t xml:space="preserve">                    </w:t>
      </w:r>
      <w:r>
        <w:rPr>
          <w:rFonts w:hint="eastAsia" w:ascii="宋体" w:hAnsi="宋体" w:eastAsia="宋体" w:cs="宋体"/>
          <w:spacing w:val="0"/>
          <w:sz w:val="24"/>
          <w:szCs w:val="24"/>
        </w:rPr>
        <w:t xml:space="preserve"> 的法定代表人 ，现任命 </w:t>
      </w:r>
      <w:r>
        <w:rPr>
          <w:rFonts w:hint="eastAsia" w:ascii="宋体" w:hAnsi="宋体" w:eastAsia="宋体" w:cs="宋体"/>
          <w:spacing w:val="0"/>
          <w:sz w:val="24"/>
          <w:szCs w:val="24"/>
          <w:u w:val="single" w:color="auto"/>
        </w:rPr>
        <w:t xml:space="preserve">       </w:t>
      </w:r>
      <w:r>
        <w:rPr>
          <w:rFonts w:hint="eastAsia" w:ascii="宋体" w:hAnsi="宋体" w:eastAsia="宋体" w:cs="宋体"/>
          <w:spacing w:val="0"/>
          <w:sz w:val="24"/>
          <w:szCs w:val="24"/>
        </w:rPr>
        <w:t xml:space="preserve"> 为</w:t>
      </w:r>
      <w:r>
        <w:rPr>
          <w:rFonts w:hint="eastAsia" w:ascii="宋体" w:hAnsi="宋体" w:eastAsia="宋体" w:cs="宋体"/>
          <w:spacing w:val="0"/>
          <w:sz w:val="24"/>
          <w:szCs w:val="24"/>
          <w:u w:val="single" w:color="auto"/>
        </w:rPr>
        <w:t xml:space="preserve">           </w:t>
      </w:r>
      <w:r>
        <w:rPr>
          <w:rFonts w:hint="eastAsia" w:ascii="宋体" w:hAnsi="宋体" w:eastAsia="宋体" w:cs="宋体"/>
          <w:spacing w:val="0"/>
          <w:sz w:val="24"/>
          <w:szCs w:val="24"/>
        </w:rPr>
        <w:t xml:space="preserve"> 项目的项目负责 人，负责项目的整体管理及与</w:t>
      </w:r>
      <w:r>
        <w:rPr>
          <w:rFonts w:hint="eastAsia" w:cs="宋体"/>
          <w:spacing w:val="0"/>
          <w:sz w:val="24"/>
          <w:szCs w:val="24"/>
          <w:lang w:eastAsia="zh-CN"/>
        </w:rPr>
        <w:t>招标人</w:t>
      </w:r>
      <w:r>
        <w:rPr>
          <w:rFonts w:hint="eastAsia" w:ascii="宋体" w:hAnsi="宋体" w:eastAsia="宋体" w:cs="宋体"/>
          <w:spacing w:val="0"/>
          <w:sz w:val="24"/>
          <w:szCs w:val="24"/>
        </w:rPr>
        <w:t>之间的沟通等相关事宜。</w:t>
      </w:r>
    </w:p>
    <w:p w14:paraId="11C500DB">
      <w:pPr>
        <w:spacing w:line="360" w:lineRule="auto"/>
        <w:jc w:val="both"/>
        <w:outlineLvl w:val="9"/>
        <w:rPr>
          <w:rFonts w:hint="eastAsia" w:ascii="宋体" w:hAnsi="宋体" w:eastAsia="宋体" w:cs="宋体"/>
          <w:spacing w:val="0"/>
          <w:sz w:val="24"/>
          <w:szCs w:val="24"/>
          <w:lang w:eastAsia="zh-CN"/>
        </w:rPr>
      </w:pPr>
    </w:p>
    <w:p w14:paraId="61643200">
      <w:pPr>
        <w:spacing w:line="360" w:lineRule="auto"/>
        <w:jc w:val="both"/>
        <w:outlineLvl w:val="9"/>
        <w:rPr>
          <w:rFonts w:hint="eastAsia" w:ascii="宋体" w:hAnsi="宋体" w:eastAsia="宋体" w:cs="宋体"/>
          <w:spacing w:val="-1"/>
          <w:sz w:val="24"/>
          <w:szCs w:val="24"/>
          <w:lang w:eastAsia="zh-CN"/>
        </w:rPr>
      </w:pPr>
    </w:p>
    <w:p w14:paraId="69FFA2E1">
      <w:pPr>
        <w:spacing w:before="75" w:line="227" w:lineRule="auto"/>
        <w:ind w:left="1"/>
        <w:rPr>
          <w:rFonts w:hint="eastAsia" w:ascii="宋体" w:hAnsi="宋体" w:eastAsia="宋体" w:cs="宋体"/>
          <w:sz w:val="24"/>
          <w:szCs w:val="24"/>
        </w:rPr>
      </w:pPr>
      <w:r>
        <w:rPr>
          <w:rFonts w:hint="eastAsia" w:ascii="宋体" w:hAnsi="宋体" w:eastAsia="宋体" w:cs="宋体"/>
          <w:spacing w:val="-1"/>
          <w:sz w:val="24"/>
          <w:szCs w:val="24"/>
        </w:rPr>
        <w:t>后附人员身份证复印件。</w:t>
      </w:r>
    </w:p>
    <w:p w14:paraId="265E695E">
      <w:pPr>
        <w:spacing w:line="360" w:lineRule="auto"/>
        <w:jc w:val="both"/>
        <w:outlineLvl w:val="9"/>
        <w:rPr>
          <w:rFonts w:hint="eastAsia" w:ascii="宋体" w:hAnsi="宋体" w:eastAsia="宋体" w:cs="宋体"/>
          <w:spacing w:val="-1"/>
          <w:sz w:val="24"/>
          <w:szCs w:val="24"/>
          <w:lang w:eastAsia="zh-CN"/>
        </w:rPr>
      </w:pPr>
    </w:p>
    <w:p w14:paraId="7C313661">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投标人名称（公章）： </w:t>
      </w:r>
    </w:p>
    <w:p w14:paraId="64D6986D">
      <w:pPr>
        <w:spacing w:before="102" w:line="227" w:lineRule="auto"/>
        <w:rPr>
          <w:rFonts w:hint="eastAsia" w:ascii="宋体" w:hAnsi="宋体" w:eastAsia="宋体" w:cs="宋体"/>
          <w:sz w:val="24"/>
          <w:szCs w:val="24"/>
        </w:rPr>
      </w:pPr>
      <w:r>
        <w:rPr>
          <w:rFonts w:hint="eastAsia" w:ascii="宋体" w:hAnsi="宋体" w:eastAsia="宋体" w:cs="宋体"/>
          <w:spacing w:val="-2"/>
          <w:sz w:val="24"/>
          <w:szCs w:val="24"/>
        </w:rPr>
        <w:t>法定代表人（签字或盖章</w:t>
      </w:r>
      <w:r>
        <w:rPr>
          <w:rFonts w:hint="eastAsia" w:ascii="宋体" w:hAnsi="宋体" w:eastAsia="宋体" w:cs="宋体"/>
          <w:spacing w:val="-4"/>
          <w:sz w:val="24"/>
          <w:szCs w:val="24"/>
        </w:rPr>
        <w:t>）：</w:t>
      </w:r>
    </w:p>
    <w:p w14:paraId="7F3125F6">
      <w:pPr>
        <w:spacing w:before="284" w:line="227" w:lineRule="auto"/>
        <w:ind w:left="41"/>
        <w:rPr>
          <w:rFonts w:hint="eastAsia" w:ascii="宋体" w:hAnsi="宋体" w:eastAsia="宋体" w:cs="宋体"/>
          <w:sz w:val="24"/>
          <w:szCs w:val="24"/>
        </w:rPr>
      </w:pPr>
      <w:r>
        <w:rPr>
          <w:rFonts w:hint="eastAsia" w:ascii="宋体" w:hAnsi="宋体" w:eastAsia="宋体" w:cs="宋体"/>
          <w:spacing w:val="0"/>
          <w:sz w:val="24"/>
          <w:szCs w:val="24"/>
          <w:lang w:eastAsia="zh-CN"/>
        </w:rPr>
        <w:t>日期</w:t>
      </w:r>
      <w:r>
        <w:rPr>
          <w:rFonts w:hint="eastAsia" w:ascii="宋体" w:hAnsi="宋体" w:eastAsia="宋体" w:cs="宋体"/>
          <w:spacing w:val="0"/>
          <w:sz w:val="24"/>
          <w:szCs w:val="24"/>
        </w:rPr>
        <w:t>：</w:t>
      </w:r>
      <w:r>
        <w:rPr>
          <w:rFonts w:hint="eastAsia" w:ascii="宋体" w:hAnsi="宋体" w:eastAsia="宋体" w:cs="宋体"/>
          <w:spacing w:val="20"/>
          <w:sz w:val="24"/>
          <w:szCs w:val="24"/>
        </w:rPr>
        <w:t xml:space="preserve">    </w:t>
      </w:r>
      <w:r>
        <w:rPr>
          <w:rFonts w:hint="eastAsia" w:ascii="宋体" w:hAnsi="宋体" w:eastAsia="宋体" w:cs="宋体"/>
          <w:spacing w:val="-26"/>
          <w:sz w:val="24"/>
          <w:szCs w:val="24"/>
        </w:rPr>
        <w:t>年</w:t>
      </w:r>
      <w:r>
        <w:rPr>
          <w:rFonts w:hint="eastAsia" w:ascii="宋体" w:hAnsi="宋体" w:eastAsia="宋体" w:cs="宋体"/>
          <w:spacing w:val="58"/>
          <w:sz w:val="24"/>
          <w:szCs w:val="24"/>
        </w:rPr>
        <w:t xml:space="preserve">  </w:t>
      </w:r>
      <w:r>
        <w:rPr>
          <w:rFonts w:hint="eastAsia" w:ascii="宋体" w:hAnsi="宋体" w:eastAsia="宋体" w:cs="宋体"/>
          <w:spacing w:val="-26"/>
          <w:sz w:val="24"/>
          <w:szCs w:val="24"/>
        </w:rPr>
        <w:t>月</w:t>
      </w:r>
      <w:r>
        <w:rPr>
          <w:rFonts w:hint="eastAsia" w:ascii="宋体" w:hAnsi="宋体" w:eastAsia="宋体" w:cs="宋体"/>
          <w:spacing w:val="36"/>
          <w:sz w:val="24"/>
          <w:szCs w:val="24"/>
        </w:rPr>
        <w:t xml:space="preserve">   </w:t>
      </w:r>
      <w:r>
        <w:rPr>
          <w:rFonts w:hint="eastAsia" w:ascii="宋体" w:hAnsi="宋体" w:eastAsia="宋体" w:cs="宋体"/>
          <w:spacing w:val="-26"/>
          <w:sz w:val="24"/>
          <w:szCs w:val="24"/>
        </w:rPr>
        <w:t>日</w:t>
      </w:r>
    </w:p>
    <w:p w14:paraId="032FCF49">
      <w:pPr>
        <w:spacing w:line="360" w:lineRule="auto"/>
        <w:jc w:val="both"/>
        <w:outlineLvl w:val="9"/>
        <w:rPr>
          <w:rFonts w:hint="eastAsia" w:ascii="宋体" w:hAnsi="宋体" w:eastAsia="宋体" w:cs="宋体"/>
          <w:spacing w:val="-1"/>
          <w:sz w:val="24"/>
          <w:szCs w:val="24"/>
          <w:lang w:eastAsia="zh-CN"/>
        </w:rPr>
      </w:pPr>
    </w:p>
    <w:p w14:paraId="24A4F2DA">
      <w:pPr>
        <w:spacing w:line="360" w:lineRule="auto"/>
        <w:jc w:val="both"/>
        <w:outlineLvl w:val="9"/>
        <w:rPr>
          <w:rFonts w:hint="eastAsia" w:ascii="宋体" w:hAnsi="宋体" w:eastAsia="宋体" w:cs="宋体"/>
          <w:spacing w:val="-1"/>
          <w:sz w:val="24"/>
          <w:szCs w:val="24"/>
          <w:lang w:eastAsia="zh-CN"/>
        </w:rPr>
      </w:pPr>
    </w:p>
    <w:p w14:paraId="2F0D0620">
      <w:pPr>
        <w:tabs>
          <w:tab w:val="left" w:pos="5580"/>
        </w:tabs>
        <w:spacing w:line="360" w:lineRule="auto"/>
        <w:jc w:val="left"/>
        <w:rPr>
          <w:rFonts w:hint="eastAsia" w:ascii="宋体" w:hAnsi="宋体" w:eastAsia="宋体" w:cs="宋体"/>
          <w:color w:val="000000"/>
          <w:sz w:val="24"/>
          <w:szCs w:val="24"/>
        </w:rPr>
      </w:pPr>
    </w:p>
    <w:p w14:paraId="681F2664">
      <w:pPr>
        <w:tabs>
          <w:tab w:val="left" w:pos="5580"/>
        </w:tabs>
        <w:spacing w:line="360" w:lineRule="auto"/>
        <w:jc w:val="left"/>
        <w:rPr>
          <w:rFonts w:hint="eastAsia" w:ascii="宋体" w:hAnsi="宋体" w:eastAsia="宋体" w:cs="宋体"/>
          <w:color w:val="000000"/>
          <w:sz w:val="24"/>
          <w:szCs w:val="24"/>
        </w:rPr>
      </w:pPr>
    </w:p>
    <w:p w14:paraId="6FFC2966">
      <w:pPr>
        <w:tabs>
          <w:tab w:val="left" w:pos="5580"/>
        </w:tabs>
        <w:spacing w:line="360" w:lineRule="auto"/>
        <w:jc w:val="left"/>
        <w:rPr>
          <w:rFonts w:hint="eastAsia" w:ascii="宋体" w:hAnsi="宋体" w:eastAsia="宋体" w:cs="宋体"/>
          <w:color w:val="000000"/>
          <w:sz w:val="24"/>
          <w:szCs w:val="24"/>
        </w:rPr>
      </w:pPr>
    </w:p>
    <w:p w14:paraId="3ACF4121">
      <w:pPr>
        <w:tabs>
          <w:tab w:val="left" w:pos="5580"/>
        </w:tabs>
        <w:spacing w:line="360" w:lineRule="auto"/>
        <w:jc w:val="left"/>
        <w:rPr>
          <w:rFonts w:hint="eastAsia" w:ascii="宋体" w:hAnsi="宋体" w:eastAsia="宋体" w:cs="宋体"/>
          <w:color w:val="000000"/>
          <w:sz w:val="24"/>
          <w:szCs w:val="24"/>
        </w:rPr>
      </w:pPr>
    </w:p>
    <w:p w14:paraId="4919B9E4">
      <w:pPr>
        <w:tabs>
          <w:tab w:val="left" w:pos="5580"/>
        </w:tabs>
        <w:spacing w:line="360" w:lineRule="auto"/>
        <w:jc w:val="left"/>
        <w:rPr>
          <w:rFonts w:hint="eastAsia" w:ascii="宋体" w:hAnsi="宋体" w:eastAsia="宋体" w:cs="宋体"/>
          <w:color w:val="000000"/>
          <w:sz w:val="24"/>
          <w:szCs w:val="24"/>
        </w:rPr>
      </w:pPr>
    </w:p>
    <w:p w14:paraId="46CBCE4A">
      <w:pPr>
        <w:tabs>
          <w:tab w:val="left" w:pos="5580"/>
        </w:tabs>
        <w:spacing w:line="360" w:lineRule="auto"/>
        <w:jc w:val="left"/>
        <w:rPr>
          <w:rFonts w:hint="eastAsia" w:ascii="宋体" w:hAnsi="宋体" w:eastAsia="宋体" w:cs="宋体"/>
          <w:color w:val="000000"/>
          <w:sz w:val="24"/>
          <w:szCs w:val="24"/>
        </w:rPr>
      </w:pPr>
    </w:p>
    <w:p w14:paraId="1781FEA5">
      <w:pPr>
        <w:tabs>
          <w:tab w:val="left" w:pos="5580"/>
        </w:tabs>
        <w:spacing w:line="360" w:lineRule="auto"/>
        <w:jc w:val="left"/>
        <w:rPr>
          <w:rFonts w:hint="eastAsia" w:ascii="宋体" w:hAnsi="宋体" w:eastAsia="宋体" w:cs="宋体"/>
          <w:color w:val="000000"/>
          <w:sz w:val="24"/>
          <w:szCs w:val="24"/>
        </w:rPr>
      </w:pPr>
    </w:p>
    <w:p w14:paraId="17129362">
      <w:pPr>
        <w:tabs>
          <w:tab w:val="left" w:pos="5580"/>
        </w:tabs>
        <w:spacing w:line="360" w:lineRule="auto"/>
        <w:jc w:val="left"/>
        <w:rPr>
          <w:rFonts w:hint="eastAsia" w:ascii="宋体" w:hAnsi="宋体" w:eastAsia="宋体" w:cs="宋体"/>
          <w:color w:val="000000"/>
          <w:sz w:val="24"/>
          <w:szCs w:val="24"/>
        </w:rPr>
      </w:pPr>
    </w:p>
    <w:p w14:paraId="7A42FCFE">
      <w:pPr>
        <w:tabs>
          <w:tab w:val="left" w:pos="5580"/>
        </w:tabs>
        <w:spacing w:line="360" w:lineRule="auto"/>
        <w:jc w:val="left"/>
        <w:rPr>
          <w:rFonts w:hint="eastAsia" w:ascii="宋体" w:hAnsi="宋体" w:eastAsia="宋体" w:cs="宋体"/>
          <w:color w:val="000000"/>
          <w:sz w:val="24"/>
          <w:szCs w:val="24"/>
        </w:rPr>
      </w:pPr>
    </w:p>
    <w:p w14:paraId="79D46E4E">
      <w:pPr>
        <w:spacing w:line="360" w:lineRule="auto"/>
        <w:outlineLvl w:val="9"/>
        <w:rPr>
          <w:rFonts w:hint="eastAsia" w:ascii="宋体" w:hAnsi="宋体" w:eastAsia="宋体" w:cs="宋体"/>
          <w:b/>
          <w:bCs/>
          <w:color w:val="000000"/>
          <w:sz w:val="24"/>
          <w:szCs w:val="24"/>
          <w:lang w:eastAsia="zh-CN"/>
        </w:rPr>
      </w:pPr>
    </w:p>
    <w:p w14:paraId="59976FF4">
      <w:pPr>
        <w:spacing w:before="74" w:line="225" w:lineRule="auto"/>
        <w:jc w:val="left"/>
        <w:rPr>
          <w:rFonts w:hint="eastAsia" w:ascii="宋体" w:hAnsi="宋体" w:eastAsia="宋体" w:cs="宋体"/>
          <w:b/>
          <w:bCs/>
          <w:spacing w:val="4"/>
          <w:sz w:val="24"/>
          <w:szCs w:val="24"/>
          <w:lang w:eastAsia="zh-CN"/>
        </w:rPr>
      </w:pPr>
      <w:r>
        <w:rPr>
          <w:rFonts w:hint="eastAsia" w:ascii="宋体" w:hAnsi="宋体" w:eastAsia="宋体" w:cs="宋体"/>
          <w:b/>
          <w:bCs/>
          <w:spacing w:val="4"/>
          <w:sz w:val="24"/>
          <w:szCs w:val="24"/>
          <w:lang w:eastAsia="zh-CN"/>
        </w:rPr>
        <w:t>附件</w:t>
      </w:r>
      <w:r>
        <w:rPr>
          <w:rFonts w:hint="eastAsia" w:ascii="宋体" w:hAnsi="宋体" w:eastAsia="宋体" w:cs="宋体"/>
          <w:b/>
          <w:bCs/>
          <w:spacing w:val="4"/>
          <w:sz w:val="24"/>
          <w:szCs w:val="24"/>
          <w:lang w:val="en-US" w:eastAsia="zh-CN"/>
        </w:rPr>
        <w:t>八</w:t>
      </w:r>
    </w:p>
    <w:p w14:paraId="748CCED6">
      <w:pPr>
        <w:spacing w:line="360" w:lineRule="exact"/>
        <w:jc w:val="center"/>
        <w:rPr>
          <w:rFonts w:hint="eastAsia" w:ascii="宋体" w:hAnsi="宋体" w:eastAsia="宋体" w:cs="宋体"/>
          <w:b/>
          <w:color w:val="000000"/>
          <w:sz w:val="24"/>
          <w:szCs w:val="24"/>
          <w:lang w:val="en-US" w:eastAsia="zh-CN"/>
        </w:rPr>
      </w:pPr>
      <w:r>
        <w:rPr>
          <w:rFonts w:hint="eastAsia" w:ascii="宋体" w:hAnsi="宋体" w:eastAsia="宋体" w:cs="宋体"/>
          <w:b/>
          <w:color w:val="000000"/>
          <w:sz w:val="24"/>
          <w:szCs w:val="24"/>
          <w:lang w:val="en-US" w:eastAsia="zh-CN"/>
        </w:rPr>
        <w:t>投标人资格声明函</w:t>
      </w:r>
    </w:p>
    <w:p w14:paraId="6D961256">
      <w:pPr>
        <w:pStyle w:val="15"/>
        <w:tabs>
          <w:tab w:val="left" w:pos="567"/>
        </w:tabs>
        <w:spacing w:line="249" w:lineRule="auto"/>
        <w:rPr>
          <w:rFonts w:hint="eastAsia" w:ascii="宋体" w:hAnsi="宋体" w:eastAsia="宋体" w:cs="宋体"/>
          <w:sz w:val="24"/>
          <w:szCs w:val="24"/>
        </w:rPr>
      </w:pPr>
    </w:p>
    <w:p w14:paraId="5E0720FF">
      <w:pPr>
        <w:bidi w:val="0"/>
        <w:ind w:firstLine="508" w:firstLineChars="200"/>
        <w:rPr>
          <w:rFonts w:hint="eastAsia" w:ascii="宋体" w:hAnsi="宋体" w:eastAsia="宋体" w:cs="宋体"/>
          <w:b/>
          <w:bCs/>
          <w:color w:val="000000"/>
          <w:sz w:val="24"/>
          <w:szCs w:val="24"/>
          <w:lang w:eastAsia="zh-CN"/>
        </w:rPr>
      </w:pPr>
      <w:r>
        <w:rPr>
          <w:rFonts w:hint="eastAsia" w:ascii="宋体" w:hAnsi="宋体" w:eastAsia="宋体" w:cs="宋体"/>
          <w:spacing w:val="7"/>
          <w:sz w:val="24"/>
          <w:szCs w:val="24"/>
        </w:rPr>
        <w:t>我公司  （供应商全称）  收到                     项目（项目编号：        ）的招标文件后，在完全理解该项目采购技术要求和商务条款的基础上，决定参加此次投标活动。我方</w:t>
      </w:r>
      <w:r>
        <w:rPr>
          <w:rFonts w:hint="eastAsia" w:ascii="宋体" w:hAnsi="宋体" w:eastAsia="宋体" w:cs="宋体"/>
          <w:spacing w:val="12"/>
          <w:sz w:val="24"/>
          <w:szCs w:val="24"/>
        </w:rPr>
        <w:t>保证具备履行合同所必需的</w:t>
      </w:r>
      <w:r>
        <w:rPr>
          <w:rFonts w:hint="eastAsia" w:ascii="宋体" w:hAnsi="宋体" w:eastAsia="宋体" w:cs="宋体"/>
          <w:spacing w:val="5"/>
          <w:sz w:val="24"/>
          <w:szCs w:val="24"/>
        </w:rPr>
        <w:t>服务和专业技术能力，并承诺如下：</w:t>
      </w:r>
    </w:p>
    <w:p w14:paraId="19B06246">
      <w:pPr>
        <w:spacing w:before="259" w:line="227" w:lineRule="auto"/>
        <w:ind w:left="548"/>
        <w:rPr>
          <w:rFonts w:hint="eastAsia" w:ascii="宋体" w:hAnsi="宋体" w:eastAsia="宋体" w:cs="宋体"/>
          <w:sz w:val="24"/>
          <w:szCs w:val="24"/>
        </w:rPr>
      </w:pPr>
      <w:r>
        <w:rPr>
          <w:rFonts w:hint="eastAsia" w:ascii="宋体" w:hAnsi="宋体" w:eastAsia="宋体" w:cs="宋体"/>
          <w:spacing w:val="4"/>
          <w:sz w:val="24"/>
          <w:szCs w:val="24"/>
        </w:rPr>
        <w:t>1、具有独立承担民事责任的能力；</w:t>
      </w:r>
    </w:p>
    <w:p w14:paraId="3B35ED75">
      <w:pPr>
        <w:spacing w:before="156" w:line="439" w:lineRule="exact"/>
        <w:ind w:left="533"/>
        <w:rPr>
          <w:rFonts w:hint="eastAsia" w:ascii="宋体" w:hAnsi="宋体" w:eastAsia="宋体" w:cs="宋体"/>
          <w:sz w:val="24"/>
          <w:szCs w:val="24"/>
        </w:rPr>
      </w:pPr>
      <w:r>
        <w:rPr>
          <w:rFonts w:hint="eastAsia" w:ascii="宋体" w:hAnsi="宋体" w:eastAsia="宋体" w:cs="宋体"/>
          <w:spacing w:val="6"/>
          <w:position w:val="15"/>
          <w:sz w:val="24"/>
          <w:szCs w:val="24"/>
        </w:rPr>
        <w:t>2、具有良好的商业信誉和健全的财务会计制度；</w:t>
      </w:r>
    </w:p>
    <w:p w14:paraId="61133926">
      <w:pPr>
        <w:spacing w:before="1" w:line="226" w:lineRule="auto"/>
        <w:ind w:left="535"/>
        <w:rPr>
          <w:rFonts w:hint="eastAsia" w:ascii="宋体" w:hAnsi="宋体" w:eastAsia="宋体" w:cs="宋体"/>
          <w:sz w:val="24"/>
          <w:szCs w:val="24"/>
        </w:rPr>
      </w:pPr>
      <w:r>
        <w:rPr>
          <w:rFonts w:hint="eastAsia" w:ascii="宋体" w:hAnsi="宋体" w:eastAsia="宋体" w:cs="宋体"/>
          <w:spacing w:val="6"/>
          <w:sz w:val="24"/>
          <w:szCs w:val="24"/>
        </w:rPr>
        <w:t>3、具有履行合同所必需的货物和专业技术能力；</w:t>
      </w:r>
    </w:p>
    <w:p w14:paraId="2A2C923E">
      <w:pPr>
        <w:spacing w:before="159" w:line="227" w:lineRule="auto"/>
        <w:ind w:left="529"/>
        <w:rPr>
          <w:rFonts w:hint="eastAsia" w:ascii="宋体" w:hAnsi="宋体" w:eastAsia="宋体" w:cs="宋体"/>
          <w:sz w:val="24"/>
          <w:szCs w:val="24"/>
        </w:rPr>
      </w:pPr>
      <w:r>
        <w:rPr>
          <w:rFonts w:hint="eastAsia" w:ascii="宋体" w:hAnsi="宋体" w:eastAsia="宋体" w:cs="宋体"/>
          <w:spacing w:val="6"/>
          <w:sz w:val="24"/>
          <w:szCs w:val="24"/>
        </w:rPr>
        <w:t>4、有依法缴纳税收和社会保障资金的良好记录；</w:t>
      </w:r>
    </w:p>
    <w:p w14:paraId="3ABF4AC0">
      <w:pPr>
        <w:spacing w:before="157" w:line="439" w:lineRule="exact"/>
        <w:ind w:left="535"/>
        <w:rPr>
          <w:rFonts w:hint="eastAsia" w:ascii="宋体" w:hAnsi="宋体" w:eastAsia="宋体" w:cs="宋体"/>
          <w:sz w:val="24"/>
          <w:szCs w:val="24"/>
        </w:rPr>
      </w:pPr>
      <w:r>
        <w:rPr>
          <w:rFonts w:hint="eastAsia" w:ascii="宋体" w:hAnsi="宋体" w:eastAsia="宋体" w:cs="宋体"/>
          <w:spacing w:val="7"/>
          <w:position w:val="15"/>
          <w:sz w:val="24"/>
          <w:szCs w:val="24"/>
        </w:rPr>
        <w:t>5、参加政府采购活动前三年内，在经营活动中没有重大违法记录；</w:t>
      </w:r>
    </w:p>
    <w:p w14:paraId="25DB40C7">
      <w:pPr>
        <w:spacing w:line="227" w:lineRule="auto"/>
        <w:ind w:left="532"/>
        <w:rPr>
          <w:rFonts w:hint="eastAsia" w:ascii="宋体" w:hAnsi="宋体" w:eastAsia="宋体" w:cs="宋体"/>
          <w:sz w:val="24"/>
          <w:szCs w:val="24"/>
        </w:rPr>
      </w:pPr>
      <w:r>
        <w:rPr>
          <w:rFonts w:hint="eastAsia" w:ascii="宋体" w:hAnsi="宋体" w:eastAsia="宋体" w:cs="宋体"/>
          <w:spacing w:val="5"/>
          <w:sz w:val="24"/>
          <w:szCs w:val="24"/>
        </w:rPr>
        <w:t>6、法律、行政法规规定的其他条件；</w:t>
      </w:r>
    </w:p>
    <w:p w14:paraId="7DD07778">
      <w:pPr>
        <w:spacing w:before="158" w:line="353" w:lineRule="auto"/>
        <w:ind w:left="49" w:firstLine="486"/>
        <w:rPr>
          <w:rFonts w:hint="eastAsia" w:ascii="宋体" w:hAnsi="宋体" w:eastAsia="宋体" w:cs="宋体"/>
          <w:sz w:val="24"/>
          <w:szCs w:val="24"/>
        </w:rPr>
      </w:pPr>
      <w:r>
        <w:rPr>
          <w:rFonts w:hint="eastAsia" w:ascii="宋体" w:hAnsi="宋体" w:eastAsia="宋体" w:cs="宋体"/>
          <w:spacing w:val="8"/>
          <w:sz w:val="24"/>
          <w:szCs w:val="24"/>
        </w:rPr>
        <w:t>7、单位负责人为同一人或者存在直接控股、管理关系的</w:t>
      </w:r>
      <w:r>
        <w:rPr>
          <w:rFonts w:hint="eastAsia" w:ascii="宋体" w:hAnsi="宋体" w:eastAsia="宋体" w:cs="宋体"/>
          <w:spacing w:val="7"/>
          <w:sz w:val="24"/>
          <w:szCs w:val="24"/>
        </w:rPr>
        <w:t>不同供应商，不得同时参加本</w:t>
      </w:r>
      <w:r>
        <w:rPr>
          <w:rFonts w:hint="eastAsia" w:ascii="宋体" w:hAnsi="宋体" w:eastAsia="宋体" w:cs="宋体"/>
          <w:spacing w:val="8"/>
          <w:sz w:val="24"/>
          <w:szCs w:val="24"/>
        </w:rPr>
        <w:t>采购项目（或采购包）</w:t>
      </w:r>
      <w:r>
        <w:rPr>
          <w:rFonts w:hint="eastAsia" w:ascii="宋体" w:hAnsi="宋体" w:eastAsia="宋体" w:cs="宋体"/>
          <w:spacing w:val="-7"/>
          <w:sz w:val="24"/>
          <w:szCs w:val="24"/>
        </w:rPr>
        <w:t xml:space="preserve"> </w:t>
      </w:r>
      <w:r>
        <w:rPr>
          <w:rFonts w:hint="eastAsia" w:ascii="宋体" w:hAnsi="宋体" w:eastAsia="宋体" w:cs="宋体"/>
          <w:spacing w:val="8"/>
          <w:sz w:val="24"/>
          <w:szCs w:val="24"/>
        </w:rPr>
        <w:t>投标（响应）。为本项目提供整体设计、规范编制或者项目管理、监理、检测等服务的供应商，不得再参与本项目投标（响应）。</w:t>
      </w:r>
    </w:p>
    <w:p w14:paraId="7AB49377">
      <w:pPr>
        <w:keepNext w:val="0"/>
        <w:keepLines w:val="0"/>
        <w:widowControl/>
        <w:suppressLineNumbers w:val="0"/>
        <w:jc w:val="left"/>
        <w:rPr>
          <w:rFonts w:hint="eastAsia" w:ascii="宋体" w:hAnsi="宋体" w:eastAsia="宋体" w:cs="宋体"/>
          <w:color w:val="000000"/>
          <w:kern w:val="0"/>
          <w:sz w:val="24"/>
          <w:szCs w:val="24"/>
          <w:lang w:val="en-US" w:eastAsia="zh-CN" w:bidi="ar"/>
        </w:rPr>
      </w:pPr>
    </w:p>
    <w:p w14:paraId="38D215CC">
      <w:pPr>
        <w:keepNext w:val="0"/>
        <w:keepLines w:val="0"/>
        <w:widowControl/>
        <w:suppressLineNumbers w:val="0"/>
        <w:jc w:val="left"/>
        <w:rPr>
          <w:rFonts w:hint="eastAsia" w:ascii="宋体" w:hAnsi="宋体" w:eastAsia="宋体" w:cs="宋体"/>
          <w:color w:val="000000"/>
          <w:kern w:val="0"/>
          <w:sz w:val="24"/>
          <w:szCs w:val="24"/>
          <w:lang w:val="en-US" w:eastAsia="zh-CN" w:bidi="ar"/>
        </w:rPr>
      </w:pPr>
    </w:p>
    <w:p w14:paraId="0983533B">
      <w:pPr>
        <w:keepNext w:val="0"/>
        <w:keepLines w:val="0"/>
        <w:widowControl/>
        <w:suppressLineNumbers w:val="0"/>
        <w:jc w:val="left"/>
        <w:rPr>
          <w:rFonts w:hint="eastAsia" w:ascii="宋体" w:hAnsi="宋体" w:eastAsia="宋体" w:cs="宋体"/>
          <w:color w:val="000000"/>
          <w:kern w:val="0"/>
          <w:sz w:val="24"/>
          <w:szCs w:val="24"/>
          <w:lang w:val="en-US" w:eastAsia="zh-CN" w:bidi="ar"/>
        </w:rPr>
      </w:pPr>
    </w:p>
    <w:p w14:paraId="5E1196CC">
      <w:pPr>
        <w:keepNext w:val="0"/>
        <w:keepLines w:val="0"/>
        <w:widowControl/>
        <w:suppressLineNumbers w:val="0"/>
        <w:jc w:val="left"/>
        <w:rPr>
          <w:rFonts w:hint="eastAsia" w:ascii="宋体" w:hAnsi="宋体" w:eastAsia="宋体" w:cs="宋体"/>
          <w:color w:val="000000"/>
          <w:kern w:val="0"/>
          <w:sz w:val="24"/>
          <w:szCs w:val="24"/>
          <w:lang w:val="en-US" w:eastAsia="zh-CN" w:bidi="ar"/>
        </w:rPr>
      </w:pPr>
    </w:p>
    <w:p w14:paraId="0B9C6F74">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投标人名称（公章）： </w:t>
      </w:r>
    </w:p>
    <w:p w14:paraId="5022C6AE">
      <w:pPr>
        <w:spacing w:before="102" w:line="227" w:lineRule="auto"/>
        <w:rPr>
          <w:rFonts w:hint="eastAsia" w:ascii="宋体" w:hAnsi="宋体" w:eastAsia="宋体" w:cs="宋体"/>
          <w:sz w:val="24"/>
          <w:szCs w:val="24"/>
        </w:rPr>
      </w:pPr>
      <w:r>
        <w:rPr>
          <w:rFonts w:hint="eastAsia" w:ascii="宋体" w:hAnsi="宋体" w:eastAsia="宋体" w:cs="宋体"/>
          <w:spacing w:val="-2"/>
          <w:sz w:val="24"/>
          <w:szCs w:val="24"/>
        </w:rPr>
        <w:t>法定代表人（签字或盖章</w:t>
      </w:r>
      <w:r>
        <w:rPr>
          <w:rFonts w:hint="eastAsia" w:ascii="宋体" w:hAnsi="宋体" w:eastAsia="宋体" w:cs="宋体"/>
          <w:spacing w:val="-4"/>
          <w:sz w:val="24"/>
          <w:szCs w:val="24"/>
        </w:rPr>
        <w:t>）：</w:t>
      </w:r>
    </w:p>
    <w:p w14:paraId="05927A64">
      <w:pPr>
        <w:spacing w:before="284" w:line="227" w:lineRule="auto"/>
        <w:ind w:left="41"/>
        <w:rPr>
          <w:rFonts w:hint="eastAsia" w:ascii="宋体" w:hAnsi="宋体" w:eastAsia="宋体" w:cs="宋体"/>
          <w:sz w:val="24"/>
          <w:szCs w:val="24"/>
        </w:rPr>
      </w:pPr>
      <w:r>
        <w:rPr>
          <w:rFonts w:hint="eastAsia" w:ascii="宋体" w:hAnsi="宋体" w:eastAsia="宋体" w:cs="宋体"/>
          <w:spacing w:val="0"/>
          <w:sz w:val="24"/>
          <w:szCs w:val="24"/>
          <w:lang w:eastAsia="zh-CN"/>
        </w:rPr>
        <w:t>日期</w:t>
      </w:r>
      <w:r>
        <w:rPr>
          <w:rFonts w:hint="eastAsia" w:ascii="宋体" w:hAnsi="宋体" w:eastAsia="宋体" w:cs="宋体"/>
          <w:spacing w:val="0"/>
          <w:sz w:val="24"/>
          <w:szCs w:val="24"/>
        </w:rPr>
        <w:t>：</w:t>
      </w:r>
      <w:r>
        <w:rPr>
          <w:rFonts w:hint="eastAsia" w:ascii="宋体" w:hAnsi="宋体" w:eastAsia="宋体" w:cs="宋体"/>
          <w:spacing w:val="20"/>
          <w:sz w:val="24"/>
          <w:szCs w:val="24"/>
        </w:rPr>
        <w:t xml:space="preserve">    </w:t>
      </w:r>
      <w:r>
        <w:rPr>
          <w:rFonts w:hint="eastAsia" w:ascii="宋体" w:hAnsi="宋体" w:eastAsia="宋体" w:cs="宋体"/>
          <w:spacing w:val="-26"/>
          <w:sz w:val="24"/>
          <w:szCs w:val="24"/>
        </w:rPr>
        <w:t>年</w:t>
      </w:r>
      <w:r>
        <w:rPr>
          <w:rFonts w:hint="eastAsia" w:ascii="宋体" w:hAnsi="宋体" w:eastAsia="宋体" w:cs="宋体"/>
          <w:spacing w:val="58"/>
          <w:sz w:val="24"/>
          <w:szCs w:val="24"/>
        </w:rPr>
        <w:t xml:space="preserve">  </w:t>
      </w:r>
      <w:r>
        <w:rPr>
          <w:rFonts w:hint="eastAsia" w:ascii="宋体" w:hAnsi="宋体" w:eastAsia="宋体" w:cs="宋体"/>
          <w:spacing w:val="-26"/>
          <w:sz w:val="24"/>
          <w:szCs w:val="24"/>
        </w:rPr>
        <w:t>月</w:t>
      </w:r>
      <w:r>
        <w:rPr>
          <w:rFonts w:hint="eastAsia" w:ascii="宋体" w:hAnsi="宋体" w:eastAsia="宋体" w:cs="宋体"/>
          <w:spacing w:val="36"/>
          <w:sz w:val="24"/>
          <w:szCs w:val="24"/>
        </w:rPr>
        <w:t xml:space="preserve">   </w:t>
      </w:r>
      <w:r>
        <w:rPr>
          <w:rFonts w:hint="eastAsia" w:ascii="宋体" w:hAnsi="宋体" w:eastAsia="宋体" w:cs="宋体"/>
          <w:spacing w:val="-26"/>
          <w:sz w:val="24"/>
          <w:szCs w:val="24"/>
        </w:rPr>
        <w:t>日</w:t>
      </w:r>
    </w:p>
    <w:p w14:paraId="3668E3B4">
      <w:pPr>
        <w:tabs>
          <w:tab w:val="left" w:pos="5580"/>
        </w:tabs>
        <w:spacing w:line="360" w:lineRule="auto"/>
        <w:jc w:val="left"/>
        <w:rPr>
          <w:rFonts w:hint="eastAsia" w:ascii="宋体" w:hAnsi="宋体" w:eastAsia="宋体" w:cs="宋体"/>
          <w:color w:val="000000"/>
          <w:sz w:val="24"/>
          <w:szCs w:val="24"/>
        </w:rPr>
      </w:pPr>
    </w:p>
    <w:p w14:paraId="5D432437">
      <w:pPr>
        <w:tabs>
          <w:tab w:val="left" w:pos="5580"/>
        </w:tabs>
        <w:spacing w:line="360" w:lineRule="auto"/>
        <w:jc w:val="left"/>
        <w:rPr>
          <w:rFonts w:hint="eastAsia" w:ascii="宋体" w:hAnsi="宋体" w:eastAsia="宋体" w:cs="宋体"/>
          <w:color w:val="000000"/>
          <w:sz w:val="24"/>
          <w:szCs w:val="24"/>
        </w:rPr>
      </w:pPr>
    </w:p>
    <w:p w14:paraId="6AE62D22">
      <w:pPr>
        <w:tabs>
          <w:tab w:val="left" w:pos="5580"/>
        </w:tabs>
        <w:spacing w:line="360" w:lineRule="auto"/>
        <w:jc w:val="left"/>
        <w:rPr>
          <w:rFonts w:hint="eastAsia" w:ascii="宋体" w:hAnsi="宋体" w:eastAsia="宋体" w:cs="宋体"/>
          <w:color w:val="000000"/>
          <w:sz w:val="24"/>
          <w:szCs w:val="24"/>
        </w:rPr>
      </w:pPr>
    </w:p>
    <w:p w14:paraId="68093483">
      <w:pPr>
        <w:spacing w:line="360" w:lineRule="auto"/>
        <w:outlineLvl w:val="9"/>
        <w:rPr>
          <w:rFonts w:hint="eastAsia" w:ascii="宋体" w:hAnsi="宋体" w:eastAsia="宋体" w:cs="宋体"/>
          <w:b/>
          <w:bCs/>
          <w:color w:val="000000"/>
          <w:sz w:val="24"/>
          <w:szCs w:val="24"/>
          <w:lang w:eastAsia="zh-CN"/>
        </w:rPr>
      </w:pPr>
    </w:p>
    <w:p w14:paraId="17056009">
      <w:pPr>
        <w:spacing w:before="74" w:line="225" w:lineRule="auto"/>
        <w:jc w:val="left"/>
        <w:rPr>
          <w:rFonts w:hint="eastAsia" w:ascii="宋体" w:hAnsi="宋体" w:eastAsia="宋体" w:cs="宋体"/>
          <w:b/>
          <w:bCs/>
          <w:spacing w:val="4"/>
          <w:sz w:val="24"/>
          <w:szCs w:val="24"/>
          <w:lang w:eastAsia="zh-CN"/>
        </w:rPr>
      </w:pPr>
      <w:r>
        <w:rPr>
          <w:rFonts w:hint="eastAsia" w:ascii="宋体" w:hAnsi="宋体" w:eastAsia="宋体" w:cs="宋体"/>
          <w:b/>
          <w:bCs/>
          <w:spacing w:val="4"/>
          <w:sz w:val="24"/>
          <w:szCs w:val="24"/>
          <w:lang w:eastAsia="zh-CN"/>
        </w:rPr>
        <w:t>附件</w:t>
      </w:r>
      <w:r>
        <w:rPr>
          <w:rFonts w:hint="eastAsia" w:ascii="宋体" w:hAnsi="宋体" w:eastAsia="宋体" w:cs="宋体"/>
          <w:b/>
          <w:bCs/>
          <w:spacing w:val="4"/>
          <w:sz w:val="24"/>
          <w:szCs w:val="24"/>
          <w:lang w:val="en-US" w:eastAsia="zh-CN"/>
        </w:rPr>
        <w:t>九</w:t>
      </w:r>
    </w:p>
    <w:p w14:paraId="31FFD3F4">
      <w:pPr>
        <w:spacing w:line="360" w:lineRule="exact"/>
        <w:jc w:val="center"/>
        <w:rPr>
          <w:rFonts w:hint="eastAsia" w:ascii="宋体" w:hAnsi="宋体" w:eastAsia="宋体" w:cs="宋体"/>
          <w:b/>
          <w:color w:val="000000"/>
          <w:sz w:val="24"/>
          <w:szCs w:val="24"/>
          <w:lang w:val="en-US" w:eastAsia="zh-CN"/>
        </w:rPr>
      </w:pPr>
      <w:r>
        <w:rPr>
          <w:rFonts w:hint="eastAsia" w:ascii="宋体" w:hAnsi="宋体" w:eastAsia="宋体" w:cs="宋体"/>
          <w:b/>
          <w:color w:val="000000"/>
          <w:sz w:val="24"/>
          <w:szCs w:val="24"/>
          <w:lang w:val="en-US" w:eastAsia="zh-CN"/>
        </w:rPr>
        <w:t>信用查询记录</w:t>
      </w:r>
    </w:p>
    <w:p w14:paraId="6687C103">
      <w:pPr>
        <w:spacing w:line="360" w:lineRule="auto"/>
        <w:jc w:val="center"/>
        <w:outlineLvl w:val="9"/>
        <w:rPr>
          <w:rFonts w:hint="eastAsia" w:ascii="宋体" w:hAnsi="宋体" w:eastAsia="宋体" w:cs="宋体"/>
          <w:b/>
          <w:bCs/>
          <w:color w:val="000000"/>
          <w:sz w:val="24"/>
          <w:szCs w:val="24"/>
          <w:lang w:eastAsia="zh-CN"/>
        </w:rPr>
      </w:pPr>
    </w:p>
    <w:p w14:paraId="06C2491C">
      <w:pPr>
        <w:spacing w:line="360" w:lineRule="auto"/>
        <w:jc w:val="center"/>
        <w:outlineLvl w:val="9"/>
        <w:rPr>
          <w:rFonts w:hint="eastAsia" w:ascii="宋体" w:hAnsi="宋体" w:eastAsia="宋体" w:cs="宋体"/>
          <w:b/>
          <w:bCs/>
          <w:color w:val="000000"/>
          <w:sz w:val="24"/>
          <w:szCs w:val="24"/>
          <w:lang w:eastAsia="zh-CN"/>
        </w:rPr>
      </w:pPr>
    </w:p>
    <w:p w14:paraId="19306570">
      <w:pPr>
        <w:spacing w:line="360" w:lineRule="auto"/>
        <w:outlineLvl w:val="9"/>
        <w:rPr>
          <w:rFonts w:hint="eastAsia" w:ascii="宋体" w:hAnsi="宋体" w:eastAsia="宋体" w:cs="宋体"/>
          <w:b/>
          <w:bCs/>
          <w:color w:val="000000"/>
          <w:sz w:val="24"/>
          <w:szCs w:val="24"/>
          <w:lang w:eastAsia="zh-CN"/>
        </w:rPr>
      </w:pPr>
    </w:p>
    <w:p w14:paraId="3E65C17D">
      <w:pPr>
        <w:pStyle w:val="49"/>
        <w:rPr>
          <w:rFonts w:hint="eastAsia" w:ascii="宋体" w:hAnsi="宋体" w:eastAsia="宋体" w:cs="宋体"/>
          <w:b/>
          <w:bCs/>
          <w:color w:val="000000"/>
          <w:sz w:val="24"/>
          <w:szCs w:val="24"/>
          <w:lang w:eastAsia="zh-CN"/>
        </w:rPr>
      </w:pPr>
    </w:p>
    <w:p w14:paraId="5401FED4">
      <w:pPr>
        <w:pStyle w:val="49"/>
        <w:jc w:val="center"/>
        <w:rPr>
          <w:rFonts w:hint="eastAsia" w:ascii="宋体" w:hAnsi="宋体" w:eastAsia="宋体" w:cs="宋体"/>
          <w:spacing w:val="12"/>
          <w:kern w:val="2"/>
          <w:sz w:val="24"/>
          <w:szCs w:val="24"/>
          <w:lang w:val="en-US" w:eastAsia="zh-CN" w:bidi="ar-SA"/>
        </w:rPr>
      </w:pPr>
      <w:r>
        <w:rPr>
          <w:rFonts w:hint="eastAsia" w:ascii="宋体" w:hAnsi="宋体" w:eastAsia="宋体" w:cs="宋体"/>
          <w:spacing w:val="12"/>
          <w:kern w:val="2"/>
          <w:sz w:val="24"/>
          <w:szCs w:val="24"/>
          <w:lang w:val="en-US" w:eastAsia="zh-CN" w:bidi="ar-SA"/>
        </w:rPr>
        <w:t>（审查人自行查询，投标人无需提供）</w:t>
      </w:r>
    </w:p>
    <w:p w14:paraId="35B380EC">
      <w:pPr>
        <w:pStyle w:val="49"/>
        <w:rPr>
          <w:rFonts w:hint="eastAsia" w:ascii="宋体" w:hAnsi="宋体" w:eastAsia="宋体" w:cs="宋体"/>
          <w:b/>
          <w:bCs/>
          <w:color w:val="000000"/>
          <w:sz w:val="24"/>
          <w:szCs w:val="24"/>
          <w:lang w:eastAsia="zh-CN"/>
        </w:rPr>
      </w:pPr>
    </w:p>
    <w:p w14:paraId="15AEC0BF">
      <w:pPr>
        <w:pStyle w:val="49"/>
        <w:rPr>
          <w:rFonts w:hint="eastAsia" w:ascii="宋体" w:hAnsi="宋体" w:eastAsia="宋体" w:cs="宋体"/>
          <w:b/>
          <w:bCs/>
          <w:color w:val="000000"/>
          <w:sz w:val="24"/>
          <w:szCs w:val="24"/>
          <w:lang w:eastAsia="zh-CN"/>
        </w:rPr>
      </w:pPr>
    </w:p>
    <w:p w14:paraId="0F89580E">
      <w:pPr>
        <w:pStyle w:val="49"/>
        <w:rPr>
          <w:rFonts w:hint="eastAsia" w:ascii="宋体" w:hAnsi="宋体" w:eastAsia="宋体" w:cs="宋体"/>
          <w:b/>
          <w:bCs/>
          <w:color w:val="000000"/>
          <w:sz w:val="24"/>
          <w:szCs w:val="24"/>
          <w:lang w:eastAsia="zh-CN"/>
        </w:rPr>
      </w:pPr>
    </w:p>
    <w:p w14:paraId="3B2959BA">
      <w:pPr>
        <w:pStyle w:val="49"/>
        <w:rPr>
          <w:rFonts w:hint="eastAsia" w:ascii="宋体" w:hAnsi="宋体" w:eastAsia="宋体" w:cs="宋体"/>
          <w:b/>
          <w:bCs/>
          <w:color w:val="000000"/>
          <w:sz w:val="24"/>
          <w:szCs w:val="24"/>
          <w:lang w:eastAsia="zh-CN"/>
        </w:rPr>
      </w:pPr>
    </w:p>
    <w:p w14:paraId="1FC20520">
      <w:pPr>
        <w:pStyle w:val="49"/>
        <w:rPr>
          <w:rFonts w:hint="eastAsia" w:ascii="宋体" w:hAnsi="宋体" w:eastAsia="宋体" w:cs="宋体"/>
          <w:b/>
          <w:bCs/>
          <w:color w:val="000000"/>
          <w:sz w:val="24"/>
          <w:szCs w:val="24"/>
          <w:lang w:eastAsia="zh-CN"/>
        </w:rPr>
      </w:pPr>
    </w:p>
    <w:p w14:paraId="4F059911">
      <w:pPr>
        <w:pStyle w:val="49"/>
        <w:rPr>
          <w:rFonts w:hint="eastAsia" w:ascii="宋体" w:hAnsi="宋体" w:eastAsia="宋体" w:cs="宋体"/>
          <w:b/>
          <w:bCs/>
          <w:color w:val="000000"/>
          <w:sz w:val="24"/>
          <w:szCs w:val="24"/>
          <w:lang w:eastAsia="zh-CN"/>
        </w:rPr>
      </w:pPr>
    </w:p>
    <w:p w14:paraId="767BCB1A">
      <w:pPr>
        <w:pStyle w:val="49"/>
        <w:rPr>
          <w:rFonts w:hint="eastAsia" w:ascii="宋体" w:hAnsi="宋体" w:eastAsia="宋体" w:cs="宋体"/>
          <w:b/>
          <w:bCs/>
          <w:color w:val="000000"/>
          <w:sz w:val="24"/>
          <w:szCs w:val="24"/>
          <w:lang w:eastAsia="zh-CN"/>
        </w:rPr>
      </w:pPr>
    </w:p>
    <w:p w14:paraId="641DA6C9">
      <w:pPr>
        <w:pStyle w:val="49"/>
        <w:rPr>
          <w:rFonts w:hint="eastAsia" w:ascii="宋体" w:hAnsi="宋体" w:eastAsia="宋体" w:cs="宋体"/>
          <w:b/>
          <w:bCs/>
          <w:color w:val="000000"/>
          <w:sz w:val="24"/>
          <w:szCs w:val="24"/>
          <w:lang w:eastAsia="zh-CN"/>
        </w:rPr>
      </w:pPr>
    </w:p>
    <w:p w14:paraId="6E4444AC">
      <w:pPr>
        <w:pStyle w:val="49"/>
        <w:rPr>
          <w:rFonts w:hint="eastAsia" w:ascii="宋体" w:hAnsi="宋体" w:eastAsia="宋体" w:cs="宋体"/>
          <w:b/>
          <w:bCs/>
          <w:color w:val="000000"/>
          <w:sz w:val="24"/>
          <w:szCs w:val="24"/>
          <w:lang w:eastAsia="zh-CN"/>
        </w:rPr>
      </w:pPr>
    </w:p>
    <w:p w14:paraId="559AD5D7">
      <w:pPr>
        <w:pStyle w:val="49"/>
        <w:rPr>
          <w:rFonts w:hint="eastAsia" w:ascii="宋体" w:hAnsi="宋体" w:eastAsia="宋体" w:cs="宋体"/>
          <w:b/>
          <w:bCs/>
          <w:color w:val="000000"/>
          <w:sz w:val="24"/>
          <w:szCs w:val="24"/>
          <w:lang w:eastAsia="zh-CN"/>
        </w:rPr>
      </w:pPr>
    </w:p>
    <w:p w14:paraId="11D4B6D6">
      <w:pPr>
        <w:pStyle w:val="49"/>
        <w:rPr>
          <w:rFonts w:hint="eastAsia" w:ascii="宋体" w:hAnsi="宋体" w:eastAsia="宋体" w:cs="宋体"/>
          <w:b/>
          <w:bCs/>
          <w:color w:val="000000"/>
          <w:sz w:val="24"/>
          <w:szCs w:val="24"/>
          <w:lang w:eastAsia="zh-CN"/>
        </w:rPr>
      </w:pPr>
    </w:p>
    <w:p w14:paraId="6BAAC965">
      <w:pPr>
        <w:spacing w:line="360" w:lineRule="auto"/>
        <w:outlineLvl w:val="9"/>
        <w:rPr>
          <w:rFonts w:hint="eastAsia" w:ascii="宋体" w:hAnsi="宋体" w:eastAsia="宋体" w:cs="宋体"/>
          <w:b/>
          <w:bCs/>
          <w:color w:val="000000"/>
          <w:sz w:val="24"/>
          <w:szCs w:val="24"/>
          <w:lang w:eastAsia="zh-CN"/>
        </w:rPr>
      </w:pPr>
    </w:p>
    <w:p w14:paraId="71D57025">
      <w:pPr>
        <w:spacing w:before="74" w:line="225" w:lineRule="auto"/>
        <w:jc w:val="left"/>
        <w:rPr>
          <w:rFonts w:hint="eastAsia" w:ascii="宋体" w:hAnsi="宋体" w:eastAsia="宋体" w:cs="宋体"/>
          <w:b/>
          <w:bCs/>
          <w:spacing w:val="4"/>
          <w:sz w:val="24"/>
          <w:szCs w:val="24"/>
          <w:lang w:eastAsia="zh-CN"/>
        </w:rPr>
      </w:pPr>
      <w:r>
        <w:rPr>
          <w:rFonts w:hint="eastAsia" w:ascii="宋体" w:hAnsi="宋体" w:eastAsia="宋体" w:cs="宋体"/>
          <w:b/>
          <w:bCs/>
          <w:spacing w:val="4"/>
          <w:sz w:val="24"/>
          <w:szCs w:val="24"/>
          <w:lang w:eastAsia="zh-CN"/>
        </w:rPr>
        <w:t>附件十</w:t>
      </w:r>
    </w:p>
    <w:p w14:paraId="4C4A6AD6">
      <w:pPr>
        <w:spacing w:line="360" w:lineRule="exact"/>
        <w:jc w:val="center"/>
        <w:rPr>
          <w:rFonts w:hint="eastAsia" w:ascii="宋体" w:hAnsi="宋体" w:eastAsia="宋体" w:cs="宋体"/>
          <w:b/>
          <w:color w:val="000000"/>
          <w:sz w:val="24"/>
          <w:szCs w:val="24"/>
          <w:lang w:val="en-US" w:eastAsia="zh-CN"/>
        </w:rPr>
      </w:pPr>
      <w:r>
        <w:rPr>
          <w:rFonts w:hint="eastAsia" w:ascii="宋体" w:hAnsi="宋体" w:eastAsia="宋体" w:cs="宋体"/>
          <w:b/>
          <w:color w:val="000000"/>
          <w:sz w:val="24"/>
          <w:szCs w:val="24"/>
          <w:lang w:val="en-US" w:eastAsia="zh-CN"/>
        </w:rPr>
        <w:t>资格证明文件</w:t>
      </w:r>
    </w:p>
    <w:p w14:paraId="7730E395">
      <w:pPr>
        <w:spacing w:line="360" w:lineRule="exact"/>
        <w:jc w:val="center"/>
        <w:rPr>
          <w:rFonts w:hint="eastAsia" w:ascii="宋体" w:hAnsi="宋体" w:eastAsia="宋体" w:cs="宋体"/>
          <w:b/>
          <w:color w:val="000000"/>
          <w:sz w:val="24"/>
          <w:szCs w:val="24"/>
          <w:lang w:val="en-US" w:eastAsia="zh-CN"/>
        </w:rPr>
      </w:pPr>
    </w:p>
    <w:p w14:paraId="7185931B">
      <w:pPr>
        <w:spacing w:line="360" w:lineRule="exact"/>
        <w:jc w:val="center"/>
        <w:rPr>
          <w:rFonts w:hint="eastAsia" w:ascii="宋体" w:hAnsi="宋体" w:eastAsia="宋体" w:cs="宋体"/>
          <w:b/>
          <w:color w:val="000000"/>
          <w:sz w:val="24"/>
          <w:szCs w:val="24"/>
          <w:lang w:val="en-US" w:eastAsia="zh-CN"/>
        </w:rPr>
      </w:pPr>
    </w:p>
    <w:p w14:paraId="319688C6">
      <w:pPr>
        <w:spacing w:line="360" w:lineRule="exact"/>
        <w:jc w:val="center"/>
        <w:rPr>
          <w:rFonts w:hint="eastAsia" w:ascii="宋体" w:hAnsi="宋体" w:eastAsia="宋体" w:cs="宋体"/>
          <w:b/>
          <w:color w:val="000000"/>
          <w:sz w:val="24"/>
          <w:szCs w:val="24"/>
          <w:lang w:val="en-US" w:eastAsia="zh-CN"/>
        </w:rPr>
      </w:pPr>
    </w:p>
    <w:p w14:paraId="5DB58FB3">
      <w:pPr>
        <w:spacing w:before="74" w:line="225" w:lineRule="auto"/>
        <w:jc w:val="left"/>
        <w:rPr>
          <w:rFonts w:hint="eastAsia" w:ascii="宋体" w:hAnsi="宋体" w:eastAsia="宋体" w:cs="宋体"/>
          <w:b/>
          <w:bCs/>
          <w:spacing w:val="4"/>
          <w:sz w:val="24"/>
          <w:szCs w:val="24"/>
          <w:lang w:eastAsia="zh-CN"/>
        </w:rPr>
      </w:pPr>
    </w:p>
    <w:p w14:paraId="081C8F42">
      <w:pPr>
        <w:spacing w:before="74" w:line="225" w:lineRule="auto"/>
        <w:jc w:val="left"/>
        <w:rPr>
          <w:rFonts w:hint="eastAsia" w:ascii="宋体" w:hAnsi="宋体" w:eastAsia="宋体" w:cs="宋体"/>
          <w:b/>
          <w:bCs/>
          <w:spacing w:val="4"/>
          <w:sz w:val="24"/>
          <w:szCs w:val="24"/>
          <w:lang w:eastAsia="zh-CN"/>
        </w:rPr>
      </w:pPr>
    </w:p>
    <w:p w14:paraId="46706191">
      <w:pPr>
        <w:spacing w:before="74" w:line="225" w:lineRule="auto"/>
        <w:jc w:val="left"/>
        <w:rPr>
          <w:rFonts w:hint="default" w:ascii="宋体" w:hAnsi="宋体" w:eastAsia="宋体" w:cs="宋体"/>
          <w:b/>
          <w:bCs/>
          <w:spacing w:val="4"/>
          <w:sz w:val="24"/>
          <w:szCs w:val="24"/>
          <w:lang w:val="en-US" w:eastAsia="zh-CN"/>
        </w:rPr>
      </w:pPr>
      <w:r>
        <w:rPr>
          <w:rFonts w:hint="eastAsia" w:ascii="宋体" w:hAnsi="宋体" w:eastAsia="宋体" w:cs="宋体"/>
          <w:b/>
          <w:bCs/>
          <w:spacing w:val="4"/>
          <w:sz w:val="24"/>
          <w:szCs w:val="24"/>
          <w:lang w:eastAsia="zh-CN"/>
        </w:rPr>
        <w:t>附件十</w:t>
      </w:r>
      <w:r>
        <w:rPr>
          <w:rFonts w:hint="eastAsia" w:ascii="宋体" w:hAnsi="宋体" w:eastAsia="宋体" w:cs="宋体"/>
          <w:b/>
          <w:bCs/>
          <w:spacing w:val="4"/>
          <w:sz w:val="24"/>
          <w:szCs w:val="24"/>
          <w:lang w:val="en-US" w:eastAsia="zh-CN"/>
        </w:rPr>
        <w:t>一</w:t>
      </w:r>
    </w:p>
    <w:p w14:paraId="76BD180E">
      <w:pPr>
        <w:spacing w:line="360" w:lineRule="exact"/>
        <w:jc w:val="center"/>
        <w:rPr>
          <w:rFonts w:hint="eastAsia" w:ascii="宋体" w:hAnsi="宋体" w:eastAsia="宋体" w:cs="宋体"/>
          <w:b/>
          <w:color w:val="000000"/>
          <w:sz w:val="24"/>
          <w:szCs w:val="24"/>
          <w:lang w:val="en-US" w:eastAsia="zh-CN"/>
        </w:rPr>
      </w:pPr>
      <w:r>
        <w:rPr>
          <w:rFonts w:hint="eastAsia" w:ascii="宋体" w:hAnsi="宋体" w:eastAsia="宋体" w:cs="宋体"/>
          <w:b/>
          <w:color w:val="000000"/>
          <w:sz w:val="24"/>
          <w:szCs w:val="24"/>
          <w:lang w:val="en-US" w:eastAsia="zh-CN"/>
        </w:rPr>
        <w:t>投标供应商认为需要提供的其他文件</w:t>
      </w:r>
    </w:p>
    <w:p w14:paraId="454E23A4">
      <w:pPr>
        <w:spacing w:line="360" w:lineRule="auto"/>
        <w:outlineLvl w:val="9"/>
        <w:rPr>
          <w:rFonts w:hint="eastAsia" w:ascii="宋体" w:hAnsi="宋体" w:eastAsia="宋体" w:cs="宋体"/>
          <w:b/>
          <w:bCs/>
          <w:color w:val="000000"/>
          <w:sz w:val="24"/>
          <w:szCs w:val="24"/>
          <w:lang w:eastAsia="zh-CN"/>
        </w:rPr>
      </w:pPr>
    </w:p>
    <w:p w14:paraId="2E1F2A5F">
      <w:pPr>
        <w:spacing w:line="360" w:lineRule="auto"/>
        <w:outlineLvl w:val="9"/>
        <w:rPr>
          <w:rFonts w:hint="eastAsia" w:ascii="宋体" w:hAnsi="宋体" w:eastAsia="宋体" w:cs="宋体"/>
          <w:b/>
          <w:bCs/>
          <w:color w:val="000000"/>
          <w:sz w:val="24"/>
          <w:szCs w:val="24"/>
          <w:lang w:eastAsia="zh-CN"/>
        </w:rPr>
      </w:pPr>
    </w:p>
    <w:p w14:paraId="11673483">
      <w:pPr>
        <w:spacing w:line="360" w:lineRule="auto"/>
        <w:outlineLvl w:val="9"/>
        <w:rPr>
          <w:rFonts w:hint="eastAsia" w:ascii="宋体" w:hAnsi="宋体" w:eastAsia="宋体" w:cs="宋体"/>
          <w:b/>
          <w:bCs/>
          <w:color w:val="000000"/>
          <w:sz w:val="24"/>
          <w:szCs w:val="24"/>
          <w:lang w:eastAsia="zh-CN"/>
        </w:rPr>
      </w:pPr>
    </w:p>
    <w:p w14:paraId="3DB904D1">
      <w:pPr>
        <w:spacing w:line="360" w:lineRule="auto"/>
        <w:outlineLvl w:val="9"/>
        <w:rPr>
          <w:rFonts w:hint="eastAsia" w:ascii="宋体" w:hAnsi="宋体" w:eastAsia="宋体" w:cs="宋体"/>
          <w:b/>
          <w:bCs/>
          <w:color w:val="000000"/>
          <w:sz w:val="24"/>
          <w:szCs w:val="24"/>
          <w:lang w:eastAsia="zh-CN"/>
        </w:rPr>
      </w:pPr>
    </w:p>
    <w:p w14:paraId="05CE0975">
      <w:pPr>
        <w:spacing w:line="360" w:lineRule="auto"/>
        <w:outlineLvl w:val="9"/>
        <w:rPr>
          <w:rFonts w:hint="eastAsia" w:ascii="宋体" w:hAnsi="宋体" w:eastAsia="宋体" w:cs="宋体"/>
          <w:b/>
          <w:bCs/>
          <w:color w:val="000000"/>
          <w:sz w:val="24"/>
          <w:szCs w:val="24"/>
          <w:lang w:eastAsia="zh-CN"/>
        </w:rPr>
      </w:pPr>
    </w:p>
    <w:p w14:paraId="050086B5">
      <w:pPr>
        <w:spacing w:line="360" w:lineRule="auto"/>
        <w:outlineLvl w:val="9"/>
        <w:rPr>
          <w:rFonts w:hint="eastAsia" w:ascii="宋体" w:hAnsi="宋体" w:eastAsia="宋体" w:cs="宋体"/>
          <w:b/>
          <w:bCs/>
          <w:color w:val="000000"/>
          <w:sz w:val="24"/>
          <w:szCs w:val="24"/>
          <w:lang w:eastAsia="zh-CN"/>
        </w:rPr>
      </w:pPr>
    </w:p>
    <w:sectPr>
      <w:headerReference r:id="rId20" w:type="default"/>
      <w:footerReference r:id="rId21" w:type="default"/>
      <w:pgSz w:w="11906" w:h="16838"/>
      <w:pgMar w:top="1440" w:right="1800" w:bottom="1440" w:left="1800" w:header="851" w:footer="992" w:gutter="0"/>
      <w:pgBorders>
        <w:top w:val="none" w:sz="0" w:space="0"/>
        <w:left w:val="none" w:sz="0" w:space="0"/>
        <w:bottom w:val="none" w:sz="0" w:space="0"/>
        <w:right w:val="none" w:sz="0" w:space="0"/>
      </w:pgBorders>
      <w:pgNumType w:fmt="numberInDash"/>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5F"/>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仿宋">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00" w:usb3="00000000" w:csb0="00040000" w:csb1="00000000"/>
  </w:font>
  <w:font w:name="华文楷体">
    <w:altName w:val="宋体"/>
    <w:panose1 w:val="02010600040101010101"/>
    <w:charset w:val="86"/>
    <w:family w:val="auto"/>
    <w:pitch w:val="default"/>
    <w:sig w:usb0="00000000" w:usb1="00000000" w:usb2="00000000" w:usb3="00000000" w:csb0="0004009F" w:csb1="DFD70000"/>
  </w:font>
  <w:font w:name="Wingdings 2">
    <w:altName w:val="Wingdings"/>
    <w:panose1 w:val="05020102010507070707"/>
    <w:charset w:val="02"/>
    <w:family w:val="auto"/>
    <w:pitch w:val="default"/>
    <w:sig w:usb0="00000000" w:usb1="00000000" w:usb2="00000000" w:usb3="00000000" w:csb0="80000000" w:csb1="00000000"/>
  </w:font>
  <w:font w:name="Helvetica">
    <w:altName w:val="Arial"/>
    <w:panose1 w:val="020B0504020202020204"/>
    <w:charset w:val="00"/>
    <w:family w:val="swiss"/>
    <w:pitch w:val="default"/>
    <w:sig w:usb0="00000000" w:usb1="00000000" w:usb2="00000000" w:usb3="00000000" w:csb0="00000001" w:csb1="00000000"/>
  </w:font>
  <w:font w:name="榛戜綋">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Kingsoft UE">
    <w:altName w:val="Segoe Print"/>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318BBB">
    <w:pPr>
      <w:pStyle w:val="22"/>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0748B936">
                          <w:pPr>
                            <w:pStyle w:val="22"/>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dkb9izgCAABvBAAADgAAAAAAAAABACAAAAAfAQAAZHJzL2Uyb0RvYy54&#10;bWxQSwUGAAAAAAYABgBZAQAAyQUAAAAA&#10;">
              <v:fill on="f" focussize="0,0"/>
              <v:stroke on="f" weight="0.5pt"/>
              <v:imagedata o:title=""/>
              <o:lock v:ext="edit" aspectratio="f"/>
              <v:textbox inset="0mm,0mm,0mm,0mm" style="mso-fit-shape-to-text:t;">
                <w:txbxContent>
                  <w:p w14:paraId="0748B936">
                    <w:pPr>
                      <w:pStyle w:val="22"/>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5BDB76">
    <w:pPr>
      <w:spacing w:line="184" w:lineRule="auto"/>
      <w:ind w:left="4156"/>
      <w:rPr>
        <w:rFonts w:hint="default" w:ascii="Times New Roman" w:hAnsi="Times New Roman" w:eastAsia="宋体" w:cs="Times New Roman"/>
        <w:sz w:val="17"/>
        <w:szCs w:val="17"/>
        <w:lang w:val="en-US" w:eastAsia="zh-CN"/>
      </w:rPr>
    </w:pPr>
    <w:r>
      <w:rPr>
        <w:sz w:val="17"/>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73A42F05">
                          <w:pPr>
                            <w:pStyle w:val="22"/>
                          </w:pPr>
                          <w:r>
                            <w:fldChar w:fldCharType="begin"/>
                          </w:r>
                          <w:r>
                            <w:instrText xml:space="preserve"> PAGE  \* MERGEFORMAT </w:instrText>
                          </w:r>
                          <w:r>
                            <w:fldChar w:fldCharType="separate"/>
                          </w:r>
                          <w:r>
                            <w:t>37</w:t>
                          </w:r>
                          <w:r>
                            <w:fldChar w:fldCharType="end"/>
                          </w:r>
                        </w:p>
                      </w:txbxContent>
                    </wps:txbx>
                    <wps:bodyPr vert="horz" wrap="none" lIns="0" tIns="0" rIns="0" bIns="0" anchor="t" anchorCtr="0" upright="0">
                      <a:spAutoFit/>
                    </wps:bodyPr>
                  </wps:wsp>
                </a:graphicData>
              </a:graphic>
            </wp:anchor>
          </w:drawing>
        </mc:Choice>
        <mc:Fallback>
          <w:pict>
            <v:shape id="文本框 9"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M6pebnPAAAABQEAAA8AAAAAAAAA&#10;AQAgAAAAIgAAAGRycy9kb3ducmV2LnhtbFBLAQIUABQAAAAIAIdO4kCUAuZ+4QEAAM0DAAAOAAAA&#10;AAAAAAEAIAAAAB4BAABkcnMvZTJvRG9jLnhtbFBLBQYAAAAABgAGAFkBAABxBQAAAAA=&#10;">
              <v:fill on="f" focussize="0,0"/>
              <v:stroke on="f"/>
              <v:imagedata o:title=""/>
              <o:lock v:ext="edit" aspectratio="f"/>
              <v:textbox inset="0mm,0mm,0mm,0mm" style="mso-fit-shape-to-text:t;">
                <w:txbxContent>
                  <w:p w14:paraId="73A42F05">
                    <w:pPr>
                      <w:pStyle w:val="22"/>
                    </w:pPr>
                    <w:r>
                      <w:fldChar w:fldCharType="begin"/>
                    </w:r>
                    <w:r>
                      <w:instrText xml:space="preserve"> PAGE  \* MERGEFORMAT </w:instrText>
                    </w:r>
                    <w:r>
                      <w:fldChar w:fldCharType="separate"/>
                    </w:r>
                    <w:r>
                      <w:t>37</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F1AA26">
    <w:pPr>
      <w:spacing w:line="184" w:lineRule="auto"/>
      <w:ind w:left="4148"/>
      <w:rPr>
        <w:rFonts w:hint="default" w:ascii="Times New Roman" w:hAnsi="Times New Roman" w:eastAsia="宋体" w:cs="Times New Roman"/>
        <w:sz w:val="17"/>
        <w:szCs w:val="17"/>
        <w:lang w:val="en-US" w:eastAsia="zh-CN"/>
      </w:rPr>
    </w:pPr>
    <w:r>
      <w:rPr>
        <w:sz w:val="17"/>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4E9A0088">
                          <w:pPr>
                            <w:pStyle w:val="22"/>
                          </w:pPr>
                          <w:r>
                            <w:fldChar w:fldCharType="begin"/>
                          </w:r>
                          <w:r>
                            <w:instrText xml:space="preserve"> PAGE  \* MERGEFORMAT </w:instrText>
                          </w:r>
                          <w:r>
                            <w:fldChar w:fldCharType="separate"/>
                          </w:r>
                          <w:r>
                            <w:t>38</w:t>
                          </w:r>
                          <w:r>
                            <w:fldChar w:fldCharType="end"/>
                          </w:r>
                        </w:p>
                      </w:txbxContent>
                    </wps:txbx>
                    <wps:bodyPr vert="horz" wrap="none" lIns="0" tIns="0" rIns="0" bIns="0" anchor="t" anchorCtr="0" upright="0">
                      <a:spAutoFit/>
                    </wps:bodyPr>
                  </wps:wsp>
                </a:graphicData>
              </a:graphic>
            </wp:anchor>
          </w:drawing>
        </mc:Choice>
        <mc:Fallback>
          <w:pict>
            <v:shape id="文本框 10"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DOqXm5zwAAAAUBAAAPAAAAAAAA&#10;AAEAIAAAACIAAABkcnMvZG93bnJldi54bWxQSwECFAAUAAAACACHTuJAkTqclOIBAADOAwAADgAA&#10;AAAAAAABACAAAAAeAQAAZHJzL2Uyb0RvYy54bWxQSwUGAAAAAAYABgBZAQAAcgUAAAAA&#10;">
              <v:fill on="f" focussize="0,0"/>
              <v:stroke on="f"/>
              <v:imagedata o:title=""/>
              <o:lock v:ext="edit" aspectratio="f"/>
              <v:textbox inset="0mm,0mm,0mm,0mm" style="mso-fit-shape-to-text:t;">
                <w:txbxContent>
                  <w:p w14:paraId="4E9A0088">
                    <w:pPr>
                      <w:pStyle w:val="22"/>
                    </w:pPr>
                    <w:r>
                      <w:fldChar w:fldCharType="begin"/>
                    </w:r>
                    <w:r>
                      <w:instrText xml:space="preserve"> PAGE  \* MERGEFORMAT </w:instrText>
                    </w:r>
                    <w:r>
                      <w:fldChar w:fldCharType="separate"/>
                    </w:r>
                    <w:r>
                      <w:t>38</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A1AF8B">
    <w:pPr>
      <w:pStyle w:val="22"/>
      <w:jc w:val="cente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1F822BE9">
                          <w:pPr>
                            <w:pStyle w:val="22"/>
                            <w:jc w:val="center"/>
                          </w:pPr>
                          <w:r>
                            <w:rPr>
                              <w:sz w:val="21"/>
                              <w:szCs w:val="21"/>
                            </w:rPr>
                            <w:fldChar w:fldCharType="begin"/>
                          </w:r>
                          <w:r>
                            <w:rPr>
                              <w:sz w:val="21"/>
                              <w:szCs w:val="21"/>
                            </w:rPr>
                            <w:instrText xml:space="preserve">PAGE   \* MERGEFORMAT</w:instrText>
                          </w:r>
                          <w:r>
                            <w:rPr>
                              <w:sz w:val="21"/>
                              <w:szCs w:val="21"/>
                            </w:rPr>
                            <w:fldChar w:fldCharType="separate"/>
                          </w:r>
                          <w:r>
                            <w:rPr>
                              <w:sz w:val="21"/>
                              <w:szCs w:val="21"/>
                              <w:lang w:val="zh-CN"/>
                            </w:rPr>
                            <w:t>2</w:t>
                          </w:r>
                          <w:r>
                            <w:rPr>
                              <w:sz w:val="21"/>
                              <w:szCs w:val="21"/>
                            </w:rPr>
                            <w:fldChar w:fldCharType="end"/>
                          </w:r>
                        </w:p>
                        <w:p w14:paraId="7939649E"/>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OeIrFDgCAABvBAAADgAAAAAAAAABACAAAAAfAQAAZHJzL2Uyb0RvYy54&#10;bWxQSwUGAAAAAAYABgBZAQAAyQUAAAAA&#10;">
              <v:fill on="f" focussize="0,0"/>
              <v:stroke on="f" weight="0.5pt"/>
              <v:imagedata o:title=""/>
              <o:lock v:ext="edit" aspectratio="f"/>
              <v:textbox inset="0mm,0mm,0mm,0mm" style="mso-fit-shape-to-text:t;">
                <w:txbxContent>
                  <w:p w14:paraId="1F822BE9">
                    <w:pPr>
                      <w:pStyle w:val="22"/>
                      <w:jc w:val="center"/>
                    </w:pPr>
                    <w:r>
                      <w:rPr>
                        <w:sz w:val="21"/>
                        <w:szCs w:val="21"/>
                      </w:rPr>
                      <w:fldChar w:fldCharType="begin"/>
                    </w:r>
                    <w:r>
                      <w:rPr>
                        <w:sz w:val="21"/>
                        <w:szCs w:val="21"/>
                      </w:rPr>
                      <w:instrText xml:space="preserve">PAGE   \* MERGEFORMAT</w:instrText>
                    </w:r>
                    <w:r>
                      <w:rPr>
                        <w:sz w:val="21"/>
                        <w:szCs w:val="21"/>
                      </w:rPr>
                      <w:fldChar w:fldCharType="separate"/>
                    </w:r>
                    <w:r>
                      <w:rPr>
                        <w:sz w:val="21"/>
                        <w:szCs w:val="21"/>
                        <w:lang w:val="zh-CN"/>
                      </w:rPr>
                      <w:t>2</w:t>
                    </w:r>
                    <w:r>
                      <w:rPr>
                        <w:sz w:val="21"/>
                        <w:szCs w:val="21"/>
                      </w:rPr>
                      <w:fldChar w:fldCharType="end"/>
                    </w:r>
                  </w:p>
                  <w:p w14:paraId="7939649E"/>
                </w:txbxContent>
              </v:textbox>
            </v:shape>
          </w:pict>
        </mc:Fallback>
      </mc:AlternateContent>
    </w:r>
  </w:p>
  <w:p w14:paraId="15B5ED54">
    <w:pPr>
      <w:pStyle w:val="2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84AB13">
    <w:pPr>
      <w:pStyle w:val="22"/>
      <w:jc w:val="center"/>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6D44112E">
                          <w:pPr>
                            <w:pStyle w:val="22"/>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KFy+ZzgCAABvBAAADgAAAAAAAAABACAAAAAfAQAAZHJzL2Uyb0RvYy54&#10;bWxQSwUGAAAAAAYABgBZAQAAyQUAAAAA&#10;">
              <v:fill on="f" focussize="0,0"/>
              <v:stroke on="f" weight="0.5pt"/>
              <v:imagedata o:title=""/>
              <o:lock v:ext="edit" aspectratio="f"/>
              <v:textbox inset="0mm,0mm,0mm,0mm" style="mso-fit-shape-to-text:t;">
                <w:txbxContent>
                  <w:p w14:paraId="6D44112E">
                    <w:pPr>
                      <w:pStyle w:val="22"/>
                    </w:pPr>
                    <w:r>
                      <w:fldChar w:fldCharType="begin"/>
                    </w:r>
                    <w:r>
                      <w:instrText xml:space="preserve"> PAGE  \* MERGEFORMAT </w:instrText>
                    </w:r>
                    <w:r>
                      <w:fldChar w:fldCharType="separate"/>
                    </w:r>
                    <w:r>
                      <w:t>- 1 -</w:t>
                    </w:r>
                    <w:r>
                      <w:fldChar w:fldCharType="end"/>
                    </w:r>
                  </w:p>
                </w:txbxContent>
              </v:textbox>
            </v:shape>
          </w:pict>
        </mc:Fallback>
      </mc:AlternateContent>
    </w: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54254E82">
                          <w:pPr>
                            <w:pStyle w:val="22"/>
                            <w:jc w:val="center"/>
                          </w:pPr>
                          <w:r>
                            <w:rPr>
                              <w:rFonts w:hint="eastAsia"/>
                              <w:lang w:eastAsia="zh-CN"/>
                            </w:rPr>
                            <w:t xml:space="preserve">     </w:t>
                          </w:r>
                        </w:p>
                        <w:p w14:paraId="48DEB8B6"/>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4aj184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dLSuPlTd&#10;A0yhZWGrd5bHNFEqb1fHAGmT4lGgThV0Kh4wh6ln/c7EQf/znKIe/yeW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XhqPXzgCAABvBAAADgAAAAAAAAABACAAAAAfAQAAZHJzL2Uyb0RvYy54&#10;bWxQSwUGAAAAAAYABgBZAQAAyQUAAAAA&#10;">
              <v:fill on="f" focussize="0,0"/>
              <v:stroke on="f" weight="0.5pt"/>
              <v:imagedata o:title=""/>
              <o:lock v:ext="edit" aspectratio="f"/>
              <v:textbox inset="0mm,0mm,0mm,0mm" style="mso-fit-shape-to-text:t;">
                <w:txbxContent>
                  <w:p w14:paraId="54254E82">
                    <w:pPr>
                      <w:pStyle w:val="22"/>
                      <w:jc w:val="center"/>
                    </w:pPr>
                    <w:r>
                      <w:rPr>
                        <w:rFonts w:hint="eastAsia"/>
                        <w:lang w:eastAsia="zh-CN"/>
                      </w:rPr>
                      <w:t xml:space="preserve">     </w:t>
                    </w:r>
                  </w:p>
                  <w:p w14:paraId="48DEB8B6"/>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EA65AA">
    <w:pPr>
      <w:pStyle w:val="22"/>
      <w:bidi w:val="0"/>
    </w:pPr>
    <w: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1C38BD3F">
                          <w:pPr>
                            <w:pStyle w:val="22"/>
                            <w:keepNext w:val="0"/>
                            <w:keepLines w:val="0"/>
                            <w:pageBreakBefore w:val="0"/>
                            <w:widowControl w:val="0"/>
                            <w:kinsoku/>
                            <w:wordWrap/>
                            <w:overflowPunct/>
                            <w:topLinePunct w:val="0"/>
                            <w:bidi w:val="0"/>
                            <w:adjustRightInd/>
                            <w:snapToGrid w:val="0"/>
                            <w:textAlignment w:val="auto"/>
                            <w:rPr>
                              <w:sz w:val="21"/>
                              <w:szCs w:val="21"/>
                            </w:rPr>
                          </w:pPr>
                          <w:r>
                            <w:rPr>
                              <w:sz w:val="21"/>
                              <w:szCs w:val="21"/>
                            </w:rPr>
                            <w:fldChar w:fldCharType="begin"/>
                          </w:r>
                          <w:r>
                            <w:rPr>
                              <w:sz w:val="21"/>
                              <w:szCs w:val="21"/>
                            </w:rPr>
                            <w:instrText xml:space="preserve"> PAGE  \* MERGEFORMAT </w:instrText>
                          </w:r>
                          <w:r>
                            <w:rPr>
                              <w:sz w:val="21"/>
                              <w:szCs w:val="21"/>
                            </w:rPr>
                            <w:fldChar w:fldCharType="separate"/>
                          </w:r>
                          <w:r>
                            <w:rPr>
                              <w:sz w:val="21"/>
                              <w:szCs w:val="21"/>
                            </w:rPr>
                            <w:t>1</w:t>
                          </w:r>
                          <w:r>
                            <w:rPr>
                              <w:sz w:val="21"/>
                              <w:szCs w:val="21"/>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DajL89NwIAAG8EAAAOAAAAAAAAAAEAIAAAAB8BAABkcnMvZTJvRG9jLnht&#10;bFBLBQYAAAAABgAGAFkBAADIBQAAAAA=&#10;">
              <v:fill on="f" focussize="0,0"/>
              <v:stroke on="f" weight="0.5pt"/>
              <v:imagedata o:title=""/>
              <o:lock v:ext="edit" aspectratio="f"/>
              <v:textbox inset="0mm,0mm,0mm,0mm" style="mso-fit-shape-to-text:t;">
                <w:txbxContent>
                  <w:p w14:paraId="1C38BD3F">
                    <w:pPr>
                      <w:pStyle w:val="22"/>
                      <w:keepNext w:val="0"/>
                      <w:keepLines w:val="0"/>
                      <w:pageBreakBefore w:val="0"/>
                      <w:widowControl w:val="0"/>
                      <w:kinsoku/>
                      <w:wordWrap/>
                      <w:overflowPunct/>
                      <w:topLinePunct w:val="0"/>
                      <w:bidi w:val="0"/>
                      <w:adjustRightInd/>
                      <w:snapToGrid w:val="0"/>
                      <w:textAlignment w:val="auto"/>
                      <w:rPr>
                        <w:sz w:val="21"/>
                        <w:szCs w:val="21"/>
                      </w:rPr>
                    </w:pPr>
                    <w:r>
                      <w:rPr>
                        <w:sz w:val="21"/>
                        <w:szCs w:val="21"/>
                      </w:rPr>
                      <w:fldChar w:fldCharType="begin"/>
                    </w:r>
                    <w:r>
                      <w:rPr>
                        <w:sz w:val="21"/>
                        <w:szCs w:val="21"/>
                      </w:rPr>
                      <w:instrText xml:space="preserve"> PAGE  \* MERGEFORMAT </w:instrText>
                    </w:r>
                    <w:r>
                      <w:rPr>
                        <w:sz w:val="21"/>
                        <w:szCs w:val="21"/>
                      </w:rPr>
                      <w:fldChar w:fldCharType="separate"/>
                    </w:r>
                    <w:r>
                      <w:rPr>
                        <w:sz w:val="21"/>
                        <w:szCs w:val="21"/>
                      </w:rPr>
                      <w:t>1</w:t>
                    </w:r>
                    <w:r>
                      <w:rPr>
                        <w:sz w:val="21"/>
                        <w:szCs w:val="21"/>
                      </w:rPr>
                      <w:fldChar w:fldCharType="end"/>
                    </w:r>
                  </w:p>
                </w:txbxContent>
              </v:textbox>
            </v:shape>
          </w:pict>
        </mc:Fallback>
      </mc:AlternateContent>
    </w: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7685719E">
                          <w:pPr>
                            <w:pStyle w:val="22"/>
                            <w:jc w:val="center"/>
                          </w:pPr>
                          <w:r>
                            <w:rPr>
                              <w:rFonts w:hint="eastAsia"/>
                              <w:lang w:eastAsia="zh-CN"/>
                            </w:rPr>
                            <w:t xml:space="preserve">     </w:t>
                          </w:r>
                        </w:p>
                        <w:p w14:paraId="41AD2E79"/>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文本框 7"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GGmbXTgCAABvBAAADgAAAAAAAAABACAAAAAfAQAAZHJzL2Uyb0RvYy54&#10;bWxQSwUGAAAAAAYABgBZAQAAyQUAAAAA&#10;">
              <v:fill on="f" focussize="0,0"/>
              <v:stroke on="f" weight="0.5pt"/>
              <v:imagedata o:title=""/>
              <o:lock v:ext="edit" aspectratio="f"/>
              <v:textbox inset="0mm,0mm,0mm,0mm" style="mso-fit-shape-to-text:t;">
                <w:txbxContent>
                  <w:p w14:paraId="7685719E">
                    <w:pPr>
                      <w:pStyle w:val="22"/>
                      <w:jc w:val="center"/>
                    </w:pPr>
                    <w:r>
                      <w:rPr>
                        <w:rFonts w:hint="eastAsia"/>
                        <w:lang w:eastAsia="zh-CN"/>
                      </w:rPr>
                      <w:t xml:space="preserve">     </w:t>
                    </w:r>
                  </w:p>
                  <w:p w14:paraId="41AD2E79"/>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ED8F52">
    <w:pPr>
      <w:pStyle w:val="22"/>
      <w:rPr>
        <w:lang w:val="en"/>
      </w:rPr>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839470" cy="315595"/>
              <wp:effectExtent l="0" t="0" r="0" b="0"/>
              <wp:wrapNone/>
              <wp:docPr id="7" name="文本框 7"/>
              <wp:cNvGraphicFramePr/>
              <a:graphic xmlns:a="http://schemas.openxmlformats.org/drawingml/2006/main">
                <a:graphicData uri="http://schemas.microsoft.com/office/word/2010/wordprocessingShape">
                  <wps:wsp>
                    <wps:cNvSpPr txBox="1"/>
                    <wps:spPr>
                      <a:xfrm>
                        <a:off x="0" y="0"/>
                        <a:ext cx="839470" cy="315595"/>
                      </a:xfrm>
                      <a:prstGeom prst="rect">
                        <a:avLst/>
                      </a:prstGeom>
                      <a:noFill/>
                      <a:ln w="6350">
                        <a:noFill/>
                      </a:ln>
                      <a:effectLst/>
                    </wps:spPr>
                    <wps:txbx>
                      <w:txbxContent>
                        <w:p w14:paraId="37670F97">
                          <w:pPr>
                            <w:pStyle w:val="22"/>
                            <w:rPr>
                              <w:rFonts w:hint="eastAsia"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1</w:t>
                          </w:r>
                          <w:r>
                            <w:rPr>
                              <w:rFonts w:hint="eastAsia" w:ascii="宋体" w:hAnsi="宋体" w:cs="宋体"/>
                              <w:sz w:val="28"/>
                              <w:szCs w:val="28"/>
                            </w:rPr>
                            <w:fldChar w:fldCharType="end"/>
                          </w:r>
                          <w:r>
                            <w:rPr>
                              <w:rFonts w:hint="eastAsia" w:ascii="宋体" w:hAnsi="宋体" w:cs="宋体"/>
                              <w:sz w:val="28"/>
                              <w:szCs w:val="28"/>
                            </w:rPr>
                            <w:t xml:space="preserve"> —</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top:0pt;height:24.85pt;width:66.1pt;mso-position-horizontal:outside;mso-position-horizontal-relative:margin;z-index:251659264;mso-width-relative:page;mso-height-relative:page;" filled="f" stroked="f" coordsize="21600,21600" o:gfxdata="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bQevgdQAAAAEAQAADwAAAAAAAAABACAAAAAiAAAAZHJzL2Rvd25yZXYu&#10;eG1sUEsBAhQAFAAAAAgAh07iQJM9TkU4AgAAYwQAAA4AAAAAAAAAAQAgAAAAIwEAAGRycy9lMm9E&#10;b2MueG1sUEsFBgAAAAAGAAYAWQEAAM0FAAAAAA==&#10;">
              <v:fill on="f" focussize="0,0"/>
              <v:stroke on="f" weight="0.5pt"/>
              <v:imagedata o:title=""/>
              <o:lock v:ext="edit" aspectratio="f"/>
              <v:textbox inset="0mm,0mm,0mm,0mm">
                <w:txbxContent>
                  <w:p w14:paraId="37670F97">
                    <w:pPr>
                      <w:pStyle w:val="22"/>
                      <w:rPr>
                        <w:rFonts w:hint="eastAsia"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1</w:t>
                    </w:r>
                    <w:r>
                      <w:rPr>
                        <w:rFonts w:hint="eastAsia" w:ascii="宋体" w:hAnsi="宋体" w:cs="宋体"/>
                        <w:sz w:val="28"/>
                        <w:szCs w:val="28"/>
                      </w:rPr>
                      <w:fldChar w:fldCharType="end"/>
                    </w:r>
                    <w:r>
                      <w:rPr>
                        <w:rFonts w:hint="eastAsia" w:ascii="宋体" w:hAnsi="宋体" w:cs="宋体"/>
                        <w:sz w:val="28"/>
                        <w:szCs w:val="28"/>
                      </w:rPr>
                      <w:t xml:space="preserve"> —</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E889F2">
    <w:pPr>
      <w:pStyle w:val="22"/>
      <w:rPr>
        <w:lang w:val="en"/>
      </w:rPr>
    </w:pP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839470" cy="315595"/>
              <wp:effectExtent l="0" t="0" r="0" b="0"/>
              <wp:wrapNone/>
              <wp:docPr id="1" name="文本框 7"/>
              <wp:cNvGraphicFramePr/>
              <a:graphic xmlns:a="http://schemas.openxmlformats.org/drawingml/2006/main">
                <a:graphicData uri="http://schemas.microsoft.com/office/word/2010/wordprocessingShape">
                  <wps:wsp>
                    <wps:cNvSpPr txBox="1"/>
                    <wps:spPr>
                      <a:xfrm>
                        <a:off x="0" y="0"/>
                        <a:ext cx="839470" cy="315595"/>
                      </a:xfrm>
                      <a:prstGeom prst="rect">
                        <a:avLst/>
                      </a:prstGeom>
                      <a:noFill/>
                      <a:ln w="6350">
                        <a:noFill/>
                      </a:ln>
                      <a:effectLst/>
                    </wps:spPr>
                    <wps:txbx>
                      <w:txbxContent>
                        <w:p w14:paraId="674C6108">
                          <w:pPr>
                            <w:pStyle w:val="22"/>
                            <w:rPr>
                              <w:rFonts w:hint="eastAsia"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1</w:t>
                          </w:r>
                          <w:r>
                            <w:rPr>
                              <w:rFonts w:hint="eastAsia" w:ascii="宋体" w:hAnsi="宋体" w:cs="宋体"/>
                              <w:sz w:val="28"/>
                              <w:szCs w:val="28"/>
                            </w:rPr>
                            <w:fldChar w:fldCharType="end"/>
                          </w:r>
                          <w:r>
                            <w:rPr>
                              <w:rFonts w:hint="eastAsia" w:ascii="宋体" w:hAnsi="宋体" w:cs="宋体"/>
                              <w:sz w:val="28"/>
                              <w:szCs w:val="28"/>
                            </w:rPr>
                            <w:t xml:space="preserve"> —</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文本框 7" o:spid="_x0000_s1026" o:spt="202" type="#_x0000_t202" style="position:absolute;left:0pt;margin-top:0pt;height:24.85pt;width:66.1pt;mso-position-horizontal:outside;mso-position-horizontal-relative:margin;z-index:251660288;mso-width-relative:page;mso-height-relative:page;" filled="f" stroked="f" coordsize="21600,21600" o:gfxdata="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bQevgdQAAAAEAQAADwAAAAAAAAABACAAAAAiAAAAZHJzL2Rvd25yZXYu&#10;eG1sUEsBAhQAFAAAAAgAh07iQMZC9Qs4AgAAYwQAAA4AAAAAAAAAAQAgAAAAIwEAAGRycy9lMm9E&#10;b2MueG1sUEsFBgAAAAAGAAYAWQEAAM0FAAAAAA==&#10;">
              <v:fill on="f" focussize="0,0"/>
              <v:stroke on="f" weight="0.5pt"/>
              <v:imagedata o:title=""/>
              <o:lock v:ext="edit" aspectratio="f"/>
              <v:textbox inset="0mm,0mm,0mm,0mm">
                <w:txbxContent>
                  <w:p w14:paraId="674C6108">
                    <w:pPr>
                      <w:pStyle w:val="22"/>
                      <w:rPr>
                        <w:rFonts w:hint="eastAsia"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1</w:t>
                    </w:r>
                    <w:r>
                      <w:rPr>
                        <w:rFonts w:hint="eastAsia" w:ascii="宋体" w:hAnsi="宋体" w:cs="宋体"/>
                        <w:sz w:val="28"/>
                        <w:szCs w:val="28"/>
                      </w:rPr>
                      <w:fldChar w:fldCharType="end"/>
                    </w:r>
                    <w:r>
                      <w:rPr>
                        <w:rFonts w:hint="eastAsia" w:ascii="宋体" w:hAnsi="宋体" w:cs="宋体"/>
                        <w:sz w:val="28"/>
                        <w:szCs w:val="28"/>
                      </w:rPr>
                      <w:t xml:space="preserve"> —</w:t>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F55B51">
    <w:pPr>
      <w:spacing w:line="184" w:lineRule="auto"/>
      <w:ind w:left="4646"/>
      <w:rPr>
        <w:rFonts w:ascii="Times New Roman" w:hAnsi="Times New Roman" w:eastAsia="Times New Roman" w:cs="Times New Roman"/>
        <w:sz w:val="17"/>
        <w:szCs w:val="17"/>
      </w:rPr>
    </w:pPr>
    <w:r>
      <w:rPr>
        <w:sz w:val="17"/>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17670580">
                          <w:pPr>
                            <w:pStyle w:val="22"/>
                          </w:pPr>
                          <w:r>
                            <w:fldChar w:fldCharType="begin"/>
                          </w:r>
                          <w:r>
                            <w:instrText xml:space="preserve"> PAGE  \* MERGEFORMAT </w:instrText>
                          </w:r>
                          <w:r>
                            <w:fldChar w:fldCharType="separate"/>
                          </w:r>
                          <w:r>
                            <w:t>8</w:t>
                          </w:r>
                          <w: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DOqXm5zwAAAAUBAAAPAAAAAAAA&#10;AAEAIAAAACIAAABkcnMvZG93bnJldi54bWxQSwECFAAUAAAACACHTuJASWGkCeIBAADOAwAADgAA&#10;AAAAAAABACAAAAAeAQAAZHJzL2Uyb0RvYy54bWxQSwUGAAAAAAYABgBZAQAAcgUAAAAA&#10;">
              <v:fill on="f" focussize="0,0"/>
              <v:stroke on="f"/>
              <v:imagedata o:title=""/>
              <o:lock v:ext="edit" aspectratio="f"/>
              <v:textbox inset="0mm,0mm,0mm,0mm" style="mso-fit-shape-to-text:t;">
                <w:txbxContent>
                  <w:p w14:paraId="17670580">
                    <w:pPr>
                      <w:pStyle w:val="22"/>
                    </w:pPr>
                    <w:r>
                      <w:fldChar w:fldCharType="begin"/>
                    </w:r>
                    <w:r>
                      <w:instrText xml:space="preserve"> PAGE  \* MERGEFORMAT </w:instrText>
                    </w:r>
                    <w:r>
                      <w:fldChar w:fldCharType="separate"/>
                    </w:r>
                    <w:r>
                      <w:t>8</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B7B23C">
    <w:pPr>
      <w:spacing w:line="184" w:lineRule="auto"/>
      <w:ind w:left="4640"/>
      <w:rPr>
        <w:rFonts w:hint="default" w:ascii="Times New Roman" w:hAnsi="Times New Roman" w:eastAsia="宋体" w:cs="Times New Roman"/>
        <w:sz w:val="17"/>
        <w:szCs w:val="17"/>
        <w:lang w:val="en-US" w:eastAsia="zh-CN"/>
      </w:rPr>
    </w:pPr>
    <w:r>
      <w:rPr>
        <w:sz w:val="17"/>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1AF2CE93">
                          <w:pPr>
                            <w:pStyle w:val="22"/>
                          </w:pPr>
                          <w:r>
                            <w:fldChar w:fldCharType="begin"/>
                          </w:r>
                          <w:r>
                            <w:instrText xml:space="preserve"> PAGE  \* MERGEFORMAT </w:instrText>
                          </w:r>
                          <w:r>
                            <w:fldChar w:fldCharType="separate"/>
                          </w:r>
                          <w:r>
                            <w:t>33</w:t>
                          </w:r>
                          <w: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DOqXm5zwAAAAUBAAAPAAAAAAAA&#10;AAEAIAAAACIAAABkcnMvZG93bnJldi54bWxQSwECFAAUAAAACACHTuJAplOz8uIBAADOAwAADgAA&#10;AAAAAAABACAAAAAeAQAAZHJzL2Uyb0RvYy54bWxQSwUGAAAAAAYABgBZAQAAcgUAAAAA&#10;">
              <v:fill on="f" focussize="0,0"/>
              <v:stroke on="f"/>
              <v:imagedata o:title=""/>
              <o:lock v:ext="edit" aspectratio="f"/>
              <v:textbox inset="0mm,0mm,0mm,0mm" style="mso-fit-shape-to-text:t;">
                <w:txbxContent>
                  <w:p w14:paraId="1AF2CE93">
                    <w:pPr>
                      <w:pStyle w:val="22"/>
                    </w:pPr>
                    <w:r>
                      <w:fldChar w:fldCharType="begin"/>
                    </w:r>
                    <w:r>
                      <w:instrText xml:space="preserve"> PAGE  \* MERGEFORMAT </w:instrText>
                    </w:r>
                    <w:r>
                      <w:fldChar w:fldCharType="separate"/>
                    </w:r>
                    <w:r>
                      <w:t>33</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D1FD20">
    <w:pPr>
      <w:spacing w:line="184" w:lineRule="auto"/>
      <w:jc w:val="center"/>
      <w:rPr>
        <w:rFonts w:hint="default" w:ascii="Times New Roman" w:hAnsi="Times New Roman" w:eastAsia="宋体" w:cs="Times New Roman"/>
        <w:sz w:val="17"/>
        <w:szCs w:val="17"/>
        <w:lang w:val="en-US" w:eastAsia="zh-CN"/>
      </w:rPr>
    </w:pPr>
    <w:r>
      <w:rPr>
        <w:sz w:val="17"/>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10CF2A47">
                          <w:pPr>
                            <w:pStyle w:val="22"/>
                          </w:pPr>
                          <w:r>
                            <w:fldChar w:fldCharType="begin"/>
                          </w:r>
                          <w:r>
                            <w:instrText xml:space="preserve"> PAGE  \* MERGEFORMAT </w:instrText>
                          </w:r>
                          <w:r>
                            <w:fldChar w:fldCharType="separate"/>
                          </w:r>
                          <w:r>
                            <w:t>34</w:t>
                          </w:r>
                          <w: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DOqXm5zwAAAAUBAAAPAAAAAAAA&#10;AAEAIAAAACIAAABkcnMvZG93bnJldi54bWxQSwECFAAUAAAACACHTuJA6MVFfuIBAADOAwAADgAA&#10;AAAAAAABACAAAAAeAQAAZHJzL2Uyb0RvYy54bWxQSwUGAAAAAAYABgBZAQAAcgUAAAAA&#10;">
              <v:fill on="f" focussize="0,0"/>
              <v:stroke on="f"/>
              <v:imagedata o:title=""/>
              <o:lock v:ext="edit" aspectratio="f"/>
              <v:textbox inset="0mm,0mm,0mm,0mm" style="mso-fit-shape-to-text:t;">
                <w:txbxContent>
                  <w:p w14:paraId="10CF2A47">
                    <w:pPr>
                      <w:pStyle w:val="22"/>
                    </w:pPr>
                    <w:r>
                      <w:fldChar w:fldCharType="begin"/>
                    </w:r>
                    <w:r>
                      <w:instrText xml:space="preserve"> PAGE  \* MERGEFORMAT </w:instrText>
                    </w:r>
                    <w:r>
                      <w:fldChar w:fldCharType="separate"/>
                    </w:r>
                    <w:r>
                      <w:t>34</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361978">
    <w:pPr>
      <w:spacing w:line="184" w:lineRule="auto"/>
      <w:ind w:left="4638"/>
      <w:rPr>
        <w:rFonts w:hint="default" w:ascii="Times New Roman" w:hAnsi="Times New Roman" w:eastAsia="宋体" w:cs="Times New Roman"/>
        <w:sz w:val="17"/>
        <w:szCs w:val="17"/>
        <w:lang w:val="en-US" w:eastAsia="zh-CN"/>
      </w:rPr>
    </w:pPr>
    <w:r>
      <w:rPr>
        <w:sz w:val="17"/>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0E99B274">
                          <w:pPr>
                            <w:pStyle w:val="22"/>
                          </w:pPr>
                          <w:r>
                            <w:fldChar w:fldCharType="begin"/>
                          </w:r>
                          <w:r>
                            <w:instrText xml:space="preserve"> PAGE  \* MERGEFORMAT </w:instrText>
                          </w:r>
                          <w:r>
                            <w:fldChar w:fldCharType="separate"/>
                          </w:r>
                          <w:r>
                            <w:t>36</w:t>
                          </w:r>
                          <w: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DOqXm5zwAAAAUBAAAPAAAAAAAA&#10;AAEAIAAAACIAAABkcnMvZG93bnJldi54bWxQSwECFAAUAAAACACHTuJAmLmYRuIBAADMAwAADgAA&#10;AAAAAAABACAAAAAeAQAAZHJzL2Uyb0RvYy54bWxQSwUGAAAAAAYABgBZAQAAcgUAAAAA&#10;">
              <v:fill on="f" focussize="0,0"/>
              <v:stroke on="f"/>
              <v:imagedata o:title=""/>
              <o:lock v:ext="edit" aspectratio="f"/>
              <v:textbox inset="0mm,0mm,0mm,0mm" style="mso-fit-shape-to-text:t;">
                <w:txbxContent>
                  <w:p w14:paraId="0E99B274">
                    <w:pPr>
                      <w:pStyle w:val="22"/>
                    </w:pPr>
                    <w:r>
                      <w:fldChar w:fldCharType="begin"/>
                    </w:r>
                    <w:r>
                      <w:instrText xml:space="preserve"> PAGE  \* MERGEFORMAT </w:instrText>
                    </w:r>
                    <w:r>
                      <w:fldChar w:fldCharType="separate"/>
                    </w:r>
                    <w:r>
                      <w:t>36</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E0C049">
    <w:pPr>
      <w:pStyle w:val="23"/>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0C34F2">
    <w:pPr>
      <w:pStyle w:val="23"/>
      <w:keepNext w:val="0"/>
      <w:keepLines w:val="0"/>
      <w:pageBreakBefore w:val="0"/>
      <w:widowControl w:val="0"/>
      <w:kinsoku/>
      <w:wordWrap/>
      <w:overflowPunct/>
      <w:topLinePunct w:val="0"/>
      <w:bidi w:val="0"/>
      <w:adjustRightInd/>
      <w:snapToGrid w:val="0"/>
      <w:jc w:val="right"/>
      <w:textAlignment w:val="aut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000E06">
    <w:pPr>
      <w:pStyle w:val="23"/>
    </w:pPr>
    <w:r>
      <w:rPr>
        <w:rFonts w:hint="eastAsia"/>
        <w:sz w:val="24"/>
        <w:szCs w:val="24"/>
        <w:lang w:val="en-US" w:eastAsia="zh-CN"/>
      </w:rP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8D4E2F">
    <w:pPr>
      <w:pStyle w:val="23"/>
    </w:pPr>
    <w:r>
      <w:rPr>
        <w:rFonts w:hint="eastAsia"/>
        <w:sz w:val="24"/>
        <w:szCs w:val="24"/>
        <w:lang w:val="en-US" w:eastAsia="zh-CN"/>
      </w:rPr>
      <w:t xml:space="preserve">                                    </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9A4254">
    <w:pPr>
      <w:pStyle w:val="15"/>
      <w:tabs>
        <w:tab w:val="left" w:pos="567"/>
      </w:tabs>
      <w:spacing w:line="14" w:lineRule="auto"/>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C070575"/>
    <w:multiLevelType w:val="singleLevel"/>
    <w:tmpl w:val="9C070575"/>
    <w:lvl w:ilvl="0" w:tentative="0">
      <w:start w:val="1"/>
      <w:numFmt w:val="decimal"/>
      <w:pStyle w:val="7"/>
      <w:lvlText w:val="%1."/>
      <w:lvlJc w:val="left"/>
      <w:pPr>
        <w:tabs>
          <w:tab w:val="left" w:pos="780"/>
        </w:tabs>
        <w:ind w:left="780" w:hanging="360"/>
      </w:pPr>
    </w:lvl>
  </w:abstractNum>
  <w:abstractNum w:abstractNumId="1">
    <w:nsid w:val="A30ACA68"/>
    <w:multiLevelType w:val="singleLevel"/>
    <w:tmpl w:val="A30ACA68"/>
    <w:lvl w:ilvl="0" w:tentative="0">
      <w:start w:val="1"/>
      <w:numFmt w:val="decimal"/>
      <w:suff w:val="nothing"/>
      <w:lvlText w:val="%1、"/>
      <w:lvlJc w:val="left"/>
    </w:lvl>
  </w:abstractNum>
  <w:abstractNum w:abstractNumId="2">
    <w:nsid w:val="B749CCB1"/>
    <w:multiLevelType w:val="singleLevel"/>
    <w:tmpl w:val="B749CCB1"/>
    <w:lvl w:ilvl="0" w:tentative="0">
      <w:start w:val="1"/>
      <w:numFmt w:val="decimal"/>
      <w:lvlText w:val="%1."/>
      <w:lvlJc w:val="left"/>
      <w:pPr>
        <w:tabs>
          <w:tab w:val="left" w:pos="312"/>
        </w:tabs>
      </w:pPr>
    </w:lvl>
  </w:abstractNum>
  <w:abstractNum w:abstractNumId="3">
    <w:nsid w:val="2DCE9B1E"/>
    <w:multiLevelType w:val="singleLevel"/>
    <w:tmpl w:val="2DCE9B1E"/>
    <w:lvl w:ilvl="0" w:tentative="0">
      <w:start w:val="3"/>
      <w:numFmt w:val="chineseCounting"/>
      <w:suff w:val="space"/>
      <w:lvlText w:val="第%1章"/>
      <w:lvlJc w:val="left"/>
      <w:rPr>
        <w:rFonts w:hint="eastAsia"/>
      </w:rPr>
    </w:lvl>
  </w:abstractNum>
  <w:abstractNum w:abstractNumId="4">
    <w:nsid w:val="3679401A"/>
    <w:multiLevelType w:val="singleLevel"/>
    <w:tmpl w:val="3679401A"/>
    <w:lvl w:ilvl="0" w:tentative="0">
      <w:start w:val="2"/>
      <w:numFmt w:val="decimal"/>
      <w:lvlText w:val="%1."/>
      <w:lvlJc w:val="left"/>
      <w:pPr>
        <w:tabs>
          <w:tab w:val="left" w:pos="312"/>
        </w:tabs>
      </w:pPr>
    </w:lvl>
  </w:abstractNum>
  <w:abstractNum w:abstractNumId="5">
    <w:nsid w:val="447B6378"/>
    <w:multiLevelType w:val="multilevel"/>
    <w:tmpl w:val="447B6378"/>
    <w:lvl w:ilvl="0" w:tentative="0">
      <w:start w:val="1"/>
      <w:numFmt w:val="decimal"/>
      <w:pStyle w:val="51"/>
      <w:suff w:val="nothing"/>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5"/>
  </w:num>
  <w:num w:numId="3">
    <w:abstractNumId w:val="3"/>
  </w:num>
  <w:num w:numId="4">
    <w:abstractNumId w:val="4"/>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JkNTg1OTJkZTA1ZDVhNGYzMmVkNzJiZGI5ZmNhNzAifQ=="/>
  </w:docVars>
  <w:rsids>
    <w:rsidRoot w:val="00172A27"/>
    <w:rsid w:val="0000366A"/>
    <w:rsid w:val="00006F7F"/>
    <w:rsid w:val="00007003"/>
    <w:rsid w:val="000075B7"/>
    <w:rsid w:val="000237EA"/>
    <w:rsid w:val="00027CD2"/>
    <w:rsid w:val="00031E0C"/>
    <w:rsid w:val="00040832"/>
    <w:rsid w:val="00040D23"/>
    <w:rsid w:val="000439DA"/>
    <w:rsid w:val="00063604"/>
    <w:rsid w:val="0006370A"/>
    <w:rsid w:val="00066832"/>
    <w:rsid w:val="00067934"/>
    <w:rsid w:val="000720BF"/>
    <w:rsid w:val="0008641D"/>
    <w:rsid w:val="000B39A0"/>
    <w:rsid w:val="000C3E03"/>
    <w:rsid w:val="000C488D"/>
    <w:rsid w:val="000C52EC"/>
    <w:rsid w:val="000D0230"/>
    <w:rsid w:val="000D0AD3"/>
    <w:rsid w:val="000E45BD"/>
    <w:rsid w:val="000E4E33"/>
    <w:rsid w:val="000E67CF"/>
    <w:rsid w:val="000F20FD"/>
    <w:rsid w:val="000F39B0"/>
    <w:rsid w:val="001008D8"/>
    <w:rsid w:val="001022A4"/>
    <w:rsid w:val="00115EF7"/>
    <w:rsid w:val="0013642D"/>
    <w:rsid w:val="00146410"/>
    <w:rsid w:val="00150D67"/>
    <w:rsid w:val="00156600"/>
    <w:rsid w:val="00160E9C"/>
    <w:rsid w:val="00172190"/>
    <w:rsid w:val="00173480"/>
    <w:rsid w:val="00181988"/>
    <w:rsid w:val="00182557"/>
    <w:rsid w:val="0018304A"/>
    <w:rsid w:val="001904E9"/>
    <w:rsid w:val="001A77DE"/>
    <w:rsid w:val="001B36EC"/>
    <w:rsid w:val="001D7B23"/>
    <w:rsid w:val="001E2F56"/>
    <w:rsid w:val="002062E6"/>
    <w:rsid w:val="00207131"/>
    <w:rsid w:val="0022214D"/>
    <w:rsid w:val="00223585"/>
    <w:rsid w:val="002235CA"/>
    <w:rsid w:val="002317DB"/>
    <w:rsid w:val="00232245"/>
    <w:rsid w:val="0023265E"/>
    <w:rsid w:val="00235B5A"/>
    <w:rsid w:val="00251060"/>
    <w:rsid w:val="002514A3"/>
    <w:rsid w:val="00256B32"/>
    <w:rsid w:val="00256D01"/>
    <w:rsid w:val="002706F2"/>
    <w:rsid w:val="00271135"/>
    <w:rsid w:val="00285E30"/>
    <w:rsid w:val="002A1AEC"/>
    <w:rsid w:val="002A1BCB"/>
    <w:rsid w:val="002A5262"/>
    <w:rsid w:val="002A6484"/>
    <w:rsid w:val="002A79C6"/>
    <w:rsid w:val="002C06B9"/>
    <w:rsid w:val="002C0FDD"/>
    <w:rsid w:val="002C5E37"/>
    <w:rsid w:val="002D11F7"/>
    <w:rsid w:val="002D48C5"/>
    <w:rsid w:val="002E0B52"/>
    <w:rsid w:val="002E1CF4"/>
    <w:rsid w:val="002E5FED"/>
    <w:rsid w:val="002F0DA9"/>
    <w:rsid w:val="003113C1"/>
    <w:rsid w:val="00312C3A"/>
    <w:rsid w:val="0031353D"/>
    <w:rsid w:val="0032200D"/>
    <w:rsid w:val="00333B37"/>
    <w:rsid w:val="0034487B"/>
    <w:rsid w:val="00347CC6"/>
    <w:rsid w:val="00347D88"/>
    <w:rsid w:val="00350BCD"/>
    <w:rsid w:val="0035643C"/>
    <w:rsid w:val="00366226"/>
    <w:rsid w:val="003746B0"/>
    <w:rsid w:val="00374A6B"/>
    <w:rsid w:val="00383E1C"/>
    <w:rsid w:val="0039029A"/>
    <w:rsid w:val="00390D4A"/>
    <w:rsid w:val="0039222E"/>
    <w:rsid w:val="0039288A"/>
    <w:rsid w:val="00393395"/>
    <w:rsid w:val="0039372E"/>
    <w:rsid w:val="00394AF5"/>
    <w:rsid w:val="003A19A4"/>
    <w:rsid w:val="003A1A1B"/>
    <w:rsid w:val="003A4485"/>
    <w:rsid w:val="003A4878"/>
    <w:rsid w:val="003B4310"/>
    <w:rsid w:val="003B60A6"/>
    <w:rsid w:val="003C5883"/>
    <w:rsid w:val="003C7C49"/>
    <w:rsid w:val="003D3327"/>
    <w:rsid w:val="003D6656"/>
    <w:rsid w:val="003E057C"/>
    <w:rsid w:val="003E2B14"/>
    <w:rsid w:val="003E314B"/>
    <w:rsid w:val="003F5655"/>
    <w:rsid w:val="003F5BC6"/>
    <w:rsid w:val="004021C6"/>
    <w:rsid w:val="00406BEF"/>
    <w:rsid w:val="00410595"/>
    <w:rsid w:val="00420F7C"/>
    <w:rsid w:val="0043307A"/>
    <w:rsid w:val="00433514"/>
    <w:rsid w:val="00446BB3"/>
    <w:rsid w:val="0045353D"/>
    <w:rsid w:val="004771C7"/>
    <w:rsid w:val="00481C3A"/>
    <w:rsid w:val="004851CA"/>
    <w:rsid w:val="0048656E"/>
    <w:rsid w:val="00493221"/>
    <w:rsid w:val="004A302C"/>
    <w:rsid w:val="004B539D"/>
    <w:rsid w:val="004C1FA1"/>
    <w:rsid w:val="004C3DCC"/>
    <w:rsid w:val="004E0BF9"/>
    <w:rsid w:val="004E0CF9"/>
    <w:rsid w:val="004F3FDD"/>
    <w:rsid w:val="004F46AB"/>
    <w:rsid w:val="00501A4A"/>
    <w:rsid w:val="00501E05"/>
    <w:rsid w:val="005032B9"/>
    <w:rsid w:val="005100F2"/>
    <w:rsid w:val="00510300"/>
    <w:rsid w:val="00511D7B"/>
    <w:rsid w:val="00513AD5"/>
    <w:rsid w:val="00523D37"/>
    <w:rsid w:val="00524831"/>
    <w:rsid w:val="0052616B"/>
    <w:rsid w:val="00532F25"/>
    <w:rsid w:val="00541D90"/>
    <w:rsid w:val="00542258"/>
    <w:rsid w:val="0054547C"/>
    <w:rsid w:val="0054632A"/>
    <w:rsid w:val="00551EDC"/>
    <w:rsid w:val="005544D1"/>
    <w:rsid w:val="00554509"/>
    <w:rsid w:val="00561523"/>
    <w:rsid w:val="00561527"/>
    <w:rsid w:val="005714C6"/>
    <w:rsid w:val="00594E7A"/>
    <w:rsid w:val="005A146E"/>
    <w:rsid w:val="005A7208"/>
    <w:rsid w:val="005A7987"/>
    <w:rsid w:val="005B5936"/>
    <w:rsid w:val="005C0D20"/>
    <w:rsid w:val="005D050C"/>
    <w:rsid w:val="005F7A46"/>
    <w:rsid w:val="00611383"/>
    <w:rsid w:val="00620B1C"/>
    <w:rsid w:val="00626E33"/>
    <w:rsid w:val="006359B3"/>
    <w:rsid w:val="006407ED"/>
    <w:rsid w:val="0064251F"/>
    <w:rsid w:val="00643F74"/>
    <w:rsid w:val="006503AE"/>
    <w:rsid w:val="00651EE4"/>
    <w:rsid w:val="00654524"/>
    <w:rsid w:val="00654BCF"/>
    <w:rsid w:val="0066052B"/>
    <w:rsid w:val="006630EF"/>
    <w:rsid w:val="0066446E"/>
    <w:rsid w:val="0066601A"/>
    <w:rsid w:val="006662AB"/>
    <w:rsid w:val="00674212"/>
    <w:rsid w:val="0067621A"/>
    <w:rsid w:val="006815D1"/>
    <w:rsid w:val="00687DD5"/>
    <w:rsid w:val="006923C3"/>
    <w:rsid w:val="006937E9"/>
    <w:rsid w:val="00693EF9"/>
    <w:rsid w:val="006947A5"/>
    <w:rsid w:val="006A1A11"/>
    <w:rsid w:val="006A2C75"/>
    <w:rsid w:val="006A4105"/>
    <w:rsid w:val="006B0C84"/>
    <w:rsid w:val="006B543B"/>
    <w:rsid w:val="006B7E54"/>
    <w:rsid w:val="006C0BD1"/>
    <w:rsid w:val="006C30C8"/>
    <w:rsid w:val="006C5139"/>
    <w:rsid w:val="006C69FC"/>
    <w:rsid w:val="006D069F"/>
    <w:rsid w:val="006D2C95"/>
    <w:rsid w:val="006D5F8F"/>
    <w:rsid w:val="006D6CEA"/>
    <w:rsid w:val="006E3B5C"/>
    <w:rsid w:val="006E3EB8"/>
    <w:rsid w:val="00707B1D"/>
    <w:rsid w:val="00710909"/>
    <w:rsid w:val="00716369"/>
    <w:rsid w:val="00723649"/>
    <w:rsid w:val="007265C3"/>
    <w:rsid w:val="00735F23"/>
    <w:rsid w:val="00740CEF"/>
    <w:rsid w:val="00742261"/>
    <w:rsid w:val="00752C5E"/>
    <w:rsid w:val="007531F9"/>
    <w:rsid w:val="00764378"/>
    <w:rsid w:val="0076591F"/>
    <w:rsid w:val="00766F0F"/>
    <w:rsid w:val="00773B9A"/>
    <w:rsid w:val="0077582F"/>
    <w:rsid w:val="007862C9"/>
    <w:rsid w:val="0079007B"/>
    <w:rsid w:val="007A0F22"/>
    <w:rsid w:val="007B5C1A"/>
    <w:rsid w:val="007C03A0"/>
    <w:rsid w:val="007C2BEF"/>
    <w:rsid w:val="007D3D77"/>
    <w:rsid w:val="007E157B"/>
    <w:rsid w:val="007E2EF7"/>
    <w:rsid w:val="007E4818"/>
    <w:rsid w:val="007E6A7E"/>
    <w:rsid w:val="007F33F3"/>
    <w:rsid w:val="007F6124"/>
    <w:rsid w:val="00801BDF"/>
    <w:rsid w:val="00802B86"/>
    <w:rsid w:val="0082514B"/>
    <w:rsid w:val="00830599"/>
    <w:rsid w:val="008334B0"/>
    <w:rsid w:val="0083496F"/>
    <w:rsid w:val="0083530F"/>
    <w:rsid w:val="00836468"/>
    <w:rsid w:val="00843492"/>
    <w:rsid w:val="00845F16"/>
    <w:rsid w:val="00852AF3"/>
    <w:rsid w:val="00856D2D"/>
    <w:rsid w:val="00856F2E"/>
    <w:rsid w:val="00867FFD"/>
    <w:rsid w:val="00871560"/>
    <w:rsid w:val="00872D54"/>
    <w:rsid w:val="00872F2D"/>
    <w:rsid w:val="0087585D"/>
    <w:rsid w:val="00880E22"/>
    <w:rsid w:val="00882B6F"/>
    <w:rsid w:val="008834AE"/>
    <w:rsid w:val="00885F4D"/>
    <w:rsid w:val="008962E2"/>
    <w:rsid w:val="008A74EF"/>
    <w:rsid w:val="008B0539"/>
    <w:rsid w:val="008B1C98"/>
    <w:rsid w:val="008B5ADF"/>
    <w:rsid w:val="008D0B3B"/>
    <w:rsid w:val="008D1450"/>
    <w:rsid w:val="008D2E66"/>
    <w:rsid w:val="008D56A5"/>
    <w:rsid w:val="008E1546"/>
    <w:rsid w:val="008E189F"/>
    <w:rsid w:val="008E24ED"/>
    <w:rsid w:val="008E40FE"/>
    <w:rsid w:val="008E57AC"/>
    <w:rsid w:val="008E6D3B"/>
    <w:rsid w:val="00906396"/>
    <w:rsid w:val="0090770A"/>
    <w:rsid w:val="00916E4D"/>
    <w:rsid w:val="00917A63"/>
    <w:rsid w:val="00923C36"/>
    <w:rsid w:val="00924B8E"/>
    <w:rsid w:val="00930024"/>
    <w:rsid w:val="009344DE"/>
    <w:rsid w:val="009357E5"/>
    <w:rsid w:val="00936087"/>
    <w:rsid w:val="00945D17"/>
    <w:rsid w:val="00965FBF"/>
    <w:rsid w:val="00973941"/>
    <w:rsid w:val="0097751F"/>
    <w:rsid w:val="00980255"/>
    <w:rsid w:val="009804FA"/>
    <w:rsid w:val="00985B78"/>
    <w:rsid w:val="0098649F"/>
    <w:rsid w:val="00993AFA"/>
    <w:rsid w:val="0099686E"/>
    <w:rsid w:val="00996DF2"/>
    <w:rsid w:val="009A41B0"/>
    <w:rsid w:val="009A4756"/>
    <w:rsid w:val="009A4C46"/>
    <w:rsid w:val="009A4DBF"/>
    <w:rsid w:val="009B3513"/>
    <w:rsid w:val="009B39EA"/>
    <w:rsid w:val="009D3FC3"/>
    <w:rsid w:val="009D433D"/>
    <w:rsid w:val="009D4484"/>
    <w:rsid w:val="009D5889"/>
    <w:rsid w:val="009D7755"/>
    <w:rsid w:val="009F1D20"/>
    <w:rsid w:val="00A00548"/>
    <w:rsid w:val="00A00713"/>
    <w:rsid w:val="00A00731"/>
    <w:rsid w:val="00A11A5C"/>
    <w:rsid w:val="00A22235"/>
    <w:rsid w:val="00A22F7B"/>
    <w:rsid w:val="00A23801"/>
    <w:rsid w:val="00A2554C"/>
    <w:rsid w:val="00A33652"/>
    <w:rsid w:val="00A3798C"/>
    <w:rsid w:val="00A42866"/>
    <w:rsid w:val="00A461C1"/>
    <w:rsid w:val="00A46B5C"/>
    <w:rsid w:val="00A50D6E"/>
    <w:rsid w:val="00A51DD8"/>
    <w:rsid w:val="00A647EA"/>
    <w:rsid w:val="00A736C6"/>
    <w:rsid w:val="00A82472"/>
    <w:rsid w:val="00A83F1F"/>
    <w:rsid w:val="00A8416F"/>
    <w:rsid w:val="00AA0223"/>
    <w:rsid w:val="00AB28B8"/>
    <w:rsid w:val="00AB3B77"/>
    <w:rsid w:val="00AC57B7"/>
    <w:rsid w:val="00AC73C5"/>
    <w:rsid w:val="00AC755C"/>
    <w:rsid w:val="00AD0E13"/>
    <w:rsid w:val="00AD5ABF"/>
    <w:rsid w:val="00AF45C5"/>
    <w:rsid w:val="00AF5667"/>
    <w:rsid w:val="00B05DD5"/>
    <w:rsid w:val="00B12477"/>
    <w:rsid w:val="00B13343"/>
    <w:rsid w:val="00B1354B"/>
    <w:rsid w:val="00B220B2"/>
    <w:rsid w:val="00B23942"/>
    <w:rsid w:val="00B32474"/>
    <w:rsid w:val="00B4327E"/>
    <w:rsid w:val="00B467A4"/>
    <w:rsid w:val="00B5286D"/>
    <w:rsid w:val="00B545BC"/>
    <w:rsid w:val="00B61032"/>
    <w:rsid w:val="00B61D2E"/>
    <w:rsid w:val="00B71854"/>
    <w:rsid w:val="00B71DA4"/>
    <w:rsid w:val="00B7235B"/>
    <w:rsid w:val="00B76348"/>
    <w:rsid w:val="00B81261"/>
    <w:rsid w:val="00B82556"/>
    <w:rsid w:val="00B87655"/>
    <w:rsid w:val="00B87801"/>
    <w:rsid w:val="00B92871"/>
    <w:rsid w:val="00B928DA"/>
    <w:rsid w:val="00BA5AC3"/>
    <w:rsid w:val="00BA630D"/>
    <w:rsid w:val="00BB06B4"/>
    <w:rsid w:val="00BB2551"/>
    <w:rsid w:val="00BB4892"/>
    <w:rsid w:val="00BB5E9B"/>
    <w:rsid w:val="00BC1A44"/>
    <w:rsid w:val="00BC5C37"/>
    <w:rsid w:val="00BC757B"/>
    <w:rsid w:val="00BC7ED2"/>
    <w:rsid w:val="00BD0190"/>
    <w:rsid w:val="00BE212E"/>
    <w:rsid w:val="00BE4AAB"/>
    <w:rsid w:val="00BE5086"/>
    <w:rsid w:val="00BF4971"/>
    <w:rsid w:val="00C07F40"/>
    <w:rsid w:val="00C12E85"/>
    <w:rsid w:val="00C16A79"/>
    <w:rsid w:val="00C20278"/>
    <w:rsid w:val="00C22791"/>
    <w:rsid w:val="00C236DC"/>
    <w:rsid w:val="00C31B7F"/>
    <w:rsid w:val="00C32F79"/>
    <w:rsid w:val="00C33FD2"/>
    <w:rsid w:val="00C35271"/>
    <w:rsid w:val="00C4036A"/>
    <w:rsid w:val="00C50E28"/>
    <w:rsid w:val="00C62934"/>
    <w:rsid w:val="00C64428"/>
    <w:rsid w:val="00C74D6F"/>
    <w:rsid w:val="00C842DE"/>
    <w:rsid w:val="00C902FB"/>
    <w:rsid w:val="00C965AE"/>
    <w:rsid w:val="00CA0AED"/>
    <w:rsid w:val="00CA66E6"/>
    <w:rsid w:val="00CC29DE"/>
    <w:rsid w:val="00CC3B64"/>
    <w:rsid w:val="00CD37C6"/>
    <w:rsid w:val="00CD3BA4"/>
    <w:rsid w:val="00CD41AA"/>
    <w:rsid w:val="00CD6943"/>
    <w:rsid w:val="00CE6C2F"/>
    <w:rsid w:val="00CE73CC"/>
    <w:rsid w:val="00CE7E9C"/>
    <w:rsid w:val="00CF2EF3"/>
    <w:rsid w:val="00CF3298"/>
    <w:rsid w:val="00D02F3B"/>
    <w:rsid w:val="00D0657B"/>
    <w:rsid w:val="00D129CB"/>
    <w:rsid w:val="00D16A04"/>
    <w:rsid w:val="00D27C17"/>
    <w:rsid w:val="00D41B89"/>
    <w:rsid w:val="00D47F27"/>
    <w:rsid w:val="00D5541F"/>
    <w:rsid w:val="00D57923"/>
    <w:rsid w:val="00D66387"/>
    <w:rsid w:val="00D741B6"/>
    <w:rsid w:val="00D74BD0"/>
    <w:rsid w:val="00D74FED"/>
    <w:rsid w:val="00D75A81"/>
    <w:rsid w:val="00D7761F"/>
    <w:rsid w:val="00D86806"/>
    <w:rsid w:val="00D86C35"/>
    <w:rsid w:val="00DB04FB"/>
    <w:rsid w:val="00DB6DFF"/>
    <w:rsid w:val="00DC003F"/>
    <w:rsid w:val="00DE72B3"/>
    <w:rsid w:val="00DF4668"/>
    <w:rsid w:val="00E00172"/>
    <w:rsid w:val="00E0533A"/>
    <w:rsid w:val="00E0701A"/>
    <w:rsid w:val="00E131D1"/>
    <w:rsid w:val="00E17AA0"/>
    <w:rsid w:val="00E2655B"/>
    <w:rsid w:val="00E311AB"/>
    <w:rsid w:val="00E358BF"/>
    <w:rsid w:val="00E36EC8"/>
    <w:rsid w:val="00E51146"/>
    <w:rsid w:val="00E512A9"/>
    <w:rsid w:val="00E54AF9"/>
    <w:rsid w:val="00E5624E"/>
    <w:rsid w:val="00E601D4"/>
    <w:rsid w:val="00E64C88"/>
    <w:rsid w:val="00E7179D"/>
    <w:rsid w:val="00E74832"/>
    <w:rsid w:val="00E81B04"/>
    <w:rsid w:val="00E820C5"/>
    <w:rsid w:val="00E87550"/>
    <w:rsid w:val="00E9413F"/>
    <w:rsid w:val="00E973D2"/>
    <w:rsid w:val="00EC7C64"/>
    <w:rsid w:val="00ED00D6"/>
    <w:rsid w:val="00EE26DC"/>
    <w:rsid w:val="00EE3FF1"/>
    <w:rsid w:val="00EE5816"/>
    <w:rsid w:val="00EF3D7E"/>
    <w:rsid w:val="00F03292"/>
    <w:rsid w:val="00F0565C"/>
    <w:rsid w:val="00F121AE"/>
    <w:rsid w:val="00F15852"/>
    <w:rsid w:val="00F23F4B"/>
    <w:rsid w:val="00F46C50"/>
    <w:rsid w:val="00F56CD7"/>
    <w:rsid w:val="00F60B61"/>
    <w:rsid w:val="00F66E89"/>
    <w:rsid w:val="00F67822"/>
    <w:rsid w:val="00F70621"/>
    <w:rsid w:val="00F74182"/>
    <w:rsid w:val="00F7607A"/>
    <w:rsid w:val="00F8517B"/>
    <w:rsid w:val="00F90250"/>
    <w:rsid w:val="00F91395"/>
    <w:rsid w:val="00F961D7"/>
    <w:rsid w:val="00F97A2B"/>
    <w:rsid w:val="00FA0CA3"/>
    <w:rsid w:val="00FA3BC5"/>
    <w:rsid w:val="00FA40FE"/>
    <w:rsid w:val="00FB08DC"/>
    <w:rsid w:val="00FB0D30"/>
    <w:rsid w:val="00FB1AE0"/>
    <w:rsid w:val="00FB34C2"/>
    <w:rsid w:val="00FB42F5"/>
    <w:rsid w:val="00FD76E1"/>
    <w:rsid w:val="00FE0970"/>
    <w:rsid w:val="00FF3F3A"/>
    <w:rsid w:val="00FF400F"/>
    <w:rsid w:val="01064C9A"/>
    <w:rsid w:val="013E61E2"/>
    <w:rsid w:val="014F4893"/>
    <w:rsid w:val="01541EA9"/>
    <w:rsid w:val="01580C56"/>
    <w:rsid w:val="01781929"/>
    <w:rsid w:val="01877B89"/>
    <w:rsid w:val="019E3125"/>
    <w:rsid w:val="019E4ED3"/>
    <w:rsid w:val="01D0068D"/>
    <w:rsid w:val="01D775B9"/>
    <w:rsid w:val="02026E30"/>
    <w:rsid w:val="020B6A0C"/>
    <w:rsid w:val="02132174"/>
    <w:rsid w:val="02186A33"/>
    <w:rsid w:val="0224187C"/>
    <w:rsid w:val="023130F5"/>
    <w:rsid w:val="024737BC"/>
    <w:rsid w:val="024C2B81"/>
    <w:rsid w:val="028604AE"/>
    <w:rsid w:val="029D33DC"/>
    <w:rsid w:val="02AD3196"/>
    <w:rsid w:val="02AE1145"/>
    <w:rsid w:val="02C44E0D"/>
    <w:rsid w:val="02DA63DE"/>
    <w:rsid w:val="02ED7EC0"/>
    <w:rsid w:val="03200295"/>
    <w:rsid w:val="03217B69"/>
    <w:rsid w:val="035E2B6B"/>
    <w:rsid w:val="0361440A"/>
    <w:rsid w:val="036D7252"/>
    <w:rsid w:val="03773C2D"/>
    <w:rsid w:val="03922815"/>
    <w:rsid w:val="03C350C4"/>
    <w:rsid w:val="03E2554B"/>
    <w:rsid w:val="03E868D9"/>
    <w:rsid w:val="03EA08A3"/>
    <w:rsid w:val="03F51722"/>
    <w:rsid w:val="03F62DA4"/>
    <w:rsid w:val="04066E90"/>
    <w:rsid w:val="045126D0"/>
    <w:rsid w:val="045D72C7"/>
    <w:rsid w:val="047A5783"/>
    <w:rsid w:val="04820ADC"/>
    <w:rsid w:val="0487418D"/>
    <w:rsid w:val="04893C18"/>
    <w:rsid w:val="049A7BD3"/>
    <w:rsid w:val="04B14F1D"/>
    <w:rsid w:val="04C17856"/>
    <w:rsid w:val="04F01EE9"/>
    <w:rsid w:val="04F574FF"/>
    <w:rsid w:val="04F72882"/>
    <w:rsid w:val="04FF212C"/>
    <w:rsid w:val="05235E1B"/>
    <w:rsid w:val="052D0A47"/>
    <w:rsid w:val="052E656D"/>
    <w:rsid w:val="053E0EA6"/>
    <w:rsid w:val="053E47A5"/>
    <w:rsid w:val="053F247C"/>
    <w:rsid w:val="05595CE0"/>
    <w:rsid w:val="057C377D"/>
    <w:rsid w:val="05812B41"/>
    <w:rsid w:val="05AA653C"/>
    <w:rsid w:val="05B52B42"/>
    <w:rsid w:val="05C72C4A"/>
    <w:rsid w:val="05CB2336"/>
    <w:rsid w:val="05D15877"/>
    <w:rsid w:val="05D215EF"/>
    <w:rsid w:val="05D2339D"/>
    <w:rsid w:val="05D37841"/>
    <w:rsid w:val="05DB04A3"/>
    <w:rsid w:val="05E530D0"/>
    <w:rsid w:val="06127C3D"/>
    <w:rsid w:val="061A4B24"/>
    <w:rsid w:val="06231E4A"/>
    <w:rsid w:val="06253E14"/>
    <w:rsid w:val="0633208D"/>
    <w:rsid w:val="06587D46"/>
    <w:rsid w:val="067032E2"/>
    <w:rsid w:val="067E3A29"/>
    <w:rsid w:val="06856661"/>
    <w:rsid w:val="069114AA"/>
    <w:rsid w:val="06AE7966"/>
    <w:rsid w:val="06B07B82"/>
    <w:rsid w:val="06DD649D"/>
    <w:rsid w:val="06EC66E0"/>
    <w:rsid w:val="06F04422"/>
    <w:rsid w:val="07020C1A"/>
    <w:rsid w:val="0709089A"/>
    <w:rsid w:val="071C5217"/>
    <w:rsid w:val="071D4AEC"/>
    <w:rsid w:val="07210A39"/>
    <w:rsid w:val="072242D3"/>
    <w:rsid w:val="072440CC"/>
    <w:rsid w:val="072720E1"/>
    <w:rsid w:val="072C25C9"/>
    <w:rsid w:val="0737795B"/>
    <w:rsid w:val="073F4A62"/>
    <w:rsid w:val="07442078"/>
    <w:rsid w:val="076C53FA"/>
    <w:rsid w:val="076D22AC"/>
    <w:rsid w:val="0784404A"/>
    <w:rsid w:val="078608E3"/>
    <w:rsid w:val="07941252"/>
    <w:rsid w:val="07A25DD3"/>
    <w:rsid w:val="07A64AE1"/>
    <w:rsid w:val="07B55348"/>
    <w:rsid w:val="07EA70C4"/>
    <w:rsid w:val="07F0083A"/>
    <w:rsid w:val="08687FE8"/>
    <w:rsid w:val="08935065"/>
    <w:rsid w:val="08997D8A"/>
    <w:rsid w:val="08A76D63"/>
    <w:rsid w:val="08AD2074"/>
    <w:rsid w:val="08BB45BC"/>
    <w:rsid w:val="08C6368D"/>
    <w:rsid w:val="08C63E95"/>
    <w:rsid w:val="08D306C7"/>
    <w:rsid w:val="08D538D0"/>
    <w:rsid w:val="08D77648"/>
    <w:rsid w:val="08E04023"/>
    <w:rsid w:val="08EE4992"/>
    <w:rsid w:val="09077801"/>
    <w:rsid w:val="091C32AD"/>
    <w:rsid w:val="09212671"/>
    <w:rsid w:val="0926010A"/>
    <w:rsid w:val="09664528"/>
    <w:rsid w:val="09970B85"/>
    <w:rsid w:val="09975029"/>
    <w:rsid w:val="09AC1C5B"/>
    <w:rsid w:val="09AD03A9"/>
    <w:rsid w:val="09CE174C"/>
    <w:rsid w:val="09E613EC"/>
    <w:rsid w:val="09EA6F07"/>
    <w:rsid w:val="09F23B8C"/>
    <w:rsid w:val="09FE29B2"/>
    <w:rsid w:val="0A1C108A"/>
    <w:rsid w:val="0A2148F3"/>
    <w:rsid w:val="0A391C3C"/>
    <w:rsid w:val="0A3D172D"/>
    <w:rsid w:val="0A3E680D"/>
    <w:rsid w:val="0A831432"/>
    <w:rsid w:val="0A9B6453"/>
    <w:rsid w:val="0AAB338B"/>
    <w:rsid w:val="0AAF1EFF"/>
    <w:rsid w:val="0ABF0394"/>
    <w:rsid w:val="0AD84599"/>
    <w:rsid w:val="0B05734A"/>
    <w:rsid w:val="0B0E131B"/>
    <w:rsid w:val="0B115FB9"/>
    <w:rsid w:val="0B1A381C"/>
    <w:rsid w:val="0B352404"/>
    <w:rsid w:val="0B386398"/>
    <w:rsid w:val="0B536D2E"/>
    <w:rsid w:val="0B5C2086"/>
    <w:rsid w:val="0B6727D9"/>
    <w:rsid w:val="0B674587"/>
    <w:rsid w:val="0B6B4077"/>
    <w:rsid w:val="0B6E5916"/>
    <w:rsid w:val="0B745622"/>
    <w:rsid w:val="0B76679F"/>
    <w:rsid w:val="0B7F5D75"/>
    <w:rsid w:val="0B9510F4"/>
    <w:rsid w:val="0BB24C22"/>
    <w:rsid w:val="0BE45BD8"/>
    <w:rsid w:val="0BF202F5"/>
    <w:rsid w:val="0BFE313E"/>
    <w:rsid w:val="0C02649C"/>
    <w:rsid w:val="0C0A3890"/>
    <w:rsid w:val="0C1E6205"/>
    <w:rsid w:val="0C28640C"/>
    <w:rsid w:val="0C3C5A14"/>
    <w:rsid w:val="0C41302A"/>
    <w:rsid w:val="0C5A4DAC"/>
    <w:rsid w:val="0C874EE1"/>
    <w:rsid w:val="0C8A677F"/>
    <w:rsid w:val="0CAA0BCF"/>
    <w:rsid w:val="0CC04897"/>
    <w:rsid w:val="0CD520F0"/>
    <w:rsid w:val="0CD67C16"/>
    <w:rsid w:val="0CD81BE1"/>
    <w:rsid w:val="0D0C53E6"/>
    <w:rsid w:val="0D1C7D1F"/>
    <w:rsid w:val="0D2210AE"/>
    <w:rsid w:val="0D2766C4"/>
    <w:rsid w:val="0D6B6E82"/>
    <w:rsid w:val="0D9D0734"/>
    <w:rsid w:val="0DA90E87"/>
    <w:rsid w:val="0DAF0B93"/>
    <w:rsid w:val="0DB241E0"/>
    <w:rsid w:val="0DB74AC1"/>
    <w:rsid w:val="0DC12F25"/>
    <w:rsid w:val="0DC14423"/>
    <w:rsid w:val="0DC83A03"/>
    <w:rsid w:val="0DCD1019"/>
    <w:rsid w:val="0DE10B00"/>
    <w:rsid w:val="0DEF71E2"/>
    <w:rsid w:val="0E0D58BA"/>
    <w:rsid w:val="0E0F1632"/>
    <w:rsid w:val="0E342E47"/>
    <w:rsid w:val="0E460DCC"/>
    <w:rsid w:val="0E464928"/>
    <w:rsid w:val="0E651252"/>
    <w:rsid w:val="0E653000"/>
    <w:rsid w:val="0E6D45AA"/>
    <w:rsid w:val="0E72396F"/>
    <w:rsid w:val="0E796AAB"/>
    <w:rsid w:val="0E7C0027"/>
    <w:rsid w:val="0E7F6315"/>
    <w:rsid w:val="0E92317E"/>
    <w:rsid w:val="0E9543D1"/>
    <w:rsid w:val="0EA33B28"/>
    <w:rsid w:val="0EB36461"/>
    <w:rsid w:val="0EB45D35"/>
    <w:rsid w:val="0EBD75FE"/>
    <w:rsid w:val="0EC817E1"/>
    <w:rsid w:val="0ECA5559"/>
    <w:rsid w:val="0ED53B2A"/>
    <w:rsid w:val="0EF600FC"/>
    <w:rsid w:val="0F096081"/>
    <w:rsid w:val="0F1B5913"/>
    <w:rsid w:val="0F2442A2"/>
    <w:rsid w:val="0F3D21CF"/>
    <w:rsid w:val="0F4C0664"/>
    <w:rsid w:val="0F5A5835"/>
    <w:rsid w:val="0F9D4A1B"/>
    <w:rsid w:val="0FA638D0"/>
    <w:rsid w:val="0FAB538A"/>
    <w:rsid w:val="0FD33C3D"/>
    <w:rsid w:val="0FE8213B"/>
    <w:rsid w:val="0FF52AA9"/>
    <w:rsid w:val="10047D52"/>
    <w:rsid w:val="10150A56"/>
    <w:rsid w:val="10240C99"/>
    <w:rsid w:val="102723E9"/>
    <w:rsid w:val="102B64CB"/>
    <w:rsid w:val="10446A30"/>
    <w:rsid w:val="107439CE"/>
    <w:rsid w:val="10823C88"/>
    <w:rsid w:val="1090632E"/>
    <w:rsid w:val="109220A6"/>
    <w:rsid w:val="109B71AD"/>
    <w:rsid w:val="10A92DD3"/>
    <w:rsid w:val="10AF4A06"/>
    <w:rsid w:val="10BD54A5"/>
    <w:rsid w:val="10C55FD8"/>
    <w:rsid w:val="10C85AC8"/>
    <w:rsid w:val="11036B00"/>
    <w:rsid w:val="11082369"/>
    <w:rsid w:val="11357D2A"/>
    <w:rsid w:val="113849FC"/>
    <w:rsid w:val="113A4C18"/>
    <w:rsid w:val="113D2012"/>
    <w:rsid w:val="11457119"/>
    <w:rsid w:val="1147614B"/>
    <w:rsid w:val="116E48C1"/>
    <w:rsid w:val="11785740"/>
    <w:rsid w:val="11845E93"/>
    <w:rsid w:val="11867E5D"/>
    <w:rsid w:val="11A2456B"/>
    <w:rsid w:val="11AE5258"/>
    <w:rsid w:val="11B12A00"/>
    <w:rsid w:val="11B30526"/>
    <w:rsid w:val="11DA1F57"/>
    <w:rsid w:val="11DF30C9"/>
    <w:rsid w:val="11FA6155"/>
    <w:rsid w:val="12130FC5"/>
    <w:rsid w:val="12371157"/>
    <w:rsid w:val="12483364"/>
    <w:rsid w:val="127001C5"/>
    <w:rsid w:val="12771554"/>
    <w:rsid w:val="127759F8"/>
    <w:rsid w:val="127A0C92"/>
    <w:rsid w:val="127F48AC"/>
    <w:rsid w:val="129E4D32"/>
    <w:rsid w:val="12AD766B"/>
    <w:rsid w:val="12B91B6C"/>
    <w:rsid w:val="12BA7692"/>
    <w:rsid w:val="12BC165D"/>
    <w:rsid w:val="12CC5D44"/>
    <w:rsid w:val="12DE7825"/>
    <w:rsid w:val="12E3308D"/>
    <w:rsid w:val="12EF558E"/>
    <w:rsid w:val="13021765"/>
    <w:rsid w:val="13037AFF"/>
    <w:rsid w:val="13453400"/>
    <w:rsid w:val="13456351"/>
    <w:rsid w:val="134C0C32"/>
    <w:rsid w:val="137B79E1"/>
    <w:rsid w:val="137D0DEC"/>
    <w:rsid w:val="13833F28"/>
    <w:rsid w:val="13A03104"/>
    <w:rsid w:val="13E470BD"/>
    <w:rsid w:val="13E62E35"/>
    <w:rsid w:val="14065285"/>
    <w:rsid w:val="14223741"/>
    <w:rsid w:val="143F42F3"/>
    <w:rsid w:val="144731A8"/>
    <w:rsid w:val="1457788F"/>
    <w:rsid w:val="14717C9A"/>
    <w:rsid w:val="147F2942"/>
    <w:rsid w:val="14AF7789"/>
    <w:rsid w:val="14BF5434"/>
    <w:rsid w:val="14BF71E2"/>
    <w:rsid w:val="14D50D33"/>
    <w:rsid w:val="14EF1875"/>
    <w:rsid w:val="14F50E56"/>
    <w:rsid w:val="150B1D24"/>
    <w:rsid w:val="151E65FF"/>
    <w:rsid w:val="152030DE"/>
    <w:rsid w:val="1537321C"/>
    <w:rsid w:val="154020D1"/>
    <w:rsid w:val="15681628"/>
    <w:rsid w:val="159D7523"/>
    <w:rsid w:val="15A840F3"/>
    <w:rsid w:val="15AA0E48"/>
    <w:rsid w:val="15C9656A"/>
    <w:rsid w:val="15FB249C"/>
    <w:rsid w:val="15FF3D3A"/>
    <w:rsid w:val="1602382A"/>
    <w:rsid w:val="16565924"/>
    <w:rsid w:val="16640041"/>
    <w:rsid w:val="16646293"/>
    <w:rsid w:val="1667601C"/>
    <w:rsid w:val="16685D83"/>
    <w:rsid w:val="167C182F"/>
    <w:rsid w:val="167D1103"/>
    <w:rsid w:val="167D2FDD"/>
    <w:rsid w:val="168B406D"/>
    <w:rsid w:val="169052DA"/>
    <w:rsid w:val="16AE5760"/>
    <w:rsid w:val="16AE750E"/>
    <w:rsid w:val="16B40FC8"/>
    <w:rsid w:val="16BE3BF5"/>
    <w:rsid w:val="16C46D32"/>
    <w:rsid w:val="16D84122"/>
    <w:rsid w:val="16E1737A"/>
    <w:rsid w:val="16E3540A"/>
    <w:rsid w:val="16E442B3"/>
    <w:rsid w:val="1711641B"/>
    <w:rsid w:val="1719707D"/>
    <w:rsid w:val="17215F32"/>
    <w:rsid w:val="172872C1"/>
    <w:rsid w:val="17457E73"/>
    <w:rsid w:val="174C1201"/>
    <w:rsid w:val="174F6F43"/>
    <w:rsid w:val="176821F4"/>
    <w:rsid w:val="17710C68"/>
    <w:rsid w:val="177C760C"/>
    <w:rsid w:val="177E1C86"/>
    <w:rsid w:val="179B7A92"/>
    <w:rsid w:val="17AD77C6"/>
    <w:rsid w:val="17BB1EE3"/>
    <w:rsid w:val="17CB7119"/>
    <w:rsid w:val="17D2722C"/>
    <w:rsid w:val="17FB49D5"/>
    <w:rsid w:val="18041ADC"/>
    <w:rsid w:val="1804388A"/>
    <w:rsid w:val="18253800"/>
    <w:rsid w:val="182E6B59"/>
    <w:rsid w:val="183C1099"/>
    <w:rsid w:val="187C5B16"/>
    <w:rsid w:val="188A2249"/>
    <w:rsid w:val="189246B5"/>
    <w:rsid w:val="18A706B9"/>
    <w:rsid w:val="18C272A1"/>
    <w:rsid w:val="18CB43A7"/>
    <w:rsid w:val="18D25736"/>
    <w:rsid w:val="18DA283C"/>
    <w:rsid w:val="18F733EE"/>
    <w:rsid w:val="18F90F15"/>
    <w:rsid w:val="19197809"/>
    <w:rsid w:val="192D6E10"/>
    <w:rsid w:val="1934019F"/>
    <w:rsid w:val="19373862"/>
    <w:rsid w:val="19516FA3"/>
    <w:rsid w:val="19520625"/>
    <w:rsid w:val="19526877"/>
    <w:rsid w:val="19570331"/>
    <w:rsid w:val="195E2798"/>
    <w:rsid w:val="19D2300F"/>
    <w:rsid w:val="1A0214BE"/>
    <w:rsid w:val="1A0E5C74"/>
    <w:rsid w:val="1A197394"/>
    <w:rsid w:val="1A352420"/>
    <w:rsid w:val="1A512FD2"/>
    <w:rsid w:val="1A574945"/>
    <w:rsid w:val="1A5D54D3"/>
    <w:rsid w:val="1A5F124B"/>
    <w:rsid w:val="1A6124EF"/>
    <w:rsid w:val="1A710493"/>
    <w:rsid w:val="1AB33908"/>
    <w:rsid w:val="1ADA2FC8"/>
    <w:rsid w:val="1AE259D8"/>
    <w:rsid w:val="1AE35507"/>
    <w:rsid w:val="1AEB2ADF"/>
    <w:rsid w:val="1B1738D4"/>
    <w:rsid w:val="1B3E3557"/>
    <w:rsid w:val="1B636B19"/>
    <w:rsid w:val="1B6805D3"/>
    <w:rsid w:val="1B7E1468"/>
    <w:rsid w:val="1B825739"/>
    <w:rsid w:val="1B83540D"/>
    <w:rsid w:val="1B9D13D0"/>
    <w:rsid w:val="1BA85854"/>
    <w:rsid w:val="1BC17CE4"/>
    <w:rsid w:val="1BCC0B62"/>
    <w:rsid w:val="1BDD4B1E"/>
    <w:rsid w:val="1BE718C7"/>
    <w:rsid w:val="1C146065"/>
    <w:rsid w:val="1C4032FE"/>
    <w:rsid w:val="1C406E5A"/>
    <w:rsid w:val="1C495921"/>
    <w:rsid w:val="1C744D56"/>
    <w:rsid w:val="1C7A6810"/>
    <w:rsid w:val="1C7B7E93"/>
    <w:rsid w:val="1C9C6787"/>
    <w:rsid w:val="1CA05B4B"/>
    <w:rsid w:val="1CA90EA4"/>
    <w:rsid w:val="1CAA6093"/>
    <w:rsid w:val="1CB3762C"/>
    <w:rsid w:val="1CBF0268"/>
    <w:rsid w:val="1CD770EC"/>
    <w:rsid w:val="1CE43C8A"/>
    <w:rsid w:val="1D183933"/>
    <w:rsid w:val="1D1B3B0E"/>
    <w:rsid w:val="1D210A3A"/>
    <w:rsid w:val="1D214EDE"/>
    <w:rsid w:val="1D266050"/>
    <w:rsid w:val="1D4A4435"/>
    <w:rsid w:val="1D524C10"/>
    <w:rsid w:val="1D61177E"/>
    <w:rsid w:val="1D7E7C3A"/>
    <w:rsid w:val="1D86436A"/>
    <w:rsid w:val="1D8D4321"/>
    <w:rsid w:val="1D9C27B6"/>
    <w:rsid w:val="1DAA4ED3"/>
    <w:rsid w:val="1DC53ABB"/>
    <w:rsid w:val="1DC835AB"/>
    <w:rsid w:val="1DE2466D"/>
    <w:rsid w:val="1E206F43"/>
    <w:rsid w:val="1E2F7187"/>
    <w:rsid w:val="1E340C41"/>
    <w:rsid w:val="1E401394"/>
    <w:rsid w:val="1E4E3AB1"/>
    <w:rsid w:val="1E51534F"/>
    <w:rsid w:val="1E5310C7"/>
    <w:rsid w:val="1E6908EA"/>
    <w:rsid w:val="1E766B63"/>
    <w:rsid w:val="1E9B2A6E"/>
    <w:rsid w:val="1EAC07D7"/>
    <w:rsid w:val="1EBA1146"/>
    <w:rsid w:val="1EC45B21"/>
    <w:rsid w:val="1EC73863"/>
    <w:rsid w:val="1ED63AA6"/>
    <w:rsid w:val="1EDF295B"/>
    <w:rsid w:val="1F046865"/>
    <w:rsid w:val="1F0A70F1"/>
    <w:rsid w:val="1F130856"/>
    <w:rsid w:val="1F1D16D5"/>
    <w:rsid w:val="1F4536E0"/>
    <w:rsid w:val="1F525822"/>
    <w:rsid w:val="1F58270D"/>
    <w:rsid w:val="1F5D7D23"/>
    <w:rsid w:val="1F5F1CED"/>
    <w:rsid w:val="1F7237CF"/>
    <w:rsid w:val="1F770DE5"/>
    <w:rsid w:val="1F8D0609"/>
    <w:rsid w:val="1FA96FA3"/>
    <w:rsid w:val="1FB82BC8"/>
    <w:rsid w:val="1FE31481"/>
    <w:rsid w:val="1FF11238"/>
    <w:rsid w:val="1FF468DA"/>
    <w:rsid w:val="200B6E05"/>
    <w:rsid w:val="200F101E"/>
    <w:rsid w:val="200F54C2"/>
    <w:rsid w:val="201B5C14"/>
    <w:rsid w:val="202D1DEC"/>
    <w:rsid w:val="2039253E"/>
    <w:rsid w:val="204607B7"/>
    <w:rsid w:val="204A02A8"/>
    <w:rsid w:val="204D7D98"/>
    <w:rsid w:val="205331F0"/>
    <w:rsid w:val="20631369"/>
    <w:rsid w:val="20690166"/>
    <w:rsid w:val="207B2DC6"/>
    <w:rsid w:val="20803CC9"/>
    <w:rsid w:val="209239FD"/>
    <w:rsid w:val="20B47E17"/>
    <w:rsid w:val="20DA3F99"/>
    <w:rsid w:val="20E71F9A"/>
    <w:rsid w:val="20E97AC1"/>
    <w:rsid w:val="20EA2A65"/>
    <w:rsid w:val="20EF2BFD"/>
    <w:rsid w:val="210112AE"/>
    <w:rsid w:val="212F12B7"/>
    <w:rsid w:val="214E2A84"/>
    <w:rsid w:val="21615DCD"/>
    <w:rsid w:val="21817CF9"/>
    <w:rsid w:val="21884BA0"/>
    <w:rsid w:val="219519F6"/>
    <w:rsid w:val="2197576F"/>
    <w:rsid w:val="219E6AFD"/>
    <w:rsid w:val="21A659B2"/>
    <w:rsid w:val="21B55BF5"/>
    <w:rsid w:val="21DE15EF"/>
    <w:rsid w:val="22105521"/>
    <w:rsid w:val="2217240B"/>
    <w:rsid w:val="222039B6"/>
    <w:rsid w:val="2228094B"/>
    <w:rsid w:val="222B5EB7"/>
    <w:rsid w:val="224A27E1"/>
    <w:rsid w:val="227635D6"/>
    <w:rsid w:val="22794E74"/>
    <w:rsid w:val="22AF6B26"/>
    <w:rsid w:val="22BB723B"/>
    <w:rsid w:val="22C87E24"/>
    <w:rsid w:val="22C95DFC"/>
    <w:rsid w:val="22EE06E2"/>
    <w:rsid w:val="22F84FC6"/>
    <w:rsid w:val="22FD3CF7"/>
    <w:rsid w:val="23131962"/>
    <w:rsid w:val="23250B58"/>
    <w:rsid w:val="23411E36"/>
    <w:rsid w:val="234D0B5D"/>
    <w:rsid w:val="235C6C70"/>
    <w:rsid w:val="23614286"/>
    <w:rsid w:val="23CC5B62"/>
    <w:rsid w:val="23CD510E"/>
    <w:rsid w:val="24170DE9"/>
    <w:rsid w:val="243472A5"/>
    <w:rsid w:val="2440076D"/>
    <w:rsid w:val="24482D50"/>
    <w:rsid w:val="24A563F4"/>
    <w:rsid w:val="24B228BF"/>
    <w:rsid w:val="24C15199"/>
    <w:rsid w:val="24CE288D"/>
    <w:rsid w:val="24EF7670"/>
    <w:rsid w:val="24F46A34"/>
    <w:rsid w:val="25034EC9"/>
    <w:rsid w:val="251946ED"/>
    <w:rsid w:val="25777D91"/>
    <w:rsid w:val="25781413"/>
    <w:rsid w:val="257858B7"/>
    <w:rsid w:val="258506D6"/>
    <w:rsid w:val="258B383C"/>
    <w:rsid w:val="259455FA"/>
    <w:rsid w:val="259719F3"/>
    <w:rsid w:val="25AB17E9"/>
    <w:rsid w:val="25AD5EB4"/>
    <w:rsid w:val="25BF5294"/>
    <w:rsid w:val="25C2759F"/>
    <w:rsid w:val="25C63DCF"/>
    <w:rsid w:val="25C74149"/>
    <w:rsid w:val="25DC7BF4"/>
    <w:rsid w:val="25DE267C"/>
    <w:rsid w:val="25E46AA9"/>
    <w:rsid w:val="25E66CC5"/>
    <w:rsid w:val="25FA62CC"/>
    <w:rsid w:val="26143832"/>
    <w:rsid w:val="262275D1"/>
    <w:rsid w:val="263712CE"/>
    <w:rsid w:val="264B4D7A"/>
    <w:rsid w:val="264D6D44"/>
    <w:rsid w:val="26644EA7"/>
    <w:rsid w:val="266A3452"/>
    <w:rsid w:val="26977FBF"/>
    <w:rsid w:val="26AA1AA0"/>
    <w:rsid w:val="26AF355A"/>
    <w:rsid w:val="26B50445"/>
    <w:rsid w:val="26CD1C32"/>
    <w:rsid w:val="26DA55FB"/>
    <w:rsid w:val="26DC11F6"/>
    <w:rsid w:val="26EC191F"/>
    <w:rsid w:val="26F251F5"/>
    <w:rsid w:val="270C62B7"/>
    <w:rsid w:val="271E5FEA"/>
    <w:rsid w:val="272F7095"/>
    <w:rsid w:val="276B56D3"/>
    <w:rsid w:val="276E687B"/>
    <w:rsid w:val="277125BE"/>
    <w:rsid w:val="27802801"/>
    <w:rsid w:val="278A123C"/>
    <w:rsid w:val="279F537D"/>
    <w:rsid w:val="27CB7F20"/>
    <w:rsid w:val="27D52B4D"/>
    <w:rsid w:val="27D843EB"/>
    <w:rsid w:val="27EE00B2"/>
    <w:rsid w:val="27FC457D"/>
    <w:rsid w:val="2802590C"/>
    <w:rsid w:val="280451E0"/>
    <w:rsid w:val="280E7BD2"/>
    <w:rsid w:val="28153891"/>
    <w:rsid w:val="28177609"/>
    <w:rsid w:val="281C077C"/>
    <w:rsid w:val="28245427"/>
    <w:rsid w:val="28247630"/>
    <w:rsid w:val="282615FA"/>
    <w:rsid w:val="283E4B96"/>
    <w:rsid w:val="28414686"/>
    <w:rsid w:val="2849353B"/>
    <w:rsid w:val="284D6B87"/>
    <w:rsid w:val="28550131"/>
    <w:rsid w:val="28612632"/>
    <w:rsid w:val="28757E8C"/>
    <w:rsid w:val="287E4F92"/>
    <w:rsid w:val="28822A17"/>
    <w:rsid w:val="28887BBF"/>
    <w:rsid w:val="28A349F9"/>
    <w:rsid w:val="28AB1AFF"/>
    <w:rsid w:val="28CB21A2"/>
    <w:rsid w:val="28E62B38"/>
    <w:rsid w:val="28F96D0F"/>
    <w:rsid w:val="290B7A2E"/>
    <w:rsid w:val="291955A7"/>
    <w:rsid w:val="292A6EC8"/>
    <w:rsid w:val="293B10D5"/>
    <w:rsid w:val="2944442E"/>
    <w:rsid w:val="294550C5"/>
    <w:rsid w:val="29493E9D"/>
    <w:rsid w:val="294D2BB7"/>
    <w:rsid w:val="294F2293"/>
    <w:rsid w:val="29606D8E"/>
    <w:rsid w:val="2964062C"/>
    <w:rsid w:val="29787C34"/>
    <w:rsid w:val="29927747"/>
    <w:rsid w:val="299B43C7"/>
    <w:rsid w:val="29A749BD"/>
    <w:rsid w:val="29C9048F"/>
    <w:rsid w:val="29CB06AB"/>
    <w:rsid w:val="2A0108B7"/>
    <w:rsid w:val="2A04596B"/>
    <w:rsid w:val="2A0E67EA"/>
    <w:rsid w:val="2A133E00"/>
    <w:rsid w:val="2A1536D4"/>
    <w:rsid w:val="2A1A0CEB"/>
    <w:rsid w:val="2A202079"/>
    <w:rsid w:val="2A30050E"/>
    <w:rsid w:val="2A3B6D1B"/>
    <w:rsid w:val="2A411154"/>
    <w:rsid w:val="2A506E02"/>
    <w:rsid w:val="2A526D38"/>
    <w:rsid w:val="2A677CA8"/>
    <w:rsid w:val="2A88659C"/>
    <w:rsid w:val="2A954815"/>
    <w:rsid w:val="2AD0584D"/>
    <w:rsid w:val="2AEE4B12"/>
    <w:rsid w:val="2AFE685E"/>
    <w:rsid w:val="2B027774"/>
    <w:rsid w:val="2B0D0850"/>
    <w:rsid w:val="2B116592"/>
    <w:rsid w:val="2B122D8D"/>
    <w:rsid w:val="2B193698"/>
    <w:rsid w:val="2B1C4F36"/>
    <w:rsid w:val="2B2160A9"/>
    <w:rsid w:val="2B3202B6"/>
    <w:rsid w:val="2B361B54"/>
    <w:rsid w:val="2B367DA6"/>
    <w:rsid w:val="2B400C25"/>
    <w:rsid w:val="2B4714A0"/>
    <w:rsid w:val="2B606BD1"/>
    <w:rsid w:val="2B6C5576"/>
    <w:rsid w:val="2B717030"/>
    <w:rsid w:val="2B74267D"/>
    <w:rsid w:val="2B93739B"/>
    <w:rsid w:val="2B994370"/>
    <w:rsid w:val="2BA50A88"/>
    <w:rsid w:val="2BB60EE7"/>
    <w:rsid w:val="2BC034DB"/>
    <w:rsid w:val="2BD819BD"/>
    <w:rsid w:val="2BEF4305"/>
    <w:rsid w:val="2C077995"/>
    <w:rsid w:val="2C235EB7"/>
    <w:rsid w:val="2C2B5431"/>
    <w:rsid w:val="2C3C763E"/>
    <w:rsid w:val="2C610E53"/>
    <w:rsid w:val="2C646B95"/>
    <w:rsid w:val="2C6646BB"/>
    <w:rsid w:val="2C83526D"/>
    <w:rsid w:val="2C9A0B92"/>
    <w:rsid w:val="2C9F3729"/>
    <w:rsid w:val="2CB73169"/>
    <w:rsid w:val="2CE47D2A"/>
    <w:rsid w:val="2CED0939"/>
    <w:rsid w:val="2CED6B8B"/>
    <w:rsid w:val="2CF27CFD"/>
    <w:rsid w:val="2CFA3055"/>
    <w:rsid w:val="2D012636"/>
    <w:rsid w:val="2D016C6B"/>
    <w:rsid w:val="2D0B5263"/>
    <w:rsid w:val="2D0D2D89"/>
    <w:rsid w:val="2D2B1461"/>
    <w:rsid w:val="2D2D1B91"/>
    <w:rsid w:val="2D404F0C"/>
    <w:rsid w:val="2D5B3AF4"/>
    <w:rsid w:val="2D8B36B2"/>
    <w:rsid w:val="2D8D7A26"/>
    <w:rsid w:val="2DA2135E"/>
    <w:rsid w:val="2DB9081B"/>
    <w:rsid w:val="2DCB70CE"/>
    <w:rsid w:val="2DCE2518"/>
    <w:rsid w:val="2DD218DC"/>
    <w:rsid w:val="2DDB69E3"/>
    <w:rsid w:val="2DEF7457"/>
    <w:rsid w:val="2E045F3A"/>
    <w:rsid w:val="2E093AD9"/>
    <w:rsid w:val="2E19750B"/>
    <w:rsid w:val="2E1B451A"/>
    <w:rsid w:val="2E2A34C6"/>
    <w:rsid w:val="2E426A62"/>
    <w:rsid w:val="2E6C48D9"/>
    <w:rsid w:val="2E786928"/>
    <w:rsid w:val="2E864BA1"/>
    <w:rsid w:val="2E8F4F19"/>
    <w:rsid w:val="2EA63495"/>
    <w:rsid w:val="2EB57234"/>
    <w:rsid w:val="2ED7364E"/>
    <w:rsid w:val="2EF35FAE"/>
    <w:rsid w:val="2EFA6A37"/>
    <w:rsid w:val="2F167CA6"/>
    <w:rsid w:val="2F196260"/>
    <w:rsid w:val="2F1A353B"/>
    <w:rsid w:val="2F452CAE"/>
    <w:rsid w:val="2F542EF1"/>
    <w:rsid w:val="2F5D70AC"/>
    <w:rsid w:val="2F8A3A5F"/>
    <w:rsid w:val="2F8B61E7"/>
    <w:rsid w:val="2F9E5F1A"/>
    <w:rsid w:val="2FA36C75"/>
    <w:rsid w:val="2FA84FEB"/>
    <w:rsid w:val="2FBE036A"/>
    <w:rsid w:val="302428C3"/>
    <w:rsid w:val="30297EDA"/>
    <w:rsid w:val="302C5C1C"/>
    <w:rsid w:val="303074BA"/>
    <w:rsid w:val="30405223"/>
    <w:rsid w:val="305F2F17"/>
    <w:rsid w:val="306929CC"/>
    <w:rsid w:val="306B405E"/>
    <w:rsid w:val="306C7DC6"/>
    <w:rsid w:val="307F1BC0"/>
    <w:rsid w:val="30832D34"/>
    <w:rsid w:val="30872E52"/>
    <w:rsid w:val="308C4B30"/>
    <w:rsid w:val="30A75681"/>
    <w:rsid w:val="30C714A1"/>
    <w:rsid w:val="30E958BB"/>
    <w:rsid w:val="30F41419"/>
    <w:rsid w:val="30FC114A"/>
    <w:rsid w:val="310D77FB"/>
    <w:rsid w:val="310E0E7D"/>
    <w:rsid w:val="314A68DF"/>
    <w:rsid w:val="31523460"/>
    <w:rsid w:val="315620B8"/>
    <w:rsid w:val="316311C9"/>
    <w:rsid w:val="316B2774"/>
    <w:rsid w:val="317F1D7B"/>
    <w:rsid w:val="31841AC8"/>
    <w:rsid w:val="31A737AC"/>
    <w:rsid w:val="31A83080"/>
    <w:rsid w:val="31A87524"/>
    <w:rsid w:val="31B00187"/>
    <w:rsid w:val="31CB6D6E"/>
    <w:rsid w:val="31D200FD"/>
    <w:rsid w:val="31E64732"/>
    <w:rsid w:val="31EA5447"/>
    <w:rsid w:val="32140715"/>
    <w:rsid w:val="32230959"/>
    <w:rsid w:val="323C423F"/>
    <w:rsid w:val="324059AE"/>
    <w:rsid w:val="326351F9"/>
    <w:rsid w:val="327D078A"/>
    <w:rsid w:val="3284589B"/>
    <w:rsid w:val="32933D30"/>
    <w:rsid w:val="32B1065A"/>
    <w:rsid w:val="32B31CDC"/>
    <w:rsid w:val="32B85C87"/>
    <w:rsid w:val="32C75788"/>
    <w:rsid w:val="32CC7242"/>
    <w:rsid w:val="32E165BD"/>
    <w:rsid w:val="32FA3DAF"/>
    <w:rsid w:val="334F40FB"/>
    <w:rsid w:val="33641229"/>
    <w:rsid w:val="337B243F"/>
    <w:rsid w:val="338673F1"/>
    <w:rsid w:val="339D48A3"/>
    <w:rsid w:val="33BF2903"/>
    <w:rsid w:val="33CF6FEA"/>
    <w:rsid w:val="33EA3E24"/>
    <w:rsid w:val="33F64577"/>
    <w:rsid w:val="33FB1B8D"/>
    <w:rsid w:val="34056568"/>
    <w:rsid w:val="34525525"/>
    <w:rsid w:val="345B262C"/>
    <w:rsid w:val="346040E6"/>
    <w:rsid w:val="34945B3E"/>
    <w:rsid w:val="34A0589E"/>
    <w:rsid w:val="34A67F96"/>
    <w:rsid w:val="34B0508B"/>
    <w:rsid w:val="34B1049E"/>
    <w:rsid w:val="34DF440A"/>
    <w:rsid w:val="34E502E4"/>
    <w:rsid w:val="34F605A6"/>
    <w:rsid w:val="350031D3"/>
    <w:rsid w:val="350A581B"/>
    <w:rsid w:val="352275ED"/>
    <w:rsid w:val="352E7D40"/>
    <w:rsid w:val="35426A60"/>
    <w:rsid w:val="35571045"/>
    <w:rsid w:val="35586B6B"/>
    <w:rsid w:val="355A1520"/>
    <w:rsid w:val="355E7319"/>
    <w:rsid w:val="35690D78"/>
    <w:rsid w:val="35CE6E2D"/>
    <w:rsid w:val="35DB7EC8"/>
    <w:rsid w:val="35DE1947"/>
    <w:rsid w:val="35EE2046"/>
    <w:rsid w:val="35F41640"/>
    <w:rsid w:val="362A0508"/>
    <w:rsid w:val="36392E40"/>
    <w:rsid w:val="36394BEF"/>
    <w:rsid w:val="364652E8"/>
    <w:rsid w:val="36603F29"/>
    <w:rsid w:val="36653C36"/>
    <w:rsid w:val="366A4DA8"/>
    <w:rsid w:val="36897924"/>
    <w:rsid w:val="369116D0"/>
    <w:rsid w:val="36941E25"/>
    <w:rsid w:val="3699568D"/>
    <w:rsid w:val="369F7E9A"/>
    <w:rsid w:val="36B67FED"/>
    <w:rsid w:val="36C46BAE"/>
    <w:rsid w:val="36CC15BF"/>
    <w:rsid w:val="36D3294D"/>
    <w:rsid w:val="370E607B"/>
    <w:rsid w:val="37112969"/>
    <w:rsid w:val="37180CA8"/>
    <w:rsid w:val="372907BF"/>
    <w:rsid w:val="37294C63"/>
    <w:rsid w:val="373830F8"/>
    <w:rsid w:val="374D6BA3"/>
    <w:rsid w:val="375647D6"/>
    <w:rsid w:val="376932B2"/>
    <w:rsid w:val="377A726D"/>
    <w:rsid w:val="377E4FAF"/>
    <w:rsid w:val="37893954"/>
    <w:rsid w:val="37971BCD"/>
    <w:rsid w:val="37A75B88"/>
    <w:rsid w:val="37D921E5"/>
    <w:rsid w:val="37F92887"/>
    <w:rsid w:val="37FC2378"/>
    <w:rsid w:val="380C2A2C"/>
    <w:rsid w:val="384B3FA8"/>
    <w:rsid w:val="3854528C"/>
    <w:rsid w:val="38565141"/>
    <w:rsid w:val="38602906"/>
    <w:rsid w:val="389F176C"/>
    <w:rsid w:val="38A00F55"/>
    <w:rsid w:val="38B95B73"/>
    <w:rsid w:val="38C509BB"/>
    <w:rsid w:val="38CF183A"/>
    <w:rsid w:val="38E30E42"/>
    <w:rsid w:val="38EF5A38"/>
    <w:rsid w:val="38F33028"/>
    <w:rsid w:val="39036257"/>
    <w:rsid w:val="390F1199"/>
    <w:rsid w:val="39367F12"/>
    <w:rsid w:val="3942025E"/>
    <w:rsid w:val="394538AA"/>
    <w:rsid w:val="39495149"/>
    <w:rsid w:val="394D5E49"/>
    <w:rsid w:val="39553AED"/>
    <w:rsid w:val="3986014B"/>
    <w:rsid w:val="39993E51"/>
    <w:rsid w:val="39AD02F7"/>
    <w:rsid w:val="39B5458C"/>
    <w:rsid w:val="39B60304"/>
    <w:rsid w:val="39DA2245"/>
    <w:rsid w:val="39DA3FF3"/>
    <w:rsid w:val="39DF3CFF"/>
    <w:rsid w:val="39E81075"/>
    <w:rsid w:val="39F71049"/>
    <w:rsid w:val="3A013C75"/>
    <w:rsid w:val="3A12378C"/>
    <w:rsid w:val="3A2B6F44"/>
    <w:rsid w:val="3A322081"/>
    <w:rsid w:val="3A331955"/>
    <w:rsid w:val="3A361B71"/>
    <w:rsid w:val="3A456E52"/>
    <w:rsid w:val="3A463AB7"/>
    <w:rsid w:val="3A4B6C9E"/>
    <w:rsid w:val="3A631110"/>
    <w:rsid w:val="3A7C32FC"/>
    <w:rsid w:val="3A854074"/>
    <w:rsid w:val="3AC70A1B"/>
    <w:rsid w:val="3AD66EB0"/>
    <w:rsid w:val="3AEA64B7"/>
    <w:rsid w:val="3AF92B9E"/>
    <w:rsid w:val="3AFA0DF0"/>
    <w:rsid w:val="3B236ECD"/>
    <w:rsid w:val="3B337E5E"/>
    <w:rsid w:val="3B343BD6"/>
    <w:rsid w:val="3B3C653D"/>
    <w:rsid w:val="3B497682"/>
    <w:rsid w:val="3B49769C"/>
    <w:rsid w:val="3B53405D"/>
    <w:rsid w:val="3B691AD2"/>
    <w:rsid w:val="3B6E533A"/>
    <w:rsid w:val="3B7F0C6A"/>
    <w:rsid w:val="3B7F30A4"/>
    <w:rsid w:val="3B8561E0"/>
    <w:rsid w:val="3B8B1A48"/>
    <w:rsid w:val="3B9A415A"/>
    <w:rsid w:val="3BA2244B"/>
    <w:rsid w:val="3BB07701"/>
    <w:rsid w:val="3BB2349B"/>
    <w:rsid w:val="3BB32D4D"/>
    <w:rsid w:val="3BB865B6"/>
    <w:rsid w:val="3BBF7944"/>
    <w:rsid w:val="3BC82C9D"/>
    <w:rsid w:val="3BEE1F9C"/>
    <w:rsid w:val="3C0D4B53"/>
    <w:rsid w:val="3C2105FF"/>
    <w:rsid w:val="3C372D23"/>
    <w:rsid w:val="3C447E49"/>
    <w:rsid w:val="3C4B380F"/>
    <w:rsid w:val="3C4F6F1A"/>
    <w:rsid w:val="3C511E12"/>
    <w:rsid w:val="3C5F2ED5"/>
    <w:rsid w:val="3C97441D"/>
    <w:rsid w:val="3CA408E8"/>
    <w:rsid w:val="3CA64660"/>
    <w:rsid w:val="3CBD0327"/>
    <w:rsid w:val="3CC14C1F"/>
    <w:rsid w:val="3CC316B6"/>
    <w:rsid w:val="3CD0758C"/>
    <w:rsid w:val="3CDE6FFD"/>
    <w:rsid w:val="3CE55188"/>
    <w:rsid w:val="3CF56BC9"/>
    <w:rsid w:val="3D0A4BEF"/>
    <w:rsid w:val="3D121CF5"/>
    <w:rsid w:val="3D1F37E4"/>
    <w:rsid w:val="3D211F38"/>
    <w:rsid w:val="3D235CB1"/>
    <w:rsid w:val="3D31113A"/>
    <w:rsid w:val="3D37175C"/>
    <w:rsid w:val="3D695DB9"/>
    <w:rsid w:val="3D762284"/>
    <w:rsid w:val="3D7D3613"/>
    <w:rsid w:val="3D864BBD"/>
    <w:rsid w:val="3DDD67A7"/>
    <w:rsid w:val="3DE23DBE"/>
    <w:rsid w:val="3E09294E"/>
    <w:rsid w:val="3E1A70B4"/>
    <w:rsid w:val="3E330175"/>
    <w:rsid w:val="3E655E3A"/>
    <w:rsid w:val="3E667746"/>
    <w:rsid w:val="3E885B96"/>
    <w:rsid w:val="3E8E35FE"/>
    <w:rsid w:val="3E99447C"/>
    <w:rsid w:val="3EB43064"/>
    <w:rsid w:val="3EB92D70"/>
    <w:rsid w:val="3EBA7B5C"/>
    <w:rsid w:val="3ECD4126"/>
    <w:rsid w:val="3EF1250A"/>
    <w:rsid w:val="3F0C66A8"/>
    <w:rsid w:val="3F1541F4"/>
    <w:rsid w:val="3F163D1F"/>
    <w:rsid w:val="3F281CA4"/>
    <w:rsid w:val="3F2B709E"/>
    <w:rsid w:val="3F4500E9"/>
    <w:rsid w:val="3F450160"/>
    <w:rsid w:val="3F4C14EF"/>
    <w:rsid w:val="3F692622"/>
    <w:rsid w:val="3F7153F9"/>
    <w:rsid w:val="3F720A50"/>
    <w:rsid w:val="3F917849"/>
    <w:rsid w:val="3F9B0612"/>
    <w:rsid w:val="3F9D1D4A"/>
    <w:rsid w:val="3FA241A2"/>
    <w:rsid w:val="3FAA4467"/>
    <w:rsid w:val="3FAC01DF"/>
    <w:rsid w:val="3FB4343D"/>
    <w:rsid w:val="3FD85478"/>
    <w:rsid w:val="4012098A"/>
    <w:rsid w:val="40155D85"/>
    <w:rsid w:val="403A57EB"/>
    <w:rsid w:val="404B3E9C"/>
    <w:rsid w:val="4061546E"/>
    <w:rsid w:val="40763B34"/>
    <w:rsid w:val="4079067E"/>
    <w:rsid w:val="4093139F"/>
    <w:rsid w:val="409343AF"/>
    <w:rsid w:val="409A0980"/>
    <w:rsid w:val="40AC655D"/>
    <w:rsid w:val="40BE01CA"/>
    <w:rsid w:val="40D75730"/>
    <w:rsid w:val="40E63BC5"/>
    <w:rsid w:val="40FA4F7A"/>
    <w:rsid w:val="41362456"/>
    <w:rsid w:val="413C37E5"/>
    <w:rsid w:val="41487F61"/>
    <w:rsid w:val="414A5F02"/>
    <w:rsid w:val="415648A7"/>
    <w:rsid w:val="415A71E1"/>
    <w:rsid w:val="41630D72"/>
    <w:rsid w:val="416D399E"/>
    <w:rsid w:val="419B675D"/>
    <w:rsid w:val="419E7FFC"/>
    <w:rsid w:val="419F484B"/>
    <w:rsid w:val="41AA69A0"/>
    <w:rsid w:val="41B15F81"/>
    <w:rsid w:val="41C31810"/>
    <w:rsid w:val="41E225DE"/>
    <w:rsid w:val="41F8595E"/>
    <w:rsid w:val="420C600C"/>
    <w:rsid w:val="42100EF9"/>
    <w:rsid w:val="4214206C"/>
    <w:rsid w:val="421B164C"/>
    <w:rsid w:val="422246E7"/>
    <w:rsid w:val="422B5D33"/>
    <w:rsid w:val="42312D26"/>
    <w:rsid w:val="423E39B5"/>
    <w:rsid w:val="42454372"/>
    <w:rsid w:val="42573796"/>
    <w:rsid w:val="426E5C20"/>
    <w:rsid w:val="42786A9F"/>
    <w:rsid w:val="428561C6"/>
    <w:rsid w:val="428B67D2"/>
    <w:rsid w:val="428E0070"/>
    <w:rsid w:val="42943344"/>
    <w:rsid w:val="42975177"/>
    <w:rsid w:val="42C615B8"/>
    <w:rsid w:val="42D77C69"/>
    <w:rsid w:val="42FC322C"/>
    <w:rsid w:val="43046BE3"/>
    <w:rsid w:val="43171E14"/>
    <w:rsid w:val="4329542D"/>
    <w:rsid w:val="43484F88"/>
    <w:rsid w:val="43505326"/>
    <w:rsid w:val="435C1F1C"/>
    <w:rsid w:val="437216C9"/>
    <w:rsid w:val="4385588B"/>
    <w:rsid w:val="4387343D"/>
    <w:rsid w:val="43882D11"/>
    <w:rsid w:val="43884ABF"/>
    <w:rsid w:val="43911BC6"/>
    <w:rsid w:val="43972F54"/>
    <w:rsid w:val="439E42E3"/>
    <w:rsid w:val="43A124B3"/>
    <w:rsid w:val="43A538C3"/>
    <w:rsid w:val="43B753A5"/>
    <w:rsid w:val="43BB4E95"/>
    <w:rsid w:val="43C55D14"/>
    <w:rsid w:val="43D85A47"/>
    <w:rsid w:val="43DE0B83"/>
    <w:rsid w:val="43E97C54"/>
    <w:rsid w:val="43F839F3"/>
    <w:rsid w:val="44022AC4"/>
    <w:rsid w:val="44044A8E"/>
    <w:rsid w:val="44236B1E"/>
    <w:rsid w:val="44244662"/>
    <w:rsid w:val="444158E6"/>
    <w:rsid w:val="44564BBE"/>
    <w:rsid w:val="44641089"/>
    <w:rsid w:val="446948F1"/>
    <w:rsid w:val="44C11AA6"/>
    <w:rsid w:val="44D04970"/>
    <w:rsid w:val="44D426B2"/>
    <w:rsid w:val="44E346A3"/>
    <w:rsid w:val="44E67CEF"/>
    <w:rsid w:val="44EE4DF6"/>
    <w:rsid w:val="44F3240C"/>
    <w:rsid w:val="45110AAC"/>
    <w:rsid w:val="451231DA"/>
    <w:rsid w:val="45123CB8"/>
    <w:rsid w:val="451A208F"/>
    <w:rsid w:val="45294080"/>
    <w:rsid w:val="45350C77"/>
    <w:rsid w:val="45415D40"/>
    <w:rsid w:val="45435142"/>
    <w:rsid w:val="45451DF1"/>
    <w:rsid w:val="45490111"/>
    <w:rsid w:val="455530C7"/>
    <w:rsid w:val="45570447"/>
    <w:rsid w:val="4565330A"/>
    <w:rsid w:val="45682DFA"/>
    <w:rsid w:val="45723C79"/>
    <w:rsid w:val="457378F7"/>
    <w:rsid w:val="459B6D2C"/>
    <w:rsid w:val="45DB537A"/>
    <w:rsid w:val="45DE130F"/>
    <w:rsid w:val="45E00BE3"/>
    <w:rsid w:val="45EF3280"/>
    <w:rsid w:val="45F43872"/>
    <w:rsid w:val="460D5750"/>
    <w:rsid w:val="46113492"/>
    <w:rsid w:val="461B3AA5"/>
    <w:rsid w:val="462C5BD6"/>
    <w:rsid w:val="462E5DF2"/>
    <w:rsid w:val="46362EF9"/>
    <w:rsid w:val="464C0026"/>
    <w:rsid w:val="46590D6C"/>
    <w:rsid w:val="465E4A23"/>
    <w:rsid w:val="4672304E"/>
    <w:rsid w:val="46843C64"/>
    <w:rsid w:val="469F45FA"/>
    <w:rsid w:val="46A460B4"/>
    <w:rsid w:val="46AF05B5"/>
    <w:rsid w:val="46D30747"/>
    <w:rsid w:val="46E14C12"/>
    <w:rsid w:val="470D3C59"/>
    <w:rsid w:val="472B1462"/>
    <w:rsid w:val="473B0E1B"/>
    <w:rsid w:val="473F27FF"/>
    <w:rsid w:val="476017C6"/>
    <w:rsid w:val="476B0980"/>
    <w:rsid w:val="476F66C2"/>
    <w:rsid w:val="47745A86"/>
    <w:rsid w:val="477A0BC3"/>
    <w:rsid w:val="47811F51"/>
    <w:rsid w:val="47833F1C"/>
    <w:rsid w:val="478E2D76"/>
    <w:rsid w:val="47A65E5C"/>
    <w:rsid w:val="47AB6FCE"/>
    <w:rsid w:val="47B71E17"/>
    <w:rsid w:val="47E67FE2"/>
    <w:rsid w:val="47F0014A"/>
    <w:rsid w:val="481903DC"/>
    <w:rsid w:val="486C0E54"/>
    <w:rsid w:val="48740AF8"/>
    <w:rsid w:val="487B247F"/>
    <w:rsid w:val="48907EB9"/>
    <w:rsid w:val="48B56357"/>
    <w:rsid w:val="48B955C2"/>
    <w:rsid w:val="48B9571B"/>
    <w:rsid w:val="48BA396D"/>
    <w:rsid w:val="48F30C2D"/>
    <w:rsid w:val="48F86243"/>
    <w:rsid w:val="490177EE"/>
    <w:rsid w:val="49025314"/>
    <w:rsid w:val="490270C2"/>
    <w:rsid w:val="490D6193"/>
    <w:rsid w:val="490E1F0B"/>
    <w:rsid w:val="492B090F"/>
    <w:rsid w:val="4932003B"/>
    <w:rsid w:val="49382AE4"/>
    <w:rsid w:val="49417BEA"/>
    <w:rsid w:val="4968786D"/>
    <w:rsid w:val="496F0BFB"/>
    <w:rsid w:val="49734B65"/>
    <w:rsid w:val="49843F7B"/>
    <w:rsid w:val="498E0956"/>
    <w:rsid w:val="49911DC2"/>
    <w:rsid w:val="499A718B"/>
    <w:rsid w:val="49B52386"/>
    <w:rsid w:val="49DF11B1"/>
    <w:rsid w:val="49EC3FFA"/>
    <w:rsid w:val="49F72751"/>
    <w:rsid w:val="4A1B668D"/>
    <w:rsid w:val="4A1E3C56"/>
    <w:rsid w:val="4A1E617D"/>
    <w:rsid w:val="4A280647"/>
    <w:rsid w:val="4A3B69AF"/>
    <w:rsid w:val="4A421E6C"/>
    <w:rsid w:val="4A730023"/>
    <w:rsid w:val="4A803980"/>
    <w:rsid w:val="4A8833F8"/>
    <w:rsid w:val="4A8A619F"/>
    <w:rsid w:val="4AA2290B"/>
    <w:rsid w:val="4AD46AF0"/>
    <w:rsid w:val="4ADF76BB"/>
    <w:rsid w:val="4AE1272C"/>
    <w:rsid w:val="4AF64A04"/>
    <w:rsid w:val="4B125FF6"/>
    <w:rsid w:val="4B1355B6"/>
    <w:rsid w:val="4B2B2900"/>
    <w:rsid w:val="4B3F45FD"/>
    <w:rsid w:val="4B4614E8"/>
    <w:rsid w:val="4B6C4CC7"/>
    <w:rsid w:val="4B7D0C82"/>
    <w:rsid w:val="4B8057E5"/>
    <w:rsid w:val="4B893ACB"/>
    <w:rsid w:val="4B8B339F"/>
    <w:rsid w:val="4B92472D"/>
    <w:rsid w:val="4BA97CC9"/>
    <w:rsid w:val="4BD016F9"/>
    <w:rsid w:val="4BF47196"/>
    <w:rsid w:val="4C0575F5"/>
    <w:rsid w:val="4C0D46FC"/>
    <w:rsid w:val="4C231829"/>
    <w:rsid w:val="4C2B503E"/>
    <w:rsid w:val="4C312198"/>
    <w:rsid w:val="4C3253A4"/>
    <w:rsid w:val="4C481290"/>
    <w:rsid w:val="4C5C4D3B"/>
    <w:rsid w:val="4C63273B"/>
    <w:rsid w:val="4C787DC7"/>
    <w:rsid w:val="4C8449BE"/>
    <w:rsid w:val="4C987D10"/>
    <w:rsid w:val="4CA94424"/>
    <w:rsid w:val="4CAA3CF8"/>
    <w:rsid w:val="4CBE77A4"/>
    <w:rsid w:val="4CC56D84"/>
    <w:rsid w:val="4CD62D3F"/>
    <w:rsid w:val="4CE0771A"/>
    <w:rsid w:val="4CF051AC"/>
    <w:rsid w:val="4D057181"/>
    <w:rsid w:val="4D0C050F"/>
    <w:rsid w:val="4D275349"/>
    <w:rsid w:val="4D331F40"/>
    <w:rsid w:val="4D3B0DF4"/>
    <w:rsid w:val="4D7F6F33"/>
    <w:rsid w:val="4D8409ED"/>
    <w:rsid w:val="4D9549A9"/>
    <w:rsid w:val="4D9D16E6"/>
    <w:rsid w:val="4DB017E2"/>
    <w:rsid w:val="4DB82445"/>
    <w:rsid w:val="4DC25072"/>
    <w:rsid w:val="4DC96400"/>
    <w:rsid w:val="4DE106CB"/>
    <w:rsid w:val="4DEB281B"/>
    <w:rsid w:val="4E10402F"/>
    <w:rsid w:val="4E121B55"/>
    <w:rsid w:val="4E2B2C17"/>
    <w:rsid w:val="4E505C68"/>
    <w:rsid w:val="4E573A0C"/>
    <w:rsid w:val="4E5C1022"/>
    <w:rsid w:val="4E760336"/>
    <w:rsid w:val="4E7C16C5"/>
    <w:rsid w:val="4EAC6FD6"/>
    <w:rsid w:val="4EB250E6"/>
    <w:rsid w:val="4EBE1CDD"/>
    <w:rsid w:val="4EC05A55"/>
    <w:rsid w:val="4ECA0682"/>
    <w:rsid w:val="4ECD0674"/>
    <w:rsid w:val="4EE47996"/>
    <w:rsid w:val="4EE74D90"/>
    <w:rsid w:val="4EEF633A"/>
    <w:rsid w:val="4EFB083B"/>
    <w:rsid w:val="4F1D6A04"/>
    <w:rsid w:val="4F2935FA"/>
    <w:rsid w:val="4F495A4B"/>
    <w:rsid w:val="4F587A3C"/>
    <w:rsid w:val="4F6C6BDA"/>
    <w:rsid w:val="4F7E394E"/>
    <w:rsid w:val="4F7F2029"/>
    <w:rsid w:val="4F870321"/>
    <w:rsid w:val="4F9071D6"/>
    <w:rsid w:val="4F9547EC"/>
    <w:rsid w:val="4FE6773D"/>
    <w:rsid w:val="4FF43AC5"/>
    <w:rsid w:val="4FF77255"/>
    <w:rsid w:val="4FFE4A87"/>
    <w:rsid w:val="50000824"/>
    <w:rsid w:val="50025BF9"/>
    <w:rsid w:val="50106568"/>
    <w:rsid w:val="501222E0"/>
    <w:rsid w:val="501F0559"/>
    <w:rsid w:val="5023629C"/>
    <w:rsid w:val="503A5393"/>
    <w:rsid w:val="503F29AA"/>
    <w:rsid w:val="5043249A"/>
    <w:rsid w:val="505521CD"/>
    <w:rsid w:val="50827466"/>
    <w:rsid w:val="50A078EC"/>
    <w:rsid w:val="50B679A2"/>
    <w:rsid w:val="50D21A70"/>
    <w:rsid w:val="50D457E8"/>
    <w:rsid w:val="50D75B0C"/>
    <w:rsid w:val="50FB4B23"/>
    <w:rsid w:val="510D4856"/>
    <w:rsid w:val="51163F32"/>
    <w:rsid w:val="51183927"/>
    <w:rsid w:val="51226553"/>
    <w:rsid w:val="514E7348"/>
    <w:rsid w:val="51516E38"/>
    <w:rsid w:val="5180327A"/>
    <w:rsid w:val="519A433C"/>
    <w:rsid w:val="51AE366B"/>
    <w:rsid w:val="51D823BF"/>
    <w:rsid w:val="51DF0427"/>
    <w:rsid w:val="51E67581"/>
    <w:rsid w:val="51F83758"/>
    <w:rsid w:val="520B3E30"/>
    <w:rsid w:val="521A547C"/>
    <w:rsid w:val="521F6F37"/>
    <w:rsid w:val="5246001F"/>
    <w:rsid w:val="52972F71"/>
    <w:rsid w:val="529F5E1B"/>
    <w:rsid w:val="52B0193D"/>
    <w:rsid w:val="52B633F7"/>
    <w:rsid w:val="52BC29D7"/>
    <w:rsid w:val="52C8312A"/>
    <w:rsid w:val="52DB5A27"/>
    <w:rsid w:val="52DD4E28"/>
    <w:rsid w:val="52DE4AD3"/>
    <w:rsid w:val="52E70521"/>
    <w:rsid w:val="52FB52AE"/>
    <w:rsid w:val="52FE08FA"/>
    <w:rsid w:val="530F78E8"/>
    <w:rsid w:val="531F04EC"/>
    <w:rsid w:val="532145E9"/>
    <w:rsid w:val="53220A8C"/>
    <w:rsid w:val="532E2213"/>
    <w:rsid w:val="533026AA"/>
    <w:rsid w:val="53473396"/>
    <w:rsid w:val="53487DC7"/>
    <w:rsid w:val="534C78B7"/>
    <w:rsid w:val="534D3630"/>
    <w:rsid w:val="53807561"/>
    <w:rsid w:val="5382152B"/>
    <w:rsid w:val="538708F0"/>
    <w:rsid w:val="538E7D0E"/>
    <w:rsid w:val="53A56FC8"/>
    <w:rsid w:val="53B4545D"/>
    <w:rsid w:val="53B8319F"/>
    <w:rsid w:val="53DF24DA"/>
    <w:rsid w:val="53F65A75"/>
    <w:rsid w:val="53FB308C"/>
    <w:rsid w:val="5416466D"/>
    <w:rsid w:val="541A1764"/>
    <w:rsid w:val="542F214A"/>
    <w:rsid w:val="54302D35"/>
    <w:rsid w:val="54316AAD"/>
    <w:rsid w:val="543640C4"/>
    <w:rsid w:val="543A3BB4"/>
    <w:rsid w:val="54640C31"/>
    <w:rsid w:val="54661645"/>
    <w:rsid w:val="547F3CBD"/>
    <w:rsid w:val="54AA0D3A"/>
    <w:rsid w:val="54AB6860"/>
    <w:rsid w:val="54BB2F47"/>
    <w:rsid w:val="54BE216E"/>
    <w:rsid w:val="54BF40B9"/>
    <w:rsid w:val="54D73AF9"/>
    <w:rsid w:val="54D933CD"/>
    <w:rsid w:val="54DF37FA"/>
    <w:rsid w:val="550D2661"/>
    <w:rsid w:val="550F3292"/>
    <w:rsid w:val="552A3C28"/>
    <w:rsid w:val="55563AD1"/>
    <w:rsid w:val="555D2250"/>
    <w:rsid w:val="557430F6"/>
    <w:rsid w:val="558722C8"/>
    <w:rsid w:val="55AC6D33"/>
    <w:rsid w:val="55AD03B6"/>
    <w:rsid w:val="55BD221A"/>
    <w:rsid w:val="55C027DF"/>
    <w:rsid w:val="55CE2806"/>
    <w:rsid w:val="55D63DB0"/>
    <w:rsid w:val="55DB3175"/>
    <w:rsid w:val="55EE4C56"/>
    <w:rsid w:val="55F61D5C"/>
    <w:rsid w:val="56051FA0"/>
    <w:rsid w:val="56222B52"/>
    <w:rsid w:val="562A1B91"/>
    <w:rsid w:val="562B40FC"/>
    <w:rsid w:val="562B5B9A"/>
    <w:rsid w:val="56331D5B"/>
    <w:rsid w:val="5637484F"/>
    <w:rsid w:val="5640122A"/>
    <w:rsid w:val="56570A4D"/>
    <w:rsid w:val="565E627F"/>
    <w:rsid w:val="56867F50"/>
    <w:rsid w:val="568A7075"/>
    <w:rsid w:val="56AB7BA5"/>
    <w:rsid w:val="56AF3861"/>
    <w:rsid w:val="56B85264"/>
    <w:rsid w:val="56C43C09"/>
    <w:rsid w:val="56CA56C3"/>
    <w:rsid w:val="56CF0F2B"/>
    <w:rsid w:val="56DC53F6"/>
    <w:rsid w:val="56F55B47"/>
    <w:rsid w:val="571406EC"/>
    <w:rsid w:val="5714693E"/>
    <w:rsid w:val="573A37A0"/>
    <w:rsid w:val="573F67D1"/>
    <w:rsid w:val="575C2093"/>
    <w:rsid w:val="576D604E"/>
    <w:rsid w:val="57706229"/>
    <w:rsid w:val="578C2978"/>
    <w:rsid w:val="57BE4AFC"/>
    <w:rsid w:val="57C17BF5"/>
    <w:rsid w:val="57C2639A"/>
    <w:rsid w:val="57CE11E3"/>
    <w:rsid w:val="57CF2865"/>
    <w:rsid w:val="57E07028"/>
    <w:rsid w:val="57E207EA"/>
    <w:rsid w:val="57EC78BB"/>
    <w:rsid w:val="57F549C2"/>
    <w:rsid w:val="580764A3"/>
    <w:rsid w:val="580A7D41"/>
    <w:rsid w:val="58260F8E"/>
    <w:rsid w:val="582C5F09"/>
    <w:rsid w:val="586C6306"/>
    <w:rsid w:val="58737694"/>
    <w:rsid w:val="587F072F"/>
    <w:rsid w:val="58BA1767"/>
    <w:rsid w:val="59091DA7"/>
    <w:rsid w:val="59215342"/>
    <w:rsid w:val="5928001D"/>
    <w:rsid w:val="592941F7"/>
    <w:rsid w:val="592A3C50"/>
    <w:rsid w:val="594026BD"/>
    <w:rsid w:val="594340A3"/>
    <w:rsid w:val="59460076"/>
    <w:rsid w:val="59515D8A"/>
    <w:rsid w:val="595C637A"/>
    <w:rsid w:val="5960477C"/>
    <w:rsid w:val="596B66F6"/>
    <w:rsid w:val="596C2A61"/>
    <w:rsid w:val="596F6178"/>
    <w:rsid w:val="597E2795"/>
    <w:rsid w:val="599D5A50"/>
    <w:rsid w:val="59A5674B"/>
    <w:rsid w:val="59AD4E28"/>
    <w:rsid w:val="59BD150F"/>
    <w:rsid w:val="59BE0DE3"/>
    <w:rsid w:val="59C53F20"/>
    <w:rsid w:val="59D535F0"/>
    <w:rsid w:val="5A0228E9"/>
    <w:rsid w:val="5A146C55"/>
    <w:rsid w:val="5A151F73"/>
    <w:rsid w:val="5A252C10"/>
    <w:rsid w:val="5A582FE6"/>
    <w:rsid w:val="5A93401E"/>
    <w:rsid w:val="5AA77AC9"/>
    <w:rsid w:val="5AA91A93"/>
    <w:rsid w:val="5ABE4B07"/>
    <w:rsid w:val="5AC266B1"/>
    <w:rsid w:val="5AEE74A6"/>
    <w:rsid w:val="5AFA409D"/>
    <w:rsid w:val="5AFA5E4B"/>
    <w:rsid w:val="5B307ABF"/>
    <w:rsid w:val="5B321A89"/>
    <w:rsid w:val="5B32273E"/>
    <w:rsid w:val="5B353327"/>
    <w:rsid w:val="5B386973"/>
    <w:rsid w:val="5B4602DF"/>
    <w:rsid w:val="5B4A6DD2"/>
    <w:rsid w:val="5B55545B"/>
    <w:rsid w:val="5B57329D"/>
    <w:rsid w:val="5B6F6839"/>
    <w:rsid w:val="5B751975"/>
    <w:rsid w:val="5B765E19"/>
    <w:rsid w:val="5B8147BE"/>
    <w:rsid w:val="5B920779"/>
    <w:rsid w:val="5B977B3E"/>
    <w:rsid w:val="5BAB5397"/>
    <w:rsid w:val="5BB74B2C"/>
    <w:rsid w:val="5BBB382C"/>
    <w:rsid w:val="5BCC1E57"/>
    <w:rsid w:val="5BD41E6E"/>
    <w:rsid w:val="5BEA2363"/>
    <w:rsid w:val="5BEA5EBF"/>
    <w:rsid w:val="5BF64864"/>
    <w:rsid w:val="5C2C64D8"/>
    <w:rsid w:val="5C3A6E47"/>
    <w:rsid w:val="5C3B1922"/>
    <w:rsid w:val="5C537F09"/>
    <w:rsid w:val="5C5477DD"/>
    <w:rsid w:val="5C553A5A"/>
    <w:rsid w:val="5C5E2B95"/>
    <w:rsid w:val="5C9A5B38"/>
    <w:rsid w:val="5C9C18B0"/>
    <w:rsid w:val="5CA17B70"/>
    <w:rsid w:val="5CA40764"/>
    <w:rsid w:val="5CAB5170"/>
    <w:rsid w:val="5CBD5382"/>
    <w:rsid w:val="5CD32DF8"/>
    <w:rsid w:val="5CE62B2B"/>
    <w:rsid w:val="5D0C07A2"/>
    <w:rsid w:val="5D257A20"/>
    <w:rsid w:val="5D290C69"/>
    <w:rsid w:val="5DA0717E"/>
    <w:rsid w:val="5DB42C29"/>
    <w:rsid w:val="5DBD1FCA"/>
    <w:rsid w:val="5DD15589"/>
    <w:rsid w:val="5DD24E5D"/>
    <w:rsid w:val="5DEF65CC"/>
    <w:rsid w:val="5E192A8C"/>
    <w:rsid w:val="5E1C432A"/>
    <w:rsid w:val="5E257683"/>
    <w:rsid w:val="5E282CCF"/>
    <w:rsid w:val="5E4D0988"/>
    <w:rsid w:val="5E510478"/>
    <w:rsid w:val="5E714676"/>
    <w:rsid w:val="5E8425FB"/>
    <w:rsid w:val="5E8C6F99"/>
    <w:rsid w:val="5E8E347A"/>
    <w:rsid w:val="5EA70098"/>
    <w:rsid w:val="5ECF75EF"/>
    <w:rsid w:val="5ED54C05"/>
    <w:rsid w:val="5EF2352E"/>
    <w:rsid w:val="5EF57055"/>
    <w:rsid w:val="5EF763C6"/>
    <w:rsid w:val="5F08322C"/>
    <w:rsid w:val="5F261904"/>
    <w:rsid w:val="5F4E6765"/>
    <w:rsid w:val="5F5D7160"/>
    <w:rsid w:val="5F7206A6"/>
    <w:rsid w:val="5F7408C2"/>
    <w:rsid w:val="5F887EC9"/>
    <w:rsid w:val="5F893C41"/>
    <w:rsid w:val="5F8B79B9"/>
    <w:rsid w:val="5FB23198"/>
    <w:rsid w:val="5FD70E51"/>
    <w:rsid w:val="5FEF7F48"/>
    <w:rsid w:val="5FF217E7"/>
    <w:rsid w:val="5FF27A39"/>
    <w:rsid w:val="5FF76DFD"/>
    <w:rsid w:val="5FFE1F39"/>
    <w:rsid w:val="60060FEE"/>
    <w:rsid w:val="602A0F80"/>
    <w:rsid w:val="60462E90"/>
    <w:rsid w:val="60536729"/>
    <w:rsid w:val="608368E3"/>
    <w:rsid w:val="608F7035"/>
    <w:rsid w:val="60A30D33"/>
    <w:rsid w:val="60A96349"/>
    <w:rsid w:val="60C2740B"/>
    <w:rsid w:val="60D64C64"/>
    <w:rsid w:val="60D94755"/>
    <w:rsid w:val="60F021CA"/>
    <w:rsid w:val="610B5DEA"/>
    <w:rsid w:val="611834CF"/>
    <w:rsid w:val="61530A39"/>
    <w:rsid w:val="61637D56"/>
    <w:rsid w:val="6183303E"/>
    <w:rsid w:val="61923281"/>
    <w:rsid w:val="61AC3CD1"/>
    <w:rsid w:val="61B054B5"/>
    <w:rsid w:val="61FA4982"/>
    <w:rsid w:val="61FE695C"/>
    <w:rsid w:val="621912AD"/>
    <w:rsid w:val="621C6FEF"/>
    <w:rsid w:val="623076A4"/>
    <w:rsid w:val="62326812"/>
    <w:rsid w:val="62392C11"/>
    <w:rsid w:val="623C31ED"/>
    <w:rsid w:val="62571DD5"/>
    <w:rsid w:val="625B7377"/>
    <w:rsid w:val="627673E2"/>
    <w:rsid w:val="6278019C"/>
    <w:rsid w:val="6285420B"/>
    <w:rsid w:val="628C1A7E"/>
    <w:rsid w:val="629B7F14"/>
    <w:rsid w:val="62A96AD4"/>
    <w:rsid w:val="62B2525D"/>
    <w:rsid w:val="62B66AFB"/>
    <w:rsid w:val="62C0797A"/>
    <w:rsid w:val="62FB09B2"/>
    <w:rsid w:val="62FB4E56"/>
    <w:rsid w:val="62FE04A2"/>
    <w:rsid w:val="631D29EB"/>
    <w:rsid w:val="633C6169"/>
    <w:rsid w:val="63500CFE"/>
    <w:rsid w:val="637A3FCD"/>
    <w:rsid w:val="63822EAD"/>
    <w:rsid w:val="63B70D7D"/>
    <w:rsid w:val="63D23E09"/>
    <w:rsid w:val="63E234B7"/>
    <w:rsid w:val="63F773CC"/>
    <w:rsid w:val="64047D3A"/>
    <w:rsid w:val="64300F47"/>
    <w:rsid w:val="64483336"/>
    <w:rsid w:val="644F0FB6"/>
    <w:rsid w:val="645E38EF"/>
    <w:rsid w:val="646C600B"/>
    <w:rsid w:val="64942E6C"/>
    <w:rsid w:val="64AC6408"/>
    <w:rsid w:val="64AE53F9"/>
    <w:rsid w:val="64D63485"/>
    <w:rsid w:val="6500647B"/>
    <w:rsid w:val="65085608"/>
    <w:rsid w:val="65091AAC"/>
    <w:rsid w:val="65110961"/>
    <w:rsid w:val="6518767F"/>
    <w:rsid w:val="65237AC1"/>
    <w:rsid w:val="653603C7"/>
    <w:rsid w:val="65362175"/>
    <w:rsid w:val="656767D3"/>
    <w:rsid w:val="65801643"/>
    <w:rsid w:val="6598698C"/>
    <w:rsid w:val="65A13CC9"/>
    <w:rsid w:val="65E120E1"/>
    <w:rsid w:val="660D737A"/>
    <w:rsid w:val="661A38C3"/>
    <w:rsid w:val="661E2CB4"/>
    <w:rsid w:val="6632293D"/>
    <w:rsid w:val="664E603D"/>
    <w:rsid w:val="664F349C"/>
    <w:rsid w:val="665135D2"/>
    <w:rsid w:val="6659611C"/>
    <w:rsid w:val="666F1DE3"/>
    <w:rsid w:val="66A870A3"/>
    <w:rsid w:val="66AC748B"/>
    <w:rsid w:val="66AD46B9"/>
    <w:rsid w:val="66C1550E"/>
    <w:rsid w:val="66C739CD"/>
    <w:rsid w:val="66CD4D5B"/>
    <w:rsid w:val="66D96271"/>
    <w:rsid w:val="66DD6797"/>
    <w:rsid w:val="66F66060"/>
    <w:rsid w:val="66F67E0E"/>
    <w:rsid w:val="670818F0"/>
    <w:rsid w:val="671D183F"/>
    <w:rsid w:val="67293782"/>
    <w:rsid w:val="673646AF"/>
    <w:rsid w:val="675114E9"/>
    <w:rsid w:val="675863D3"/>
    <w:rsid w:val="678708EC"/>
    <w:rsid w:val="679703E1"/>
    <w:rsid w:val="67A17496"/>
    <w:rsid w:val="67A965FC"/>
    <w:rsid w:val="67D839B8"/>
    <w:rsid w:val="68182006"/>
    <w:rsid w:val="681C1AF7"/>
    <w:rsid w:val="683926A8"/>
    <w:rsid w:val="685272C6"/>
    <w:rsid w:val="68537CAF"/>
    <w:rsid w:val="685F3791"/>
    <w:rsid w:val="68725BBA"/>
    <w:rsid w:val="68757459"/>
    <w:rsid w:val="687A4A6F"/>
    <w:rsid w:val="688C5099"/>
    <w:rsid w:val="68953657"/>
    <w:rsid w:val="68B735CD"/>
    <w:rsid w:val="68C1444C"/>
    <w:rsid w:val="68C36416"/>
    <w:rsid w:val="68E51EE8"/>
    <w:rsid w:val="68EA5751"/>
    <w:rsid w:val="68F570FB"/>
    <w:rsid w:val="68F95994"/>
    <w:rsid w:val="691C2678"/>
    <w:rsid w:val="69227DA0"/>
    <w:rsid w:val="69456E2B"/>
    <w:rsid w:val="69470DF5"/>
    <w:rsid w:val="69531548"/>
    <w:rsid w:val="696F3EA8"/>
    <w:rsid w:val="69731BEA"/>
    <w:rsid w:val="69765236"/>
    <w:rsid w:val="69790883"/>
    <w:rsid w:val="697A2F79"/>
    <w:rsid w:val="69935DE8"/>
    <w:rsid w:val="69A47FF6"/>
    <w:rsid w:val="69A87C65"/>
    <w:rsid w:val="69EE301F"/>
    <w:rsid w:val="69FA19C4"/>
    <w:rsid w:val="69FB1963"/>
    <w:rsid w:val="6A5D1F52"/>
    <w:rsid w:val="6A7C062B"/>
    <w:rsid w:val="6AA25BA0"/>
    <w:rsid w:val="6AA3205B"/>
    <w:rsid w:val="6AAB0F10"/>
    <w:rsid w:val="6AAD2EDA"/>
    <w:rsid w:val="6AB8548E"/>
    <w:rsid w:val="6ABC577D"/>
    <w:rsid w:val="6ACD70D8"/>
    <w:rsid w:val="6AE12B83"/>
    <w:rsid w:val="6AE42367"/>
    <w:rsid w:val="6AFE7291"/>
    <w:rsid w:val="6B054AC4"/>
    <w:rsid w:val="6B106FC5"/>
    <w:rsid w:val="6B225676"/>
    <w:rsid w:val="6B3A462E"/>
    <w:rsid w:val="6B422808"/>
    <w:rsid w:val="6B474C31"/>
    <w:rsid w:val="6B476E8A"/>
    <w:rsid w:val="6B4B5217"/>
    <w:rsid w:val="6B680BAF"/>
    <w:rsid w:val="6B8A1717"/>
    <w:rsid w:val="6B8C6F93"/>
    <w:rsid w:val="6BA37E39"/>
    <w:rsid w:val="6BC56001"/>
    <w:rsid w:val="6BCC7390"/>
    <w:rsid w:val="6BD36970"/>
    <w:rsid w:val="6BD526E8"/>
    <w:rsid w:val="6C092392"/>
    <w:rsid w:val="6C17069E"/>
    <w:rsid w:val="6C2225DD"/>
    <w:rsid w:val="6C2830FF"/>
    <w:rsid w:val="6C5850C7"/>
    <w:rsid w:val="6C6B0957"/>
    <w:rsid w:val="6C832144"/>
    <w:rsid w:val="6C89702F"/>
    <w:rsid w:val="6C9C18EB"/>
    <w:rsid w:val="6CCD7863"/>
    <w:rsid w:val="6CD504C6"/>
    <w:rsid w:val="6CD52274"/>
    <w:rsid w:val="6CDD364E"/>
    <w:rsid w:val="6CF46B9E"/>
    <w:rsid w:val="6CF92406"/>
    <w:rsid w:val="6CFC3CA5"/>
    <w:rsid w:val="6D147240"/>
    <w:rsid w:val="6D156B14"/>
    <w:rsid w:val="6D196605"/>
    <w:rsid w:val="6D21370B"/>
    <w:rsid w:val="6D3B18E0"/>
    <w:rsid w:val="6D3B18E9"/>
    <w:rsid w:val="6D57537F"/>
    <w:rsid w:val="6D6C42DF"/>
    <w:rsid w:val="6D77332B"/>
    <w:rsid w:val="6D800432"/>
    <w:rsid w:val="6D940381"/>
    <w:rsid w:val="6D9C3AFC"/>
    <w:rsid w:val="6DAC1227"/>
    <w:rsid w:val="6DBA02B8"/>
    <w:rsid w:val="6DBB76BC"/>
    <w:rsid w:val="6DD469CF"/>
    <w:rsid w:val="6E2273DF"/>
    <w:rsid w:val="6E22773B"/>
    <w:rsid w:val="6E25722B"/>
    <w:rsid w:val="6E2A4841"/>
    <w:rsid w:val="6E443B55"/>
    <w:rsid w:val="6E4E0530"/>
    <w:rsid w:val="6E5B2C4D"/>
    <w:rsid w:val="6E5F44EB"/>
    <w:rsid w:val="6E6164B5"/>
    <w:rsid w:val="6E6236E7"/>
    <w:rsid w:val="6E6935BC"/>
    <w:rsid w:val="6E91041D"/>
    <w:rsid w:val="6E9F4B86"/>
    <w:rsid w:val="6EB02F99"/>
    <w:rsid w:val="6EB8556A"/>
    <w:rsid w:val="6EBC36EB"/>
    <w:rsid w:val="6EDC5B3C"/>
    <w:rsid w:val="6EDE1649"/>
    <w:rsid w:val="6EEE586F"/>
    <w:rsid w:val="6F064E06"/>
    <w:rsid w:val="6F094457"/>
    <w:rsid w:val="6F155FCF"/>
    <w:rsid w:val="6F176B74"/>
    <w:rsid w:val="6F360C58"/>
    <w:rsid w:val="6F636421"/>
    <w:rsid w:val="6F6B5112"/>
    <w:rsid w:val="6F6E6EC3"/>
    <w:rsid w:val="6F7264A0"/>
    <w:rsid w:val="6F765F90"/>
    <w:rsid w:val="6F9401C4"/>
    <w:rsid w:val="6FB915A7"/>
    <w:rsid w:val="6FBD3BBF"/>
    <w:rsid w:val="6FC14D32"/>
    <w:rsid w:val="6FCD1928"/>
    <w:rsid w:val="6FD902CD"/>
    <w:rsid w:val="6FDE58E3"/>
    <w:rsid w:val="6FE61F3E"/>
    <w:rsid w:val="6FF9428D"/>
    <w:rsid w:val="70161521"/>
    <w:rsid w:val="702F613F"/>
    <w:rsid w:val="703244E4"/>
    <w:rsid w:val="705636CC"/>
    <w:rsid w:val="70D31B19"/>
    <w:rsid w:val="70FD0CB3"/>
    <w:rsid w:val="711E0B5E"/>
    <w:rsid w:val="712A5284"/>
    <w:rsid w:val="7130216F"/>
    <w:rsid w:val="713C4FB8"/>
    <w:rsid w:val="71687AE4"/>
    <w:rsid w:val="718F158B"/>
    <w:rsid w:val="71A004FF"/>
    <w:rsid w:val="71C50B09"/>
    <w:rsid w:val="71C8684B"/>
    <w:rsid w:val="71DC40A5"/>
    <w:rsid w:val="71E03B95"/>
    <w:rsid w:val="71E116BB"/>
    <w:rsid w:val="71F615DC"/>
    <w:rsid w:val="71FE04BF"/>
    <w:rsid w:val="720F7FD6"/>
    <w:rsid w:val="72121874"/>
    <w:rsid w:val="7229553C"/>
    <w:rsid w:val="72323CC5"/>
    <w:rsid w:val="724B2077"/>
    <w:rsid w:val="72691DDC"/>
    <w:rsid w:val="726F4F19"/>
    <w:rsid w:val="726F7FB0"/>
    <w:rsid w:val="72A46970"/>
    <w:rsid w:val="72B50B7E"/>
    <w:rsid w:val="72BB015E"/>
    <w:rsid w:val="72C139C6"/>
    <w:rsid w:val="72C62D8B"/>
    <w:rsid w:val="72D57833"/>
    <w:rsid w:val="72DC25AE"/>
    <w:rsid w:val="72FC49FE"/>
    <w:rsid w:val="732E0930"/>
    <w:rsid w:val="73335F46"/>
    <w:rsid w:val="73373C88"/>
    <w:rsid w:val="733E4E7F"/>
    <w:rsid w:val="7358775B"/>
    <w:rsid w:val="735C7C30"/>
    <w:rsid w:val="73634FBB"/>
    <w:rsid w:val="73661E78"/>
    <w:rsid w:val="73697BBA"/>
    <w:rsid w:val="73775E2C"/>
    <w:rsid w:val="738A025C"/>
    <w:rsid w:val="73B61051"/>
    <w:rsid w:val="73BB6668"/>
    <w:rsid w:val="73C365CB"/>
    <w:rsid w:val="73E95EE8"/>
    <w:rsid w:val="73EA4857"/>
    <w:rsid w:val="73F6144E"/>
    <w:rsid w:val="73F97190"/>
    <w:rsid w:val="74085625"/>
    <w:rsid w:val="74185868"/>
    <w:rsid w:val="742023C5"/>
    <w:rsid w:val="744C3764"/>
    <w:rsid w:val="744E13C7"/>
    <w:rsid w:val="74534AF2"/>
    <w:rsid w:val="74766D79"/>
    <w:rsid w:val="747E57F8"/>
    <w:rsid w:val="748D1686"/>
    <w:rsid w:val="74F040EF"/>
    <w:rsid w:val="751122B7"/>
    <w:rsid w:val="75157FF9"/>
    <w:rsid w:val="75360DBC"/>
    <w:rsid w:val="75387844"/>
    <w:rsid w:val="756920F3"/>
    <w:rsid w:val="756B5E6B"/>
    <w:rsid w:val="756D0E75"/>
    <w:rsid w:val="756D573F"/>
    <w:rsid w:val="75866801"/>
    <w:rsid w:val="758807CB"/>
    <w:rsid w:val="759F78C3"/>
    <w:rsid w:val="75BA64AB"/>
    <w:rsid w:val="75E35A02"/>
    <w:rsid w:val="75EA3234"/>
    <w:rsid w:val="762027B2"/>
    <w:rsid w:val="7630676D"/>
    <w:rsid w:val="76312C11"/>
    <w:rsid w:val="763224E5"/>
    <w:rsid w:val="76361FD5"/>
    <w:rsid w:val="76505878"/>
    <w:rsid w:val="767945B8"/>
    <w:rsid w:val="76794AF8"/>
    <w:rsid w:val="76850C08"/>
    <w:rsid w:val="76AE1106"/>
    <w:rsid w:val="76BB24DB"/>
    <w:rsid w:val="76C84BF7"/>
    <w:rsid w:val="76D11CFE"/>
    <w:rsid w:val="76D67314"/>
    <w:rsid w:val="76DA32A9"/>
    <w:rsid w:val="76FC6DDC"/>
    <w:rsid w:val="772E2227"/>
    <w:rsid w:val="77302EC9"/>
    <w:rsid w:val="7731279D"/>
    <w:rsid w:val="77533CC6"/>
    <w:rsid w:val="775748F9"/>
    <w:rsid w:val="7760252B"/>
    <w:rsid w:val="776058DA"/>
    <w:rsid w:val="77626DFA"/>
    <w:rsid w:val="777032C5"/>
    <w:rsid w:val="777803CC"/>
    <w:rsid w:val="777D1E86"/>
    <w:rsid w:val="779276DF"/>
    <w:rsid w:val="77B70517"/>
    <w:rsid w:val="77E043E3"/>
    <w:rsid w:val="77F40160"/>
    <w:rsid w:val="78342545"/>
    <w:rsid w:val="78412EB3"/>
    <w:rsid w:val="785030F6"/>
    <w:rsid w:val="78550E5C"/>
    <w:rsid w:val="78632E2A"/>
    <w:rsid w:val="78654DF4"/>
    <w:rsid w:val="787B0173"/>
    <w:rsid w:val="787D0429"/>
    <w:rsid w:val="78B24F5D"/>
    <w:rsid w:val="78E636B9"/>
    <w:rsid w:val="78EF46BD"/>
    <w:rsid w:val="790740FD"/>
    <w:rsid w:val="791660EE"/>
    <w:rsid w:val="79183C14"/>
    <w:rsid w:val="791D122B"/>
    <w:rsid w:val="791F31F5"/>
    <w:rsid w:val="79265756"/>
    <w:rsid w:val="793F5645"/>
    <w:rsid w:val="794511BD"/>
    <w:rsid w:val="794A5D98"/>
    <w:rsid w:val="794C38BE"/>
    <w:rsid w:val="794E7636"/>
    <w:rsid w:val="79825532"/>
    <w:rsid w:val="79892D64"/>
    <w:rsid w:val="798E037A"/>
    <w:rsid w:val="79960FDD"/>
    <w:rsid w:val="79997202"/>
    <w:rsid w:val="799E680F"/>
    <w:rsid w:val="79AE52BD"/>
    <w:rsid w:val="79FF5F21"/>
    <w:rsid w:val="7A1B3962"/>
    <w:rsid w:val="7A2111EE"/>
    <w:rsid w:val="7A2F56B9"/>
    <w:rsid w:val="7A6D48C0"/>
    <w:rsid w:val="7A7268AA"/>
    <w:rsid w:val="7A765096"/>
    <w:rsid w:val="7A924929"/>
    <w:rsid w:val="7A974046"/>
    <w:rsid w:val="7AAD65DE"/>
    <w:rsid w:val="7AC53928"/>
    <w:rsid w:val="7AC878BC"/>
    <w:rsid w:val="7ACA7190"/>
    <w:rsid w:val="7AEF309B"/>
    <w:rsid w:val="7AFD2AA0"/>
    <w:rsid w:val="7AFD57B8"/>
    <w:rsid w:val="7AFF1FD8"/>
    <w:rsid w:val="7B007056"/>
    <w:rsid w:val="7B02692A"/>
    <w:rsid w:val="7B2368A0"/>
    <w:rsid w:val="7B705F89"/>
    <w:rsid w:val="7B735A7A"/>
    <w:rsid w:val="7B887EC5"/>
    <w:rsid w:val="7B914152"/>
    <w:rsid w:val="7BAE0860"/>
    <w:rsid w:val="7BB17EFC"/>
    <w:rsid w:val="7BC60184"/>
    <w:rsid w:val="7BC71559"/>
    <w:rsid w:val="7BD5403F"/>
    <w:rsid w:val="7BE349AD"/>
    <w:rsid w:val="7BE73A8B"/>
    <w:rsid w:val="7BEB1AB4"/>
    <w:rsid w:val="7BEC3136"/>
    <w:rsid w:val="7BF471EA"/>
    <w:rsid w:val="7C011556"/>
    <w:rsid w:val="7C18217D"/>
    <w:rsid w:val="7C3C40BE"/>
    <w:rsid w:val="7C507B69"/>
    <w:rsid w:val="7C596A1E"/>
    <w:rsid w:val="7C5E2286"/>
    <w:rsid w:val="7C701FB9"/>
    <w:rsid w:val="7C817D22"/>
    <w:rsid w:val="7CD24A22"/>
    <w:rsid w:val="7CEA1D6C"/>
    <w:rsid w:val="7CF95D03"/>
    <w:rsid w:val="7D0C3A90"/>
    <w:rsid w:val="7D0E5A5A"/>
    <w:rsid w:val="7D360B0D"/>
    <w:rsid w:val="7D406A1E"/>
    <w:rsid w:val="7D494CE4"/>
    <w:rsid w:val="7D637428"/>
    <w:rsid w:val="7D717D97"/>
    <w:rsid w:val="7D7653AD"/>
    <w:rsid w:val="7D823D52"/>
    <w:rsid w:val="7D851A94"/>
    <w:rsid w:val="7D8E1E41"/>
    <w:rsid w:val="7D9121E7"/>
    <w:rsid w:val="7D965A4F"/>
    <w:rsid w:val="7DC73E5B"/>
    <w:rsid w:val="7DCB56F9"/>
    <w:rsid w:val="7DF34C50"/>
    <w:rsid w:val="7E0D00F2"/>
    <w:rsid w:val="7E105802"/>
    <w:rsid w:val="7E1A21DD"/>
    <w:rsid w:val="7E4234E1"/>
    <w:rsid w:val="7E486D4A"/>
    <w:rsid w:val="7E5971A9"/>
    <w:rsid w:val="7E5F22E5"/>
    <w:rsid w:val="7E7C7B82"/>
    <w:rsid w:val="7E960CC1"/>
    <w:rsid w:val="7E9D210A"/>
    <w:rsid w:val="7EA36676"/>
    <w:rsid w:val="7EAD12A3"/>
    <w:rsid w:val="7EB702F4"/>
    <w:rsid w:val="7ED625A7"/>
    <w:rsid w:val="7EDA196C"/>
    <w:rsid w:val="7EE56707"/>
    <w:rsid w:val="7EED715E"/>
    <w:rsid w:val="7EF42A2E"/>
    <w:rsid w:val="7EF46ED2"/>
    <w:rsid w:val="7EFD7F37"/>
    <w:rsid w:val="7F2271E4"/>
    <w:rsid w:val="7F2D7CEE"/>
    <w:rsid w:val="7F313C82"/>
    <w:rsid w:val="7F4A61E1"/>
    <w:rsid w:val="7F596D35"/>
    <w:rsid w:val="7F967F89"/>
    <w:rsid w:val="7F9935D5"/>
    <w:rsid w:val="7FA51F7A"/>
    <w:rsid w:val="7FB073FA"/>
    <w:rsid w:val="7FB328E9"/>
    <w:rsid w:val="7FBD72C3"/>
    <w:rsid w:val="7FD30895"/>
    <w:rsid w:val="7FDD1714"/>
    <w:rsid w:val="7FE231CE"/>
    <w:rsid w:val="7FFA22C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nhideWhenUsed="0" w:uiPriority="1"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qFormat="1" w:unhideWhenUsed="0" w:uiPriority="0" w:semiHidden="0"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iPriority="0" w:semiHidden="0" w:name="Normal Indent"/>
    <w:lsdException w:qFormat="1" w:unhideWhenUsed="0" w:uiPriority="0" w:semiHidden="0"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qFormat="1" w:uiPriority="99" w:semiHidden="0"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qFormat="1" w:uiPriority="99" w:semiHidden="0"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qFormat="1"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pPr>
    <w:rPr>
      <w:rFonts w:ascii="宋体" w:hAnsi="宋体" w:eastAsia="宋体" w:cs="Times New Roman"/>
      <w:kern w:val="2"/>
      <w:sz w:val="24"/>
      <w:szCs w:val="22"/>
      <w:lang w:val="en-US" w:eastAsia="zh-CN" w:bidi="ar-SA"/>
    </w:rPr>
  </w:style>
  <w:style w:type="paragraph" w:styleId="2">
    <w:name w:val="heading 1"/>
    <w:basedOn w:val="1"/>
    <w:next w:val="1"/>
    <w:link w:val="40"/>
    <w:qFormat/>
    <w:uiPriority w:val="9"/>
    <w:pPr>
      <w:keepNext/>
      <w:keepLines/>
      <w:spacing w:before="340" w:after="330" w:line="578" w:lineRule="auto"/>
      <w:jc w:val="center"/>
      <w:outlineLvl w:val="0"/>
    </w:pPr>
    <w:rPr>
      <w:rFonts w:eastAsia="黑体"/>
      <w:b/>
      <w:bCs/>
      <w:kern w:val="44"/>
      <w:sz w:val="44"/>
      <w:szCs w:val="44"/>
    </w:rPr>
  </w:style>
  <w:style w:type="paragraph" w:styleId="3">
    <w:name w:val="heading 2"/>
    <w:basedOn w:val="1"/>
    <w:next w:val="1"/>
    <w:link w:val="41"/>
    <w:unhideWhenUsed/>
    <w:qFormat/>
    <w:uiPriority w:val="9"/>
    <w:pPr>
      <w:keepNext/>
      <w:keepLines/>
      <w:spacing w:before="260" w:after="260" w:line="416" w:lineRule="auto"/>
      <w:outlineLvl w:val="1"/>
    </w:pPr>
    <w:rPr>
      <w:rFonts w:ascii="等线 Light" w:hAnsi="等线 Light" w:cs="Times New Roman"/>
      <w:b/>
      <w:bCs/>
      <w:sz w:val="32"/>
      <w:szCs w:val="32"/>
    </w:rPr>
  </w:style>
  <w:style w:type="paragraph" w:styleId="4">
    <w:name w:val="heading 3"/>
    <w:basedOn w:val="1"/>
    <w:next w:val="1"/>
    <w:link w:val="42"/>
    <w:unhideWhenUsed/>
    <w:qFormat/>
    <w:uiPriority w:val="9"/>
    <w:pPr>
      <w:keepNext/>
      <w:keepLines/>
      <w:spacing w:before="260" w:after="260" w:line="416" w:lineRule="auto"/>
      <w:outlineLvl w:val="2"/>
    </w:pPr>
    <w:rPr>
      <w:b/>
      <w:bCs/>
      <w:sz w:val="30"/>
      <w:szCs w:val="32"/>
    </w:rPr>
  </w:style>
  <w:style w:type="paragraph" w:styleId="5">
    <w:name w:val="heading 4"/>
    <w:basedOn w:val="1"/>
    <w:next w:val="1"/>
    <w:link w:val="43"/>
    <w:unhideWhenUsed/>
    <w:qFormat/>
    <w:uiPriority w:val="9"/>
    <w:pPr>
      <w:keepNext/>
      <w:keepLines/>
      <w:spacing w:before="280" w:after="290" w:line="376" w:lineRule="auto"/>
      <w:outlineLvl w:val="3"/>
    </w:pPr>
    <w:rPr>
      <w:rFonts w:ascii="等线 Light" w:hAnsi="等线 Light" w:cs="Times New Roman"/>
      <w:b/>
      <w:bCs/>
      <w:sz w:val="28"/>
      <w:szCs w:val="28"/>
    </w:rPr>
  </w:style>
  <w:style w:type="paragraph" w:styleId="6">
    <w:name w:val="heading 5"/>
    <w:basedOn w:val="7"/>
    <w:next w:val="8"/>
    <w:qFormat/>
    <w:uiPriority w:val="1"/>
    <w:pPr>
      <w:tabs>
        <w:tab w:val="left" w:pos="780"/>
      </w:tabs>
      <w:ind w:left="638" w:firstLine="561"/>
      <w:outlineLvl w:val="4"/>
    </w:pPr>
    <w:rPr>
      <w:rFonts w:ascii="仿宋" w:hAnsi="仿宋" w:eastAsia="仿宋" w:cs="仿宋"/>
      <w:b/>
      <w:bCs/>
      <w:kern w:val="0"/>
      <w:sz w:val="28"/>
      <w:szCs w:val="28"/>
      <w:lang w:val="zh-CN" w:bidi="zh-CN"/>
    </w:rPr>
  </w:style>
  <w:style w:type="character" w:default="1" w:styleId="35">
    <w:name w:val="Default Paragraph Font"/>
    <w:unhideWhenUsed/>
    <w:qFormat/>
    <w:uiPriority w:val="1"/>
  </w:style>
  <w:style w:type="table" w:default="1" w:styleId="33">
    <w:name w:val="Normal Table"/>
    <w:unhideWhenUsed/>
    <w:qFormat/>
    <w:uiPriority w:val="99"/>
    <w:tblPr>
      <w:tblCellMar>
        <w:top w:w="0" w:type="dxa"/>
        <w:left w:w="108" w:type="dxa"/>
        <w:bottom w:w="0" w:type="dxa"/>
        <w:right w:w="108" w:type="dxa"/>
      </w:tblCellMar>
    </w:tblPr>
  </w:style>
  <w:style w:type="paragraph" w:styleId="7">
    <w:name w:val="List Number 2"/>
    <w:basedOn w:val="1"/>
    <w:unhideWhenUsed/>
    <w:qFormat/>
    <w:uiPriority w:val="99"/>
    <w:pPr>
      <w:numPr>
        <w:ilvl w:val="0"/>
        <w:numId w:val="1"/>
      </w:numPr>
    </w:pPr>
  </w:style>
  <w:style w:type="paragraph" w:styleId="8">
    <w:name w:val="Normal (Web)"/>
    <w:basedOn w:val="1"/>
    <w:qFormat/>
    <w:uiPriority w:val="99"/>
    <w:pPr>
      <w:widowControl/>
      <w:spacing w:before="100" w:beforeAutospacing="1" w:after="100" w:afterAutospacing="1"/>
    </w:pPr>
    <w:rPr>
      <w:rFonts w:cs="宋体"/>
      <w:color w:val="000000"/>
      <w:kern w:val="0"/>
      <w:szCs w:val="24"/>
    </w:rPr>
  </w:style>
  <w:style w:type="paragraph" w:styleId="9">
    <w:name w:val="toc 7"/>
    <w:basedOn w:val="1"/>
    <w:next w:val="1"/>
    <w:unhideWhenUsed/>
    <w:qFormat/>
    <w:uiPriority w:val="39"/>
    <w:pPr>
      <w:ind w:left="1440"/>
    </w:pPr>
    <w:rPr>
      <w:rFonts w:ascii="等线" w:eastAsia="等线"/>
      <w:sz w:val="18"/>
      <w:szCs w:val="18"/>
    </w:rPr>
  </w:style>
  <w:style w:type="paragraph" w:styleId="10">
    <w:name w:val="Normal Indent"/>
    <w:basedOn w:val="1"/>
    <w:unhideWhenUsed/>
    <w:qFormat/>
    <w:uiPriority w:val="0"/>
    <w:pPr>
      <w:ind w:firstLine="420" w:firstLineChars="200"/>
    </w:pPr>
    <w:rPr>
      <w:rFonts w:ascii="Calibri" w:hAnsi="Calibri"/>
      <w:szCs w:val="22"/>
    </w:rPr>
  </w:style>
  <w:style w:type="paragraph" w:styleId="11">
    <w:name w:val="index 5"/>
    <w:basedOn w:val="1"/>
    <w:next w:val="1"/>
    <w:qFormat/>
    <w:uiPriority w:val="0"/>
    <w:pPr>
      <w:ind w:left="1680"/>
    </w:pPr>
  </w:style>
  <w:style w:type="paragraph" w:styleId="12">
    <w:name w:val="List Bullet"/>
    <w:basedOn w:val="1"/>
    <w:unhideWhenUsed/>
    <w:qFormat/>
    <w:uiPriority w:val="99"/>
    <w:pPr>
      <w:tabs>
        <w:tab w:val="left" w:pos="360"/>
        <w:tab w:val="left" w:pos="1134"/>
      </w:tabs>
      <w:spacing w:line="240" w:lineRule="auto"/>
      <w:ind w:left="1134" w:hanging="1134"/>
      <w:contextualSpacing/>
      <w:jc w:val="both"/>
    </w:pPr>
    <w:rPr>
      <w:rFonts w:ascii="Times New Roman" w:hAnsi="Times New Roman" w:cs="Times New Roman"/>
      <w:kern w:val="0"/>
      <w:sz w:val="20"/>
      <w:szCs w:val="20"/>
    </w:rPr>
  </w:style>
  <w:style w:type="paragraph" w:styleId="13">
    <w:name w:val="toa heading"/>
    <w:next w:val="1"/>
    <w:qFormat/>
    <w:uiPriority w:val="0"/>
    <w:pPr>
      <w:widowControl/>
      <w:kinsoku w:val="0"/>
      <w:autoSpaceDE w:val="0"/>
      <w:autoSpaceDN w:val="0"/>
      <w:adjustRightInd w:val="0"/>
      <w:snapToGrid w:val="0"/>
      <w:spacing w:before="120" w:line="240" w:lineRule="auto"/>
      <w:ind w:firstLine="3584"/>
      <w:jc w:val="left"/>
      <w:textAlignment w:val="baseline"/>
    </w:pPr>
    <w:rPr>
      <w:rFonts w:ascii="Arial" w:hAnsi="Arial" w:eastAsia="Arial" w:cs="Arial"/>
      <w:snapToGrid w:val="0"/>
      <w:color w:val="000000"/>
      <w:kern w:val="0"/>
      <w:sz w:val="21"/>
      <w:szCs w:val="21"/>
      <w:lang w:val="en-US" w:eastAsia="en-US" w:bidi="ar-SA"/>
    </w:rPr>
  </w:style>
  <w:style w:type="paragraph" w:styleId="14">
    <w:name w:val="annotation text"/>
    <w:basedOn w:val="1"/>
    <w:link w:val="44"/>
    <w:qFormat/>
    <w:uiPriority w:val="0"/>
    <w:pPr>
      <w:spacing w:line="240" w:lineRule="auto"/>
    </w:pPr>
    <w:rPr>
      <w:rFonts w:eastAsia="等线"/>
      <w:sz w:val="21"/>
      <w:szCs w:val="24"/>
    </w:rPr>
  </w:style>
  <w:style w:type="paragraph" w:styleId="15">
    <w:name w:val="Body Text"/>
    <w:basedOn w:val="1"/>
    <w:next w:val="16"/>
    <w:link w:val="45"/>
    <w:qFormat/>
    <w:uiPriority w:val="99"/>
    <w:pPr>
      <w:spacing w:after="120" w:line="240" w:lineRule="auto"/>
      <w:jc w:val="both"/>
    </w:pPr>
    <w:rPr>
      <w:rFonts w:eastAsia="等线"/>
      <w:sz w:val="21"/>
      <w:szCs w:val="24"/>
    </w:rPr>
  </w:style>
  <w:style w:type="paragraph" w:styleId="16">
    <w:name w:val="Body Text First Indent"/>
    <w:basedOn w:val="15"/>
    <w:qFormat/>
    <w:uiPriority w:val="0"/>
    <w:pPr>
      <w:widowControl w:val="0"/>
      <w:spacing w:after="120"/>
      <w:ind w:firstLine="420" w:firstLineChars="100"/>
      <w:jc w:val="both"/>
    </w:pPr>
    <w:rPr>
      <w:rFonts w:ascii="Times New Roman" w:hAnsi="Times New Roman" w:eastAsia="宋体" w:cs="Times New Roman"/>
      <w:kern w:val="2"/>
      <w:sz w:val="21"/>
      <w:szCs w:val="24"/>
      <w:lang w:val="en-US" w:eastAsia="zh-CN" w:bidi="ar-SA"/>
    </w:rPr>
  </w:style>
  <w:style w:type="paragraph" w:styleId="17">
    <w:name w:val="Body Text Indent"/>
    <w:basedOn w:val="1"/>
    <w:next w:val="11"/>
    <w:unhideWhenUsed/>
    <w:qFormat/>
    <w:uiPriority w:val="0"/>
    <w:pPr>
      <w:ind w:firstLine="630"/>
    </w:pPr>
    <w:rPr>
      <w:rFonts w:eastAsia="仿宋_GB2312"/>
      <w:kern w:val="0"/>
      <w:sz w:val="32"/>
      <w:szCs w:val="20"/>
    </w:rPr>
  </w:style>
  <w:style w:type="paragraph" w:styleId="18">
    <w:name w:val="toc 5"/>
    <w:basedOn w:val="1"/>
    <w:next w:val="1"/>
    <w:unhideWhenUsed/>
    <w:qFormat/>
    <w:uiPriority w:val="39"/>
    <w:pPr>
      <w:ind w:left="960"/>
    </w:pPr>
    <w:rPr>
      <w:rFonts w:ascii="等线" w:eastAsia="等线"/>
      <w:sz w:val="18"/>
      <w:szCs w:val="18"/>
    </w:rPr>
  </w:style>
  <w:style w:type="paragraph" w:styleId="19">
    <w:name w:val="toc 3"/>
    <w:basedOn w:val="1"/>
    <w:next w:val="1"/>
    <w:unhideWhenUsed/>
    <w:qFormat/>
    <w:uiPriority w:val="39"/>
    <w:pPr>
      <w:ind w:left="480"/>
    </w:pPr>
    <w:rPr>
      <w:rFonts w:ascii="等线" w:eastAsia="等线"/>
      <w:i/>
      <w:iCs/>
      <w:sz w:val="20"/>
      <w:szCs w:val="20"/>
    </w:rPr>
  </w:style>
  <w:style w:type="paragraph" w:styleId="20">
    <w:name w:val="Plain Text"/>
    <w:basedOn w:val="1"/>
    <w:unhideWhenUsed/>
    <w:qFormat/>
    <w:uiPriority w:val="0"/>
    <w:rPr>
      <w:rFonts w:ascii="宋体" w:hAnsi="Courier New"/>
      <w:kern w:val="0"/>
      <w:sz w:val="20"/>
      <w:szCs w:val="20"/>
    </w:rPr>
  </w:style>
  <w:style w:type="paragraph" w:styleId="21">
    <w:name w:val="toc 8"/>
    <w:basedOn w:val="1"/>
    <w:next w:val="1"/>
    <w:unhideWhenUsed/>
    <w:qFormat/>
    <w:uiPriority w:val="39"/>
    <w:pPr>
      <w:ind w:left="1680"/>
    </w:pPr>
    <w:rPr>
      <w:rFonts w:ascii="等线" w:eastAsia="等线"/>
      <w:sz w:val="18"/>
      <w:szCs w:val="18"/>
    </w:rPr>
  </w:style>
  <w:style w:type="paragraph" w:styleId="22">
    <w:name w:val="footer"/>
    <w:basedOn w:val="1"/>
    <w:link w:val="46"/>
    <w:unhideWhenUsed/>
    <w:qFormat/>
    <w:uiPriority w:val="99"/>
    <w:pPr>
      <w:tabs>
        <w:tab w:val="center" w:pos="4153"/>
        <w:tab w:val="right" w:pos="8306"/>
      </w:tabs>
      <w:snapToGrid w:val="0"/>
      <w:spacing w:line="240" w:lineRule="auto"/>
    </w:pPr>
    <w:rPr>
      <w:sz w:val="18"/>
      <w:szCs w:val="18"/>
    </w:rPr>
  </w:style>
  <w:style w:type="paragraph" w:styleId="23">
    <w:name w:val="header"/>
    <w:basedOn w:val="1"/>
    <w:link w:val="47"/>
    <w:unhideWhenUsed/>
    <w:qFormat/>
    <w:uiPriority w:val="99"/>
    <w:pPr>
      <w:pBdr>
        <w:bottom w:val="single" w:color="auto" w:sz="6" w:space="1"/>
      </w:pBdr>
      <w:tabs>
        <w:tab w:val="center" w:pos="4153"/>
        <w:tab w:val="right" w:pos="8306"/>
      </w:tabs>
      <w:snapToGrid w:val="0"/>
      <w:spacing w:line="240" w:lineRule="auto"/>
      <w:jc w:val="center"/>
    </w:pPr>
    <w:rPr>
      <w:sz w:val="18"/>
      <w:szCs w:val="18"/>
    </w:rPr>
  </w:style>
  <w:style w:type="paragraph" w:styleId="24">
    <w:name w:val="toc 1"/>
    <w:basedOn w:val="1"/>
    <w:next w:val="1"/>
    <w:unhideWhenUsed/>
    <w:qFormat/>
    <w:uiPriority w:val="39"/>
    <w:pPr>
      <w:spacing w:before="120" w:after="120"/>
    </w:pPr>
    <w:rPr>
      <w:rFonts w:ascii="等线" w:eastAsia="等线"/>
      <w:b/>
      <w:bCs/>
      <w:caps/>
      <w:sz w:val="20"/>
      <w:szCs w:val="20"/>
    </w:rPr>
  </w:style>
  <w:style w:type="paragraph" w:styleId="25">
    <w:name w:val="toc 4"/>
    <w:basedOn w:val="1"/>
    <w:next w:val="1"/>
    <w:unhideWhenUsed/>
    <w:qFormat/>
    <w:uiPriority w:val="39"/>
    <w:pPr>
      <w:ind w:left="720"/>
    </w:pPr>
    <w:rPr>
      <w:rFonts w:ascii="等线" w:eastAsia="等线"/>
      <w:sz w:val="18"/>
      <w:szCs w:val="18"/>
    </w:rPr>
  </w:style>
  <w:style w:type="paragraph" w:styleId="26">
    <w:name w:val="footnote text"/>
    <w:basedOn w:val="1"/>
    <w:qFormat/>
    <w:uiPriority w:val="0"/>
    <w:pPr>
      <w:widowControl/>
      <w:jc w:val="left"/>
    </w:pPr>
    <w:rPr>
      <w:kern w:val="0"/>
      <w:sz w:val="20"/>
      <w:szCs w:val="20"/>
      <w:lang w:val="de-DE"/>
    </w:rPr>
  </w:style>
  <w:style w:type="paragraph" w:styleId="27">
    <w:name w:val="toc 6"/>
    <w:basedOn w:val="1"/>
    <w:next w:val="1"/>
    <w:unhideWhenUsed/>
    <w:qFormat/>
    <w:uiPriority w:val="39"/>
    <w:pPr>
      <w:ind w:left="1200"/>
    </w:pPr>
    <w:rPr>
      <w:rFonts w:ascii="等线" w:eastAsia="等线"/>
      <w:sz w:val="18"/>
      <w:szCs w:val="18"/>
    </w:rPr>
  </w:style>
  <w:style w:type="paragraph" w:styleId="28">
    <w:name w:val="toc 2"/>
    <w:basedOn w:val="1"/>
    <w:next w:val="1"/>
    <w:unhideWhenUsed/>
    <w:qFormat/>
    <w:uiPriority w:val="39"/>
    <w:pPr>
      <w:ind w:left="240"/>
    </w:pPr>
    <w:rPr>
      <w:rFonts w:ascii="等线" w:eastAsia="等线"/>
      <w:smallCaps/>
      <w:sz w:val="20"/>
      <w:szCs w:val="20"/>
    </w:rPr>
  </w:style>
  <w:style w:type="paragraph" w:styleId="29">
    <w:name w:val="toc 9"/>
    <w:basedOn w:val="1"/>
    <w:next w:val="1"/>
    <w:unhideWhenUsed/>
    <w:qFormat/>
    <w:uiPriority w:val="39"/>
    <w:pPr>
      <w:ind w:left="1920"/>
    </w:pPr>
    <w:rPr>
      <w:rFonts w:ascii="等线" w:eastAsia="等线"/>
      <w:sz w:val="18"/>
      <w:szCs w:val="18"/>
    </w:rPr>
  </w:style>
  <w:style w:type="paragraph" w:styleId="30">
    <w:name w:val="Body Text 2"/>
    <w:basedOn w:val="1"/>
    <w:qFormat/>
    <w:uiPriority w:val="0"/>
    <w:pPr>
      <w:kinsoku w:val="0"/>
      <w:autoSpaceDE w:val="0"/>
      <w:autoSpaceDN w:val="0"/>
      <w:adjustRightInd w:val="0"/>
      <w:snapToGrid w:val="0"/>
      <w:spacing w:after="120" w:line="480" w:lineRule="auto"/>
      <w:textAlignment w:val="baseline"/>
    </w:pPr>
    <w:rPr>
      <w:rFonts w:ascii="Times New Roman" w:hAnsi="Times New Roman" w:eastAsia="宋体" w:cs="Times New Roman"/>
      <w:snapToGrid w:val="0"/>
      <w:color w:val="000000"/>
      <w:kern w:val="0"/>
      <w:szCs w:val="21"/>
    </w:rPr>
  </w:style>
  <w:style w:type="paragraph" w:styleId="31">
    <w:name w:val="annotation subject"/>
    <w:basedOn w:val="14"/>
    <w:next w:val="14"/>
    <w:link w:val="48"/>
    <w:unhideWhenUsed/>
    <w:qFormat/>
    <w:uiPriority w:val="99"/>
    <w:pPr>
      <w:spacing w:line="360" w:lineRule="auto"/>
    </w:pPr>
    <w:rPr>
      <w:rFonts w:eastAsia="宋体"/>
      <w:b/>
      <w:bCs/>
      <w:sz w:val="24"/>
      <w:szCs w:val="22"/>
    </w:rPr>
  </w:style>
  <w:style w:type="paragraph" w:styleId="32">
    <w:name w:val="Body Text First Indent 2"/>
    <w:basedOn w:val="17"/>
    <w:next w:val="1"/>
    <w:qFormat/>
    <w:uiPriority w:val="0"/>
    <w:pPr>
      <w:snapToGrid/>
      <w:spacing w:after="120" w:line="240" w:lineRule="auto"/>
      <w:ind w:left="420" w:leftChars="200" w:right="0" w:firstLine="420" w:firstLineChars="200"/>
    </w:pPr>
    <w:rPr>
      <w:rFonts w:ascii="Times New Roman" w:eastAsia="宋体"/>
      <w:spacing w:val="0"/>
      <w:sz w:val="21"/>
      <w:szCs w:val="24"/>
    </w:rPr>
  </w:style>
  <w:style w:type="table" w:styleId="34">
    <w:name w:val="Table Grid"/>
    <w:basedOn w:val="3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6">
    <w:name w:val="Strong"/>
    <w:qFormat/>
    <w:uiPriority w:val="0"/>
    <w:rPr>
      <w:b/>
      <w:bCs/>
    </w:rPr>
  </w:style>
  <w:style w:type="character" w:styleId="37">
    <w:name w:val="page number"/>
    <w:basedOn w:val="35"/>
    <w:qFormat/>
    <w:uiPriority w:val="0"/>
  </w:style>
  <w:style w:type="character" w:styleId="38">
    <w:name w:val="Hyperlink"/>
    <w:basedOn w:val="35"/>
    <w:unhideWhenUsed/>
    <w:qFormat/>
    <w:uiPriority w:val="99"/>
    <w:rPr>
      <w:color w:val="0563C1"/>
      <w:u w:val="single"/>
    </w:rPr>
  </w:style>
  <w:style w:type="character" w:styleId="39">
    <w:name w:val="annotation reference"/>
    <w:basedOn w:val="35"/>
    <w:qFormat/>
    <w:uiPriority w:val="0"/>
    <w:rPr>
      <w:sz w:val="21"/>
      <w:szCs w:val="21"/>
    </w:rPr>
  </w:style>
  <w:style w:type="character" w:customStyle="1" w:styleId="40">
    <w:name w:val="标题 1 字符"/>
    <w:basedOn w:val="35"/>
    <w:link w:val="2"/>
    <w:qFormat/>
    <w:uiPriority w:val="9"/>
    <w:rPr>
      <w:rFonts w:eastAsia="黑体"/>
      <w:b/>
      <w:bCs/>
      <w:kern w:val="44"/>
      <w:sz w:val="44"/>
      <w:szCs w:val="44"/>
    </w:rPr>
  </w:style>
  <w:style w:type="character" w:customStyle="1" w:styleId="41">
    <w:name w:val="标题 2 字符"/>
    <w:basedOn w:val="35"/>
    <w:link w:val="3"/>
    <w:qFormat/>
    <w:uiPriority w:val="0"/>
    <w:rPr>
      <w:rFonts w:ascii="等线 Light" w:hAnsi="等线 Light" w:eastAsia="宋体" w:cs="Times New Roman"/>
      <w:b/>
      <w:bCs/>
      <w:sz w:val="32"/>
      <w:szCs w:val="32"/>
    </w:rPr>
  </w:style>
  <w:style w:type="character" w:customStyle="1" w:styleId="42">
    <w:name w:val="标题 3 字符"/>
    <w:basedOn w:val="35"/>
    <w:link w:val="4"/>
    <w:qFormat/>
    <w:uiPriority w:val="9"/>
    <w:rPr>
      <w:rFonts w:eastAsia="宋体"/>
      <w:b/>
      <w:bCs/>
      <w:sz w:val="30"/>
      <w:szCs w:val="32"/>
    </w:rPr>
  </w:style>
  <w:style w:type="character" w:customStyle="1" w:styleId="43">
    <w:name w:val="标题 4 字符"/>
    <w:basedOn w:val="35"/>
    <w:link w:val="5"/>
    <w:qFormat/>
    <w:uiPriority w:val="9"/>
    <w:rPr>
      <w:rFonts w:ascii="等线 Light" w:hAnsi="等线 Light" w:eastAsia="宋体" w:cs="Times New Roman"/>
      <w:b/>
      <w:bCs/>
      <w:sz w:val="28"/>
      <w:szCs w:val="28"/>
    </w:rPr>
  </w:style>
  <w:style w:type="character" w:customStyle="1" w:styleId="44">
    <w:name w:val="批注文字 字符"/>
    <w:basedOn w:val="35"/>
    <w:link w:val="14"/>
    <w:qFormat/>
    <w:uiPriority w:val="0"/>
    <w:rPr>
      <w:szCs w:val="24"/>
    </w:rPr>
  </w:style>
  <w:style w:type="character" w:customStyle="1" w:styleId="45">
    <w:name w:val="正文文本 字符"/>
    <w:basedOn w:val="35"/>
    <w:link w:val="15"/>
    <w:qFormat/>
    <w:uiPriority w:val="99"/>
    <w:rPr>
      <w:szCs w:val="24"/>
    </w:rPr>
  </w:style>
  <w:style w:type="character" w:customStyle="1" w:styleId="46">
    <w:name w:val="页脚 字符"/>
    <w:basedOn w:val="35"/>
    <w:link w:val="22"/>
    <w:qFormat/>
    <w:uiPriority w:val="99"/>
    <w:rPr>
      <w:rFonts w:eastAsia="宋体"/>
      <w:sz w:val="18"/>
      <w:szCs w:val="18"/>
    </w:rPr>
  </w:style>
  <w:style w:type="character" w:customStyle="1" w:styleId="47">
    <w:name w:val="页眉 字符"/>
    <w:basedOn w:val="35"/>
    <w:link w:val="23"/>
    <w:qFormat/>
    <w:uiPriority w:val="99"/>
    <w:rPr>
      <w:rFonts w:eastAsia="宋体"/>
      <w:sz w:val="18"/>
      <w:szCs w:val="18"/>
    </w:rPr>
  </w:style>
  <w:style w:type="character" w:customStyle="1" w:styleId="48">
    <w:name w:val="批注主题 字符"/>
    <w:basedOn w:val="44"/>
    <w:link w:val="31"/>
    <w:semiHidden/>
    <w:qFormat/>
    <w:uiPriority w:val="99"/>
    <w:rPr>
      <w:rFonts w:ascii="宋体" w:hAnsi="宋体" w:cs="Times New Roman"/>
      <w:b/>
      <w:bCs/>
      <w:kern w:val="2"/>
      <w:sz w:val="24"/>
      <w:szCs w:val="22"/>
    </w:rPr>
  </w:style>
  <w:style w:type="paragraph" w:customStyle="1" w:styleId="49">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50">
    <w:name w:val="正文缩进2"/>
    <w:basedOn w:val="1"/>
    <w:qFormat/>
    <w:uiPriority w:val="0"/>
    <w:pPr>
      <w:wordWrap w:val="0"/>
      <w:ind w:firstLine="480"/>
    </w:pPr>
    <w:rPr>
      <w:iCs/>
      <w:shd w:val="clear" w:color="auto" w:fill="FFFFFF"/>
      <w:lang w:val="zh-CN"/>
    </w:rPr>
  </w:style>
  <w:style w:type="paragraph" w:styleId="51">
    <w:name w:val="List Paragraph"/>
    <w:basedOn w:val="1"/>
    <w:qFormat/>
    <w:uiPriority w:val="34"/>
    <w:pPr>
      <w:numPr>
        <w:ilvl w:val="0"/>
        <w:numId w:val="2"/>
      </w:numPr>
    </w:pPr>
  </w:style>
  <w:style w:type="paragraph" w:customStyle="1" w:styleId="52">
    <w:name w:val="Char1 Char Char Char"/>
    <w:basedOn w:val="1"/>
    <w:qFormat/>
    <w:uiPriority w:val="0"/>
    <w:pPr>
      <w:adjustRightInd w:val="0"/>
      <w:jc w:val="both"/>
    </w:pPr>
    <w:rPr>
      <w:rFonts w:ascii="Times New Roman" w:hAnsi="Times New Roman" w:cs="Times New Roman"/>
      <w:kern w:val="0"/>
      <w:szCs w:val="20"/>
    </w:rPr>
  </w:style>
  <w:style w:type="paragraph" w:customStyle="1" w:styleId="53">
    <w:name w:val="样式"/>
    <w:basedOn w:val="1"/>
    <w:qFormat/>
    <w:uiPriority w:val="0"/>
    <w:pPr>
      <w:autoSpaceDE w:val="0"/>
      <w:autoSpaceDN w:val="0"/>
      <w:snapToGrid w:val="0"/>
      <w:spacing w:before="120" w:after="120"/>
      <w:jc w:val="both"/>
    </w:pPr>
    <w:rPr>
      <w:rFonts w:hAnsi="Times New Roman" w:cs="Times New Roman"/>
      <w:kern w:val="0"/>
      <w:szCs w:val="20"/>
    </w:rPr>
  </w:style>
  <w:style w:type="paragraph" w:styleId="54">
    <w:name w:val="No Spacing"/>
    <w:qFormat/>
    <w:uiPriority w:val="1"/>
    <w:pPr>
      <w:widowControl w:val="0"/>
    </w:pPr>
    <w:rPr>
      <w:rFonts w:ascii="宋体" w:hAnsi="宋体" w:eastAsia="宋体" w:cs="Times New Roman"/>
      <w:kern w:val="2"/>
      <w:sz w:val="24"/>
      <w:szCs w:val="22"/>
      <w:lang w:val="en-US" w:eastAsia="zh-CN" w:bidi="ar-SA"/>
    </w:rPr>
  </w:style>
  <w:style w:type="character" w:customStyle="1" w:styleId="55">
    <w:name w:val="未处理的提及1"/>
    <w:basedOn w:val="35"/>
    <w:unhideWhenUsed/>
    <w:qFormat/>
    <w:uiPriority w:val="99"/>
    <w:rPr>
      <w:color w:val="605E5C"/>
      <w:shd w:val="clear" w:color="auto" w:fill="E1DFDD"/>
    </w:rPr>
  </w:style>
  <w:style w:type="character" w:customStyle="1" w:styleId="56">
    <w:name w:val="未处理的提及2"/>
    <w:basedOn w:val="35"/>
    <w:unhideWhenUsed/>
    <w:qFormat/>
    <w:uiPriority w:val="99"/>
    <w:rPr>
      <w:color w:val="605E5C"/>
      <w:shd w:val="clear" w:color="auto" w:fill="E1DFDD"/>
    </w:rPr>
  </w:style>
  <w:style w:type="paragraph" w:customStyle="1" w:styleId="57">
    <w:name w:val="正文_2"/>
    <w:qFormat/>
    <w:uiPriority w:val="0"/>
    <w:pPr>
      <w:widowControl w:val="0"/>
      <w:jc w:val="both"/>
    </w:pPr>
    <w:rPr>
      <w:rFonts w:ascii="Calibri" w:hAnsi="Calibri" w:eastAsia="宋体" w:cs="Times New Roman"/>
      <w:lang w:val="en-US" w:eastAsia="zh-CN" w:bidi="ar-SA"/>
    </w:rPr>
  </w:style>
  <w:style w:type="paragraph" w:customStyle="1" w:styleId="58">
    <w:name w:val="Normal"/>
    <w:qFormat/>
    <w:uiPriority w:val="0"/>
    <w:pPr>
      <w:widowControl w:val="0"/>
      <w:jc w:val="both"/>
    </w:pPr>
    <w:rPr>
      <w:rFonts w:ascii="Times New Roman" w:hAnsi="Times New Roman" w:eastAsia="Times New Roman" w:cs="Times New Roman"/>
      <w:lang w:val="en-US" w:eastAsia="zh-CN" w:bidi="ar-SA"/>
    </w:rPr>
  </w:style>
  <w:style w:type="paragraph" w:customStyle="1" w:styleId="59">
    <w:name w:val="正文_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0">
    <w:name w:val="正文_2_0_0"/>
    <w:qFormat/>
    <w:uiPriority w:val="99"/>
    <w:pPr>
      <w:widowControl w:val="0"/>
      <w:jc w:val="both"/>
    </w:pPr>
    <w:rPr>
      <w:rFonts w:ascii="Calibri" w:hAnsi="Calibri" w:eastAsia="宋体" w:cs="Times New Roman"/>
      <w:lang w:val="en-US" w:eastAsia="zh-CN" w:bidi="ar-SA"/>
    </w:rPr>
  </w:style>
  <w:style w:type="paragraph" w:customStyle="1" w:styleId="61">
    <w:name w:val="正文_1_1"/>
    <w:qFormat/>
    <w:uiPriority w:val="99"/>
    <w:pPr>
      <w:widowControl w:val="0"/>
      <w:jc w:val="both"/>
    </w:pPr>
    <w:rPr>
      <w:rFonts w:ascii="Calibri" w:hAnsi="Calibri" w:eastAsia="宋体" w:cs="Times New Roman"/>
      <w:kern w:val="2"/>
      <w:sz w:val="21"/>
      <w:szCs w:val="24"/>
      <w:lang w:val="en-US" w:eastAsia="zh-CN" w:bidi="ar-SA"/>
    </w:rPr>
  </w:style>
  <w:style w:type="paragraph" w:customStyle="1" w:styleId="62">
    <w:name w:val="Normal Indent1"/>
    <w:basedOn w:val="1"/>
    <w:qFormat/>
    <w:uiPriority w:val="0"/>
    <w:pPr>
      <w:ind w:firstLine="420" w:firstLineChars="200"/>
    </w:pPr>
  </w:style>
  <w:style w:type="paragraph" w:customStyle="1" w:styleId="63">
    <w:name w:val="LO-Normal"/>
    <w:qFormat/>
    <w:uiPriority w:val="0"/>
    <w:pPr>
      <w:suppressAutoHyphens/>
    </w:pPr>
    <w:rPr>
      <w:rFonts w:ascii="Times New Roman" w:hAnsi="Times New Roman" w:eastAsia="宋体" w:cs="Times New Roman"/>
      <w:sz w:val="24"/>
      <w:szCs w:val="24"/>
      <w:lang w:val="en-US" w:eastAsia="zh-CN" w:bidi="ar-SA"/>
    </w:rPr>
  </w:style>
  <w:style w:type="paragraph" w:customStyle="1" w:styleId="64">
    <w:name w:val="Normal_22"/>
    <w:qFormat/>
    <w:uiPriority w:val="0"/>
    <w:rPr>
      <w:rFonts w:ascii="Times New Roman" w:hAnsi="Times New Roman" w:eastAsia="Times New Roman" w:cs="Times New Roman"/>
      <w:sz w:val="24"/>
      <w:szCs w:val="24"/>
      <w:lang w:bidi="ar-SA"/>
    </w:rPr>
  </w:style>
  <w:style w:type="paragraph" w:customStyle="1" w:styleId="65">
    <w:name w:val="正文_6_0"/>
    <w:qFormat/>
    <w:uiPriority w:val="0"/>
    <w:pPr>
      <w:widowControl w:val="0"/>
      <w:jc w:val="both"/>
    </w:pPr>
    <w:rPr>
      <w:rFonts w:ascii="Calibri" w:hAnsi="Calibri" w:eastAsia="宋体" w:cs="Times New Roman"/>
      <w:kern w:val="2"/>
      <w:sz w:val="21"/>
      <w:szCs w:val="22"/>
      <w:lang w:val="en-US" w:eastAsia="zh-CN" w:bidi="ar-SA"/>
    </w:rPr>
  </w:style>
  <w:style w:type="character" w:customStyle="1" w:styleId="66">
    <w:name w:val="正文_0_0_0 Char"/>
    <w:link w:val="67"/>
    <w:qFormat/>
    <w:locked/>
    <w:uiPriority w:val="0"/>
    <w:rPr>
      <w:rFonts w:ascii="Calibri" w:hAnsi="Calibri" w:cs="Calibri"/>
      <w:kern w:val="2"/>
      <w:sz w:val="28"/>
      <w:szCs w:val="22"/>
      <w:lang w:val="en-US" w:eastAsia="zh-CN" w:bidi="ar-SA"/>
    </w:rPr>
  </w:style>
  <w:style w:type="paragraph" w:customStyle="1" w:styleId="67">
    <w:name w:val="正文_0_0_0_0_0"/>
    <w:link w:val="66"/>
    <w:qFormat/>
    <w:uiPriority w:val="0"/>
    <w:pPr>
      <w:spacing w:before="120" w:after="120" w:line="360" w:lineRule="auto"/>
      <w:ind w:left="1072" w:hanging="1072"/>
      <w:jc w:val="both"/>
    </w:pPr>
    <w:rPr>
      <w:rFonts w:ascii="Calibri" w:hAnsi="Calibri" w:eastAsia="宋体" w:cs="Calibri"/>
      <w:kern w:val="2"/>
      <w:sz w:val="28"/>
      <w:szCs w:val="22"/>
      <w:lang w:val="en-US" w:eastAsia="zh-CN" w:bidi="ar-SA"/>
    </w:rPr>
  </w:style>
  <w:style w:type="paragraph" w:customStyle="1" w:styleId="68">
    <w:name w:val="正文文本_0_1"/>
    <w:basedOn w:val="69"/>
    <w:qFormat/>
    <w:uiPriority w:val="99"/>
    <w:pPr>
      <w:spacing w:after="120"/>
    </w:pPr>
    <w:rPr>
      <w:rFonts w:ascii="Calibri" w:hAnsi="Calibri" w:eastAsia="宋体"/>
      <w:kern w:val="0"/>
      <w:sz w:val="24"/>
      <w:szCs w:val="20"/>
    </w:rPr>
  </w:style>
  <w:style w:type="paragraph" w:customStyle="1" w:styleId="69">
    <w:name w:val="正文_6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70">
    <w:name w:val="Table Paragraph_1"/>
    <w:basedOn w:val="69"/>
    <w:qFormat/>
    <w:uiPriority w:val="0"/>
    <w:pPr>
      <w:jc w:val="left"/>
    </w:pPr>
    <w:rPr>
      <w:rFonts w:ascii="Calibri" w:hAnsi="Calibri" w:eastAsia="宋体"/>
      <w:kern w:val="0"/>
      <w:sz w:val="22"/>
      <w:lang w:eastAsia="en-US"/>
    </w:rPr>
  </w:style>
  <w:style w:type="paragraph" w:customStyle="1" w:styleId="71">
    <w:name w:val="正文_6"/>
    <w:qFormat/>
    <w:uiPriority w:val="0"/>
    <w:pPr>
      <w:widowControl w:val="0"/>
      <w:jc w:val="both"/>
    </w:pPr>
    <w:rPr>
      <w:rFonts w:ascii="Calibri" w:hAnsi="Calibri" w:eastAsia="宋体" w:cs="Times New Roman"/>
      <w:kern w:val="2"/>
      <w:sz w:val="21"/>
      <w:szCs w:val="22"/>
      <w:lang w:val="en-US" w:eastAsia="zh-CN" w:bidi="ar-SA"/>
    </w:rPr>
  </w:style>
  <w:style w:type="paragraph" w:customStyle="1" w:styleId="72">
    <w:name w:val="正文1"/>
    <w:qFormat/>
    <w:uiPriority w:val="0"/>
    <w:pPr>
      <w:widowControl w:val="0"/>
      <w:jc w:val="both"/>
    </w:pPr>
    <w:rPr>
      <w:rFonts w:ascii="Calibri" w:hAnsi="Calibri" w:eastAsia="宋体" w:cs="Times New Roman"/>
      <w:lang w:val="en-US" w:eastAsia="zh-CN" w:bidi="ar-SA"/>
    </w:rPr>
  </w:style>
  <w:style w:type="paragraph" w:customStyle="1" w:styleId="73">
    <w:name w:val="列出段落1"/>
    <w:basedOn w:val="1"/>
    <w:qFormat/>
    <w:uiPriority w:val="0"/>
    <w:pPr>
      <w:ind w:firstLine="420" w:firstLineChars="200"/>
    </w:pPr>
    <w:rPr>
      <w:szCs w:val="21"/>
    </w:rPr>
  </w:style>
  <w:style w:type="paragraph" w:customStyle="1" w:styleId="74">
    <w:name w:val="xl31"/>
    <w:basedOn w:val="1"/>
    <w:qFormat/>
    <w:uiPriority w:val="0"/>
    <w:pPr>
      <w:widowControl/>
      <w:spacing w:before="100" w:beforeAutospacing="1" w:after="100" w:afterAutospacing="1"/>
      <w:jc w:val="center"/>
    </w:pPr>
    <w:rPr>
      <w:b/>
      <w:bCs/>
      <w:kern w:val="0"/>
      <w:sz w:val="28"/>
      <w:szCs w:val="28"/>
    </w:rPr>
  </w:style>
  <w:style w:type="paragraph" w:customStyle="1" w:styleId="75">
    <w:name w:val="正文2"/>
    <w:basedOn w:val="1"/>
    <w:qFormat/>
    <w:uiPriority w:val="0"/>
    <w:pPr>
      <w:spacing w:before="156" w:line="360" w:lineRule="auto"/>
      <w:ind w:firstLine="510" w:firstLineChars="200"/>
    </w:pPr>
    <w:rPr>
      <w:sz w:val="24"/>
      <w:szCs w:val="20"/>
    </w:rPr>
  </w:style>
  <w:style w:type="paragraph" w:customStyle="1" w:styleId="76">
    <w:name w:val="Char Char Char Char Char Char Char1 Char"/>
    <w:basedOn w:val="1"/>
    <w:qFormat/>
    <w:uiPriority w:val="0"/>
    <w:rPr>
      <w:rFonts w:ascii="Arial" w:hAnsi="Arial" w:eastAsia="宋体" w:cs="Arial"/>
      <w:sz w:val="24"/>
    </w:rPr>
  </w:style>
  <w:style w:type="paragraph" w:customStyle="1" w:styleId="77">
    <w:name w:val="正文缩进2格"/>
    <w:basedOn w:val="1"/>
    <w:qFormat/>
    <w:uiPriority w:val="0"/>
    <w:pPr>
      <w:spacing w:line="600" w:lineRule="exact"/>
      <w:ind w:firstLine="639" w:firstLineChars="206"/>
    </w:pPr>
    <w:rPr>
      <w:rFonts w:ascii="仿宋_GB2312" w:hAnsi="宋体" w:eastAsia="仿宋_GB2312"/>
      <w:kern w:val="0"/>
      <w:sz w:val="31"/>
      <w:szCs w:val="20"/>
    </w:rPr>
  </w:style>
  <w:style w:type="table" w:customStyle="1" w:styleId="78">
    <w:name w:val="Table Normal"/>
    <w:unhideWhenUsed/>
    <w:qFormat/>
    <w:uiPriority w:val="0"/>
    <w:tblPr>
      <w:tblCellMar>
        <w:top w:w="0" w:type="dxa"/>
        <w:left w:w="0" w:type="dxa"/>
        <w:bottom w:w="0" w:type="dxa"/>
        <w:right w:w="0" w:type="dxa"/>
      </w:tblCellMar>
    </w:tblPr>
  </w:style>
  <w:style w:type="paragraph" w:customStyle="1" w:styleId="79">
    <w:name w:val="Table Text"/>
    <w:basedOn w:val="1"/>
    <w:semiHidden/>
    <w:qFormat/>
    <w:uiPriority w:val="0"/>
    <w:rPr>
      <w:rFonts w:ascii="Arial" w:hAnsi="Arial" w:eastAsia="Arial" w:cs="Arial"/>
      <w:sz w:val="21"/>
      <w:szCs w:val="21"/>
      <w:lang w:val="en-US" w:eastAsia="en-US" w:bidi="ar-SA"/>
    </w:rPr>
  </w:style>
  <w:style w:type="paragraph" w:customStyle="1" w:styleId="80">
    <w:name w:val="采购正文"/>
    <w:qFormat/>
    <w:uiPriority w:val="0"/>
    <w:pPr>
      <w:snapToGrid w:val="0"/>
      <w:spacing w:line="560" w:lineRule="exact"/>
      <w:ind w:firstLine="480" w:firstLineChars="200"/>
    </w:pPr>
    <w:rPr>
      <w:rFonts w:ascii="仿宋" w:hAnsi="仿宋" w:eastAsia="仿宋" w:cs="Times New Roman"/>
      <w:kern w:val="2"/>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header" Target="head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5" Type="http://schemas.openxmlformats.org/officeDocument/2006/relationships/fontTable" Target="fontTable.xml"/><Relationship Id="rId24" Type="http://schemas.openxmlformats.org/officeDocument/2006/relationships/numbering" Target="numbering.xml"/><Relationship Id="rId23" Type="http://schemas.openxmlformats.org/officeDocument/2006/relationships/customXml" Target="../customXml/item1.xml"/><Relationship Id="rId22" Type="http://schemas.openxmlformats.org/officeDocument/2006/relationships/theme" Target="theme/theme1.xml"/><Relationship Id="rId21" Type="http://schemas.openxmlformats.org/officeDocument/2006/relationships/footer" Target="footer12.xml"/><Relationship Id="rId20" Type="http://schemas.openxmlformats.org/officeDocument/2006/relationships/header" Target="header5.xml"/><Relationship Id="rId2" Type="http://schemas.openxmlformats.org/officeDocument/2006/relationships/settings" Target="settings.xml"/><Relationship Id="rId19" Type="http://schemas.openxmlformats.org/officeDocument/2006/relationships/footer" Target="footer11.xml"/><Relationship Id="rId18" Type="http://schemas.openxmlformats.org/officeDocument/2006/relationships/footer" Target="footer10.xml"/><Relationship Id="rId17" Type="http://schemas.openxmlformats.org/officeDocument/2006/relationships/footer" Target="footer9.xml"/><Relationship Id="rId16" Type="http://schemas.openxmlformats.org/officeDocument/2006/relationships/footer" Target="footer8.xml"/><Relationship Id="rId15" Type="http://schemas.openxmlformats.org/officeDocument/2006/relationships/footer" Target="footer7.xml"/><Relationship Id="rId14" Type="http://schemas.openxmlformats.org/officeDocument/2006/relationships/footer" Target="footer6.xml"/><Relationship Id="rId13" Type="http://schemas.openxmlformats.org/officeDocument/2006/relationships/footer" Target="footer5.xml"/><Relationship Id="rId12" Type="http://schemas.openxmlformats.org/officeDocument/2006/relationships/header" Target="header4.xml"/><Relationship Id="rId11" Type="http://schemas.openxmlformats.org/officeDocument/2006/relationships/footer" Target="footer4.xml"/><Relationship Id="rId10" Type="http://schemas.openxmlformats.org/officeDocument/2006/relationships/header" Target="header3.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93</Pages>
  <Words>17761</Words>
  <Characters>18914</Characters>
  <Lines>328</Lines>
  <Paragraphs>92</Paragraphs>
  <TotalTime>62</TotalTime>
  <ScaleCrop>false</ScaleCrop>
  <LinksUpToDate>false</LinksUpToDate>
  <CharactersWithSpaces>19436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2024-01-02T05:57:00Z</dcterms:created>
  <dc:creator>admin</dc:creator>
  <cp:lastModifiedBy>真实</cp:lastModifiedBy>
  <cp:lastPrinted>2024-12-28T09:34:00Z</cp:lastPrinted>
  <dcterms:modified xsi:type="dcterms:W3CDTF">2026-06-15T13:10:40Z</dcterms:modified>
  <cp:revision>425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D804C4BC69444021906AF65F26065D6D_13</vt:lpwstr>
  </property>
  <property fmtid="{D5CDD505-2E9C-101B-9397-08002B2CF9AE}" pid="4" name="KSOTemplateDocerSaveRecord">
    <vt:lpwstr>eyJoZGlkIjoiMzU3NzAxNzU3MGJiZmI5Yjc2Y2M0Y2QzN2ZlZDRkYzgiLCJ1c2VySWQiOiIyNDg2NDg2MzEifQ==</vt:lpwstr>
  </property>
</Properties>
</file>